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vg" ContentType="image/svg+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CECDEB" w14:textId="54F710FA" w:rsidR="00B22584" w:rsidRPr="00C35E8E" w:rsidRDefault="00B22584">
      <w:pPr>
        <w:pStyle w:val="Heading1"/>
        <w:numPr>
          <w:ilvl w:val="0"/>
          <w:numId w:val="0"/>
        </w:numPr>
        <w:spacing w:before="0" w:line="240" w:lineRule="auto"/>
        <w:ind w:left="454" w:hanging="454"/>
        <w:jc w:val="center"/>
        <w:rPr>
          <w:rFonts w:ascii="Arial" w:hAnsi="Arial" w:cs="Arial"/>
          <w:b/>
          <w:bCs/>
          <w:color w:val="FF0000"/>
          <w:sz w:val="40"/>
        </w:rPr>
      </w:pPr>
      <w:bookmarkStart w:id="0" w:name="_7.__CRIMINAL"/>
      <w:bookmarkStart w:id="1" w:name="_Toc30691751"/>
      <w:bookmarkStart w:id="2" w:name="_Toc30692131"/>
      <w:bookmarkStart w:id="3" w:name="_Toc30692890"/>
      <w:bookmarkStart w:id="4" w:name="_Toc30693269"/>
      <w:bookmarkStart w:id="5" w:name="_Toc30693647"/>
      <w:bookmarkStart w:id="6" w:name="_Toc30694025"/>
      <w:bookmarkStart w:id="7" w:name="_Toc30694406"/>
      <w:bookmarkStart w:id="8" w:name="_Toc30698995"/>
      <w:bookmarkStart w:id="9" w:name="_Toc30699373"/>
      <w:bookmarkStart w:id="10" w:name="_Toc30699758"/>
      <w:bookmarkStart w:id="11" w:name="_Toc30700913"/>
      <w:bookmarkStart w:id="12" w:name="_Toc30701300"/>
      <w:bookmarkStart w:id="13" w:name="_Toc30743911"/>
      <w:bookmarkStart w:id="14" w:name="_Toc30754734"/>
      <w:bookmarkStart w:id="15" w:name="_Toc30757175"/>
      <w:bookmarkStart w:id="16" w:name="_Toc30757723"/>
      <w:bookmarkStart w:id="17" w:name="_Toc30758123"/>
      <w:bookmarkStart w:id="18" w:name="_Toc30762884"/>
      <w:bookmarkStart w:id="19" w:name="_Toc30767538"/>
      <w:bookmarkStart w:id="20" w:name="_Toc34823556"/>
      <w:bookmarkEnd w:id="0"/>
      <w:r w:rsidRPr="00C35E8E">
        <w:rPr>
          <w:rFonts w:ascii="Arial" w:hAnsi="Arial" w:cs="Arial"/>
          <w:b/>
          <w:bCs/>
          <w:color w:val="FF0000"/>
          <w:sz w:val="40"/>
        </w:rPr>
        <w:t xml:space="preserve">7.  CRIMINAL DIVISION </w:t>
      </w:r>
      <w:r w:rsidR="00405F98" w:rsidRPr="00C35E8E">
        <w:rPr>
          <w:rFonts w:ascii="Arial" w:hAnsi="Arial" w:cs="Arial"/>
          <w:b/>
          <w:bCs/>
          <w:color w:val="FF0000"/>
          <w:sz w:val="40"/>
        </w:rPr>
        <w:t>–</w:t>
      </w:r>
      <w:r w:rsidRPr="00C35E8E">
        <w:rPr>
          <w:rFonts w:ascii="Arial" w:hAnsi="Arial" w:cs="Arial"/>
          <w:b/>
          <w:bCs/>
          <w:color w:val="FF0000"/>
          <w:sz w:val="40"/>
        </w:rPr>
        <w:t xml:space="preserve"> </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sidRPr="00C35E8E">
        <w:rPr>
          <w:rFonts w:ascii="Arial" w:hAnsi="Arial" w:cs="Arial"/>
          <w:b/>
          <w:bCs/>
          <w:color w:val="FF0000"/>
          <w:sz w:val="40"/>
        </w:rPr>
        <w:t>GENERAL</w:t>
      </w:r>
      <w:bookmarkEnd w:id="20"/>
    </w:p>
    <w:p w14:paraId="71BE851D" w14:textId="77777777" w:rsidR="00B22584" w:rsidRPr="0019012E" w:rsidRDefault="00B22584">
      <w:pPr>
        <w:jc w:val="both"/>
        <w:rPr>
          <w:rFonts w:ascii="Arial" w:hAnsi="Arial" w:cs="Arial"/>
          <w:color w:val="000000"/>
          <w:sz w:val="8"/>
          <w:szCs w:val="8"/>
        </w:rPr>
      </w:pPr>
    </w:p>
    <w:p w14:paraId="35059416" w14:textId="77777777" w:rsidR="00B22584" w:rsidRPr="003A2654" w:rsidRDefault="00B22584">
      <w:pPr>
        <w:pBdr>
          <w:top w:val="single" w:sz="4" w:space="1" w:color="auto"/>
          <w:left w:val="single" w:sz="4" w:space="4" w:color="auto"/>
          <w:bottom w:val="single" w:sz="4" w:space="1" w:color="auto"/>
          <w:right w:val="single" w:sz="4" w:space="4" w:color="auto"/>
        </w:pBdr>
        <w:rPr>
          <w:rFonts w:ascii="Arial" w:hAnsi="Arial" w:cs="Arial"/>
          <w:b/>
          <w:bCs/>
          <w:color w:val="000000"/>
          <w:sz w:val="6"/>
          <w:szCs w:val="18"/>
        </w:rPr>
      </w:pPr>
      <w:bookmarkStart w:id="21" w:name="_Toc30669412"/>
      <w:bookmarkStart w:id="22" w:name="_Toc30671628"/>
      <w:bookmarkStart w:id="23" w:name="_Toc30674155"/>
      <w:bookmarkStart w:id="24" w:name="_Toc30691377"/>
      <w:bookmarkStart w:id="25" w:name="_Toc30691752"/>
      <w:bookmarkStart w:id="26" w:name="_Toc30692132"/>
      <w:bookmarkStart w:id="27" w:name="_Toc30692891"/>
      <w:bookmarkStart w:id="28" w:name="_Toc30693270"/>
      <w:bookmarkStart w:id="29" w:name="_Toc30693648"/>
      <w:bookmarkStart w:id="30" w:name="_Toc30694026"/>
      <w:bookmarkStart w:id="31" w:name="_Toc30694407"/>
      <w:bookmarkStart w:id="32" w:name="_Toc30698996"/>
      <w:bookmarkStart w:id="33" w:name="_Toc30699374"/>
      <w:bookmarkStart w:id="34" w:name="_Toc30699759"/>
      <w:bookmarkStart w:id="35" w:name="_Toc30700914"/>
      <w:bookmarkStart w:id="36" w:name="_Toc30701301"/>
      <w:bookmarkStart w:id="37" w:name="_Toc30743912"/>
      <w:bookmarkStart w:id="38" w:name="_Toc30754735"/>
      <w:bookmarkStart w:id="39" w:name="_Toc30757176"/>
      <w:bookmarkStart w:id="40" w:name="_Toc30757724"/>
      <w:bookmarkStart w:id="41" w:name="_Toc30758124"/>
      <w:bookmarkStart w:id="42" w:name="_Toc30762885"/>
      <w:bookmarkStart w:id="43" w:name="_Toc30767539"/>
      <w:bookmarkStart w:id="44" w:name="_Toc34823557"/>
    </w:p>
    <w:p w14:paraId="32127D79" w14:textId="77777777" w:rsidR="00B22584" w:rsidRPr="00680768" w:rsidRDefault="00680768" w:rsidP="00D50B5E">
      <w:pPr>
        <w:pBdr>
          <w:top w:val="single" w:sz="4" w:space="1" w:color="auto"/>
          <w:left w:val="single" w:sz="4" w:space="4" w:color="auto"/>
          <w:bottom w:val="single" w:sz="4" w:space="1" w:color="auto"/>
          <w:right w:val="single" w:sz="4" w:space="4" w:color="auto"/>
        </w:pBdr>
        <w:rPr>
          <w:rStyle w:val="Hyperlink"/>
          <w:rFonts w:ascii="Arial" w:hAnsi="Arial" w:cs="Arial"/>
          <w:b/>
          <w:bCs/>
          <w:u w:val="none"/>
        </w:rPr>
      </w:pPr>
      <w:r w:rsidRPr="00680768">
        <w:rPr>
          <w:rFonts w:ascii="Arial" w:hAnsi="Arial" w:cs="Arial"/>
          <w:b/>
          <w:bCs/>
          <w:color w:val="000000"/>
        </w:rPr>
        <w:fldChar w:fldCharType="begin"/>
      </w:r>
      <w:r w:rsidRPr="00680768">
        <w:rPr>
          <w:rFonts w:ascii="Arial" w:hAnsi="Arial" w:cs="Arial"/>
          <w:b/>
          <w:bCs/>
          <w:color w:val="000000"/>
        </w:rPr>
        <w:instrText xml:space="preserve"> HYPERLINK  \l "_7.1_Jurisdiction_of" </w:instrText>
      </w:r>
      <w:r w:rsidRPr="00680768">
        <w:rPr>
          <w:rFonts w:ascii="Arial" w:hAnsi="Arial" w:cs="Arial"/>
          <w:b/>
          <w:bCs/>
          <w:color w:val="000000"/>
        </w:rPr>
      </w:r>
      <w:r w:rsidRPr="00680768">
        <w:rPr>
          <w:rFonts w:ascii="Arial" w:hAnsi="Arial" w:cs="Arial"/>
          <w:b/>
          <w:bCs/>
          <w:color w:val="000000"/>
        </w:rPr>
        <w:fldChar w:fldCharType="separate"/>
      </w:r>
      <w:r w:rsidR="00B22584" w:rsidRPr="00680768">
        <w:rPr>
          <w:rStyle w:val="Hyperlink"/>
          <w:rFonts w:ascii="Arial" w:hAnsi="Arial" w:cs="Arial"/>
          <w:b/>
          <w:bCs/>
          <w:u w:val="none"/>
        </w:rPr>
        <w:t>7.</w:t>
      </w:r>
      <w:r w:rsidR="00ED1E6B" w:rsidRPr="00680768">
        <w:rPr>
          <w:rStyle w:val="Hyperlink"/>
          <w:rFonts w:ascii="Arial" w:hAnsi="Arial" w:cs="Arial"/>
          <w:b/>
          <w:bCs/>
          <w:u w:val="none"/>
        </w:rPr>
        <w:t>1</w:t>
      </w:r>
      <w:r w:rsidR="00B22584" w:rsidRPr="00680768">
        <w:rPr>
          <w:rStyle w:val="Hyperlink"/>
          <w:rFonts w:ascii="Arial" w:hAnsi="Arial" w:cs="Arial"/>
          <w:b/>
          <w:bCs/>
          <w:u w:val="none"/>
        </w:rPr>
        <w:tab/>
        <w:t>Jurisdiction of Criminal Division</w:t>
      </w:r>
    </w:p>
    <w:p w14:paraId="0A646BD8" w14:textId="77777777" w:rsidR="00ED1E6B" w:rsidRPr="003F0317" w:rsidRDefault="00680768" w:rsidP="00B06E72">
      <w:pPr>
        <w:pBdr>
          <w:top w:val="single" w:sz="4" w:space="1" w:color="auto"/>
          <w:left w:val="single" w:sz="4" w:space="4" w:color="auto"/>
          <w:bottom w:val="single" w:sz="4" w:space="1" w:color="auto"/>
          <w:right w:val="single" w:sz="4" w:space="4" w:color="auto"/>
        </w:pBdr>
        <w:spacing w:before="20"/>
        <w:ind w:firstLine="680"/>
        <w:rPr>
          <w:rFonts w:ascii="Arial" w:hAnsi="Arial" w:cs="Arial"/>
          <w:b/>
          <w:bCs/>
          <w:color w:val="000000"/>
          <w:sz w:val="20"/>
        </w:rPr>
      </w:pPr>
      <w:r w:rsidRPr="00680768">
        <w:rPr>
          <w:rFonts w:ascii="Arial" w:hAnsi="Arial" w:cs="Arial"/>
          <w:b/>
          <w:bCs/>
          <w:color w:val="000000"/>
        </w:rPr>
        <w:fldChar w:fldCharType="end"/>
      </w:r>
      <w:hyperlink w:anchor="_7.1.1_Classification_of" w:history="1">
        <w:r w:rsidR="00ED1E6B" w:rsidRPr="008E164C">
          <w:rPr>
            <w:rStyle w:val="Hyperlink"/>
            <w:rFonts w:ascii="Arial" w:hAnsi="Arial" w:cs="Arial"/>
            <w:b/>
            <w:bCs/>
            <w:sz w:val="20"/>
            <w:u w:val="none"/>
          </w:rPr>
          <w:t>7.1.1</w:t>
        </w:r>
        <w:r w:rsidR="00ED1E6B" w:rsidRPr="008E164C">
          <w:rPr>
            <w:rStyle w:val="Hyperlink"/>
            <w:rFonts w:ascii="Arial" w:hAnsi="Arial" w:cs="Arial"/>
            <w:b/>
            <w:bCs/>
            <w:sz w:val="20"/>
            <w:u w:val="none"/>
          </w:rPr>
          <w:tab/>
          <w:t>Classification of offences</w:t>
        </w:r>
      </w:hyperlink>
    </w:p>
    <w:p w14:paraId="4989EBA0" w14:textId="059B4AC0" w:rsidR="005477E8" w:rsidRPr="003F0317" w:rsidRDefault="005477E8" w:rsidP="00ED1E6B">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F0317">
        <w:rPr>
          <w:rFonts w:ascii="Arial" w:hAnsi="Arial" w:cs="Arial"/>
          <w:b/>
          <w:bCs/>
          <w:color w:val="000000"/>
          <w:sz w:val="20"/>
        </w:rPr>
        <w:tab/>
      </w:r>
      <w:hyperlink w:anchor="_7.1.2_Age_of" w:history="1">
        <w:r w:rsidRPr="0027357D">
          <w:rPr>
            <w:rStyle w:val="Hyperlink"/>
            <w:rFonts w:ascii="Arial" w:hAnsi="Arial" w:cs="Arial"/>
            <w:b/>
            <w:bCs/>
            <w:sz w:val="20"/>
            <w:u w:val="none"/>
          </w:rPr>
          <w:t>7</w:t>
        </w:r>
        <w:r w:rsidR="00ED1E6B" w:rsidRPr="0027357D">
          <w:rPr>
            <w:rStyle w:val="Hyperlink"/>
            <w:rFonts w:ascii="Arial" w:hAnsi="Arial" w:cs="Arial"/>
            <w:b/>
            <w:bCs/>
            <w:sz w:val="20"/>
            <w:u w:val="none"/>
          </w:rPr>
          <w:t>.1</w:t>
        </w:r>
        <w:r w:rsidRPr="0027357D">
          <w:rPr>
            <w:rStyle w:val="Hyperlink"/>
            <w:rFonts w:ascii="Arial" w:hAnsi="Arial" w:cs="Arial"/>
            <w:b/>
            <w:bCs/>
            <w:sz w:val="20"/>
            <w:u w:val="none"/>
          </w:rPr>
          <w:t>.</w:t>
        </w:r>
        <w:r w:rsidR="00ED1E6B" w:rsidRPr="0027357D">
          <w:rPr>
            <w:rStyle w:val="Hyperlink"/>
            <w:rFonts w:ascii="Arial" w:hAnsi="Arial" w:cs="Arial"/>
            <w:b/>
            <w:bCs/>
            <w:sz w:val="20"/>
            <w:u w:val="none"/>
          </w:rPr>
          <w:t>2</w:t>
        </w:r>
        <w:r w:rsidRPr="0027357D">
          <w:rPr>
            <w:rStyle w:val="Hyperlink"/>
            <w:rFonts w:ascii="Arial" w:hAnsi="Arial" w:cs="Arial"/>
            <w:b/>
            <w:bCs/>
            <w:sz w:val="20"/>
            <w:u w:val="none"/>
          </w:rPr>
          <w:tab/>
          <w:t xml:space="preserve">Age of ‘child’ </w:t>
        </w:r>
        <w:r w:rsidR="00C11A46" w:rsidRPr="0027357D">
          <w:rPr>
            <w:rStyle w:val="Hyperlink"/>
            <w:rFonts w:ascii="Arial" w:hAnsi="Arial" w:cs="Arial"/>
            <w:b/>
            <w:bCs/>
            <w:sz w:val="20"/>
            <w:u w:val="none"/>
          </w:rPr>
          <w:t xml:space="preserve">for hearing of a </w:t>
        </w:r>
        <w:r w:rsidR="000C13A2">
          <w:rPr>
            <w:rStyle w:val="Hyperlink"/>
            <w:rFonts w:ascii="Arial" w:hAnsi="Arial" w:cs="Arial"/>
            <w:b/>
            <w:bCs/>
            <w:sz w:val="20"/>
            <w:u w:val="none"/>
          </w:rPr>
          <w:t xml:space="preserve">criminal </w:t>
        </w:r>
        <w:r w:rsidR="00C11A46" w:rsidRPr="0027357D">
          <w:rPr>
            <w:rStyle w:val="Hyperlink"/>
            <w:rFonts w:ascii="Arial" w:hAnsi="Arial" w:cs="Arial"/>
            <w:b/>
            <w:bCs/>
            <w:sz w:val="20"/>
            <w:u w:val="none"/>
          </w:rPr>
          <w:t>charge</w:t>
        </w:r>
      </w:hyperlink>
    </w:p>
    <w:p w14:paraId="0B54F022" w14:textId="6825D636" w:rsidR="00325CBE" w:rsidRPr="003F0317" w:rsidRDefault="00325CBE" w:rsidP="00325CBE">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3F0317">
        <w:rPr>
          <w:rFonts w:ascii="Arial" w:hAnsi="Arial" w:cs="Arial"/>
          <w:b/>
          <w:bCs/>
          <w:color w:val="000000"/>
          <w:sz w:val="20"/>
        </w:rPr>
        <w:tab/>
      </w:r>
      <w:hyperlink w:anchor="_7.1.3_Police_powers" w:history="1">
        <w:r w:rsidRPr="0027357D">
          <w:rPr>
            <w:rStyle w:val="Hyperlink"/>
            <w:rFonts w:ascii="Arial" w:hAnsi="Arial" w:cs="Arial"/>
            <w:b/>
            <w:bCs/>
            <w:sz w:val="20"/>
            <w:u w:val="none"/>
          </w:rPr>
          <w:t>7.1.</w:t>
        </w:r>
        <w:r>
          <w:rPr>
            <w:rStyle w:val="Hyperlink"/>
            <w:rFonts w:ascii="Arial" w:hAnsi="Arial" w:cs="Arial"/>
            <w:b/>
            <w:bCs/>
            <w:sz w:val="20"/>
            <w:u w:val="none"/>
          </w:rPr>
          <w:t>3</w:t>
        </w:r>
        <w:r w:rsidRPr="0027357D">
          <w:rPr>
            <w:rStyle w:val="Hyperlink"/>
            <w:rFonts w:ascii="Arial" w:hAnsi="Arial" w:cs="Arial"/>
            <w:b/>
            <w:bCs/>
            <w:sz w:val="20"/>
            <w:u w:val="none"/>
          </w:rPr>
          <w:tab/>
        </w:r>
        <w:r>
          <w:rPr>
            <w:rStyle w:val="Hyperlink"/>
            <w:rFonts w:ascii="Arial" w:hAnsi="Arial" w:cs="Arial"/>
            <w:b/>
            <w:bCs/>
            <w:sz w:val="20"/>
            <w:u w:val="none"/>
          </w:rPr>
          <w:t>Police powers in relation to children under the MACR who are 10 or 11 years old</w:t>
        </w:r>
      </w:hyperlink>
    </w:p>
    <w:p w14:paraId="530C06A5" w14:textId="77777777" w:rsidR="00680768" w:rsidRPr="00680768" w:rsidRDefault="00C11A46" w:rsidP="00680768">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4_Transfer_of" w:history="1">
        <w:r w:rsidRPr="00680768">
          <w:rPr>
            <w:rStyle w:val="Hyperlink"/>
            <w:rFonts w:ascii="Arial" w:hAnsi="Arial" w:cs="Arial"/>
            <w:b/>
            <w:bCs/>
            <w:sz w:val="20"/>
            <w:u w:val="none"/>
          </w:rPr>
          <w:tab/>
          <w:t>7.</w:t>
        </w:r>
        <w:r w:rsidR="00ED1E6B" w:rsidRPr="00680768">
          <w:rPr>
            <w:rStyle w:val="Hyperlink"/>
            <w:rFonts w:ascii="Arial" w:hAnsi="Arial" w:cs="Arial"/>
            <w:b/>
            <w:bCs/>
            <w:sz w:val="20"/>
            <w:u w:val="none"/>
          </w:rPr>
          <w:t>1</w:t>
        </w:r>
        <w:r w:rsidRPr="00680768">
          <w:rPr>
            <w:rStyle w:val="Hyperlink"/>
            <w:rFonts w:ascii="Arial" w:hAnsi="Arial" w:cs="Arial"/>
            <w:b/>
            <w:bCs/>
            <w:sz w:val="20"/>
            <w:u w:val="none"/>
          </w:rPr>
          <w:t>.</w:t>
        </w:r>
        <w:r w:rsidR="00ED1E6B" w:rsidRPr="00680768">
          <w:rPr>
            <w:rStyle w:val="Hyperlink"/>
            <w:rFonts w:ascii="Arial" w:hAnsi="Arial" w:cs="Arial"/>
            <w:b/>
            <w:bCs/>
            <w:sz w:val="20"/>
            <w:u w:val="none"/>
          </w:rPr>
          <w:t>4</w:t>
        </w:r>
        <w:r w:rsidRPr="00680768">
          <w:rPr>
            <w:rStyle w:val="Hyperlink"/>
            <w:rFonts w:ascii="Arial" w:hAnsi="Arial" w:cs="Arial"/>
            <w:b/>
            <w:bCs/>
            <w:sz w:val="20"/>
            <w:u w:val="none"/>
          </w:rPr>
          <w:tab/>
        </w:r>
        <w:r w:rsidR="00D509BA" w:rsidRPr="00680768">
          <w:rPr>
            <w:rStyle w:val="Hyperlink"/>
            <w:rFonts w:ascii="Arial" w:hAnsi="Arial" w:cs="Arial"/>
            <w:b/>
            <w:bCs/>
            <w:sz w:val="20"/>
            <w:u w:val="none"/>
          </w:rPr>
          <w:t>T</w:t>
        </w:r>
        <w:r w:rsidRPr="00680768">
          <w:rPr>
            <w:rStyle w:val="Hyperlink"/>
            <w:rFonts w:ascii="Arial" w:hAnsi="Arial" w:cs="Arial"/>
            <w:b/>
            <w:bCs/>
            <w:sz w:val="20"/>
            <w:u w:val="none"/>
          </w:rPr>
          <w:t xml:space="preserve">ransfer </w:t>
        </w:r>
        <w:r w:rsidR="00D509BA" w:rsidRPr="00680768">
          <w:rPr>
            <w:rStyle w:val="Hyperlink"/>
            <w:rFonts w:ascii="Arial" w:hAnsi="Arial" w:cs="Arial"/>
            <w:b/>
            <w:bCs/>
            <w:sz w:val="20"/>
            <w:u w:val="none"/>
          </w:rPr>
          <w:t xml:space="preserve">of the </w:t>
        </w:r>
        <w:r w:rsidRPr="00680768">
          <w:rPr>
            <w:rStyle w:val="Hyperlink"/>
            <w:rFonts w:ascii="Arial" w:hAnsi="Arial" w:cs="Arial"/>
            <w:b/>
            <w:bCs/>
            <w:sz w:val="20"/>
            <w:u w:val="none"/>
          </w:rPr>
          <w:t xml:space="preserve">hearing of a charge to </w:t>
        </w:r>
        <w:r w:rsidR="00D509BA" w:rsidRPr="00680768">
          <w:rPr>
            <w:rStyle w:val="Hyperlink"/>
            <w:rFonts w:ascii="Arial" w:hAnsi="Arial" w:cs="Arial"/>
            <w:b/>
            <w:bCs/>
            <w:sz w:val="20"/>
            <w:u w:val="none"/>
          </w:rPr>
          <w:t xml:space="preserve">or from </w:t>
        </w:r>
        <w:r w:rsidRPr="00680768">
          <w:rPr>
            <w:rStyle w:val="Hyperlink"/>
            <w:rFonts w:ascii="Arial" w:hAnsi="Arial" w:cs="Arial"/>
            <w:b/>
            <w:bCs/>
            <w:sz w:val="20"/>
            <w:u w:val="none"/>
          </w:rPr>
          <w:t>Magistrates’ Court</w:t>
        </w:r>
      </w:hyperlink>
    </w:p>
    <w:p w14:paraId="024E08C0" w14:textId="0593A5A5" w:rsidR="000E191D" w:rsidRPr="00FF1606" w:rsidRDefault="000E191D" w:rsidP="000E191D">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FF1606">
        <w:rPr>
          <w:rFonts w:ascii="Arial" w:hAnsi="Arial" w:cs="Arial"/>
          <w:b/>
          <w:bCs/>
          <w:sz w:val="20"/>
        </w:rPr>
        <w:fldChar w:fldCharType="begin"/>
      </w:r>
      <w:r w:rsidR="00E4443A">
        <w:rPr>
          <w:rFonts w:ascii="Arial" w:hAnsi="Arial" w:cs="Arial"/>
          <w:b/>
          <w:bCs/>
          <w:sz w:val="20"/>
        </w:rPr>
        <w:instrText>HYPERLINK  \l "_7.1.5_Age_of"</w:instrText>
      </w:r>
      <w:r w:rsidRPr="00FF1606">
        <w:rPr>
          <w:rFonts w:ascii="Arial" w:hAnsi="Arial" w:cs="Arial"/>
          <w:b/>
          <w:bCs/>
          <w:sz w:val="20"/>
        </w:rPr>
      </w:r>
      <w:r w:rsidRPr="00FF1606">
        <w:rPr>
          <w:rFonts w:ascii="Arial" w:hAnsi="Arial" w:cs="Arial"/>
          <w:b/>
          <w:bCs/>
          <w:sz w:val="20"/>
        </w:rPr>
        <w:fldChar w:fldCharType="separate"/>
      </w:r>
      <w:r w:rsidRPr="00FF1606">
        <w:rPr>
          <w:rStyle w:val="Hyperlink"/>
          <w:rFonts w:ascii="Arial" w:hAnsi="Arial" w:cs="Arial"/>
          <w:b/>
          <w:bCs/>
          <w:sz w:val="20"/>
          <w:u w:val="none"/>
        </w:rPr>
        <w:tab/>
        <w:t>7.1.</w:t>
      </w:r>
      <w:r w:rsidR="0069629F">
        <w:rPr>
          <w:rStyle w:val="Hyperlink"/>
          <w:rFonts w:ascii="Arial" w:hAnsi="Arial" w:cs="Arial"/>
          <w:b/>
          <w:bCs/>
          <w:sz w:val="20"/>
          <w:u w:val="none"/>
        </w:rPr>
        <w:t>5</w:t>
      </w:r>
      <w:r w:rsidRPr="00FF1606">
        <w:rPr>
          <w:rStyle w:val="Hyperlink"/>
          <w:rFonts w:ascii="Arial" w:hAnsi="Arial" w:cs="Arial"/>
          <w:b/>
          <w:bCs/>
          <w:sz w:val="20"/>
          <w:u w:val="none"/>
        </w:rPr>
        <w:tab/>
      </w:r>
      <w:r>
        <w:rPr>
          <w:rStyle w:val="Hyperlink"/>
          <w:rFonts w:ascii="Arial" w:hAnsi="Arial" w:cs="Arial"/>
          <w:b/>
          <w:bCs/>
          <w:sz w:val="20"/>
          <w:u w:val="none"/>
        </w:rPr>
        <w:t xml:space="preserve">Proceeding for variation or revocation of </w:t>
      </w:r>
      <w:r w:rsidR="00BE568B">
        <w:rPr>
          <w:rStyle w:val="Hyperlink"/>
          <w:rFonts w:ascii="Arial" w:hAnsi="Arial" w:cs="Arial"/>
          <w:b/>
          <w:bCs/>
          <w:sz w:val="20"/>
          <w:u w:val="none"/>
        </w:rPr>
        <w:t xml:space="preserve">a </w:t>
      </w:r>
      <w:r w:rsidR="00F85142">
        <w:rPr>
          <w:rStyle w:val="Hyperlink"/>
          <w:rFonts w:ascii="Arial" w:hAnsi="Arial" w:cs="Arial"/>
          <w:b/>
          <w:bCs/>
          <w:sz w:val="20"/>
          <w:u w:val="none"/>
        </w:rPr>
        <w:t xml:space="preserve">community-based </w:t>
      </w:r>
      <w:r>
        <w:rPr>
          <w:rStyle w:val="Hyperlink"/>
          <w:rFonts w:ascii="Arial" w:hAnsi="Arial" w:cs="Arial"/>
          <w:b/>
          <w:bCs/>
          <w:sz w:val="20"/>
          <w:u w:val="none"/>
        </w:rPr>
        <w:t>sentenc</w:t>
      </w:r>
      <w:r w:rsidR="00B60FA6">
        <w:rPr>
          <w:rStyle w:val="Hyperlink"/>
          <w:rFonts w:ascii="Arial" w:hAnsi="Arial" w:cs="Arial"/>
          <w:b/>
          <w:bCs/>
          <w:sz w:val="20"/>
          <w:u w:val="none"/>
        </w:rPr>
        <w:t>e (not fine)</w:t>
      </w:r>
    </w:p>
    <w:p w14:paraId="0BE3E9CF" w14:textId="50EE55E3" w:rsidR="00F85142" w:rsidRPr="00FF1606" w:rsidRDefault="000E191D" w:rsidP="00F85142">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FF1606">
        <w:rPr>
          <w:rFonts w:ascii="Arial" w:hAnsi="Arial" w:cs="Arial"/>
          <w:b/>
          <w:bCs/>
          <w:sz w:val="20"/>
        </w:rPr>
        <w:fldChar w:fldCharType="end"/>
      </w:r>
      <w:r w:rsidR="00F85142" w:rsidRPr="00FF1606">
        <w:rPr>
          <w:rFonts w:ascii="Arial" w:hAnsi="Arial" w:cs="Arial"/>
          <w:b/>
          <w:bCs/>
          <w:sz w:val="20"/>
        </w:rPr>
        <w:fldChar w:fldCharType="begin"/>
      </w:r>
      <w:r w:rsidR="00E4443A">
        <w:rPr>
          <w:rFonts w:ascii="Arial" w:hAnsi="Arial" w:cs="Arial"/>
          <w:b/>
          <w:bCs/>
          <w:sz w:val="20"/>
        </w:rPr>
        <w:instrText>HYPERLINK  \l "_7.1.6_Proceedings_for_1"</w:instrText>
      </w:r>
      <w:r w:rsidR="00F85142" w:rsidRPr="00FF1606">
        <w:rPr>
          <w:rFonts w:ascii="Arial" w:hAnsi="Arial" w:cs="Arial"/>
          <w:b/>
          <w:bCs/>
          <w:sz w:val="20"/>
        </w:rPr>
      </w:r>
      <w:r w:rsidR="00F85142" w:rsidRPr="00FF1606">
        <w:rPr>
          <w:rFonts w:ascii="Arial" w:hAnsi="Arial" w:cs="Arial"/>
          <w:b/>
          <w:bCs/>
          <w:sz w:val="20"/>
        </w:rPr>
        <w:fldChar w:fldCharType="separate"/>
      </w:r>
      <w:r w:rsidR="00F85142" w:rsidRPr="00FF1606">
        <w:rPr>
          <w:rStyle w:val="Hyperlink"/>
          <w:rFonts w:ascii="Arial" w:hAnsi="Arial" w:cs="Arial"/>
          <w:b/>
          <w:bCs/>
          <w:sz w:val="20"/>
          <w:u w:val="none"/>
        </w:rPr>
        <w:tab/>
        <w:t>7.1.</w:t>
      </w:r>
      <w:r w:rsidR="0069629F">
        <w:rPr>
          <w:rStyle w:val="Hyperlink"/>
          <w:rFonts w:ascii="Arial" w:hAnsi="Arial" w:cs="Arial"/>
          <w:b/>
          <w:bCs/>
          <w:sz w:val="20"/>
          <w:u w:val="none"/>
        </w:rPr>
        <w:t>6</w:t>
      </w:r>
      <w:r w:rsidR="00F85142" w:rsidRPr="00FF1606">
        <w:rPr>
          <w:rStyle w:val="Hyperlink"/>
          <w:rFonts w:ascii="Arial" w:hAnsi="Arial" w:cs="Arial"/>
          <w:b/>
          <w:bCs/>
          <w:sz w:val="20"/>
          <w:u w:val="none"/>
        </w:rPr>
        <w:tab/>
      </w:r>
      <w:r w:rsidR="00F85142">
        <w:rPr>
          <w:rStyle w:val="Hyperlink"/>
          <w:rFonts w:ascii="Arial" w:hAnsi="Arial" w:cs="Arial"/>
          <w:b/>
          <w:bCs/>
          <w:sz w:val="20"/>
          <w:u w:val="none"/>
        </w:rPr>
        <w:t xml:space="preserve">Proceeding for contravention of </w:t>
      </w:r>
      <w:r w:rsidR="00BE568B">
        <w:rPr>
          <w:rStyle w:val="Hyperlink"/>
          <w:rFonts w:ascii="Arial" w:hAnsi="Arial" w:cs="Arial"/>
          <w:b/>
          <w:bCs/>
          <w:sz w:val="20"/>
          <w:u w:val="none"/>
        </w:rPr>
        <w:t xml:space="preserve">a </w:t>
      </w:r>
      <w:r w:rsidR="0069629F">
        <w:rPr>
          <w:rStyle w:val="Hyperlink"/>
          <w:rFonts w:ascii="Arial" w:hAnsi="Arial" w:cs="Arial"/>
          <w:b/>
          <w:bCs/>
          <w:sz w:val="20"/>
          <w:u w:val="none"/>
        </w:rPr>
        <w:t xml:space="preserve">community-based </w:t>
      </w:r>
      <w:r w:rsidR="00F85142">
        <w:rPr>
          <w:rStyle w:val="Hyperlink"/>
          <w:rFonts w:ascii="Arial" w:hAnsi="Arial" w:cs="Arial"/>
          <w:b/>
          <w:bCs/>
          <w:sz w:val="20"/>
          <w:u w:val="none"/>
        </w:rPr>
        <w:t>sentenc</w:t>
      </w:r>
      <w:r w:rsidR="00654238">
        <w:rPr>
          <w:rStyle w:val="Hyperlink"/>
          <w:rFonts w:ascii="Arial" w:hAnsi="Arial" w:cs="Arial"/>
          <w:b/>
          <w:bCs/>
          <w:sz w:val="20"/>
          <w:u w:val="none"/>
        </w:rPr>
        <w:t>e</w:t>
      </w:r>
      <w:r w:rsidR="00AC4BC3">
        <w:rPr>
          <w:rStyle w:val="Hyperlink"/>
          <w:rFonts w:ascii="Arial" w:hAnsi="Arial" w:cs="Arial"/>
          <w:b/>
          <w:bCs/>
          <w:sz w:val="20"/>
          <w:u w:val="none"/>
        </w:rPr>
        <w:t xml:space="preserve"> </w:t>
      </w:r>
      <w:r w:rsidR="00DB1391">
        <w:rPr>
          <w:rStyle w:val="Hyperlink"/>
          <w:rFonts w:ascii="Arial" w:hAnsi="Arial" w:cs="Arial"/>
          <w:b/>
          <w:bCs/>
          <w:sz w:val="20"/>
          <w:u w:val="none"/>
        </w:rPr>
        <w:t>other than a</w:t>
      </w:r>
      <w:r w:rsidR="00AC4BC3">
        <w:rPr>
          <w:rStyle w:val="Hyperlink"/>
          <w:rFonts w:ascii="Arial" w:hAnsi="Arial" w:cs="Arial"/>
          <w:b/>
          <w:bCs/>
          <w:sz w:val="20"/>
          <w:u w:val="none"/>
        </w:rPr>
        <w:t xml:space="preserve"> fine</w:t>
      </w:r>
    </w:p>
    <w:p w14:paraId="7D9B6F33" w14:textId="54A5A1DC" w:rsidR="00C96D1B" w:rsidRPr="00FF1606" w:rsidRDefault="00F85142" w:rsidP="00C96D1B">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sidRPr="00FF1606">
        <w:rPr>
          <w:rFonts w:ascii="Arial" w:hAnsi="Arial" w:cs="Arial"/>
          <w:b/>
          <w:bCs/>
          <w:sz w:val="20"/>
        </w:rPr>
        <w:fldChar w:fldCharType="end"/>
      </w:r>
      <w:r w:rsidR="00C96D1B" w:rsidRPr="00FF1606">
        <w:rPr>
          <w:rFonts w:ascii="Arial" w:hAnsi="Arial" w:cs="Arial"/>
          <w:b/>
          <w:bCs/>
          <w:sz w:val="20"/>
        </w:rPr>
        <w:fldChar w:fldCharType="begin"/>
      </w:r>
      <w:r w:rsidR="00C96D1B">
        <w:rPr>
          <w:rFonts w:ascii="Arial" w:hAnsi="Arial" w:cs="Arial"/>
          <w:b/>
          <w:bCs/>
          <w:sz w:val="20"/>
        </w:rPr>
        <w:instrText>HYPERLINK  \l "_7.1.6_Proceedings_for"</w:instrText>
      </w:r>
      <w:r w:rsidR="00C96D1B" w:rsidRPr="00FF1606">
        <w:rPr>
          <w:rFonts w:ascii="Arial" w:hAnsi="Arial" w:cs="Arial"/>
          <w:b/>
          <w:bCs/>
          <w:sz w:val="20"/>
        </w:rPr>
      </w:r>
      <w:r w:rsidR="00C96D1B" w:rsidRPr="00FF1606">
        <w:rPr>
          <w:rFonts w:ascii="Arial" w:hAnsi="Arial" w:cs="Arial"/>
          <w:b/>
          <w:bCs/>
          <w:sz w:val="20"/>
        </w:rPr>
        <w:fldChar w:fldCharType="separate"/>
      </w:r>
      <w:r w:rsidR="00C96D1B" w:rsidRPr="00FF1606">
        <w:rPr>
          <w:rStyle w:val="Hyperlink"/>
          <w:rFonts w:ascii="Arial" w:hAnsi="Arial" w:cs="Arial"/>
          <w:b/>
          <w:bCs/>
          <w:sz w:val="20"/>
          <w:u w:val="none"/>
        </w:rPr>
        <w:tab/>
        <w:t>7.1.</w:t>
      </w:r>
      <w:r w:rsidR="00C96D1B">
        <w:rPr>
          <w:rStyle w:val="Hyperlink"/>
          <w:rFonts w:ascii="Arial" w:hAnsi="Arial" w:cs="Arial"/>
          <w:b/>
          <w:bCs/>
          <w:sz w:val="20"/>
          <w:u w:val="none"/>
        </w:rPr>
        <w:t>7</w:t>
      </w:r>
      <w:r w:rsidR="00C96D1B" w:rsidRPr="00FF1606">
        <w:rPr>
          <w:rStyle w:val="Hyperlink"/>
          <w:rFonts w:ascii="Arial" w:hAnsi="Arial" w:cs="Arial"/>
          <w:b/>
          <w:bCs/>
          <w:sz w:val="20"/>
          <w:u w:val="none"/>
        </w:rPr>
        <w:tab/>
      </w:r>
      <w:r w:rsidR="00C96D1B">
        <w:rPr>
          <w:rStyle w:val="Hyperlink"/>
          <w:rFonts w:ascii="Arial" w:hAnsi="Arial" w:cs="Arial"/>
          <w:b/>
          <w:bCs/>
          <w:sz w:val="20"/>
          <w:u w:val="none"/>
        </w:rPr>
        <w:t xml:space="preserve">Proceedings for </w:t>
      </w:r>
      <w:r w:rsidR="00633E04">
        <w:rPr>
          <w:rStyle w:val="Hyperlink"/>
          <w:rFonts w:ascii="Arial" w:hAnsi="Arial" w:cs="Arial"/>
          <w:b/>
          <w:bCs/>
          <w:sz w:val="20"/>
          <w:u w:val="none"/>
        </w:rPr>
        <w:t xml:space="preserve">instalment order or </w:t>
      </w:r>
      <w:r w:rsidR="00C96D1B">
        <w:rPr>
          <w:rStyle w:val="Hyperlink"/>
          <w:rFonts w:ascii="Arial" w:hAnsi="Arial" w:cs="Arial"/>
          <w:b/>
          <w:bCs/>
          <w:sz w:val="20"/>
          <w:u w:val="none"/>
        </w:rPr>
        <w:t xml:space="preserve">time to pay order or </w:t>
      </w:r>
      <w:r w:rsidR="0039213D">
        <w:rPr>
          <w:rStyle w:val="Hyperlink"/>
          <w:rFonts w:ascii="Arial" w:hAnsi="Arial" w:cs="Arial"/>
          <w:b/>
          <w:bCs/>
          <w:sz w:val="20"/>
          <w:u w:val="none"/>
        </w:rPr>
        <w:t xml:space="preserve">for </w:t>
      </w:r>
      <w:r w:rsidR="00C96D1B">
        <w:rPr>
          <w:rStyle w:val="Hyperlink"/>
          <w:rFonts w:ascii="Arial" w:hAnsi="Arial" w:cs="Arial"/>
          <w:b/>
          <w:bCs/>
          <w:sz w:val="20"/>
          <w:u w:val="none"/>
        </w:rPr>
        <w:t>default in payment</w:t>
      </w:r>
    </w:p>
    <w:p w14:paraId="1A87A712" w14:textId="35AB6A18" w:rsidR="00B15A73" w:rsidRPr="001E55CE" w:rsidRDefault="00C96D1B" w:rsidP="00D50B5E">
      <w:pPr>
        <w:pBdr>
          <w:top w:val="single" w:sz="4" w:space="1" w:color="auto"/>
          <w:left w:val="single" w:sz="4" w:space="4" w:color="auto"/>
          <w:bottom w:val="single" w:sz="4" w:space="1" w:color="auto"/>
          <w:right w:val="single" w:sz="4" w:space="4" w:color="auto"/>
        </w:pBdr>
        <w:spacing w:before="20"/>
        <w:rPr>
          <w:rStyle w:val="Hyperlink"/>
          <w:rFonts w:ascii="Arial" w:hAnsi="Arial" w:cs="Arial"/>
          <w:b/>
          <w:bCs/>
          <w:u w:val="none"/>
        </w:rPr>
      </w:pPr>
      <w:r w:rsidRPr="00FF1606">
        <w:rPr>
          <w:rFonts w:ascii="Arial" w:hAnsi="Arial" w:cs="Arial"/>
          <w:b/>
          <w:bCs/>
          <w:sz w:val="20"/>
        </w:rPr>
        <w:fldChar w:fldCharType="end"/>
      </w:r>
      <w:r w:rsidR="001E55CE" w:rsidRPr="001E55CE">
        <w:rPr>
          <w:rFonts w:ascii="Arial" w:hAnsi="Arial" w:cs="Arial"/>
          <w:b/>
          <w:bCs/>
          <w:color w:val="000000"/>
        </w:rPr>
        <w:fldChar w:fldCharType="begin"/>
      </w:r>
      <w:r w:rsidR="001E55CE">
        <w:rPr>
          <w:rFonts w:ascii="Arial" w:hAnsi="Arial" w:cs="Arial"/>
          <w:b/>
          <w:bCs/>
          <w:color w:val="000000"/>
        </w:rPr>
        <w:instrText>HYPERLINK  \l "_7.2_General_powers"</w:instrText>
      </w:r>
      <w:r w:rsidR="001E55CE" w:rsidRPr="001E55CE">
        <w:rPr>
          <w:rFonts w:ascii="Arial" w:hAnsi="Arial" w:cs="Arial"/>
          <w:b/>
          <w:bCs/>
          <w:color w:val="000000"/>
        </w:rPr>
      </w:r>
      <w:r w:rsidR="001E55CE" w:rsidRPr="001E55CE">
        <w:rPr>
          <w:rFonts w:ascii="Arial" w:hAnsi="Arial" w:cs="Arial"/>
          <w:b/>
          <w:bCs/>
          <w:color w:val="000000"/>
        </w:rPr>
        <w:fldChar w:fldCharType="separate"/>
      </w:r>
      <w:r w:rsidR="00B15A73" w:rsidRPr="001E55CE">
        <w:rPr>
          <w:rStyle w:val="Hyperlink"/>
          <w:rFonts w:ascii="Arial" w:hAnsi="Arial" w:cs="Arial"/>
          <w:b/>
          <w:bCs/>
          <w:u w:val="none"/>
        </w:rPr>
        <w:t>7.2</w:t>
      </w:r>
      <w:r w:rsidR="00B15A73" w:rsidRPr="001E55CE">
        <w:rPr>
          <w:rStyle w:val="Hyperlink"/>
          <w:rFonts w:ascii="Arial" w:hAnsi="Arial" w:cs="Arial"/>
          <w:b/>
          <w:bCs/>
          <w:u w:val="none"/>
        </w:rPr>
        <w:tab/>
      </w:r>
      <w:r w:rsidR="00CC378C" w:rsidRPr="001E55CE">
        <w:rPr>
          <w:rStyle w:val="Hyperlink"/>
          <w:rFonts w:ascii="Arial" w:hAnsi="Arial" w:cs="Arial"/>
          <w:b/>
          <w:bCs/>
          <w:u w:val="none"/>
        </w:rPr>
        <w:t>General p</w:t>
      </w:r>
      <w:r w:rsidR="00B15A73" w:rsidRPr="001E55CE">
        <w:rPr>
          <w:rStyle w:val="Hyperlink"/>
          <w:rFonts w:ascii="Arial" w:hAnsi="Arial" w:cs="Arial"/>
          <w:b/>
          <w:bCs/>
          <w:u w:val="none"/>
        </w:rPr>
        <w:t>owers of arrest</w:t>
      </w:r>
    </w:p>
    <w:p w14:paraId="61212EAF" w14:textId="348F88DD" w:rsidR="00B15A73" w:rsidRPr="0027357D" w:rsidRDefault="001E55CE" w:rsidP="00D50B5E">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r w:rsidRPr="001E55CE">
        <w:rPr>
          <w:rFonts w:ascii="Arial" w:hAnsi="Arial" w:cs="Arial"/>
          <w:b/>
          <w:bCs/>
          <w:color w:val="000000"/>
        </w:rPr>
        <w:fldChar w:fldCharType="end"/>
      </w:r>
      <w:hyperlink w:anchor="_7.3_Victoria_Police" w:history="1">
        <w:r w:rsidR="00B15A73" w:rsidRPr="0027357D">
          <w:rPr>
            <w:rStyle w:val="Hyperlink"/>
            <w:rFonts w:ascii="Arial" w:hAnsi="Arial" w:cs="Arial"/>
            <w:b/>
            <w:bCs/>
            <w:u w:val="none"/>
          </w:rPr>
          <w:t>7.3</w:t>
        </w:r>
        <w:r w:rsidR="00B15A73" w:rsidRPr="0027357D">
          <w:rPr>
            <w:rStyle w:val="Hyperlink"/>
            <w:rFonts w:ascii="Arial" w:hAnsi="Arial" w:cs="Arial"/>
            <w:b/>
            <w:bCs/>
            <w:u w:val="none"/>
          </w:rPr>
          <w:tab/>
          <w:t xml:space="preserve">Powers to </w:t>
        </w:r>
        <w:r w:rsidR="00E11AC8">
          <w:rPr>
            <w:rStyle w:val="Hyperlink"/>
            <w:rFonts w:ascii="Arial" w:hAnsi="Arial" w:cs="Arial"/>
            <w:b/>
            <w:bCs/>
            <w:u w:val="none"/>
          </w:rPr>
          <w:t xml:space="preserve">conduct personal </w:t>
        </w:r>
        <w:r w:rsidR="00B15A73" w:rsidRPr="0027357D">
          <w:rPr>
            <w:rStyle w:val="Hyperlink"/>
            <w:rFonts w:ascii="Arial" w:hAnsi="Arial" w:cs="Arial"/>
            <w:b/>
            <w:bCs/>
            <w:u w:val="none"/>
          </w:rPr>
          <w:t>search</w:t>
        </w:r>
        <w:r w:rsidR="00E11AC8">
          <w:rPr>
            <w:rStyle w:val="Hyperlink"/>
            <w:rFonts w:ascii="Arial" w:hAnsi="Arial" w:cs="Arial"/>
            <w:b/>
            <w:bCs/>
            <w:u w:val="none"/>
          </w:rPr>
          <w:t>es of</w:t>
        </w:r>
        <w:r w:rsidR="00B15A73" w:rsidRPr="0027357D">
          <w:rPr>
            <w:rStyle w:val="Hyperlink"/>
            <w:rFonts w:ascii="Arial" w:hAnsi="Arial" w:cs="Arial"/>
            <w:b/>
            <w:bCs/>
            <w:u w:val="none"/>
          </w:rPr>
          <w:t xml:space="preserve"> children &amp; adults</w:t>
        </w:r>
      </w:hyperlink>
    </w:p>
    <w:p w14:paraId="5108E4E9" w14:textId="18EA30E9" w:rsidR="007A4FE2" w:rsidRPr="000A596D" w:rsidRDefault="007A4FE2" w:rsidP="00D50B5E">
      <w:pPr>
        <w:pBdr>
          <w:top w:val="single" w:sz="4" w:space="1" w:color="auto"/>
          <w:left w:val="single" w:sz="4" w:space="4" w:color="auto"/>
          <w:bottom w:val="single" w:sz="4" w:space="1" w:color="auto"/>
          <w:right w:val="single" w:sz="4" w:space="4" w:color="auto"/>
        </w:pBdr>
        <w:spacing w:before="20"/>
        <w:ind w:firstLine="680"/>
        <w:rPr>
          <w:rFonts w:ascii="Arial" w:hAnsi="Arial" w:cs="Arial"/>
          <w:b/>
          <w:bCs/>
          <w:color w:val="000000"/>
          <w:sz w:val="20"/>
        </w:rPr>
      </w:pPr>
      <w:hyperlink w:anchor="_7.3.1_Personal_searches" w:history="1">
        <w:r w:rsidRPr="000A596D">
          <w:rPr>
            <w:rStyle w:val="Hyperlink"/>
            <w:rFonts w:ascii="Arial" w:hAnsi="Arial" w:cs="Arial"/>
            <w:b/>
            <w:bCs/>
            <w:sz w:val="20"/>
            <w:u w:val="none"/>
          </w:rPr>
          <w:t>7.3.1</w:t>
        </w:r>
        <w:r w:rsidRPr="000A596D">
          <w:rPr>
            <w:rStyle w:val="Hyperlink"/>
            <w:rFonts w:ascii="Arial" w:hAnsi="Arial" w:cs="Arial"/>
            <w:b/>
            <w:bCs/>
            <w:sz w:val="20"/>
            <w:u w:val="none"/>
          </w:rPr>
          <w:tab/>
          <w:t>P</w:t>
        </w:r>
        <w:r w:rsidR="00E11AC8">
          <w:rPr>
            <w:rStyle w:val="Hyperlink"/>
            <w:rFonts w:ascii="Arial" w:hAnsi="Arial" w:cs="Arial"/>
            <w:b/>
            <w:bCs/>
            <w:sz w:val="20"/>
            <w:u w:val="none"/>
          </w:rPr>
          <w:t>olice power</w:t>
        </w:r>
        <w:r w:rsidR="002C1FAF">
          <w:rPr>
            <w:rStyle w:val="Hyperlink"/>
            <w:rFonts w:ascii="Arial" w:hAnsi="Arial" w:cs="Arial"/>
            <w:b/>
            <w:bCs/>
            <w:sz w:val="20"/>
            <w:u w:val="none"/>
          </w:rPr>
          <w:t>s</w:t>
        </w:r>
        <w:r w:rsidR="00E11AC8">
          <w:rPr>
            <w:rStyle w:val="Hyperlink"/>
            <w:rFonts w:ascii="Arial" w:hAnsi="Arial" w:cs="Arial"/>
            <w:b/>
            <w:bCs/>
            <w:sz w:val="20"/>
            <w:u w:val="none"/>
          </w:rPr>
          <w:t xml:space="preserve"> to conduct p</w:t>
        </w:r>
        <w:r w:rsidRPr="000A596D">
          <w:rPr>
            <w:rStyle w:val="Hyperlink"/>
            <w:rFonts w:ascii="Arial" w:hAnsi="Arial" w:cs="Arial"/>
            <w:b/>
            <w:bCs/>
            <w:sz w:val="20"/>
            <w:u w:val="none"/>
          </w:rPr>
          <w:t>ersonal searches of adults and children generally</w:t>
        </w:r>
      </w:hyperlink>
    </w:p>
    <w:p w14:paraId="5D42A9B7" w14:textId="77777777" w:rsidR="00AC2967" w:rsidRPr="000A596D" w:rsidRDefault="00AC2967" w:rsidP="0077202C">
      <w:pPr>
        <w:pBdr>
          <w:top w:val="single" w:sz="4" w:space="1" w:color="auto"/>
          <w:left w:val="single" w:sz="4" w:space="4" w:color="auto"/>
          <w:bottom w:val="single" w:sz="4" w:space="1" w:color="auto"/>
          <w:right w:val="single" w:sz="4" w:space="4" w:color="auto"/>
        </w:pBdr>
        <w:ind w:firstLine="680"/>
        <w:rPr>
          <w:rFonts w:ascii="Arial" w:hAnsi="Arial" w:cs="Arial"/>
          <w:b/>
          <w:bCs/>
          <w:color w:val="000000"/>
          <w:sz w:val="20"/>
        </w:rPr>
      </w:pPr>
      <w:hyperlink w:anchor="_7.3.2_Legal_analysis" w:history="1">
        <w:r w:rsidRPr="000A596D">
          <w:rPr>
            <w:rStyle w:val="Hyperlink"/>
            <w:rFonts w:ascii="Arial" w:hAnsi="Arial" w:cs="Arial"/>
            <w:b/>
            <w:bCs/>
            <w:sz w:val="20"/>
            <w:u w:val="none"/>
          </w:rPr>
          <w:t>7.3.2</w:t>
        </w:r>
        <w:r w:rsidRPr="000A596D">
          <w:rPr>
            <w:rStyle w:val="Hyperlink"/>
            <w:rFonts w:ascii="Arial" w:hAnsi="Arial" w:cs="Arial"/>
            <w:b/>
            <w:bCs/>
            <w:sz w:val="20"/>
            <w:u w:val="none"/>
          </w:rPr>
          <w:tab/>
        </w:r>
        <w:r w:rsidR="000438D8" w:rsidRPr="000A596D">
          <w:rPr>
            <w:rStyle w:val="Hyperlink"/>
            <w:rFonts w:ascii="Arial" w:hAnsi="Arial" w:cs="Arial"/>
            <w:b/>
            <w:bCs/>
            <w:sz w:val="20"/>
            <w:u w:val="none"/>
          </w:rPr>
          <w:t>Legal analysis of police powers to search adults and children</w:t>
        </w:r>
      </w:hyperlink>
    </w:p>
    <w:p w14:paraId="6175C0F9" w14:textId="77777777" w:rsidR="00AC2967" w:rsidRPr="000A596D" w:rsidRDefault="00AC2967" w:rsidP="0077202C">
      <w:pPr>
        <w:pBdr>
          <w:top w:val="single" w:sz="4" w:space="1" w:color="auto"/>
          <w:left w:val="single" w:sz="4" w:space="4" w:color="auto"/>
          <w:bottom w:val="single" w:sz="4" w:space="1" w:color="auto"/>
          <w:right w:val="single" w:sz="4" w:space="4" w:color="auto"/>
        </w:pBdr>
        <w:ind w:firstLine="680"/>
        <w:rPr>
          <w:rFonts w:ascii="Arial" w:hAnsi="Arial" w:cs="Arial"/>
          <w:b/>
          <w:bCs/>
          <w:color w:val="000000"/>
          <w:sz w:val="20"/>
        </w:rPr>
      </w:pPr>
      <w:hyperlink w:anchor="_7.3.3_Three_types" w:history="1">
        <w:r w:rsidRPr="000A596D">
          <w:rPr>
            <w:rStyle w:val="Hyperlink"/>
            <w:rFonts w:ascii="Arial" w:hAnsi="Arial" w:cs="Arial"/>
            <w:b/>
            <w:bCs/>
            <w:sz w:val="20"/>
            <w:u w:val="none"/>
          </w:rPr>
          <w:t>7.3.3</w:t>
        </w:r>
        <w:r w:rsidRPr="000A596D">
          <w:rPr>
            <w:rStyle w:val="Hyperlink"/>
            <w:rFonts w:ascii="Arial" w:hAnsi="Arial" w:cs="Arial"/>
            <w:b/>
            <w:bCs/>
            <w:sz w:val="20"/>
            <w:u w:val="none"/>
          </w:rPr>
          <w:tab/>
        </w:r>
        <w:r w:rsidR="005C4B85" w:rsidRPr="000A596D">
          <w:rPr>
            <w:rStyle w:val="Hyperlink"/>
            <w:rFonts w:ascii="Arial" w:hAnsi="Arial" w:cs="Arial"/>
            <w:b/>
            <w:bCs/>
            <w:sz w:val="20"/>
            <w:u w:val="none"/>
          </w:rPr>
          <w:t>Three types of personal search described</w:t>
        </w:r>
      </w:hyperlink>
    </w:p>
    <w:p w14:paraId="7D78F515" w14:textId="1F8ECB8F" w:rsidR="00AC2967" w:rsidRPr="00E869E6" w:rsidRDefault="00AC2967" w:rsidP="0077202C">
      <w:pPr>
        <w:pBdr>
          <w:top w:val="single" w:sz="4" w:space="1" w:color="auto"/>
          <w:left w:val="single" w:sz="4" w:space="4" w:color="auto"/>
          <w:bottom w:val="single" w:sz="4" w:space="1" w:color="auto"/>
          <w:right w:val="single" w:sz="4" w:space="4" w:color="auto"/>
        </w:pBdr>
        <w:ind w:firstLine="680"/>
        <w:rPr>
          <w:rFonts w:ascii="Arial" w:hAnsi="Arial" w:cs="Arial"/>
          <w:b/>
          <w:bCs/>
          <w:color w:val="000000"/>
          <w:sz w:val="20"/>
        </w:rPr>
      </w:pPr>
      <w:hyperlink w:anchor="_7.3.4_Statutory_police" w:history="1">
        <w:r w:rsidRPr="00E869E6">
          <w:rPr>
            <w:rStyle w:val="Hyperlink"/>
            <w:rFonts w:ascii="Arial" w:hAnsi="Arial" w:cs="Arial"/>
            <w:b/>
            <w:bCs/>
            <w:sz w:val="20"/>
            <w:u w:val="none"/>
          </w:rPr>
          <w:t>7.3.4</w:t>
        </w:r>
        <w:r w:rsidRPr="00E869E6">
          <w:rPr>
            <w:rStyle w:val="Hyperlink"/>
            <w:rFonts w:ascii="Arial" w:hAnsi="Arial" w:cs="Arial"/>
            <w:b/>
            <w:bCs/>
            <w:sz w:val="20"/>
            <w:u w:val="none"/>
          </w:rPr>
          <w:tab/>
        </w:r>
        <w:r w:rsidR="005C4B85" w:rsidRPr="00E869E6">
          <w:rPr>
            <w:rStyle w:val="Hyperlink"/>
            <w:rFonts w:ascii="Arial" w:hAnsi="Arial" w:cs="Arial"/>
            <w:b/>
            <w:bCs/>
            <w:sz w:val="20"/>
            <w:u w:val="none"/>
          </w:rPr>
          <w:t xml:space="preserve">Statutory police powers to search a child whether or not </w:t>
        </w:r>
        <w:r w:rsidR="00FB4487">
          <w:rPr>
            <w:rStyle w:val="Hyperlink"/>
            <w:rFonts w:ascii="Arial" w:hAnsi="Arial" w:cs="Arial"/>
            <w:b/>
            <w:bCs/>
            <w:sz w:val="20"/>
            <w:u w:val="none"/>
          </w:rPr>
          <w:t xml:space="preserve">the child is </w:t>
        </w:r>
        <w:r w:rsidR="005C4B85" w:rsidRPr="00E869E6">
          <w:rPr>
            <w:rStyle w:val="Hyperlink"/>
            <w:rFonts w:ascii="Arial" w:hAnsi="Arial" w:cs="Arial"/>
            <w:b/>
            <w:bCs/>
            <w:sz w:val="20"/>
            <w:u w:val="none"/>
          </w:rPr>
          <w:t>under arrest</w:t>
        </w:r>
      </w:hyperlink>
    </w:p>
    <w:p w14:paraId="245F24A9" w14:textId="6B6326EC" w:rsidR="00351B52" w:rsidRPr="00E869E6" w:rsidRDefault="00351B52" w:rsidP="0077202C">
      <w:pPr>
        <w:pBdr>
          <w:top w:val="single" w:sz="4" w:space="1" w:color="auto"/>
          <w:left w:val="single" w:sz="4" w:space="4" w:color="auto"/>
          <w:bottom w:val="single" w:sz="4" w:space="1" w:color="auto"/>
          <w:right w:val="single" w:sz="4" w:space="4" w:color="auto"/>
        </w:pBdr>
        <w:ind w:firstLine="680"/>
        <w:rPr>
          <w:rFonts w:ascii="Arial" w:hAnsi="Arial" w:cs="Arial"/>
          <w:b/>
          <w:bCs/>
          <w:color w:val="000000"/>
          <w:sz w:val="20"/>
        </w:rPr>
      </w:pPr>
      <w:hyperlink w:anchor="_7.3.5_Personal_searches" w:history="1">
        <w:r w:rsidRPr="00E869E6">
          <w:rPr>
            <w:rStyle w:val="Hyperlink"/>
            <w:rFonts w:ascii="Arial" w:hAnsi="Arial" w:cs="Arial"/>
            <w:b/>
            <w:bCs/>
            <w:sz w:val="20"/>
            <w:u w:val="none"/>
          </w:rPr>
          <w:t>7.3.5</w:t>
        </w:r>
        <w:r w:rsidRPr="00E869E6">
          <w:rPr>
            <w:rStyle w:val="Hyperlink"/>
            <w:rFonts w:ascii="Arial" w:hAnsi="Arial" w:cs="Arial"/>
            <w:b/>
            <w:bCs/>
            <w:sz w:val="20"/>
            <w:u w:val="none"/>
          </w:rPr>
          <w:tab/>
          <w:t>P</w:t>
        </w:r>
        <w:r w:rsidR="00E11AC8">
          <w:rPr>
            <w:rStyle w:val="Hyperlink"/>
            <w:rFonts w:ascii="Arial" w:hAnsi="Arial" w:cs="Arial"/>
            <w:b/>
            <w:bCs/>
            <w:sz w:val="20"/>
            <w:u w:val="none"/>
          </w:rPr>
          <w:t>olice power</w:t>
        </w:r>
        <w:r w:rsidR="002C1FAF">
          <w:rPr>
            <w:rStyle w:val="Hyperlink"/>
            <w:rFonts w:ascii="Arial" w:hAnsi="Arial" w:cs="Arial"/>
            <w:b/>
            <w:bCs/>
            <w:sz w:val="20"/>
            <w:u w:val="none"/>
          </w:rPr>
          <w:t>s</w:t>
        </w:r>
        <w:r w:rsidR="00E11AC8">
          <w:rPr>
            <w:rStyle w:val="Hyperlink"/>
            <w:rFonts w:ascii="Arial" w:hAnsi="Arial" w:cs="Arial"/>
            <w:b/>
            <w:bCs/>
            <w:sz w:val="20"/>
            <w:u w:val="none"/>
          </w:rPr>
          <w:t xml:space="preserve"> to conduct p</w:t>
        </w:r>
        <w:r w:rsidRPr="00E869E6">
          <w:rPr>
            <w:rStyle w:val="Hyperlink"/>
            <w:rFonts w:ascii="Arial" w:hAnsi="Arial" w:cs="Arial"/>
            <w:b/>
            <w:bCs/>
            <w:sz w:val="20"/>
            <w:u w:val="none"/>
          </w:rPr>
          <w:t>ersonal searches of persons under arrest</w:t>
        </w:r>
      </w:hyperlink>
    </w:p>
    <w:p w14:paraId="710E2EF3" w14:textId="47AA5401" w:rsidR="00351B52" w:rsidRPr="00E869E6" w:rsidRDefault="00351B52" w:rsidP="0077202C">
      <w:pPr>
        <w:pBdr>
          <w:top w:val="single" w:sz="4" w:space="1" w:color="auto"/>
          <w:left w:val="single" w:sz="4" w:space="4" w:color="auto"/>
          <w:bottom w:val="single" w:sz="4" w:space="1" w:color="auto"/>
          <w:right w:val="single" w:sz="4" w:space="4" w:color="auto"/>
        </w:pBdr>
        <w:ind w:firstLine="680"/>
        <w:rPr>
          <w:rFonts w:ascii="Arial" w:hAnsi="Arial" w:cs="Arial"/>
          <w:b/>
          <w:bCs/>
          <w:color w:val="000000"/>
          <w:sz w:val="20"/>
        </w:rPr>
      </w:pPr>
      <w:hyperlink w:anchor="_7.3.6_Personal_searches" w:history="1">
        <w:r w:rsidRPr="00E869E6">
          <w:rPr>
            <w:rStyle w:val="Hyperlink"/>
            <w:rFonts w:ascii="Arial" w:hAnsi="Arial" w:cs="Arial"/>
            <w:b/>
            <w:bCs/>
            <w:sz w:val="20"/>
            <w:u w:val="none"/>
          </w:rPr>
          <w:t>7.3.6</w:t>
        </w:r>
        <w:r w:rsidRPr="00E869E6">
          <w:rPr>
            <w:rStyle w:val="Hyperlink"/>
            <w:rFonts w:ascii="Arial" w:hAnsi="Arial" w:cs="Arial"/>
            <w:b/>
            <w:bCs/>
            <w:sz w:val="20"/>
            <w:u w:val="none"/>
          </w:rPr>
          <w:tab/>
        </w:r>
        <w:r w:rsidR="009661BA">
          <w:rPr>
            <w:rStyle w:val="Hyperlink"/>
            <w:rFonts w:ascii="Arial" w:hAnsi="Arial" w:cs="Arial"/>
            <w:b/>
            <w:bCs/>
            <w:sz w:val="20"/>
            <w:u w:val="none"/>
          </w:rPr>
          <w:t>Rights &amp; responsibilit</w:t>
        </w:r>
        <w:r w:rsidR="00CC0343">
          <w:rPr>
            <w:rStyle w:val="Hyperlink"/>
            <w:rFonts w:ascii="Arial" w:hAnsi="Arial" w:cs="Arial"/>
            <w:b/>
            <w:bCs/>
            <w:sz w:val="20"/>
            <w:u w:val="none"/>
          </w:rPr>
          <w:t>i</w:t>
        </w:r>
        <w:r w:rsidR="009661BA">
          <w:rPr>
            <w:rStyle w:val="Hyperlink"/>
            <w:rFonts w:ascii="Arial" w:hAnsi="Arial" w:cs="Arial"/>
            <w:b/>
            <w:bCs/>
            <w:sz w:val="20"/>
            <w:u w:val="none"/>
          </w:rPr>
          <w:t xml:space="preserve">es of </w:t>
        </w:r>
        <w:r w:rsidRPr="00E869E6">
          <w:rPr>
            <w:rStyle w:val="Hyperlink"/>
            <w:rFonts w:ascii="Arial" w:hAnsi="Arial" w:cs="Arial"/>
            <w:b/>
            <w:bCs/>
            <w:sz w:val="20"/>
            <w:u w:val="none"/>
          </w:rPr>
          <w:t>children in custod</w:t>
        </w:r>
        <w:r w:rsidR="005E3E6B">
          <w:rPr>
            <w:rStyle w:val="Hyperlink"/>
            <w:rFonts w:ascii="Arial" w:hAnsi="Arial" w:cs="Arial"/>
            <w:b/>
            <w:bCs/>
            <w:sz w:val="20"/>
            <w:u w:val="none"/>
          </w:rPr>
          <w:t>y or in transit to custody</w:t>
        </w:r>
      </w:hyperlink>
    </w:p>
    <w:p w14:paraId="0D87551F" w14:textId="133E8A29" w:rsidR="009661BA" w:rsidRPr="00E869E6" w:rsidRDefault="009661BA" w:rsidP="009661BA">
      <w:pPr>
        <w:pBdr>
          <w:top w:val="single" w:sz="4" w:space="1" w:color="auto"/>
          <w:left w:val="single" w:sz="4" w:space="4" w:color="auto"/>
          <w:bottom w:val="single" w:sz="4" w:space="1" w:color="auto"/>
          <w:right w:val="single" w:sz="4" w:space="4" w:color="auto"/>
        </w:pBdr>
        <w:ind w:firstLine="680"/>
        <w:rPr>
          <w:rFonts w:ascii="Arial" w:hAnsi="Arial" w:cs="Arial"/>
          <w:b/>
          <w:bCs/>
          <w:color w:val="000000"/>
          <w:sz w:val="20"/>
        </w:rPr>
      </w:pPr>
      <w:hyperlink w:anchor="_7.3.7_Treatment_of" w:history="1">
        <w:r w:rsidRPr="00E869E6">
          <w:rPr>
            <w:rStyle w:val="Hyperlink"/>
            <w:rFonts w:ascii="Arial" w:hAnsi="Arial" w:cs="Arial"/>
            <w:b/>
            <w:bCs/>
            <w:sz w:val="20"/>
            <w:u w:val="none"/>
          </w:rPr>
          <w:t>7.3.</w:t>
        </w:r>
        <w:r>
          <w:rPr>
            <w:rStyle w:val="Hyperlink"/>
            <w:rFonts w:ascii="Arial" w:hAnsi="Arial" w:cs="Arial"/>
            <w:b/>
            <w:bCs/>
            <w:sz w:val="20"/>
            <w:u w:val="none"/>
          </w:rPr>
          <w:t>7</w:t>
        </w:r>
        <w:r w:rsidRPr="00E869E6">
          <w:rPr>
            <w:rStyle w:val="Hyperlink"/>
            <w:rFonts w:ascii="Arial" w:hAnsi="Arial" w:cs="Arial"/>
            <w:b/>
            <w:bCs/>
            <w:sz w:val="20"/>
            <w:u w:val="none"/>
          </w:rPr>
          <w:tab/>
        </w:r>
        <w:r w:rsidR="00883872">
          <w:rPr>
            <w:rStyle w:val="Hyperlink"/>
            <w:rFonts w:ascii="Arial" w:hAnsi="Arial" w:cs="Arial"/>
            <w:b/>
            <w:bCs/>
            <w:sz w:val="20"/>
            <w:u w:val="none"/>
          </w:rPr>
          <w:t>Treatment</w:t>
        </w:r>
        <w:r w:rsidRPr="00E869E6">
          <w:rPr>
            <w:rStyle w:val="Hyperlink"/>
            <w:rFonts w:ascii="Arial" w:hAnsi="Arial" w:cs="Arial"/>
            <w:b/>
            <w:bCs/>
            <w:sz w:val="20"/>
            <w:u w:val="none"/>
          </w:rPr>
          <w:t xml:space="preserve"> o</w:t>
        </w:r>
        <w:r w:rsidRPr="00E869E6">
          <w:rPr>
            <w:rStyle w:val="Hyperlink"/>
            <w:rFonts w:ascii="Arial" w:hAnsi="Arial" w:cs="Arial"/>
            <w:b/>
            <w:bCs/>
            <w:sz w:val="20"/>
            <w:u w:val="none"/>
          </w:rPr>
          <w:t>f</w:t>
        </w:r>
        <w:r w:rsidRPr="00E869E6">
          <w:rPr>
            <w:rStyle w:val="Hyperlink"/>
            <w:rFonts w:ascii="Arial" w:hAnsi="Arial" w:cs="Arial"/>
            <w:b/>
            <w:bCs/>
            <w:sz w:val="20"/>
            <w:u w:val="none"/>
          </w:rPr>
          <w:t xml:space="preserve"> children in custod</w:t>
        </w:r>
        <w:r>
          <w:rPr>
            <w:rStyle w:val="Hyperlink"/>
            <w:rFonts w:ascii="Arial" w:hAnsi="Arial" w:cs="Arial"/>
            <w:b/>
            <w:bCs/>
            <w:sz w:val="20"/>
            <w:u w:val="none"/>
          </w:rPr>
          <w:t>y or in transit to custody</w:t>
        </w:r>
      </w:hyperlink>
    </w:p>
    <w:p w14:paraId="482C0C06" w14:textId="1F6E0AF3" w:rsidR="00B22584" w:rsidRPr="00680768" w:rsidRDefault="00AE3A42" w:rsidP="00D50B5E">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hyperlink w:anchor="_7.4_&quot;Police_Cautioning" w:history="1">
        <w:r w:rsidRPr="00680768">
          <w:rPr>
            <w:rStyle w:val="Hyperlink"/>
            <w:rFonts w:ascii="Arial" w:hAnsi="Arial" w:cs="Arial"/>
            <w:b/>
            <w:bCs/>
            <w:u w:val="none"/>
          </w:rPr>
          <w:t>7.</w:t>
        </w:r>
        <w:r w:rsidR="009B4239" w:rsidRPr="00680768">
          <w:rPr>
            <w:rStyle w:val="Hyperlink"/>
            <w:rFonts w:ascii="Arial" w:hAnsi="Arial" w:cs="Arial"/>
            <w:b/>
            <w:bCs/>
            <w:u w:val="none"/>
          </w:rPr>
          <w:t>4</w:t>
        </w:r>
        <w:r w:rsidR="00B22584" w:rsidRPr="00680768">
          <w:rPr>
            <w:rStyle w:val="Hyperlink"/>
            <w:rFonts w:ascii="Arial" w:hAnsi="Arial" w:cs="Arial"/>
            <w:b/>
            <w:bCs/>
            <w:u w:val="none"/>
          </w:rPr>
          <w:tab/>
          <w:t xml:space="preserve">Police </w:t>
        </w:r>
        <w:r w:rsidR="00DC27CE">
          <w:rPr>
            <w:rStyle w:val="Hyperlink"/>
            <w:rFonts w:ascii="Arial" w:hAnsi="Arial" w:cs="Arial"/>
            <w:b/>
            <w:bCs/>
            <w:u w:val="none"/>
          </w:rPr>
          <w:t>Diversion</w:t>
        </w:r>
        <w:r w:rsidR="00B22584" w:rsidRPr="00680768">
          <w:rPr>
            <w:rStyle w:val="Hyperlink"/>
            <w:rFonts w:ascii="Arial" w:hAnsi="Arial" w:cs="Arial"/>
            <w:b/>
            <w:bCs/>
            <w:u w:val="none"/>
          </w:rPr>
          <w:t xml:space="preserve"> </w:t>
        </w:r>
        <w:r w:rsidR="00DC27CE">
          <w:rPr>
            <w:rStyle w:val="Hyperlink"/>
            <w:rFonts w:ascii="Arial" w:hAnsi="Arial" w:cs="Arial"/>
            <w:b/>
            <w:bCs/>
            <w:u w:val="none"/>
          </w:rPr>
          <w:t>of children</w:t>
        </w:r>
        <w:r w:rsidR="00B22584" w:rsidRPr="00680768">
          <w:rPr>
            <w:rStyle w:val="Hyperlink"/>
            <w:rFonts w:ascii="Arial" w:hAnsi="Arial" w:cs="Arial"/>
            <w:b/>
            <w:bCs/>
            <w:u w:val="none"/>
          </w:rPr>
          <w:t xml:space="preserve"> from </w:t>
        </w:r>
        <w:r w:rsidR="00DC27CE">
          <w:rPr>
            <w:rStyle w:val="Hyperlink"/>
            <w:rFonts w:ascii="Arial" w:hAnsi="Arial" w:cs="Arial"/>
            <w:b/>
            <w:bCs/>
            <w:u w:val="none"/>
          </w:rPr>
          <w:t>the justice system</w:t>
        </w:r>
      </w:hyperlink>
    </w:p>
    <w:p w14:paraId="5CD623CF" w14:textId="24C86012" w:rsidR="00B22584" w:rsidRPr="00DE7FEC" w:rsidRDefault="00DE7FEC" w:rsidP="00D50B5E">
      <w:pPr>
        <w:pBdr>
          <w:top w:val="single" w:sz="4" w:space="1" w:color="auto"/>
          <w:left w:val="single" w:sz="4" w:space="4" w:color="auto"/>
          <w:bottom w:val="single" w:sz="4" w:space="1" w:color="auto"/>
          <w:right w:val="single" w:sz="4" w:space="4" w:color="auto"/>
        </w:pBdr>
        <w:spacing w:before="20"/>
        <w:rPr>
          <w:rStyle w:val="Hyperlink"/>
          <w:rFonts w:ascii="Arial" w:hAnsi="Arial" w:cs="Arial"/>
          <w:b/>
          <w:bCs/>
          <w:u w:val="none"/>
        </w:rPr>
      </w:pPr>
      <w:r w:rsidRPr="00DE7FEC">
        <w:rPr>
          <w:rFonts w:ascii="Arial" w:hAnsi="Arial" w:cs="Arial"/>
          <w:b/>
          <w:bCs/>
        </w:rPr>
        <w:fldChar w:fldCharType="begin"/>
      </w:r>
      <w:r w:rsidRPr="00DE7FEC">
        <w:rPr>
          <w:rFonts w:ascii="Arial" w:hAnsi="Arial" w:cs="Arial"/>
          <w:b/>
          <w:bCs/>
        </w:rPr>
        <w:instrText xml:space="preserve"> HYPERLINK  \l "_7.5_Commencement_of" </w:instrText>
      </w:r>
      <w:r w:rsidRPr="00DE7FEC">
        <w:rPr>
          <w:rFonts w:ascii="Arial" w:hAnsi="Arial" w:cs="Arial"/>
          <w:b/>
          <w:bCs/>
        </w:rPr>
      </w:r>
      <w:r w:rsidRPr="00DE7FEC">
        <w:rPr>
          <w:rFonts w:ascii="Arial" w:hAnsi="Arial" w:cs="Arial"/>
          <w:b/>
          <w:bCs/>
        </w:rPr>
        <w:fldChar w:fldCharType="separate"/>
      </w:r>
      <w:r w:rsidR="00AE3A42" w:rsidRPr="00DE7FEC">
        <w:rPr>
          <w:rStyle w:val="Hyperlink"/>
          <w:rFonts w:ascii="Arial" w:hAnsi="Arial" w:cs="Arial"/>
          <w:b/>
          <w:bCs/>
          <w:u w:val="none"/>
        </w:rPr>
        <w:t>7.</w:t>
      </w:r>
      <w:r w:rsidR="009B4239" w:rsidRPr="00DE7FEC">
        <w:rPr>
          <w:rStyle w:val="Hyperlink"/>
          <w:rFonts w:ascii="Arial" w:hAnsi="Arial" w:cs="Arial"/>
          <w:b/>
          <w:bCs/>
          <w:u w:val="none"/>
        </w:rPr>
        <w:t>5</w:t>
      </w:r>
      <w:r w:rsidR="00B22584" w:rsidRPr="00DE7FEC">
        <w:rPr>
          <w:rStyle w:val="Hyperlink"/>
          <w:rFonts w:ascii="Arial" w:hAnsi="Arial" w:cs="Arial"/>
          <w:b/>
          <w:bCs/>
          <w:u w:val="none"/>
        </w:rPr>
        <w:tab/>
        <w:t xml:space="preserve">Commencement of </w:t>
      </w:r>
      <w:r w:rsidR="00AE3A42" w:rsidRPr="00DE7FEC">
        <w:rPr>
          <w:rStyle w:val="Hyperlink"/>
          <w:rFonts w:ascii="Arial" w:hAnsi="Arial" w:cs="Arial"/>
          <w:b/>
          <w:bCs/>
          <w:u w:val="none"/>
        </w:rPr>
        <w:t xml:space="preserve">ordinary </w:t>
      </w:r>
      <w:r w:rsidR="00B22584" w:rsidRPr="00DE7FEC">
        <w:rPr>
          <w:rStyle w:val="Hyperlink"/>
          <w:rFonts w:ascii="Arial" w:hAnsi="Arial" w:cs="Arial"/>
          <w:b/>
          <w:bCs/>
          <w:u w:val="none"/>
        </w:rPr>
        <w:t xml:space="preserve">process </w:t>
      </w:r>
      <w:r w:rsidR="00ED1B21" w:rsidRPr="00DE7FEC">
        <w:rPr>
          <w:rStyle w:val="Hyperlink"/>
          <w:rFonts w:ascii="Arial" w:hAnsi="Arial" w:cs="Arial"/>
          <w:b/>
          <w:bCs/>
          <w:u w:val="none"/>
        </w:rPr>
        <w:t>–</w:t>
      </w:r>
      <w:r w:rsidR="00B22584" w:rsidRPr="00DE7FEC">
        <w:rPr>
          <w:rStyle w:val="Hyperlink"/>
          <w:rFonts w:ascii="Arial" w:hAnsi="Arial" w:cs="Arial"/>
          <w:b/>
          <w:bCs/>
          <w:u w:val="none"/>
        </w:rPr>
        <w:t xml:space="preserve"> </w:t>
      </w:r>
      <w:r w:rsidR="00A526AB" w:rsidRPr="00DE7FEC">
        <w:rPr>
          <w:rStyle w:val="Hyperlink"/>
          <w:rFonts w:ascii="Arial" w:hAnsi="Arial" w:cs="Arial"/>
          <w:b/>
          <w:bCs/>
          <w:u w:val="none"/>
        </w:rPr>
        <w:t>Securing</w:t>
      </w:r>
      <w:r w:rsidR="00ED1B21" w:rsidRPr="00DE7FEC">
        <w:rPr>
          <w:rStyle w:val="Hyperlink"/>
          <w:rFonts w:ascii="Arial" w:hAnsi="Arial" w:cs="Arial"/>
          <w:b/>
          <w:bCs/>
          <w:u w:val="none"/>
        </w:rPr>
        <w:t xml:space="preserve"> </w:t>
      </w:r>
      <w:r w:rsidR="00B22584" w:rsidRPr="00DE7FEC">
        <w:rPr>
          <w:rStyle w:val="Hyperlink"/>
          <w:rFonts w:ascii="Arial" w:hAnsi="Arial" w:cs="Arial"/>
          <w:b/>
          <w:bCs/>
          <w:u w:val="none"/>
        </w:rPr>
        <w:t>attendance of child</w:t>
      </w:r>
    </w:p>
    <w:p w14:paraId="1E28B00A" w14:textId="3E28ADCB" w:rsidR="00B22584" w:rsidRPr="00E869E6" w:rsidRDefault="00DE7FEC" w:rsidP="00D50B5E">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r w:rsidRPr="00DE7FEC">
        <w:rPr>
          <w:rFonts w:ascii="Arial" w:hAnsi="Arial" w:cs="Arial"/>
          <w:b/>
          <w:bCs/>
        </w:rPr>
        <w:fldChar w:fldCharType="end"/>
      </w:r>
      <w:hyperlink w:anchor="_7.5.1_Charge-sheet" w:history="1">
        <w:r w:rsidR="00B22584" w:rsidRPr="00E869E6">
          <w:rPr>
            <w:rStyle w:val="Hyperlink"/>
            <w:rFonts w:ascii="Arial" w:hAnsi="Arial" w:cs="Arial"/>
            <w:b/>
            <w:bCs/>
            <w:sz w:val="20"/>
            <w:u w:val="none"/>
          </w:rPr>
          <w:tab/>
          <w:t>7.</w:t>
        </w:r>
        <w:r w:rsidR="009B4239" w:rsidRPr="00E869E6">
          <w:rPr>
            <w:rStyle w:val="Hyperlink"/>
            <w:rFonts w:ascii="Arial" w:hAnsi="Arial" w:cs="Arial"/>
            <w:b/>
            <w:bCs/>
            <w:sz w:val="20"/>
            <w:u w:val="none"/>
          </w:rPr>
          <w:t>5</w:t>
        </w:r>
        <w:r w:rsidR="00B22584" w:rsidRPr="00E869E6">
          <w:rPr>
            <w:rStyle w:val="Hyperlink"/>
            <w:rFonts w:ascii="Arial" w:hAnsi="Arial" w:cs="Arial"/>
            <w:b/>
            <w:bCs/>
            <w:sz w:val="20"/>
            <w:u w:val="none"/>
          </w:rPr>
          <w:t>.1</w:t>
        </w:r>
        <w:r w:rsidR="00B22584" w:rsidRPr="00E869E6">
          <w:rPr>
            <w:rStyle w:val="Hyperlink"/>
            <w:rFonts w:ascii="Arial" w:hAnsi="Arial" w:cs="Arial"/>
            <w:b/>
            <w:bCs/>
            <w:sz w:val="20"/>
            <w:u w:val="none"/>
          </w:rPr>
          <w:tab/>
          <w:t>Charge</w:t>
        </w:r>
        <w:r w:rsidR="00344BB9" w:rsidRPr="00E869E6">
          <w:rPr>
            <w:rStyle w:val="Hyperlink"/>
            <w:rFonts w:ascii="Arial" w:hAnsi="Arial" w:cs="Arial"/>
            <w:b/>
            <w:bCs/>
            <w:sz w:val="20"/>
            <w:u w:val="none"/>
          </w:rPr>
          <w:t>-sheet</w:t>
        </w:r>
      </w:hyperlink>
    </w:p>
    <w:p w14:paraId="19F6426E" w14:textId="77777777" w:rsidR="00A864CC" w:rsidRPr="00E869E6" w:rsidRDefault="00A864CC">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5.2_Time_limits" w:history="1">
        <w:r w:rsidRPr="00E869E6">
          <w:rPr>
            <w:rStyle w:val="Hyperlink"/>
            <w:rFonts w:ascii="Arial" w:hAnsi="Arial" w:cs="Arial"/>
            <w:b/>
            <w:bCs/>
            <w:sz w:val="20"/>
            <w:u w:val="none"/>
          </w:rPr>
          <w:tab/>
          <w:t>7.5.2</w:t>
        </w:r>
        <w:r w:rsidRPr="00E869E6">
          <w:rPr>
            <w:rStyle w:val="Hyperlink"/>
            <w:rFonts w:ascii="Arial" w:hAnsi="Arial" w:cs="Arial"/>
            <w:b/>
            <w:bCs/>
            <w:sz w:val="20"/>
            <w:u w:val="none"/>
          </w:rPr>
          <w:tab/>
          <w:t>Time limits for filing a charge-sheet</w:t>
        </w:r>
      </w:hyperlink>
    </w:p>
    <w:p w14:paraId="175F44CA" w14:textId="77777777" w:rsidR="00B22584" w:rsidRPr="00E869E6" w:rsidRDefault="00AE3A42">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5.3_Notice_to" w:history="1">
        <w:r w:rsidRPr="00E869E6">
          <w:rPr>
            <w:rStyle w:val="Hyperlink"/>
            <w:rFonts w:ascii="Arial" w:hAnsi="Arial" w:cs="Arial"/>
            <w:b/>
            <w:bCs/>
            <w:sz w:val="20"/>
            <w:u w:val="none"/>
          </w:rPr>
          <w:tab/>
          <w:t>7.</w:t>
        </w:r>
        <w:r w:rsidR="009B4239" w:rsidRPr="00E869E6">
          <w:rPr>
            <w:rStyle w:val="Hyperlink"/>
            <w:rFonts w:ascii="Arial" w:hAnsi="Arial" w:cs="Arial"/>
            <w:b/>
            <w:bCs/>
            <w:sz w:val="20"/>
            <w:u w:val="none"/>
          </w:rPr>
          <w:t>5</w:t>
        </w:r>
        <w:r w:rsidR="00C51D7C" w:rsidRPr="00E869E6">
          <w:rPr>
            <w:rStyle w:val="Hyperlink"/>
            <w:rFonts w:ascii="Arial" w:hAnsi="Arial" w:cs="Arial"/>
            <w:b/>
            <w:bCs/>
            <w:sz w:val="20"/>
            <w:u w:val="none"/>
          </w:rPr>
          <w:t>.</w:t>
        </w:r>
        <w:r w:rsidR="00A864CC" w:rsidRPr="00E869E6">
          <w:rPr>
            <w:rStyle w:val="Hyperlink"/>
            <w:rFonts w:ascii="Arial" w:hAnsi="Arial" w:cs="Arial"/>
            <w:b/>
            <w:bCs/>
            <w:sz w:val="20"/>
            <w:u w:val="none"/>
          </w:rPr>
          <w:t>3</w:t>
        </w:r>
        <w:r w:rsidR="009B4239" w:rsidRPr="00E869E6">
          <w:rPr>
            <w:rStyle w:val="Hyperlink"/>
            <w:rFonts w:ascii="Arial" w:hAnsi="Arial" w:cs="Arial"/>
            <w:b/>
            <w:bCs/>
            <w:sz w:val="20"/>
            <w:u w:val="none"/>
          </w:rPr>
          <w:tab/>
          <w:t>Notice to Appear</w:t>
        </w:r>
      </w:hyperlink>
    </w:p>
    <w:p w14:paraId="3CDEB028" w14:textId="77777777" w:rsidR="00B22584" w:rsidRPr="00E869E6" w:rsidRDefault="00AE3A42">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5.4_Securing_attendance" w:history="1">
        <w:r w:rsidRPr="00E869E6">
          <w:rPr>
            <w:rStyle w:val="Hyperlink"/>
            <w:rFonts w:ascii="Arial" w:hAnsi="Arial" w:cs="Arial"/>
            <w:b/>
            <w:bCs/>
            <w:sz w:val="20"/>
            <w:u w:val="none"/>
          </w:rPr>
          <w:tab/>
          <w:t>7.</w:t>
        </w:r>
        <w:r w:rsidR="009B4239" w:rsidRPr="00E869E6">
          <w:rPr>
            <w:rStyle w:val="Hyperlink"/>
            <w:rFonts w:ascii="Arial" w:hAnsi="Arial" w:cs="Arial"/>
            <w:b/>
            <w:bCs/>
            <w:sz w:val="20"/>
            <w:u w:val="none"/>
          </w:rPr>
          <w:t>5</w:t>
        </w:r>
        <w:r w:rsidR="00B22584" w:rsidRPr="00E869E6">
          <w:rPr>
            <w:rStyle w:val="Hyperlink"/>
            <w:rFonts w:ascii="Arial" w:hAnsi="Arial" w:cs="Arial"/>
            <w:b/>
            <w:bCs/>
            <w:sz w:val="20"/>
            <w:u w:val="none"/>
          </w:rPr>
          <w:t>.</w:t>
        </w:r>
        <w:r w:rsidR="00A864CC" w:rsidRPr="00E869E6">
          <w:rPr>
            <w:rStyle w:val="Hyperlink"/>
            <w:rFonts w:ascii="Arial" w:hAnsi="Arial" w:cs="Arial"/>
            <w:b/>
            <w:bCs/>
            <w:sz w:val="20"/>
            <w:u w:val="none"/>
          </w:rPr>
          <w:t>4</w:t>
        </w:r>
        <w:r w:rsidR="00B22584" w:rsidRPr="00E869E6">
          <w:rPr>
            <w:rStyle w:val="Hyperlink"/>
            <w:rFonts w:ascii="Arial" w:hAnsi="Arial" w:cs="Arial"/>
            <w:b/>
            <w:bCs/>
            <w:sz w:val="20"/>
            <w:u w:val="none"/>
          </w:rPr>
          <w:tab/>
        </w:r>
        <w:r w:rsidR="00A526AB" w:rsidRPr="00E869E6">
          <w:rPr>
            <w:rStyle w:val="Hyperlink"/>
            <w:rFonts w:ascii="Arial" w:hAnsi="Arial" w:cs="Arial"/>
            <w:b/>
            <w:bCs/>
            <w:sz w:val="20"/>
            <w:u w:val="none"/>
          </w:rPr>
          <w:t>Secur</w:t>
        </w:r>
        <w:r w:rsidR="00B22584" w:rsidRPr="00E869E6">
          <w:rPr>
            <w:rStyle w:val="Hyperlink"/>
            <w:rFonts w:ascii="Arial" w:hAnsi="Arial" w:cs="Arial"/>
            <w:b/>
            <w:bCs/>
            <w:sz w:val="20"/>
            <w:u w:val="none"/>
          </w:rPr>
          <w:t>ing</w:t>
        </w:r>
        <w:r w:rsidR="00344BB9" w:rsidRPr="00E869E6">
          <w:rPr>
            <w:rStyle w:val="Hyperlink"/>
            <w:rFonts w:ascii="Arial" w:hAnsi="Arial" w:cs="Arial"/>
            <w:b/>
            <w:bCs/>
            <w:sz w:val="20"/>
            <w:u w:val="none"/>
          </w:rPr>
          <w:t xml:space="preserve"> </w:t>
        </w:r>
        <w:r w:rsidR="00B22584" w:rsidRPr="00E869E6">
          <w:rPr>
            <w:rStyle w:val="Hyperlink"/>
            <w:rFonts w:ascii="Arial" w:hAnsi="Arial" w:cs="Arial"/>
            <w:b/>
            <w:bCs/>
            <w:sz w:val="20"/>
            <w:u w:val="none"/>
          </w:rPr>
          <w:t>attendance</w:t>
        </w:r>
        <w:r w:rsidR="00A526AB" w:rsidRPr="00E869E6">
          <w:rPr>
            <w:rStyle w:val="Hyperlink"/>
            <w:rFonts w:ascii="Arial" w:hAnsi="Arial" w:cs="Arial"/>
            <w:b/>
            <w:bCs/>
            <w:sz w:val="20"/>
            <w:u w:val="none"/>
          </w:rPr>
          <w:t xml:space="preserve"> of accused</w:t>
        </w:r>
      </w:hyperlink>
    </w:p>
    <w:p w14:paraId="4618BFE7" w14:textId="77777777" w:rsidR="00EC0E67" w:rsidRPr="00E869E6" w:rsidRDefault="00EC0E67">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5.5_Amendment_of" w:history="1">
        <w:r w:rsidRPr="00E869E6">
          <w:rPr>
            <w:rStyle w:val="Hyperlink"/>
            <w:rFonts w:ascii="Arial" w:hAnsi="Arial" w:cs="Arial"/>
            <w:b/>
            <w:bCs/>
            <w:sz w:val="20"/>
            <w:u w:val="none"/>
          </w:rPr>
          <w:tab/>
          <w:t>7.5.</w:t>
        </w:r>
        <w:r w:rsidR="00344BB9" w:rsidRPr="00E869E6">
          <w:rPr>
            <w:rStyle w:val="Hyperlink"/>
            <w:rFonts w:ascii="Arial" w:hAnsi="Arial" w:cs="Arial"/>
            <w:b/>
            <w:bCs/>
            <w:sz w:val="20"/>
            <w:u w:val="none"/>
          </w:rPr>
          <w:t>5</w:t>
        </w:r>
        <w:r w:rsidRPr="00E869E6">
          <w:rPr>
            <w:rStyle w:val="Hyperlink"/>
            <w:rFonts w:ascii="Arial" w:hAnsi="Arial" w:cs="Arial"/>
            <w:b/>
            <w:bCs/>
            <w:sz w:val="20"/>
            <w:u w:val="none"/>
          </w:rPr>
          <w:tab/>
          <w:t>Amendment of charge-sheet</w:t>
        </w:r>
      </w:hyperlink>
    </w:p>
    <w:p w14:paraId="3E86E4CC" w14:textId="2311E453" w:rsidR="005C5BF2" w:rsidRPr="00C35E8E" w:rsidRDefault="005C5BF2">
      <w:pPr>
        <w:pBdr>
          <w:top w:val="single" w:sz="4" w:space="1" w:color="auto"/>
          <w:left w:val="single" w:sz="4" w:space="4" w:color="auto"/>
          <w:bottom w:val="single" w:sz="4" w:space="1" w:color="auto"/>
          <w:right w:val="single" w:sz="4" w:space="4" w:color="auto"/>
        </w:pBdr>
        <w:rPr>
          <w:rStyle w:val="Hyperlink"/>
          <w:rFonts w:ascii="Arial" w:hAnsi="Arial" w:cs="Arial"/>
          <w:b/>
          <w:bCs/>
          <w:color w:val="000000" w:themeColor="text1"/>
          <w:sz w:val="20"/>
          <w:u w:val="none"/>
        </w:rPr>
      </w:pPr>
      <w:hyperlink w:anchor="_7.5.6_Venue_of" w:history="1">
        <w:r w:rsidRPr="00E869E6">
          <w:rPr>
            <w:rStyle w:val="Hyperlink"/>
            <w:rFonts w:ascii="Arial" w:hAnsi="Arial" w:cs="Arial"/>
            <w:b/>
            <w:bCs/>
            <w:sz w:val="20"/>
            <w:u w:val="none"/>
          </w:rPr>
          <w:tab/>
          <w:t>7.5.</w:t>
        </w:r>
        <w:r w:rsidR="00DA2BA0">
          <w:rPr>
            <w:rStyle w:val="Hyperlink"/>
            <w:rFonts w:ascii="Arial" w:hAnsi="Arial" w:cs="Arial"/>
            <w:b/>
            <w:bCs/>
            <w:sz w:val="20"/>
            <w:u w:val="none"/>
          </w:rPr>
          <w:t>6</w:t>
        </w:r>
        <w:r w:rsidRPr="00E869E6">
          <w:rPr>
            <w:rStyle w:val="Hyperlink"/>
            <w:rFonts w:ascii="Arial" w:hAnsi="Arial" w:cs="Arial"/>
            <w:b/>
            <w:bCs/>
            <w:sz w:val="20"/>
            <w:u w:val="none"/>
          </w:rPr>
          <w:tab/>
          <w:t>Venu</w:t>
        </w:r>
        <w:r w:rsidR="0090594D">
          <w:rPr>
            <w:rStyle w:val="Hyperlink"/>
            <w:rFonts w:ascii="Arial" w:hAnsi="Arial" w:cs="Arial"/>
            <w:b/>
            <w:bCs/>
            <w:sz w:val="20"/>
            <w:u w:val="none"/>
          </w:rPr>
          <w:t>e of the Court</w:t>
        </w:r>
      </w:hyperlink>
    </w:p>
    <w:p w14:paraId="30DFF8FD" w14:textId="25AB9F42" w:rsidR="000D66B2" w:rsidRPr="00D0058B" w:rsidRDefault="000D66B2" w:rsidP="000D66B2">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5.7_Criminal_Division" w:history="1">
        <w:r w:rsidRPr="00D0058B">
          <w:rPr>
            <w:rStyle w:val="Hyperlink"/>
            <w:rFonts w:ascii="Arial" w:hAnsi="Arial" w:cs="Arial"/>
            <w:b/>
            <w:bCs/>
            <w:sz w:val="20"/>
            <w:u w:val="none"/>
          </w:rPr>
          <w:tab/>
          <w:t>7.5.</w:t>
        </w:r>
        <w:r w:rsidR="00DA2BA0">
          <w:rPr>
            <w:rStyle w:val="Hyperlink"/>
            <w:rFonts w:ascii="Arial" w:hAnsi="Arial" w:cs="Arial"/>
            <w:b/>
            <w:bCs/>
            <w:sz w:val="20"/>
            <w:u w:val="none"/>
          </w:rPr>
          <w:t>7</w:t>
        </w:r>
        <w:r w:rsidRPr="00D0058B">
          <w:rPr>
            <w:rStyle w:val="Hyperlink"/>
            <w:rFonts w:ascii="Arial" w:hAnsi="Arial" w:cs="Arial"/>
            <w:b/>
            <w:bCs/>
            <w:sz w:val="20"/>
            <w:u w:val="none"/>
          </w:rPr>
          <w:tab/>
          <w:t>Criminal Division processing statistics</w:t>
        </w:r>
        <w:r w:rsidR="00D0058B" w:rsidRPr="00D0058B">
          <w:rPr>
            <w:rStyle w:val="Hyperlink"/>
            <w:rFonts w:ascii="Arial" w:hAnsi="Arial" w:cs="Arial"/>
            <w:b/>
            <w:bCs/>
            <w:sz w:val="20"/>
            <w:u w:val="none"/>
          </w:rPr>
          <w:t xml:space="preserve"> (excluding CAYPINS)</w:t>
        </w:r>
      </w:hyperlink>
    </w:p>
    <w:p w14:paraId="580444D1" w14:textId="19DAA1D7" w:rsidR="00C51D7C" w:rsidRPr="0062438E" w:rsidRDefault="009B4239"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hyperlink w:anchor="_7.6_Children_and_1" w:history="1">
        <w:r w:rsidRPr="0062438E">
          <w:rPr>
            <w:rStyle w:val="Hyperlink"/>
            <w:rFonts w:ascii="Arial" w:hAnsi="Arial" w:cs="Arial"/>
            <w:b/>
            <w:bCs/>
            <w:u w:val="none"/>
          </w:rPr>
          <w:t>7.</w:t>
        </w:r>
        <w:r w:rsidR="005C5BF2" w:rsidRPr="0062438E">
          <w:rPr>
            <w:rStyle w:val="Hyperlink"/>
            <w:rFonts w:ascii="Arial" w:hAnsi="Arial" w:cs="Arial"/>
            <w:b/>
            <w:bCs/>
            <w:u w:val="none"/>
          </w:rPr>
          <w:t>6</w:t>
        </w:r>
        <w:r w:rsidRPr="0062438E">
          <w:rPr>
            <w:rStyle w:val="Hyperlink"/>
            <w:rFonts w:ascii="Arial" w:hAnsi="Arial" w:cs="Arial"/>
            <w:b/>
            <w:bCs/>
            <w:u w:val="none"/>
          </w:rPr>
          <w:tab/>
        </w:r>
        <w:r w:rsidR="00C51D7C" w:rsidRPr="0062438E">
          <w:rPr>
            <w:rStyle w:val="Hyperlink"/>
            <w:rFonts w:ascii="Arial" w:hAnsi="Arial" w:cs="Arial"/>
            <w:b/>
            <w:bCs/>
            <w:u w:val="none"/>
          </w:rPr>
          <w:t>Children and Young Persons Infringement Notice System (CAYPINS)</w:t>
        </w:r>
      </w:hyperlink>
    </w:p>
    <w:p w14:paraId="36D0F68B" w14:textId="77777777" w:rsidR="00AC2967" w:rsidRPr="0062438E" w:rsidRDefault="00B15A73"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hyperlink w:anchor="_7.7_Youth_and" w:history="1">
        <w:r w:rsidRPr="0062438E">
          <w:rPr>
            <w:rStyle w:val="Hyperlink"/>
            <w:rFonts w:ascii="Arial" w:hAnsi="Arial" w:cs="Arial"/>
            <w:b/>
            <w:bCs/>
            <w:u w:val="none"/>
          </w:rPr>
          <w:t>7.7</w:t>
        </w:r>
        <w:r w:rsidR="00AC2967" w:rsidRPr="0062438E">
          <w:rPr>
            <w:rStyle w:val="Hyperlink"/>
            <w:rFonts w:ascii="Arial" w:hAnsi="Arial" w:cs="Arial"/>
            <w:b/>
            <w:bCs/>
            <w:u w:val="none"/>
          </w:rPr>
          <w:tab/>
        </w:r>
        <w:r w:rsidRPr="0062438E">
          <w:rPr>
            <w:rStyle w:val="Hyperlink"/>
            <w:rFonts w:ascii="Arial" w:hAnsi="Arial" w:cs="Arial"/>
            <w:b/>
            <w:bCs/>
            <w:u w:val="none"/>
          </w:rPr>
          <w:t>Youth and adult offending statistics</w:t>
        </w:r>
      </w:hyperlink>
    </w:p>
    <w:p w14:paraId="098F0C90" w14:textId="77777777" w:rsidR="00D136D2" w:rsidRPr="00DF479E" w:rsidRDefault="00D136D2"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r w:rsidRPr="00F51496">
        <w:rPr>
          <w:rFonts w:ascii="Arial" w:hAnsi="Arial" w:cs="Arial"/>
          <w:b/>
          <w:bCs/>
          <w:color w:val="000000"/>
          <w:sz w:val="20"/>
        </w:rPr>
        <w:tab/>
      </w:r>
      <w:hyperlink w:anchor="_7.7.1_Youth_and" w:history="1">
        <w:r w:rsidRPr="00DF479E">
          <w:rPr>
            <w:rStyle w:val="Hyperlink"/>
            <w:rFonts w:ascii="Arial" w:hAnsi="Arial" w:cs="Arial"/>
            <w:b/>
            <w:bCs/>
            <w:sz w:val="20"/>
            <w:u w:val="none"/>
          </w:rPr>
          <w:t>7.7.1</w:t>
        </w:r>
        <w:r w:rsidRPr="00DF479E">
          <w:rPr>
            <w:rStyle w:val="Hyperlink"/>
            <w:rFonts w:ascii="Arial" w:hAnsi="Arial" w:cs="Arial"/>
            <w:b/>
            <w:bCs/>
            <w:sz w:val="20"/>
            <w:u w:val="none"/>
          </w:rPr>
          <w:tab/>
        </w:r>
        <w:r w:rsidR="00DF479E" w:rsidRPr="00DF479E">
          <w:rPr>
            <w:rStyle w:val="Hyperlink"/>
            <w:rFonts w:ascii="Arial" w:hAnsi="Arial" w:cs="Arial"/>
            <w:b/>
            <w:bCs/>
            <w:sz w:val="20"/>
            <w:u w:val="none"/>
          </w:rPr>
          <w:t>Youth and adult offending in 2008/09, 2009/10 &amp; 2010/11</w:t>
        </w:r>
      </w:hyperlink>
    </w:p>
    <w:p w14:paraId="4FE1B087" w14:textId="364290C7" w:rsidR="00AB4EA8" w:rsidRPr="00C35E8E" w:rsidRDefault="00AB4EA8" w:rsidP="00AB4EA8">
      <w:pPr>
        <w:pBdr>
          <w:top w:val="single" w:sz="4" w:space="1" w:color="auto"/>
          <w:left w:val="single" w:sz="4" w:space="4" w:color="auto"/>
          <w:bottom w:val="single" w:sz="4" w:space="1" w:color="auto"/>
          <w:right w:val="single" w:sz="4" w:space="4" w:color="auto"/>
        </w:pBdr>
        <w:rPr>
          <w:rStyle w:val="Hyperlink"/>
          <w:rFonts w:ascii="Arial" w:hAnsi="Arial" w:cs="Arial"/>
          <w:b/>
          <w:bCs/>
          <w:color w:val="000000" w:themeColor="text1"/>
          <w:sz w:val="20"/>
          <w:u w:val="none"/>
        </w:rPr>
      </w:pPr>
      <w:hyperlink w:anchor="_7.7.2_Youth_offending" w:history="1">
        <w:r w:rsidRPr="00BD7F2A">
          <w:rPr>
            <w:rStyle w:val="Hyperlink"/>
            <w:rFonts w:ascii="Arial" w:hAnsi="Arial" w:cs="Arial"/>
            <w:b/>
            <w:bCs/>
            <w:sz w:val="20"/>
            <w:u w:val="none"/>
          </w:rPr>
          <w:tab/>
          <w:t>7.7.2</w:t>
        </w:r>
        <w:r w:rsidRPr="00BD7F2A">
          <w:rPr>
            <w:rStyle w:val="Hyperlink"/>
            <w:rFonts w:ascii="Arial" w:hAnsi="Arial" w:cs="Arial"/>
            <w:b/>
            <w:bCs/>
            <w:sz w:val="20"/>
            <w:u w:val="none"/>
          </w:rPr>
          <w:tab/>
        </w:r>
        <w:r w:rsidR="00C76023" w:rsidRPr="00BD7F2A">
          <w:rPr>
            <w:rStyle w:val="Hyperlink"/>
            <w:rFonts w:ascii="Arial" w:hAnsi="Arial" w:cs="Arial"/>
            <w:b/>
            <w:bCs/>
            <w:sz w:val="20"/>
            <w:u w:val="none"/>
          </w:rPr>
          <w:t>Youth offending from 2008/09 to 20</w:t>
        </w:r>
        <w:r w:rsidR="00AA1B86">
          <w:rPr>
            <w:rStyle w:val="Hyperlink"/>
            <w:rFonts w:ascii="Arial" w:hAnsi="Arial" w:cs="Arial"/>
            <w:b/>
            <w:bCs/>
            <w:sz w:val="20"/>
            <w:u w:val="none"/>
          </w:rPr>
          <w:t>2</w:t>
        </w:r>
        <w:r w:rsidR="00C25504">
          <w:rPr>
            <w:rStyle w:val="Hyperlink"/>
            <w:rFonts w:ascii="Arial" w:hAnsi="Arial" w:cs="Arial"/>
            <w:b/>
            <w:bCs/>
            <w:sz w:val="20"/>
            <w:u w:val="none"/>
          </w:rPr>
          <w:t>4</w:t>
        </w:r>
        <w:r w:rsidR="00C76023" w:rsidRPr="00BD7F2A">
          <w:rPr>
            <w:rStyle w:val="Hyperlink"/>
            <w:rFonts w:ascii="Arial" w:hAnsi="Arial" w:cs="Arial"/>
            <w:b/>
            <w:bCs/>
            <w:sz w:val="20"/>
            <w:u w:val="none"/>
          </w:rPr>
          <w:t>/2</w:t>
        </w:r>
        <w:r w:rsidR="00C25504">
          <w:rPr>
            <w:rStyle w:val="Hyperlink"/>
            <w:rFonts w:ascii="Arial" w:hAnsi="Arial" w:cs="Arial"/>
            <w:b/>
            <w:bCs/>
            <w:sz w:val="20"/>
            <w:u w:val="none"/>
          </w:rPr>
          <w:t>5</w:t>
        </w:r>
      </w:hyperlink>
    </w:p>
    <w:p w14:paraId="79C60738" w14:textId="0D8EF2B4" w:rsidR="00AA1B86" w:rsidRPr="0013035F" w:rsidRDefault="00AA1B86" w:rsidP="00AB4EA8">
      <w:pPr>
        <w:pBdr>
          <w:top w:val="single" w:sz="4" w:space="1" w:color="auto"/>
          <w:left w:val="single" w:sz="4" w:space="4" w:color="auto"/>
          <w:bottom w:val="single" w:sz="4" w:space="1" w:color="auto"/>
          <w:right w:val="single" w:sz="4" w:space="4" w:color="auto"/>
        </w:pBdr>
        <w:rPr>
          <w:rFonts w:ascii="Arial" w:hAnsi="Arial" w:cs="Arial"/>
          <w:b/>
          <w:bCs/>
          <w:color w:val="000000"/>
          <w:sz w:val="20"/>
        </w:rPr>
      </w:pPr>
      <w:r w:rsidRPr="0013035F">
        <w:rPr>
          <w:rStyle w:val="Hyperlink"/>
          <w:rFonts w:ascii="Arial" w:hAnsi="Arial" w:cs="Arial"/>
          <w:b/>
          <w:bCs/>
          <w:sz w:val="20"/>
          <w:u w:val="none"/>
        </w:rPr>
        <w:tab/>
      </w:r>
      <w:hyperlink w:anchor="_7.7.3_Aboriginal_and" w:history="1">
        <w:r w:rsidRPr="0013035F">
          <w:rPr>
            <w:rStyle w:val="Hyperlink"/>
            <w:rFonts w:ascii="Arial" w:hAnsi="Arial" w:cs="Arial"/>
            <w:b/>
            <w:bCs/>
            <w:sz w:val="20"/>
            <w:u w:val="none"/>
          </w:rPr>
          <w:t>7.7.3</w:t>
        </w:r>
        <w:r w:rsidRPr="0013035F">
          <w:rPr>
            <w:rStyle w:val="Hyperlink"/>
            <w:rFonts w:ascii="Arial" w:hAnsi="Arial" w:cs="Arial"/>
            <w:b/>
            <w:bCs/>
            <w:sz w:val="20"/>
            <w:u w:val="none"/>
          </w:rPr>
          <w:tab/>
        </w:r>
        <w:r w:rsidR="0013035F" w:rsidRPr="0013035F">
          <w:rPr>
            <w:rStyle w:val="Hyperlink"/>
            <w:rFonts w:ascii="Arial" w:hAnsi="Arial" w:cs="Arial"/>
            <w:b/>
            <w:bCs/>
            <w:sz w:val="20"/>
            <w:u w:val="none"/>
          </w:rPr>
          <w:t xml:space="preserve">Aboriginal </w:t>
        </w:r>
        <w:r w:rsidR="0077202C">
          <w:rPr>
            <w:rStyle w:val="Hyperlink"/>
            <w:rFonts w:ascii="Arial" w:hAnsi="Arial" w:cs="Arial"/>
            <w:b/>
            <w:bCs/>
            <w:sz w:val="20"/>
            <w:u w:val="none"/>
          </w:rPr>
          <w:t>and</w:t>
        </w:r>
        <w:r w:rsidR="0013035F" w:rsidRPr="0013035F">
          <w:rPr>
            <w:rStyle w:val="Hyperlink"/>
            <w:rFonts w:ascii="Arial" w:hAnsi="Arial" w:cs="Arial"/>
            <w:b/>
            <w:bCs/>
            <w:sz w:val="20"/>
            <w:u w:val="none"/>
          </w:rPr>
          <w:t xml:space="preserve"> Torres Strait Islander young people—</w:t>
        </w:r>
        <w:r w:rsidR="0077202C">
          <w:rPr>
            <w:rStyle w:val="Hyperlink"/>
            <w:rFonts w:ascii="Arial" w:hAnsi="Arial" w:cs="Arial"/>
            <w:b/>
            <w:bCs/>
            <w:sz w:val="20"/>
            <w:u w:val="none"/>
          </w:rPr>
          <w:t>YJ</w:t>
        </w:r>
        <w:r w:rsidR="0013035F" w:rsidRPr="0013035F">
          <w:rPr>
            <w:rStyle w:val="Hyperlink"/>
            <w:rFonts w:ascii="Arial" w:hAnsi="Arial" w:cs="Arial"/>
            <w:b/>
            <w:bCs/>
            <w:sz w:val="20"/>
            <w:u w:val="none"/>
          </w:rPr>
          <w:t xml:space="preserve"> trends since 2017</w:t>
        </w:r>
      </w:hyperlink>
    </w:p>
    <w:p w14:paraId="203DF812" w14:textId="10B3BF0E" w:rsidR="00D136D2" w:rsidRPr="00C35E8E" w:rsidRDefault="00D136D2" w:rsidP="00D136D2">
      <w:pPr>
        <w:pBdr>
          <w:top w:val="single" w:sz="4" w:space="1" w:color="auto"/>
          <w:left w:val="single" w:sz="4" w:space="4" w:color="auto"/>
          <w:bottom w:val="single" w:sz="4" w:space="1" w:color="auto"/>
          <w:right w:val="single" w:sz="4" w:space="4" w:color="auto"/>
        </w:pBdr>
        <w:rPr>
          <w:rStyle w:val="Hyperlink"/>
          <w:rFonts w:ascii="Arial" w:hAnsi="Arial" w:cs="Arial"/>
          <w:b/>
          <w:bCs/>
          <w:color w:val="000000" w:themeColor="text1"/>
          <w:sz w:val="20"/>
          <w:u w:val="none"/>
        </w:rPr>
      </w:pPr>
      <w:hyperlink w:anchor="_7.7.3_Youth_offending" w:history="1">
        <w:r w:rsidRPr="00605D68">
          <w:rPr>
            <w:rStyle w:val="Hyperlink"/>
            <w:rFonts w:ascii="Arial" w:hAnsi="Arial" w:cs="Arial"/>
            <w:b/>
            <w:bCs/>
            <w:sz w:val="20"/>
            <w:u w:val="none"/>
          </w:rPr>
          <w:tab/>
          <w:t>7.7.</w:t>
        </w:r>
        <w:r w:rsidR="00AA1B86">
          <w:rPr>
            <w:rStyle w:val="Hyperlink"/>
            <w:rFonts w:ascii="Arial" w:hAnsi="Arial" w:cs="Arial"/>
            <w:b/>
            <w:bCs/>
            <w:sz w:val="20"/>
            <w:u w:val="none"/>
          </w:rPr>
          <w:t>4</w:t>
        </w:r>
        <w:r w:rsidRPr="00605D68">
          <w:rPr>
            <w:rStyle w:val="Hyperlink"/>
            <w:rFonts w:ascii="Arial" w:hAnsi="Arial" w:cs="Arial"/>
            <w:b/>
            <w:bCs/>
            <w:sz w:val="20"/>
            <w:u w:val="none"/>
          </w:rPr>
          <w:tab/>
        </w:r>
        <w:r w:rsidR="00B615A9">
          <w:rPr>
            <w:rStyle w:val="Hyperlink"/>
            <w:rFonts w:ascii="Arial" w:hAnsi="Arial" w:cs="Arial"/>
            <w:b/>
            <w:bCs/>
            <w:sz w:val="20"/>
            <w:u w:val="none"/>
          </w:rPr>
          <w:t xml:space="preserve">Criminal Division statistics involving </w:t>
        </w:r>
        <w:r w:rsidR="00A950FE" w:rsidRPr="00605D68">
          <w:rPr>
            <w:rStyle w:val="Hyperlink"/>
            <w:rFonts w:ascii="Arial" w:hAnsi="Arial" w:cs="Arial"/>
            <w:b/>
            <w:bCs/>
            <w:sz w:val="20"/>
            <w:u w:val="none"/>
          </w:rPr>
          <w:t>children aged 10-13 inclusive</w:t>
        </w:r>
      </w:hyperlink>
    </w:p>
    <w:p w14:paraId="046299E4" w14:textId="63A1EAC8" w:rsidR="00B22584" w:rsidRPr="00E869E6" w:rsidRDefault="009B4239"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hyperlink w:anchor="_7.8_Warrant_to" w:history="1">
        <w:r w:rsidRPr="00E869E6">
          <w:rPr>
            <w:rStyle w:val="Hyperlink"/>
            <w:rFonts w:ascii="Arial" w:hAnsi="Arial" w:cs="Arial"/>
            <w:b/>
            <w:bCs/>
            <w:u w:val="none"/>
          </w:rPr>
          <w:t>7.8</w:t>
        </w:r>
        <w:r w:rsidR="00B22584" w:rsidRPr="00E869E6">
          <w:rPr>
            <w:rStyle w:val="Hyperlink"/>
            <w:rFonts w:ascii="Arial" w:hAnsi="Arial" w:cs="Arial"/>
            <w:b/>
            <w:bCs/>
            <w:u w:val="none"/>
          </w:rPr>
          <w:tab/>
          <w:t xml:space="preserve">Warrant to arrest for fail to appear </w:t>
        </w:r>
        <w:r w:rsidR="00231651">
          <w:rPr>
            <w:rStyle w:val="Hyperlink"/>
            <w:rFonts w:ascii="Arial" w:hAnsi="Arial" w:cs="Arial"/>
            <w:b/>
            <w:bCs/>
            <w:u w:val="none"/>
          </w:rPr>
          <w:t>or contravention of sentencing order</w:t>
        </w:r>
      </w:hyperlink>
    </w:p>
    <w:p w14:paraId="55B68104" w14:textId="453550A5" w:rsidR="00B22584" w:rsidRPr="00E869E6" w:rsidRDefault="00E869E6" w:rsidP="00B06E72">
      <w:pPr>
        <w:pBdr>
          <w:top w:val="single" w:sz="4" w:space="1" w:color="auto"/>
          <w:left w:val="single" w:sz="4" w:space="4" w:color="auto"/>
          <w:bottom w:val="single" w:sz="4" w:space="1" w:color="auto"/>
          <w:right w:val="single" w:sz="4" w:space="4" w:color="auto"/>
        </w:pBdr>
        <w:spacing w:before="20"/>
        <w:rPr>
          <w:rStyle w:val="Hyperlink"/>
          <w:rFonts w:ascii="Arial" w:hAnsi="Arial" w:cs="Arial"/>
          <w:b/>
          <w:bCs/>
          <w:u w:val="none"/>
        </w:rPr>
      </w:pPr>
      <w:r w:rsidRPr="00E869E6">
        <w:rPr>
          <w:rFonts w:ascii="Arial" w:hAnsi="Arial" w:cs="Arial"/>
          <w:b/>
          <w:bCs/>
          <w:color w:val="000000"/>
        </w:rPr>
        <w:fldChar w:fldCharType="begin"/>
      </w:r>
      <w:r w:rsidRPr="00E869E6">
        <w:rPr>
          <w:rFonts w:ascii="Arial" w:hAnsi="Arial" w:cs="Arial"/>
          <w:b/>
          <w:bCs/>
          <w:color w:val="000000"/>
        </w:rPr>
        <w:instrText xml:space="preserve"> HYPERLINK  \l "_7.9_Representation_of" </w:instrText>
      </w:r>
      <w:r w:rsidRPr="00E869E6">
        <w:rPr>
          <w:rFonts w:ascii="Arial" w:hAnsi="Arial" w:cs="Arial"/>
          <w:b/>
          <w:bCs/>
          <w:color w:val="000000"/>
        </w:rPr>
      </w:r>
      <w:r w:rsidRPr="00E869E6">
        <w:rPr>
          <w:rFonts w:ascii="Arial" w:hAnsi="Arial" w:cs="Arial"/>
          <w:b/>
          <w:bCs/>
          <w:color w:val="000000"/>
        </w:rPr>
        <w:fldChar w:fldCharType="separate"/>
      </w:r>
      <w:r w:rsidR="00B22584" w:rsidRPr="00E869E6">
        <w:rPr>
          <w:rStyle w:val="Hyperlink"/>
          <w:rFonts w:ascii="Arial" w:hAnsi="Arial" w:cs="Arial"/>
          <w:b/>
          <w:bCs/>
          <w:u w:val="none"/>
        </w:rPr>
        <w:t>7.9</w:t>
      </w:r>
      <w:r w:rsidR="00B22584" w:rsidRPr="00E869E6">
        <w:rPr>
          <w:rStyle w:val="Hyperlink"/>
          <w:rFonts w:ascii="Arial" w:hAnsi="Arial" w:cs="Arial"/>
          <w:b/>
          <w:bCs/>
          <w:u w:val="none"/>
        </w:rPr>
        <w:tab/>
        <w:t>Representation of children in the Criminal Division of the Court</w:t>
      </w:r>
    </w:p>
    <w:p w14:paraId="55805157" w14:textId="77777777" w:rsidR="00B22584" w:rsidRPr="001E55CE" w:rsidRDefault="00E869E6"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r w:rsidRPr="00E869E6">
        <w:rPr>
          <w:rFonts w:ascii="Arial" w:hAnsi="Arial" w:cs="Arial"/>
          <w:b/>
          <w:bCs/>
          <w:color w:val="000000"/>
        </w:rPr>
        <w:fldChar w:fldCharType="end"/>
      </w:r>
      <w:hyperlink w:anchor="_7.10_Referral_for" w:history="1">
        <w:r w:rsidR="00B22584" w:rsidRPr="001E55CE">
          <w:rPr>
            <w:rStyle w:val="Hyperlink"/>
            <w:rFonts w:ascii="Arial" w:hAnsi="Arial" w:cs="Arial"/>
            <w:b/>
            <w:bCs/>
            <w:u w:val="none"/>
          </w:rPr>
          <w:t>7.10</w:t>
        </w:r>
        <w:r w:rsidR="00B22584" w:rsidRPr="001E55CE">
          <w:rPr>
            <w:rStyle w:val="Hyperlink"/>
            <w:rFonts w:ascii="Arial" w:hAnsi="Arial" w:cs="Arial"/>
            <w:b/>
            <w:bCs/>
            <w:u w:val="none"/>
          </w:rPr>
          <w:tab/>
          <w:t>Referral for investigation by protective services</w:t>
        </w:r>
      </w:hyperlink>
    </w:p>
    <w:p w14:paraId="36BD5D1C" w14:textId="77777777" w:rsidR="006D2E2D" w:rsidRPr="003C0CE9" w:rsidRDefault="006D2E2D"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7.10.1_Referral_re" w:history="1">
        <w:r w:rsidRPr="003C0CE9">
          <w:rPr>
            <w:rStyle w:val="Hyperlink"/>
            <w:rFonts w:ascii="Arial" w:hAnsi="Arial" w:cs="Arial"/>
            <w:b/>
            <w:bCs/>
            <w:sz w:val="20"/>
            <w:u w:val="none"/>
          </w:rPr>
          <w:tab/>
          <w:t>7.10.1</w:t>
        </w:r>
        <w:r w:rsidRPr="003C0CE9">
          <w:rPr>
            <w:rStyle w:val="Hyperlink"/>
            <w:rFonts w:ascii="Arial" w:hAnsi="Arial" w:cs="Arial"/>
            <w:b/>
            <w:bCs/>
            <w:sz w:val="20"/>
            <w:u w:val="none"/>
          </w:rPr>
          <w:tab/>
          <w:t>Referral re protection application</w:t>
        </w:r>
        <w:r w:rsidR="00452140" w:rsidRPr="003C0CE9">
          <w:rPr>
            <w:rStyle w:val="Hyperlink"/>
            <w:rFonts w:ascii="Arial" w:hAnsi="Arial" w:cs="Arial"/>
            <w:b/>
            <w:bCs/>
            <w:sz w:val="20"/>
            <w:u w:val="none"/>
          </w:rPr>
          <w:t xml:space="preserve"> investigation</w:t>
        </w:r>
      </w:hyperlink>
    </w:p>
    <w:p w14:paraId="19A9C13C" w14:textId="77777777" w:rsidR="006D2E2D" w:rsidRPr="003C0CE9" w:rsidRDefault="006D2E2D" w:rsidP="006D2E2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0.2_Referral_re" w:history="1">
        <w:r w:rsidRPr="003C0CE9">
          <w:rPr>
            <w:rStyle w:val="Hyperlink"/>
            <w:rFonts w:ascii="Arial" w:hAnsi="Arial" w:cs="Arial"/>
            <w:b/>
            <w:bCs/>
            <w:sz w:val="20"/>
            <w:u w:val="none"/>
          </w:rPr>
          <w:tab/>
          <w:t>7.10.2</w:t>
        </w:r>
        <w:r w:rsidRPr="003C0CE9">
          <w:rPr>
            <w:rStyle w:val="Hyperlink"/>
            <w:rFonts w:ascii="Arial" w:hAnsi="Arial" w:cs="Arial"/>
            <w:b/>
            <w:bCs/>
            <w:sz w:val="20"/>
            <w:u w:val="none"/>
          </w:rPr>
          <w:tab/>
        </w:r>
        <w:r w:rsidR="00452140" w:rsidRPr="003C0CE9">
          <w:rPr>
            <w:rStyle w:val="Hyperlink"/>
            <w:rFonts w:ascii="Arial" w:hAnsi="Arial" w:cs="Arial"/>
            <w:b/>
            <w:bCs/>
            <w:sz w:val="20"/>
            <w:u w:val="none"/>
          </w:rPr>
          <w:t xml:space="preserve">Referral re </w:t>
        </w:r>
        <w:r w:rsidRPr="003C0CE9">
          <w:rPr>
            <w:rStyle w:val="Hyperlink"/>
            <w:rFonts w:ascii="Arial" w:hAnsi="Arial" w:cs="Arial"/>
            <w:b/>
            <w:bCs/>
            <w:sz w:val="20"/>
            <w:u w:val="none"/>
          </w:rPr>
          <w:t xml:space="preserve">therapeutic treatment </w:t>
        </w:r>
        <w:r w:rsidR="00452140" w:rsidRPr="003C0CE9">
          <w:rPr>
            <w:rStyle w:val="Hyperlink"/>
            <w:rFonts w:ascii="Arial" w:hAnsi="Arial" w:cs="Arial"/>
            <w:b/>
            <w:bCs/>
            <w:sz w:val="20"/>
            <w:u w:val="none"/>
          </w:rPr>
          <w:t>application investigation</w:t>
        </w:r>
      </w:hyperlink>
    </w:p>
    <w:p w14:paraId="2066C7E8" w14:textId="77777777" w:rsidR="006D2E2D" w:rsidRPr="003C0CE9" w:rsidRDefault="006D2E2D" w:rsidP="006D2E2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0.3_Report_of" w:history="1">
        <w:r w:rsidRPr="003C0CE9">
          <w:rPr>
            <w:rStyle w:val="Hyperlink"/>
            <w:rFonts w:ascii="Arial" w:hAnsi="Arial" w:cs="Arial"/>
            <w:b/>
            <w:bCs/>
            <w:sz w:val="20"/>
            <w:u w:val="none"/>
          </w:rPr>
          <w:tab/>
          <w:t>7.10.3</w:t>
        </w:r>
        <w:r w:rsidRPr="003C0CE9">
          <w:rPr>
            <w:rStyle w:val="Hyperlink"/>
            <w:rFonts w:ascii="Arial" w:hAnsi="Arial" w:cs="Arial"/>
            <w:b/>
            <w:bCs/>
            <w:sz w:val="20"/>
            <w:u w:val="none"/>
          </w:rPr>
          <w:tab/>
          <w:t>Report of investigation</w:t>
        </w:r>
      </w:hyperlink>
    </w:p>
    <w:p w14:paraId="220FD019" w14:textId="77777777" w:rsidR="006D2E2D" w:rsidRPr="003C0CE9" w:rsidRDefault="006D2E2D" w:rsidP="006D2E2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0.4_Report_on" w:history="1">
        <w:r w:rsidRPr="003C0CE9">
          <w:rPr>
            <w:rStyle w:val="Hyperlink"/>
            <w:rFonts w:ascii="Arial" w:hAnsi="Arial" w:cs="Arial"/>
            <w:b/>
            <w:bCs/>
            <w:sz w:val="20"/>
            <w:u w:val="none"/>
          </w:rPr>
          <w:tab/>
          <w:t>7.10.4</w:t>
        </w:r>
        <w:r w:rsidRPr="003C0CE9">
          <w:rPr>
            <w:rStyle w:val="Hyperlink"/>
            <w:rFonts w:ascii="Arial" w:hAnsi="Arial" w:cs="Arial"/>
            <w:b/>
            <w:bCs/>
            <w:sz w:val="20"/>
            <w:u w:val="none"/>
          </w:rPr>
          <w:tab/>
          <w:t>Report on outcome of application</w:t>
        </w:r>
      </w:hyperlink>
    </w:p>
    <w:p w14:paraId="53AF0721" w14:textId="77777777" w:rsidR="006D2E2D" w:rsidRPr="003C0CE9" w:rsidRDefault="006D2E2D" w:rsidP="006D2E2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0.5_Pre-sentence_report" w:history="1">
        <w:r w:rsidRPr="003C0CE9">
          <w:rPr>
            <w:rStyle w:val="Hyperlink"/>
            <w:rFonts w:ascii="Arial" w:hAnsi="Arial" w:cs="Arial"/>
            <w:b/>
            <w:bCs/>
            <w:sz w:val="20"/>
            <w:u w:val="none"/>
          </w:rPr>
          <w:tab/>
          <w:t>7.10.5</w:t>
        </w:r>
        <w:r w:rsidRPr="003C0CE9">
          <w:rPr>
            <w:rStyle w:val="Hyperlink"/>
            <w:rFonts w:ascii="Arial" w:hAnsi="Arial" w:cs="Arial"/>
            <w:b/>
            <w:bCs/>
            <w:sz w:val="20"/>
            <w:u w:val="none"/>
          </w:rPr>
          <w:tab/>
          <w:t>Pre-sentence report</w:t>
        </w:r>
      </w:hyperlink>
    </w:p>
    <w:p w14:paraId="7CB151BB" w14:textId="77777777" w:rsidR="00246340" w:rsidRPr="001E55CE" w:rsidRDefault="00B22584"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hyperlink w:anchor="_7.11_The_Children’s" w:history="1">
        <w:r w:rsidRPr="001E55CE">
          <w:rPr>
            <w:rStyle w:val="Hyperlink"/>
            <w:rFonts w:ascii="Arial" w:hAnsi="Arial" w:cs="Arial"/>
            <w:b/>
            <w:bCs/>
            <w:u w:val="none"/>
          </w:rPr>
          <w:t>7.11</w:t>
        </w:r>
        <w:r w:rsidRPr="001E55CE">
          <w:rPr>
            <w:rStyle w:val="Hyperlink"/>
            <w:rFonts w:ascii="Arial" w:hAnsi="Arial" w:cs="Arial"/>
            <w:b/>
            <w:bCs/>
            <w:u w:val="none"/>
          </w:rPr>
          <w:tab/>
        </w:r>
        <w:r w:rsidR="00246340" w:rsidRPr="001E55CE">
          <w:rPr>
            <w:rStyle w:val="Hyperlink"/>
            <w:rFonts w:ascii="Arial" w:hAnsi="Arial" w:cs="Arial"/>
            <w:b/>
            <w:bCs/>
            <w:u w:val="none"/>
          </w:rPr>
          <w:t>The Children’s Koori Court</w:t>
        </w:r>
        <w:r w:rsidR="004F457D" w:rsidRPr="001E55CE">
          <w:rPr>
            <w:rStyle w:val="Hyperlink"/>
            <w:rFonts w:ascii="Arial" w:hAnsi="Arial" w:cs="Arial"/>
            <w:b/>
            <w:bCs/>
            <w:u w:val="none"/>
          </w:rPr>
          <w:t xml:space="preserve"> (Criminal Division)</w:t>
        </w:r>
      </w:hyperlink>
    </w:p>
    <w:p w14:paraId="39995D7B" w14:textId="77777777" w:rsidR="004F457D" w:rsidRPr="001E55CE" w:rsidRDefault="004F457D"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7.11.1_Jurisdiction_&amp;" w:history="1">
        <w:r w:rsidRPr="001E55CE">
          <w:rPr>
            <w:rStyle w:val="Hyperlink"/>
            <w:rFonts w:ascii="Arial" w:hAnsi="Arial" w:cs="Arial"/>
            <w:b/>
            <w:bCs/>
            <w:sz w:val="20"/>
            <w:u w:val="none"/>
          </w:rPr>
          <w:tab/>
          <w:t>7.11.1</w:t>
        </w:r>
        <w:r w:rsidRPr="001E55CE">
          <w:rPr>
            <w:rStyle w:val="Hyperlink"/>
            <w:rFonts w:ascii="Arial" w:hAnsi="Arial" w:cs="Arial"/>
            <w:b/>
            <w:bCs/>
            <w:sz w:val="20"/>
            <w:u w:val="none"/>
          </w:rPr>
          <w:tab/>
          <w:t>Jurisdiction</w:t>
        </w:r>
        <w:r w:rsidR="00C61F6B" w:rsidRPr="001E55CE">
          <w:rPr>
            <w:rStyle w:val="Hyperlink"/>
            <w:rFonts w:ascii="Arial" w:hAnsi="Arial" w:cs="Arial"/>
            <w:b/>
            <w:bCs/>
            <w:sz w:val="20"/>
            <w:u w:val="none"/>
          </w:rPr>
          <w:t xml:space="preserve"> &amp; powers</w:t>
        </w:r>
      </w:hyperlink>
    </w:p>
    <w:p w14:paraId="4BA41CE9" w14:textId="77777777" w:rsidR="004F457D" w:rsidRPr="001E55CE" w:rsidRDefault="004F457D" w:rsidP="004F457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1.2_Procedure" w:history="1">
        <w:r w:rsidRPr="001E55CE">
          <w:rPr>
            <w:rStyle w:val="Hyperlink"/>
            <w:rFonts w:ascii="Arial" w:hAnsi="Arial" w:cs="Arial"/>
            <w:b/>
            <w:bCs/>
            <w:sz w:val="20"/>
            <w:u w:val="none"/>
          </w:rPr>
          <w:tab/>
          <w:t>7.11.2</w:t>
        </w:r>
        <w:r w:rsidRPr="001E55CE">
          <w:rPr>
            <w:rStyle w:val="Hyperlink"/>
            <w:rFonts w:ascii="Arial" w:hAnsi="Arial" w:cs="Arial"/>
            <w:b/>
            <w:bCs/>
            <w:sz w:val="20"/>
            <w:u w:val="none"/>
          </w:rPr>
          <w:tab/>
          <w:t>Procedure</w:t>
        </w:r>
      </w:hyperlink>
    </w:p>
    <w:p w14:paraId="71F5FFB1" w14:textId="77777777" w:rsidR="003B1B32" w:rsidRPr="001E55CE" w:rsidRDefault="003B1B32" w:rsidP="004F457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1.3_Sentencing_Procedure" w:history="1">
        <w:r w:rsidRPr="001E55CE">
          <w:rPr>
            <w:rStyle w:val="Hyperlink"/>
            <w:rFonts w:ascii="Arial" w:hAnsi="Arial" w:cs="Arial"/>
            <w:b/>
            <w:bCs/>
            <w:sz w:val="20"/>
            <w:u w:val="none"/>
          </w:rPr>
          <w:tab/>
          <w:t>7.11.3</w:t>
        </w:r>
        <w:r w:rsidRPr="001E55CE">
          <w:rPr>
            <w:rStyle w:val="Hyperlink"/>
            <w:rFonts w:ascii="Arial" w:hAnsi="Arial" w:cs="Arial"/>
            <w:b/>
            <w:bCs/>
            <w:sz w:val="20"/>
            <w:u w:val="none"/>
          </w:rPr>
          <w:tab/>
          <w:t>Sentencing procedure</w:t>
        </w:r>
      </w:hyperlink>
    </w:p>
    <w:p w14:paraId="055F1C78" w14:textId="77777777" w:rsidR="004F457D" w:rsidRPr="001E55CE" w:rsidRDefault="004F457D" w:rsidP="004F457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1.4_Sitting_times" w:history="1">
        <w:r w:rsidRPr="001E55CE">
          <w:rPr>
            <w:rStyle w:val="Hyperlink"/>
            <w:rFonts w:ascii="Arial" w:hAnsi="Arial" w:cs="Arial"/>
            <w:b/>
            <w:bCs/>
            <w:sz w:val="20"/>
            <w:u w:val="none"/>
          </w:rPr>
          <w:tab/>
          <w:t>7.11.</w:t>
        </w:r>
        <w:r w:rsidR="003B1B32" w:rsidRPr="001E55CE">
          <w:rPr>
            <w:rStyle w:val="Hyperlink"/>
            <w:rFonts w:ascii="Arial" w:hAnsi="Arial" w:cs="Arial"/>
            <w:b/>
            <w:bCs/>
            <w:sz w:val="20"/>
            <w:u w:val="none"/>
          </w:rPr>
          <w:t>4</w:t>
        </w:r>
        <w:r w:rsidRPr="001E55CE">
          <w:rPr>
            <w:rStyle w:val="Hyperlink"/>
            <w:rFonts w:ascii="Arial" w:hAnsi="Arial" w:cs="Arial"/>
            <w:b/>
            <w:bCs/>
            <w:sz w:val="20"/>
            <w:u w:val="none"/>
          </w:rPr>
          <w:tab/>
        </w:r>
        <w:r w:rsidR="00B37D68" w:rsidRPr="001E55CE">
          <w:rPr>
            <w:rStyle w:val="Hyperlink"/>
            <w:rFonts w:ascii="Arial" w:hAnsi="Arial" w:cs="Arial"/>
            <w:b/>
            <w:bCs/>
            <w:sz w:val="20"/>
            <w:u w:val="none"/>
          </w:rPr>
          <w:t>Sitting times</w:t>
        </w:r>
        <w:r w:rsidR="009A6604" w:rsidRPr="001E55CE">
          <w:rPr>
            <w:rStyle w:val="Hyperlink"/>
            <w:rFonts w:ascii="Arial" w:hAnsi="Arial" w:cs="Arial"/>
            <w:b/>
            <w:bCs/>
            <w:sz w:val="20"/>
            <w:u w:val="none"/>
          </w:rPr>
          <w:t xml:space="preserve"> and </w:t>
        </w:r>
        <w:r w:rsidR="002E1BF0" w:rsidRPr="001E55CE">
          <w:rPr>
            <w:rStyle w:val="Hyperlink"/>
            <w:rFonts w:ascii="Arial" w:hAnsi="Arial" w:cs="Arial"/>
            <w:b/>
            <w:bCs/>
            <w:sz w:val="20"/>
            <w:u w:val="none"/>
          </w:rPr>
          <w:t>locations</w:t>
        </w:r>
      </w:hyperlink>
    </w:p>
    <w:p w14:paraId="2CD3E21D" w14:textId="77777777" w:rsidR="006B26D7" w:rsidRPr="001E55CE" w:rsidRDefault="006B26D7" w:rsidP="004F457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1.5_Case_law" w:history="1">
        <w:r w:rsidRPr="001E55CE">
          <w:rPr>
            <w:rStyle w:val="Hyperlink"/>
            <w:rFonts w:ascii="Arial" w:hAnsi="Arial" w:cs="Arial"/>
            <w:b/>
            <w:bCs/>
            <w:sz w:val="20"/>
            <w:u w:val="none"/>
          </w:rPr>
          <w:tab/>
          <w:t>7.11.5</w:t>
        </w:r>
        <w:r w:rsidRPr="001E55CE">
          <w:rPr>
            <w:rStyle w:val="Hyperlink"/>
            <w:rFonts w:ascii="Arial" w:hAnsi="Arial" w:cs="Arial"/>
            <w:b/>
            <w:bCs/>
            <w:sz w:val="20"/>
            <w:u w:val="none"/>
          </w:rPr>
          <w:tab/>
          <w:t>Case law</w:t>
        </w:r>
      </w:hyperlink>
    </w:p>
    <w:p w14:paraId="5796470E" w14:textId="0B1BE230" w:rsidR="000B380D" w:rsidRPr="001E55CE" w:rsidRDefault="000B380D" w:rsidP="000B380D">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1.6_Statistics" w:history="1">
        <w:r w:rsidRPr="001E55CE">
          <w:rPr>
            <w:rStyle w:val="Hyperlink"/>
            <w:rFonts w:ascii="Arial" w:hAnsi="Arial" w:cs="Arial"/>
            <w:b/>
            <w:bCs/>
            <w:sz w:val="20"/>
            <w:u w:val="none"/>
          </w:rPr>
          <w:tab/>
          <w:t>7.11.6</w:t>
        </w:r>
        <w:r w:rsidRPr="001E55CE">
          <w:rPr>
            <w:rStyle w:val="Hyperlink"/>
            <w:rFonts w:ascii="Arial" w:hAnsi="Arial" w:cs="Arial"/>
            <w:b/>
            <w:bCs/>
            <w:sz w:val="20"/>
            <w:u w:val="none"/>
          </w:rPr>
          <w:tab/>
        </w:r>
        <w:r w:rsidR="00BD4EDE">
          <w:rPr>
            <w:rStyle w:val="Hyperlink"/>
            <w:rFonts w:ascii="Arial" w:hAnsi="Arial" w:cs="Arial"/>
            <w:b/>
            <w:bCs/>
            <w:sz w:val="20"/>
            <w:u w:val="none"/>
          </w:rPr>
          <w:t xml:space="preserve">Children’s Koori Court </w:t>
        </w:r>
        <w:r w:rsidRPr="001E55CE">
          <w:rPr>
            <w:rStyle w:val="Hyperlink"/>
            <w:rFonts w:ascii="Arial" w:hAnsi="Arial" w:cs="Arial"/>
            <w:b/>
            <w:bCs/>
            <w:sz w:val="20"/>
            <w:u w:val="none"/>
          </w:rPr>
          <w:t>Statistics</w:t>
        </w:r>
      </w:hyperlink>
    </w:p>
    <w:p w14:paraId="3B30B9BB" w14:textId="77777777" w:rsidR="00B22584" w:rsidRPr="003C0CE9" w:rsidRDefault="00246340"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rPr>
      </w:pPr>
      <w:hyperlink w:anchor="_7.12_Cases_on" w:history="1">
        <w:r w:rsidRPr="003C0CE9">
          <w:rPr>
            <w:rStyle w:val="Hyperlink"/>
            <w:rFonts w:ascii="Arial" w:hAnsi="Arial" w:cs="Arial"/>
            <w:b/>
            <w:bCs/>
            <w:u w:val="none"/>
          </w:rPr>
          <w:t>7.12</w:t>
        </w:r>
        <w:r w:rsidRPr="003C0CE9">
          <w:rPr>
            <w:rStyle w:val="Hyperlink"/>
            <w:rFonts w:ascii="Arial" w:hAnsi="Arial" w:cs="Arial"/>
            <w:b/>
            <w:bCs/>
            <w:u w:val="none"/>
          </w:rPr>
          <w:tab/>
        </w:r>
        <w:r w:rsidR="00B22584" w:rsidRPr="003C0CE9">
          <w:rPr>
            <w:rStyle w:val="Hyperlink"/>
            <w:rFonts w:ascii="Arial" w:hAnsi="Arial" w:cs="Arial"/>
            <w:b/>
            <w:bCs/>
            <w:u w:val="none"/>
          </w:rPr>
          <w:t>Cases on selected offences</w:t>
        </w:r>
      </w:hyperlink>
    </w:p>
    <w:p w14:paraId="57520603" w14:textId="77777777" w:rsidR="00B22584" w:rsidRPr="00C41B48" w:rsidRDefault="00B22584" w:rsidP="00B06E72">
      <w:pPr>
        <w:pBdr>
          <w:top w:val="single" w:sz="4" w:space="1" w:color="auto"/>
          <w:left w:val="single" w:sz="4" w:space="4" w:color="auto"/>
          <w:bottom w:val="single" w:sz="4" w:space="1" w:color="auto"/>
          <w:right w:val="single" w:sz="4" w:space="4" w:color="auto"/>
        </w:pBdr>
        <w:spacing w:before="20"/>
        <w:rPr>
          <w:rFonts w:ascii="Arial" w:hAnsi="Arial" w:cs="Arial"/>
          <w:b/>
          <w:bCs/>
          <w:color w:val="000000"/>
          <w:sz w:val="20"/>
        </w:rPr>
      </w:pPr>
      <w:hyperlink w:anchor="_7.12.1_Offensive_behaviour" w:history="1">
        <w:r w:rsidRPr="00C41B48">
          <w:rPr>
            <w:rStyle w:val="Hyperlink"/>
            <w:rFonts w:ascii="Arial" w:hAnsi="Arial" w:cs="Arial"/>
            <w:b/>
            <w:bCs/>
            <w:sz w:val="20"/>
            <w:u w:val="none"/>
          </w:rPr>
          <w:tab/>
          <w:t>7.1</w:t>
        </w:r>
        <w:r w:rsidR="00246340" w:rsidRPr="00C41B48">
          <w:rPr>
            <w:rStyle w:val="Hyperlink"/>
            <w:rFonts w:ascii="Arial" w:hAnsi="Arial" w:cs="Arial"/>
            <w:b/>
            <w:bCs/>
            <w:sz w:val="20"/>
            <w:u w:val="none"/>
          </w:rPr>
          <w:t>2</w:t>
        </w:r>
        <w:r w:rsidRPr="00C41B48">
          <w:rPr>
            <w:rStyle w:val="Hyperlink"/>
            <w:rFonts w:ascii="Arial" w:hAnsi="Arial" w:cs="Arial"/>
            <w:b/>
            <w:bCs/>
            <w:sz w:val="20"/>
            <w:u w:val="none"/>
          </w:rPr>
          <w:t>.1</w:t>
        </w:r>
        <w:r w:rsidRPr="00C41B48">
          <w:rPr>
            <w:rStyle w:val="Hyperlink"/>
            <w:rFonts w:ascii="Arial" w:hAnsi="Arial" w:cs="Arial"/>
            <w:b/>
            <w:bCs/>
            <w:sz w:val="20"/>
            <w:u w:val="none"/>
          </w:rPr>
          <w:tab/>
          <w:t>Offensive behaviour</w:t>
        </w:r>
      </w:hyperlink>
    </w:p>
    <w:p w14:paraId="00BD7B15" w14:textId="77777777" w:rsidR="00B92C84" w:rsidRPr="00C41B48" w:rsidRDefault="00B92C84" w:rsidP="00B92C84">
      <w:pPr>
        <w:pBdr>
          <w:top w:val="single" w:sz="4" w:space="1" w:color="auto"/>
          <w:left w:val="single" w:sz="4" w:space="4" w:color="auto"/>
          <w:bottom w:val="single" w:sz="4" w:space="1" w:color="auto"/>
          <w:right w:val="single" w:sz="4" w:space="4" w:color="auto"/>
        </w:pBdr>
        <w:rPr>
          <w:rFonts w:ascii="Arial" w:hAnsi="Arial" w:cs="Arial"/>
          <w:b/>
          <w:bCs/>
          <w:color w:val="000000"/>
          <w:sz w:val="20"/>
        </w:rPr>
      </w:pPr>
      <w:hyperlink w:anchor="_7.12.2_Insulting_words" w:history="1">
        <w:r w:rsidRPr="00C41B48">
          <w:rPr>
            <w:rStyle w:val="Hyperlink"/>
            <w:rFonts w:ascii="Arial" w:hAnsi="Arial" w:cs="Arial"/>
            <w:b/>
            <w:bCs/>
            <w:sz w:val="20"/>
            <w:u w:val="none"/>
          </w:rPr>
          <w:tab/>
          <w:t>7.12.2</w:t>
        </w:r>
        <w:r w:rsidRPr="00C41B48">
          <w:rPr>
            <w:rStyle w:val="Hyperlink"/>
            <w:rFonts w:ascii="Arial" w:hAnsi="Arial" w:cs="Arial"/>
            <w:b/>
            <w:bCs/>
            <w:sz w:val="20"/>
            <w:u w:val="none"/>
          </w:rPr>
          <w:tab/>
          <w:t>Insulting words in a public place</w:t>
        </w:r>
      </w:hyperlink>
    </w:p>
    <w:p w14:paraId="00278DE1" w14:textId="5734586D" w:rsidR="005A4BF5" w:rsidRPr="00C35E8E" w:rsidRDefault="005A4BF5" w:rsidP="00B92C84">
      <w:pPr>
        <w:pBdr>
          <w:top w:val="single" w:sz="4" w:space="1" w:color="auto"/>
          <w:left w:val="single" w:sz="4" w:space="4" w:color="auto"/>
          <w:bottom w:val="single" w:sz="4" w:space="1" w:color="auto"/>
          <w:right w:val="single" w:sz="4" w:space="4" w:color="auto"/>
        </w:pBdr>
        <w:rPr>
          <w:rStyle w:val="Hyperlink"/>
          <w:rFonts w:ascii="Arial" w:hAnsi="Arial" w:cs="Arial"/>
          <w:b/>
          <w:bCs/>
          <w:color w:val="000000" w:themeColor="text1"/>
          <w:sz w:val="20"/>
          <w:u w:val="none"/>
        </w:rPr>
      </w:pPr>
      <w:hyperlink w:anchor="_7.12.3_Arson" w:history="1">
        <w:r w:rsidRPr="00C41B48">
          <w:rPr>
            <w:rStyle w:val="Hyperlink"/>
            <w:rFonts w:ascii="Arial" w:hAnsi="Arial" w:cs="Arial"/>
            <w:b/>
            <w:bCs/>
            <w:sz w:val="20"/>
            <w:u w:val="none"/>
          </w:rPr>
          <w:tab/>
          <w:t>7.12.3</w:t>
        </w:r>
        <w:r w:rsidRPr="00C41B48">
          <w:rPr>
            <w:rStyle w:val="Hyperlink"/>
            <w:rFonts w:ascii="Arial" w:hAnsi="Arial" w:cs="Arial"/>
            <w:b/>
            <w:bCs/>
            <w:sz w:val="20"/>
            <w:u w:val="none"/>
          </w:rPr>
          <w:tab/>
          <w:t>Arson</w:t>
        </w:r>
      </w:hyperlink>
    </w:p>
    <w:p w14:paraId="0E31214C" w14:textId="5784BC96" w:rsidR="00593E24" w:rsidRDefault="00593E24" w:rsidP="00B92C84">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Pr>
          <w:rStyle w:val="Hyperlink"/>
          <w:rFonts w:ascii="Arial" w:hAnsi="Arial" w:cs="Arial"/>
          <w:b/>
          <w:bCs/>
          <w:sz w:val="20"/>
          <w:u w:val="none"/>
        </w:rPr>
        <w:tab/>
      </w:r>
      <w:hyperlink w:anchor="_7.12.4_Sexual_touching" w:history="1">
        <w:r w:rsidRPr="003A2654">
          <w:rPr>
            <w:rStyle w:val="Hyperlink"/>
            <w:rFonts w:ascii="Arial" w:hAnsi="Arial" w:cs="Arial"/>
            <w:b/>
            <w:bCs/>
            <w:sz w:val="20"/>
            <w:u w:val="none"/>
          </w:rPr>
          <w:t>7.12.4</w:t>
        </w:r>
        <w:r w:rsidRPr="003A2654">
          <w:rPr>
            <w:rStyle w:val="Hyperlink"/>
            <w:rFonts w:ascii="Arial" w:hAnsi="Arial" w:cs="Arial"/>
            <w:b/>
            <w:bCs/>
            <w:sz w:val="20"/>
            <w:u w:val="none"/>
          </w:rPr>
          <w:tab/>
          <w:t>Sexual touching</w:t>
        </w:r>
      </w:hyperlink>
    </w:p>
    <w:p w14:paraId="779E08B2" w14:textId="33355BD1" w:rsidR="00D46F48" w:rsidRPr="00D46F48" w:rsidRDefault="00D46F48" w:rsidP="00D46F48">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Pr>
          <w:rStyle w:val="Hyperlink"/>
          <w:rFonts w:ascii="Arial" w:hAnsi="Arial" w:cs="Arial"/>
          <w:b/>
          <w:bCs/>
          <w:sz w:val="20"/>
          <w:u w:val="none"/>
        </w:rPr>
        <w:tab/>
      </w:r>
      <w:hyperlink w:anchor="_7.12.5_Dangerous_driving" w:history="1">
        <w:r w:rsidRPr="00D46F48">
          <w:rPr>
            <w:rStyle w:val="Hyperlink"/>
            <w:rFonts w:ascii="Arial" w:hAnsi="Arial" w:cs="Arial"/>
            <w:b/>
            <w:bCs/>
            <w:sz w:val="20"/>
            <w:u w:val="none"/>
          </w:rPr>
          <w:t>7.12.5</w:t>
        </w:r>
        <w:r w:rsidRPr="00D46F48">
          <w:rPr>
            <w:rStyle w:val="Hyperlink"/>
            <w:rFonts w:ascii="Arial" w:hAnsi="Arial" w:cs="Arial"/>
            <w:b/>
            <w:bCs/>
            <w:sz w:val="20"/>
            <w:u w:val="none"/>
          </w:rPr>
          <w:tab/>
          <w:t>Dangerous driving causing death/serious injury</w:t>
        </w:r>
      </w:hyperlink>
    </w:p>
    <w:p w14:paraId="7AEBC51A" w14:textId="77777777" w:rsidR="009634A3" w:rsidRPr="006928A5" w:rsidRDefault="009634A3" w:rsidP="009634A3">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Pr>
          <w:rStyle w:val="Hyperlink"/>
          <w:rFonts w:ascii="Arial" w:hAnsi="Arial" w:cs="Arial"/>
          <w:b/>
          <w:bCs/>
          <w:sz w:val="20"/>
          <w:u w:val="none"/>
        </w:rPr>
        <w:tab/>
      </w:r>
      <w:hyperlink w:anchor="_7.12.7_Theft" w:history="1">
        <w:r w:rsidRPr="006928A5">
          <w:rPr>
            <w:rStyle w:val="Hyperlink"/>
            <w:rFonts w:ascii="Arial" w:hAnsi="Arial" w:cs="Arial"/>
            <w:b/>
            <w:bCs/>
            <w:sz w:val="20"/>
            <w:u w:val="none"/>
          </w:rPr>
          <w:t>7.12.</w:t>
        </w:r>
        <w:r>
          <w:rPr>
            <w:rStyle w:val="Hyperlink"/>
            <w:rFonts w:ascii="Arial" w:hAnsi="Arial" w:cs="Arial"/>
            <w:b/>
            <w:bCs/>
            <w:sz w:val="20"/>
            <w:u w:val="none"/>
          </w:rPr>
          <w:t>6</w:t>
        </w:r>
        <w:r w:rsidRPr="006928A5">
          <w:rPr>
            <w:rStyle w:val="Hyperlink"/>
            <w:rFonts w:ascii="Arial" w:hAnsi="Arial" w:cs="Arial"/>
            <w:b/>
            <w:bCs/>
            <w:sz w:val="20"/>
            <w:u w:val="none"/>
          </w:rPr>
          <w:tab/>
        </w:r>
        <w:r>
          <w:rPr>
            <w:rStyle w:val="Hyperlink"/>
            <w:rFonts w:ascii="Arial" w:hAnsi="Arial" w:cs="Arial"/>
            <w:b/>
            <w:bCs/>
            <w:sz w:val="20"/>
            <w:u w:val="none"/>
          </w:rPr>
          <w:t>Theft</w:t>
        </w:r>
      </w:hyperlink>
    </w:p>
    <w:p w14:paraId="57E7FC23" w14:textId="1C69B6FA" w:rsidR="001D3283" w:rsidRPr="006928A5" w:rsidRDefault="001D3283" w:rsidP="001D3283">
      <w:pPr>
        <w:pBdr>
          <w:top w:val="single" w:sz="4" w:space="1" w:color="auto"/>
          <w:left w:val="single" w:sz="4" w:space="4" w:color="auto"/>
          <w:bottom w:val="single" w:sz="4" w:space="1" w:color="auto"/>
          <w:right w:val="single" w:sz="4" w:space="4" w:color="auto"/>
        </w:pBdr>
        <w:rPr>
          <w:rStyle w:val="Hyperlink"/>
          <w:rFonts w:ascii="Arial" w:hAnsi="Arial" w:cs="Arial"/>
          <w:b/>
          <w:bCs/>
          <w:sz w:val="20"/>
          <w:u w:val="none"/>
        </w:rPr>
      </w:pPr>
      <w:r>
        <w:rPr>
          <w:rStyle w:val="Hyperlink"/>
          <w:rFonts w:ascii="Arial" w:hAnsi="Arial" w:cs="Arial"/>
          <w:b/>
          <w:bCs/>
          <w:sz w:val="20"/>
          <w:u w:val="none"/>
        </w:rPr>
        <w:tab/>
      </w:r>
      <w:hyperlink w:anchor="_7.12.6_Committing_an" w:history="1">
        <w:r w:rsidRPr="006928A5">
          <w:rPr>
            <w:rStyle w:val="Hyperlink"/>
            <w:rFonts w:ascii="Arial" w:hAnsi="Arial" w:cs="Arial"/>
            <w:b/>
            <w:bCs/>
            <w:sz w:val="20"/>
            <w:u w:val="none"/>
          </w:rPr>
          <w:t>7.12.</w:t>
        </w:r>
        <w:r w:rsidR="009634A3">
          <w:rPr>
            <w:rStyle w:val="Hyperlink"/>
            <w:rFonts w:ascii="Arial" w:hAnsi="Arial" w:cs="Arial"/>
            <w:b/>
            <w:bCs/>
            <w:sz w:val="20"/>
            <w:u w:val="none"/>
          </w:rPr>
          <w:t>7</w:t>
        </w:r>
        <w:r w:rsidRPr="006928A5">
          <w:rPr>
            <w:rStyle w:val="Hyperlink"/>
            <w:rFonts w:ascii="Arial" w:hAnsi="Arial" w:cs="Arial"/>
            <w:b/>
            <w:bCs/>
            <w:sz w:val="20"/>
            <w:u w:val="none"/>
          </w:rPr>
          <w:tab/>
        </w:r>
        <w:r w:rsidR="006928A5" w:rsidRPr="006928A5">
          <w:rPr>
            <w:rStyle w:val="Hyperlink"/>
            <w:rFonts w:ascii="Arial" w:hAnsi="Arial" w:cs="Arial"/>
            <w:b/>
            <w:bCs/>
            <w:sz w:val="20"/>
            <w:u w:val="none"/>
          </w:rPr>
          <w:t>Committing an act that o</w:t>
        </w:r>
        <w:r w:rsidRPr="006928A5">
          <w:rPr>
            <w:rStyle w:val="Hyperlink"/>
            <w:rFonts w:ascii="Arial" w:hAnsi="Arial" w:cs="Arial"/>
            <w:b/>
            <w:bCs/>
            <w:sz w:val="20"/>
            <w:u w:val="none"/>
          </w:rPr>
          <w:t>utrag</w:t>
        </w:r>
        <w:r w:rsidR="006928A5" w:rsidRPr="006928A5">
          <w:rPr>
            <w:rStyle w:val="Hyperlink"/>
            <w:rFonts w:ascii="Arial" w:hAnsi="Arial" w:cs="Arial"/>
            <w:b/>
            <w:bCs/>
            <w:sz w:val="20"/>
            <w:u w:val="none"/>
          </w:rPr>
          <w:t>es</w:t>
        </w:r>
        <w:r w:rsidRPr="006928A5">
          <w:rPr>
            <w:rStyle w:val="Hyperlink"/>
            <w:rFonts w:ascii="Arial" w:hAnsi="Arial" w:cs="Arial"/>
            <w:b/>
            <w:bCs/>
            <w:sz w:val="20"/>
            <w:u w:val="none"/>
          </w:rPr>
          <w:t xml:space="preserve"> public decency</w:t>
        </w:r>
      </w:hyperlink>
    </w:p>
    <w:p w14:paraId="2AAC44A0" w14:textId="32864878" w:rsidR="00134935" w:rsidRDefault="00134935" w:rsidP="009634A3">
      <w:pPr>
        <w:pBdr>
          <w:top w:val="single" w:sz="4" w:space="1" w:color="auto"/>
          <w:left w:val="single" w:sz="4" w:space="4" w:color="auto"/>
          <w:bottom w:val="single" w:sz="4" w:space="1" w:color="auto"/>
          <w:right w:val="single" w:sz="4" w:space="4" w:color="auto"/>
        </w:pBdr>
        <w:ind w:firstLine="680"/>
        <w:rPr>
          <w:color w:val="0000FF"/>
        </w:rPr>
      </w:pPr>
      <w:hyperlink w:anchor="_7.12.8_Intentionally_distributing" w:history="1">
        <w:r w:rsidRPr="005860C7">
          <w:rPr>
            <w:rStyle w:val="Hyperlink"/>
            <w:rFonts w:ascii="Arial" w:hAnsi="Arial" w:cs="Arial"/>
            <w:b/>
            <w:bCs/>
            <w:sz w:val="20"/>
            <w:szCs w:val="20"/>
            <w:u w:val="none"/>
          </w:rPr>
          <w:t>7.12.8</w:t>
        </w:r>
        <w:r w:rsidRPr="005860C7">
          <w:rPr>
            <w:rStyle w:val="Hyperlink"/>
            <w:rFonts w:ascii="Arial" w:hAnsi="Arial" w:cs="Arial"/>
            <w:b/>
            <w:bCs/>
            <w:sz w:val="20"/>
            <w:szCs w:val="20"/>
            <w:u w:val="none"/>
          </w:rPr>
          <w:tab/>
        </w:r>
        <w:r w:rsidRPr="005860C7">
          <w:rPr>
            <w:rFonts w:ascii="Arial" w:hAnsi="Arial" w:cs="Arial"/>
            <w:b/>
            <w:bCs/>
            <w:color w:val="0000FF"/>
            <w:sz w:val="20"/>
          </w:rPr>
          <w:t>Intentionally distributing an intimate image contrary to community standards</w:t>
        </w:r>
      </w:hyperlink>
    </w:p>
    <w:p w14:paraId="24084362" w14:textId="1E332201" w:rsidR="00F22097" w:rsidRDefault="00F22097" w:rsidP="00B06E72">
      <w:pPr>
        <w:pBdr>
          <w:top w:val="single" w:sz="4" w:space="1" w:color="auto"/>
          <w:left w:val="single" w:sz="4" w:space="4" w:color="auto"/>
          <w:bottom w:val="single" w:sz="4" w:space="1" w:color="auto"/>
          <w:right w:val="single" w:sz="4" w:space="4" w:color="auto"/>
        </w:pBdr>
        <w:spacing w:before="20"/>
        <w:rPr>
          <w:rStyle w:val="Hyperlink"/>
          <w:rFonts w:ascii="Arial" w:hAnsi="Arial" w:cs="Arial"/>
          <w:b/>
          <w:bCs/>
          <w:u w:val="none"/>
        </w:rPr>
      </w:pPr>
      <w:hyperlink w:anchor="_7.13_‘Crossover_kids’" w:history="1">
        <w:r w:rsidRPr="00F22097">
          <w:rPr>
            <w:rStyle w:val="Hyperlink"/>
            <w:rFonts w:ascii="Arial" w:hAnsi="Arial" w:cs="Arial"/>
            <w:b/>
            <w:bCs/>
            <w:u w:val="none"/>
          </w:rPr>
          <w:t>7.13</w:t>
        </w:r>
        <w:r w:rsidRPr="00F22097">
          <w:rPr>
            <w:rStyle w:val="Hyperlink"/>
            <w:rFonts w:ascii="Arial" w:hAnsi="Arial" w:cs="Arial"/>
            <w:b/>
            <w:bCs/>
            <w:u w:val="none"/>
          </w:rPr>
          <w:tab/>
        </w:r>
        <w:r w:rsidR="004336F6">
          <w:rPr>
            <w:rStyle w:val="Hyperlink"/>
            <w:rFonts w:ascii="Arial" w:hAnsi="Arial" w:cs="Arial"/>
            <w:b/>
            <w:bCs/>
            <w:u w:val="none"/>
          </w:rPr>
          <w:t>I</w:t>
        </w:r>
        <w:r w:rsidRPr="00F22097">
          <w:rPr>
            <w:rStyle w:val="Hyperlink"/>
            <w:rFonts w:ascii="Arial" w:hAnsi="Arial" w:cs="Arial"/>
            <w:b/>
            <w:bCs/>
            <w:u w:val="none"/>
          </w:rPr>
          <w:t xml:space="preserve">mpact of a child’s </w:t>
        </w:r>
        <w:r w:rsidR="004336F6">
          <w:rPr>
            <w:rStyle w:val="Hyperlink"/>
            <w:rFonts w:ascii="Arial" w:hAnsi="Arial" w:cs="Arial"/>
            <w:b/>
            <w:bCs/>
            <w:u w:val="none"/>
          </w:rPr>
          <w:t xml:space="preserve">/ young adult’s </w:t>
        </w:r>
        <w:r w:rsidRPr="00F22097">
          <w:rPr>
            <w:rStyle w:val="Hyperlink"/>
            <w:rFonts w:ascii="Arial" w:hAnsi="Arial" w:cs="Arial"/>
            <w:b/>
            <w:bCs/>
            <w:u w:val="none"/>
          </w:rPr>
          <w:t xml:space="preserve">mental </w:t>
        </w:r>
        <w:r w:rsidR="00A13592">
          <w:rPr>
            <w:rStyle w:val="Hyperlink"/>
            <w:rFonts w:ascii="Arial" w:hAnsi="Arial" w:cs="Arial"/>
            <w:b/>
            <w:bCs/>
            <w:u w:val="none"/>
          </w:rPr>
          <w:t>development</w:t>
        </w:r>
        <w:r w:rsidRPr="00F22097">
          <w:rPr>
            <w:rStyle w:val="Hyperlink"/>
            <w:rFonts w:ascii="Arial" w:hAnsi="Arial" w:cs="Arial"/>
            <w:b/>
            <w:bCs/>
            <w:u w:val="none"/>
          </w:rPr>
          <w:t xml:space="preserve"> on offending</w:t>
        </w:r>
      </w:hyperlink>
    </w:p>
    <w:p w14:paraId="3CE9F76D" w14:textId="77777777" w:rsidR="00A971C8" w:rsidRDefault="00A971C8" w:rsidP="00A971C8">
      <w:pPr>
        <w:rPr>
          <w:rFonts w:ascii="Arial" w:hAnsi="Arial" w:cs="Arial"/>
          <w:sz w:val="20"/>
        </w:rPr>
      </w:pPr>
    </w:p>
    <w:p w14:paraId="2BB008C5" w14:textId="77777777" w:rsidR="009661BA" w:rsidRPr="00792C10" w:rsidRDefault="009661BA" w:rsidP="009661BA">
      <w:pPr>
        <w:pStyle w:val="Heading2"/>
        <w:widowControl/>
        <w:shd w:val="clear" w:color="auto" w:fill="000000" w:themeFill="text1"/>
        <w:tabs>
          <w:tab w:val="left" w:pos="567"/>
        </w:tabs>
        <w:spacing w:line="240" w:lineRule="auto"/>
        <w:jc w:val="center"/>
        <w:rPr>
          <w:rFonts w:ascii="Arial" w:hAnsi="Arial" w:cs="Arial"/>
          <w:b/>
          <w:bCs/>
          <w:color w:val="FFFFFF" w:themeColor="background1"/>
          <w:sz w:val="22"/>
          <w:szCs w:val="18"/>
        </w:rPr>
      </w:pPr>
      <w:r w:rsidRPr="00792C10">
        <w:rPr>
          <w:rFonts w:ascii="Arial" w:hAnsi="Arial" w:cs="Arial"/>
          <w:b/>
          <w:bCs/>
          <w:color w:val="FFFFFF" w:themeColor="background1"/>
          <w:sz w:val="22"/>
          <w:szCs w:val="18"/>
        </w:rPr>
        <w:t>UNLESS INDICATED OTHERWISE, ALL LEGISLATION REFERRED TO IS VICTORIAN.</w:t>
      </w:r>
    </w:p>
    <w:p w14:paraId="0CE8754F" w14:textId="77777777" w:rsidR="009661BA" w:rsidRPr="000C6804" w:rsidRDefault="009661BA" w:rsidP="00A971C8">
      <w:pPr>
        <w:rPr>
          <w:rFonts w:ascii="Arial" w:hAnsi="Arial" w:cs="Arial"/>
          <w:sz w:val="20"/>
        </w:rPr>
      </w:pPr>
    </w:p>
    <w:p w14:paraId="3F6CF147" w14:textId="77777777" w:rsidR="00B22584" w:rsidRPr="00F51496" w:rsidRDefault="00B22584">
      <w:pPr>
        <w:pStyle w:val="Heading2"/>
        <w:keepNext/>
        <w:tabs>
          <w:tab w:val="left" w:pos="567"/>
        </w:tabs>
        <w:spacing w:line="240" w:lineRule="auto"/>
        <w:rPr>
          <w:rFonts w:ascii="Arial" w:hAnsi="Arial" w:cs="Arial"/>
          <w:b/>
          <w:bCs/>
          <w:color w:val="000000"/>
        </w:rPr>
      </w:pPr>
      <w:bookmarkStart w:id="45" w:name="_7.1_Jurisdiction_of"/>
      <w:bookmarkStart w:id="46" w:name="_Toc30669416"/>
      <w:bookmarkStart w:id="47" w:name="_Toc30671632"/>
      <w:bookmarkStart w:id="48" w:name="_Toc30674159"/>
      <w:bookmarkStart w:id="49" w:name="_Toc30691381"/>
      <w:bookmarkStart w:id="50" w:name="_Toc30691756"/>
      <w:bookmarkStart w:id="51" w:name="_Toc30692136"/>
      <w:bookmarkStart w:id="52" w:name="_Toc30692895"/>
      <w:bookmarkStart w:id="53" w:name="_Toc30693274"/>
      <w:bookmarkStart w:id="54" w:name="_Toc30693652"/>
      <w:bookmarkStart w:id="55" w:name="_Toc30694030"/>
      <w:bookmarkStart w:id="56" w:name="_Toc30694411"/>
      <w:bookmarkStart w:id="57" w:name="_Toc30699000"/>
      <w:bookmarkStart w:id="58" w:name="_Toc30699378"/>
      <w:bookmarkStart w:id="59" w:name="_Toc30699763"/>
      <w:bookmarkStart w:id="60" w:name="_Toc30700918"/>
      <w:bookmarkStart w:id="61" w:name="_Toc30701305"/>
      <w:bookmarkStart w:id="62" w:name="_Toc30743916"/>
      <w:bookmarkStart w:id="63" w:name="_Toc30754739"/>
      <w:bookmarkStart w:id="64" w:name="_Toc30757180"/>
      <w:bookmarkStart w:id="65" w:name="_Toc30757728"/>
      <w:bookmarkStart w:id="66" w:name="_Toc30758128"/>
      <w:bookmarkStart w:id="67" w:name="_Toc30762889"/>
      <w:bookmarkStart w:id="68" w:name="_Toc30767543"/>
      <w:bookmarkStart w:id="69" w:name="_Toc34823561"/>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r w:rsidRPr="00F51496">
        <w:rPr>
          <w:rFonts w:ascii="Arial" w:hAnsi="Arial" w:cs="Arial"/>
          <w:b/>
          <w:bCs/>
          <w:color w:val="000000"/>
        </w:rPr>
        <w:t>7.</w:t>
      </w:r>
      <w:r w:rsidR="00ED1E6B">
        <w:rPr>
          <w:rFonts w:ascii="Arial" w:hAnsi="Arial" w:cs="Arial"/>
          <w:b/>
          <w:bCs/>
          <w:color w:val="000000"/>
        </w:rPr>
        <w:t>1</w:t>
      </w:r>
      <w:r w:rsidRPr="00F51496">
        <w:rPr>
          <w:rFonts w:ascii="Arial" w:hAnsi="Arial" w:cs="Arial"/>
          <w:b/>
          <w:bCs/>
          <w:color w:val="000000"/>
        </w:rPr>
        <w:tab/>
        <w:t>Jurisdiction</w:t>
      </w: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F51496">
        <w:rPr>
          <w:rFonts w:ascii="Arial" w:hAnsi="Arial" w:cs="Arial"/>
          <w:b/>
          <w:bCs/>
          <w:color w:val="000000"/>
        </w:rPr>
        <w:t xml:space="preserve"> of Criminal Division</w:t>
      </w:r>
      <w:bookmarkEnd w:id="64"/>
      <w:bookmarkEnd w:id="65"/>
      <w:bookmarkEnd w:id="66"/>
      <w:bookmarkEnd w:id="67"/>
      <w:bookmarkEnd w:id="68"/>
      <w:bookmarkEnd w:id="69"/>
    </w:p>
    <w:p w14:paraId="51711379" w14:textId="77777777" w:rsidR="00B22584" w:rsidRPr="00F51496" w:rsidRDefault="00B22584">
      <w:pPr>
        <w:jc w:val="both"/>
        <w:rPr>
          <w:rFonts w:ascii="Arial" w:hAnsi="Arial" w:cs="Arial"/>
          <w:color w:val="000000"/>
          <w:sz w:val="20"/>
        </w:rPr>
      </w:pPr>
    </w:p>
    <w:p w14:paraId="45965F5D" w14:textId="714312D7" w:rsidR="00C8103B" w:rsidRPr="00B46EF1" w:rsidRDefault="00B22584" w:rsidP="00C8103B">
      <w:pPr>
        <w:jc w:val="both"/>
        <w:rPr>
          <w:rFonts w:ascii="Arial" w:hAnsi="Arial" w:cs="Arial"/>
          <w:bCs/>
          <w:color w:val="000000"/>
          <w:sz w:val="20"/>
        </w:rPr>
      </w:pPr>
      <w:r w:rsidRPr="00F51496">
        <w:rPr>
          <w:rFonts w:ascii="Arial" w:hAnsi="Arial" w:cs="Arial"/>
          <w:color w:val="000000"/>
          <w:sz w:val="20"/>
        </w:rPr>
        <w:t>When we refer to the jurisdiction of a court we are talking about its legal power to hear and determine a particular matter.</w:t>
      </w:r>
      <w:r w:rsidR="00965E27">
        <w:rPr>
          <w:rFonts w:ascii="Arial" w:hAnsi="Arial" w:cs="Arial"/>
          <w:color w:val="000000"/>
          <w:sz w:val="20"/>
        </w:rPr>
        <w:t xml:space="preserve"> </w:t>
      </w:r>
      <w:r w:rsidR="00C8103B">
        <w:rPr>
          <w:rFonts w:ascii="Arial" w:hAnsi="Arial" w:cs="Arial"/>
          <w:color w:val="000000"/>
          <w:sz w:val="20"/>
        </w:rPr>
        <w:t xml:space="preserve">Under </w:t>
      </w:r>
      <w:r w:rsidR="00C8103B" w:rsidRPr="00B46EF1">
        <w:rPr>
          <w:rFonts w:ascii="Arial" w:hAnsi="Arial" w:cs="Arial"/>
          <w:bCs/>
          <w:color w:val="000000"/>
          <w:sz w:val="20"/>
        </w:rPr>
        <w:t xml:space="preserve">s.504(3) of the </w:t>
      </w:r>
      <w:r w:rsidR="00C8103B" w:rsidRPr="008102AC">
        <w:rPr>
          <w:rFonts w:ascii="Arial" w:hAnsi="Arial" w:cs="Arial"/>
          <w:i/>
          <w:iCs/>
          <w:color w:val="000000"/>
          <w:sz w:val="20"/>
        </w:rPr>
        <w:t>Children, Youth and Families Act 2005</w:t>
      </w:r>
      <w:r w:rsidR="00C8103B" w:rsidRPr="00F51496">
        <w:rPr>
          <w:rFonts w:ascii="Arial" w:hAnsi="Arial" w:cs="Arial"/>
          <w:color w:val="000000"/>
          <w:sz w:val="20"/>
        </w:rPr>
        <w:t xml:space="preserve"> [No.96/2005] </w:t>
      </w:r>
      <w:r w:rsidR="00C8103B">
        <w:rPr>
          <w:rFonts w:ascii="Arial" w:hAnsi="Arial" w:cs="Arial"/>
          <w:color w:val="000000"/>
          <w:sz w:val="20"/>
        </w:rPr>
        <w:t>[</w:t>
      </w:r>
      <w:r w:rsidR="00C8103B" w:rsidRPr="00B46EF1">
        <w:rPr>
          <w:rFonts w:ascii="Arial" w:hAnsi="Arial" w:cs="Arial"/>
          <w:bCs/>
          <w:color w:val="000000"/>
          <w:sz w:val="20"/>
        </w:rPr>
        <w:t>CYFA</w:t>
      </w:r>
      <w:r w:rsidR="00C8103B">
        <w:rPr>
          <w:rFonts w:ascii="Arial" w:hAnsi="Arial" w:cs="Arial"/>
          <w:bCs/>
          <w:color w:val="000000"/>
          <w:sz w:val="20"/>
        </w:rPr>
        <w:t>],</w:t>
      </w:r>
      <w:r w:rsidR="00C8103B" w:rsidRPr="00B46EF1">
        <w:rPr>
          <w:rFonts w:ascii="Arial" w:hAnsi="Arial" w:cs="Arial"/>
          <w:bCs/>
          <w:color w:val="000000"/>
          <w:sz w:val="20"/>
        </w:rPr>
        <w:t xml:space="preserve"> the Children’s Court in effect has three Divisions</w:t>
      </w:r>
      <w:r w:rsidR="00C8103B">
        <w:rPr>
          <w:rFonts w:ascii="Arial" w:hAnsi="Arial" w:cs="Arial"/>
          <w:bCs/>
          <w:color w:val="000000"/>
          <w:sz w:val="20"/>
        </w:rPr>
        <w:t>:</w:t>
      </w:r>
    </w:p>
    <w:p w14:paraId="34D547E8" w14:textId="77777777" w:rsidR="00C8103B" w:rsidRPr="00B46EF1" w:rsidRDefault="00C8103B" w:rsidP="00C8103B">
      <w:pPr>
        <w:tabs>
          <w:tab w:val="left" w:pos="363"/>
        </w:tabs>
        <w:jc w:val="both"/>
        <w:rPr>
          <w:rFonts w:ascii="Arial" w:hAnsi="Arial" w:cs="Arial"/>
          <w:bCs/>
          <w:color w:val="000000"/>
          <w:sz w:val="20"/>
        </w:rPr>
      </w:pPr>
      <w:r w:rsidRPr="00B46EF1">
        <w:rPr>
          <w:rFonts w:ascii="Arial" w:hAnsi="Arial" w:cs="Arial"/>
          <w:bCs/>
          <w:color w:val="000000"/>
          <w:sz w:val="20"/>
        </w:rPr>
        <w:t>(a)</w:t>
      </w:r>
      <w:r w:rsidRPr="00B46EF1">
        <w:rPr>
          <w:rFonts w:ascii="Arial" w:hAnsi="Arial" w:cs="Arial"/>
          <w:bCs/>
          <w:color w:val="000000"/>
          <w:sz w:val="20"/>
        </w:rPr>
        <w:tab/>
        <w:t>the Family Division;</w:t>
      </w:r>
    </w:p>
    <w:p w14:paraId="75344FF1" w14:textId="77777777" w:rsidR="00C8103B" w:rsidRPr="00B46EF1" w:rsidRDefault="00C8103B" w:rsidP="00C8103B">
      <w:pPr>
        <w:tabs>
          <w:tab w:val="left" w:pos="363"/>
        </w:tabs>
        <w:jc w:val="both"/>
        <w:rPr>
          <w:rFonts w:ascii="Arial" w:hAnsi="Arial" w:cs="Arial"/>
          <w:bCs/>
          <w:color w:val="000000"/>
          <w:sz w:val="20"/>
        </w:rPr>
      </w:pPr>
      <w:r w:rsidRPr="00B46EF1">
        <w:rPr>
          <w:rFonts w:ascii="Arial" w:hAnsi="Arial" w:cs="Arial"/>
          <w:bCs/>
          <w:color w:val="000000"/>
          <w:sz w:val="20"/>
        </w:rPr>
        <w:t>(b)</w:t>
      </w:r>
      <w:r w:rsidRPr="00B46EF1">
        <w:rPr>
          <w:rFonts w:ascii="Arial" w:hAnsi="Arial" w:cs="Arial"/>
          <w:bCs/>
          <w:color w:val="000000"/>
          <w:sz w:val="20"/>
        </w:rPr>
        <w:tab/>
        <w:t>the Criminal Division; and</w:t>
      </w:r>
    </w:p>
    <w:p w14:paraId="72EBC762" w14:textId="77777777" w:rsidR="00C8103B" w:rsidRPr="00B46EF1" w:rsidRDefault="00C8103B" w:rsidP="00C8103B">
      <w:pPr>
        <w:tabs>
          <w:tab w:val="left" w:pos="363"/>
        </w:tabs>
        <w:jc w:val="both"/>
        <w:rPr>
          <w:rFonts w:ascii="Arial" w:hAnsi="Arial" w:cs="Arial"/>
          <w:bCs/>
          <w:color w:val="000000"/>
          <w:sz w:val="20"/>
        </w:rPr>
      </w:pPr>
      <w:r w:rsidRPr="00B46EF1">
        <w:rPr>
          <w:rFonts w:ascii="Arial" w:hAnsi="Arial" w:cs="Arial"/>
          <w:bCs/>
          <w:color w:val="000000"/>
          <w:sz w:val="20"/>
        </w:rPr>
        <w:t>(c)</w:t>
      </w:r>
      <w:r w:rsidRPr="00B46EF1">
        <w:rPr>
          <w:rFonts w:ascii="Arial" w:hAnsi="Arial" w:cs="Arial"/>
          <w:bCs/>
          <w:color w:val="000000"/>
          <w:sz w:val="20"/>
        </w:rPr>
        <w:tab/>
        <w:t xml:space="preserve">the </w:t>
      </w:r>
      <w:smartTag w:uri="urn:schemas-microsoft-com:office:smarttags" w:element="address">
        <w:smartTag w:uri="urn:schemas-microsoft-com:office:smarttags" w:element="Street">
          <w:r w:rsidRPr="00B46EF1">
            <w:rPr>
              <w:rFonts w:ascii="Arial" w:hAnsi="Arial" w:cs="Arial"/>
              <w:bCs/>
              <w:color w:val="000000"/>
              <w:sz w:val="20"/>
            </w:rPr>
            <w:t>Koori Court</w:t>
          </w:r>
        </w:smartTag>
      </w:smartTag>
      <w:r w:rsidRPr="00B46EF1">
        <w:rPr>
          <w:rFonts w:ascii="Arial" w:hAnsi="Arial" w:cs="Arial"/>
          <w:bCs/>
          <w:color w:val="000000"/>
          <w:sz w:val="20"/>
        </w:rPr>
        <w:t xml:space="preserve"> (Criminal Division).</w:t>
      </w:r>
    </w:p>
    <w:p w14:paraId="0C30C230" w14:textId="77777777" w:rsidR="00C8103B" w:rsidRDefault="00C8103B">
      <w:pPr>
        <w:jc w:val="both"/>
        <w:rPr>
          <w:rFonts w:ascii="Arial" w:hAnsi="Arial" w:cs="Arial"/>
          <w:color w:val="000000"/>
          <w:sz w:val="20"/>
        </w:rPr>
      </w:pPr>
    </w:p>
    <w:p w14:paraId="2E0CB0CB" w14:textId="77777777" w:rsidR="002E2363" w:rsidRPr="00F51496" w:rsidRDefault="002E2363" w:rsidP="002E2363">
      <w:pPr>
        <w:jc w:val="both"/>
        <w:rPr>
          <w:rFonts w:ascii="Arial" w:hAnsi="Arial" w:cs="Arial"/>
          <w:color w:val="000000"/>
          <w:sz w:val="20"/>
        </w:rPr>
      </w:pPr>
      <w:r w:rsidRPr="00F51496">
        <w:rPr>
          <w:rFonts w:ascii="Arial" w:hAnsi="Arial" w:cs="Arial"/>
          <w:color w:val="000000"/>
          <w:sz w:val="20"/>
        </w:rPr>
        <w:t>Part 7.2 of t</w:t>
      </w:r>
      <w:r>
        <w:rPr>
          <w:rFonts w:ascii="Arial" w:hAnsi="Arial" w:cs="Arial"/>
          <w:color w:val="000000"/>
          <w:sz w:val="20"/>
        </w:rPr>
        <w:t xml:space="preserve">he CYFA </w:t>
      </w:r>
      <w:r w:rsidRPr="00F51496">
        <w:rPr>
          <w:rFonts w:ascii="Arial" w:hAnsi="Arial" w:cs="Arial"/>
          <w:color w:val="000000"/>
          <w:sz w:val="20"/>
        </w:rPr>
        <w:t>defines and delineates the jurisdiction of each of the</w:t>
      </w:r>
      <w:r>
        <w:rPr>
          <w:rFonts w:ascii="Arial" w:hAnsi="Arial" w:cs="Arial"/>
          <w:color w:val="000000"/>
          <w:sz w:val="20"/>
        </w:rPr>
        <w:t>se</w:t>
      </w:r>
      <w:r w:rsidRPr="00F51496">
        <w:rPr>
          <w:rFonts w:ascii="Arial" w:hAnsi="Arial" w:cs="Arial"/>
          <w:color w:val="000000"/>
          <w:sz w:val="20"/>
        </w:rPr>
        <w:t xml:space="preserve"> three Divisions of the Children's Court of Victoria.</w:t>
      </w:r>
      <w:r>
        <w:rPr>
          <w:rFonts w:ascii="Arial" w:hAnsi="Arial" w:cs="Arial"/>
          <w:color w:val="000000"/>
          <w:sz w:val="20"/>
        </w:rPr>
        <w:t xml:space="preserve"> </w:t>
      </w:r>
    </w:p>
    <w:p w14:paraId="4397B522" w14:textId="77777777" w:rsidR="002E2363" w:rsidRDefault="002E2363">
      <w:pPr>
        <w:jc w:val="both"/>
        <w:rPr>
          <w:rFonts w:ascii="Arial" w:hAnsi="Arial" w:cs="Arial"/>
          <w:color w:val="000000"/>
          <w:sz w:val="20"/>
        </w:rPr>
      </w:pPr>
    </w:p>
    <w:p w14:paraId="34E41C6D" w14:textId="7DE77DC0" w:rsidR="00193DD6" w:rsidRDefault="00193DD6">
      <w:pPr>
        <w:jc w:val="both"/>
        <w:rPr>
          <w:rFonts w:ascii="Arial" w:hAnsi="Arial" w:cs="Arial"/>
          <w:color w:val="000000"/>
          <w:sz w:val="20"/>
        </w:rPr>
      </w:pPr>
      <w:r>
        <w:rPr>
          <w:rFonts w:ascii="Arial" w:hAnsi="Arial" w:cs="Arial"/>
          <w:color w:val="000000"/>
          <w:sz w:val="20"/>
        </w:rPr>
        <w:t xml:space="preserve">The </w:t>
      </w:r>
      <w:r w:rsidRPr="00193DD6">
        <w:rPr>
          <w:rFonts w:ascii="Arial" w:hAnsi="Arial" w:cs="Arial"/>
          <w:i/>
          <w:iCs/>
          <w:color w:val="000000"/>
          <w:sz w:val="20"/>
        </w:rPr>
        <w:t>Youth Justice Act 2024</w:t>
      </w:r>
      <w:r>
        <w:rPr>
          <w:rFonts w:ascii="Arial" w:hAnsi="Arial" w:cs="Arial"/>
          <w:color w:val="000000"/>
          <w:sz w:val="20"/>
        </w:rPr>
        <w:t xml:space="preserve"> [YJA] was assented to on 10/09/2024. Its primary purpose is to remove the majority of the statutory provisions governing the jurisdiction and operation of the Criminal Division and the Koori Court (Criminal Division) from the CYFA and </w:t>
      </w:r>
      <w:r w:rsidR="002E2363">
        <w:rPr>
          <w:rFonts w:ascii="Arial" w:hAnsi="Arial" w:cs="Arial"/>
          <w:color w:val="000000"/>
          <w:sz w:val="20"/>
        </w:rPr>
        <w:t>include them in the YJA.</w:t>
      </w:r>
    </w:p>
    <w:p w14:paraId="1A1C3008" w14:textId="77777777" w:rsidR="00193DD6" w:rsidRDefault="00193DD6">
      <w:pPr>
        <w:jc w:val="both"/>
        <w:rPr>
          <w:rFonts w:ascii="Arial" w:hAnsi="Arial" w:cs="Arial"/>
          <w:color w:val="000000"/>
          <w:sz w:val="20"/>
        </w:rPr>
      </w:pPr>
    </w:p>
    <w:p w14:paraId="3E855317" w14:textId="3D8AD4B0" w:rsidR="002E2363" w:rsidRPr="00F51496" w:rsidRDefault="002E2363" w:rsidP="002E2363">
      <w:pPr>
        <w:jc w:val="both"/>
        <w:rPr>
          <w:rFonts w:ascii="Arial" w:hAnsi="Arial" w:cs="Arial"/>
          <w:color w:val="000000"/>
          <w:sz w:val="20"/>
        </w:rPr>
      </w:pPr>
      <w:r w:rsidRPr="00F51496">
        <w:rPr>
          <w:rFonts w:ascii="Arial" w:hAnsi="Arial" w:cs="Arial"/>
          <w:color w:val="000000"/>
          <w:sz w:val="20"/>
        </w:rPr>
        <w:t xml:space="preserve">It is clear from s.1(c) of the CYFA </w:t>
      </w:r>
      <w:r>
        <w:rPr>
          <w:rFonts w:ascii="Arial" w:hAnsi="Arial" w:cs="Arial"/>
          <w:color w:val="000000"/>
          <w:sz w:val="20"/>
        </w:rPr>
        <w:t xml:space="preserve">and s.1(f) of the YJA </w:t>
      </w:r>
      <w:r w:rsidRPr="00F51496">
        <w:rPr>
          <w:rFonts w:ascii="Arial" w:hAnsi="Arial" w:cs="Arial"/>
          <w:color w:val="000000"/>
          <w:sz w:val="20"/>
        </w:rPr>
        <w:t>that one of the main purposes of the Children's Court is to deal with children who have been charged with, or who have been found guilty of, offences.</w:t>
      </w:r>
    </w:p>
    <w:p w14:paraId="023B785E" w14:textId="77777777" w:rsidR="002E2363" w:rsidRDefault="002E2363">
      <w:pPr>
        <w:jc w:val="both"/>
        <w:rPr>
          <w:rFonts w:ascii="Arial" w:hAnsi="Arial" w:cs="Arial"/>
          <w:color w:val="000000"/>
          <w:sz w:val="20"/>
        </w:rPr>
      </w:pPr>
    </w:p>
    <w:p w14:paraId="56C4D359" w14:textId="4D97881E" w:rsidR="00193DD6" w:rsidRDefault="00193DD6">
      <w:pPr>
        <w:jc w:val="both"/>
        <w:rPr>
          <w:rFonts w:ascii="Arial" w:hAnsi="Arial" w:cs="Arial"/>
          <w:color w:val="000000"/>
          <w:sz w:val="20"/>
        </w:rPr>
      </w:pPr>
      <w:r>
        <w:rPr>
          <w:rFonts w:ascii="Arial" w:hAnsi="Arial" w:cs="Arial"/>
          <w:color w:val="000000"/>
          <w:sz w:val="20"/>
        </w:rPr>
        <w:t xml:space="preserve">Section 2 of the YJA provides </w:t>
      </w:r>
      <w:r w:rsidR="002E2363">
        <w:rPr>
          <w:rFonts w:ascii="Arial" w:hAnsi="Arial" w:cs="Arial"/>
          <w:color w:val="000000"/>
          <w:sz w:val="20"/>
          <w:szCs w:val="20"/>
        </w:rPr>
        <w:t>for the YJA to have a staggered commencement</w:t>
      </w:r>
      <w:r w:rsidR="00590EE1">
        <w:rPr>
          <w:rFonts w:ascii="Arial" w:hAnsi="Arial" w:cs="Arial"/>
          <w:color w:val="000000"/>
          <w:sz w:val="20"/>
          <w:szCs w:val="20"/>
        </w:rPr>
        <w:t xml:space="preserve"> resulting in a </w:t>
      </w:r>
      <w:r w:rsidR="002E2363">
        <w:rPr>
          <w:rFonts w:ascii="Arial" w:hAnsi="Arial" w:cs="Arial"/>
          <w:color w:val="000000"/>
          <w:sz w:val="20"/>
          <w:szCs w:val="20"/>
        </w:rPr>
        <w:t>few provisions of the YJA commenc</w:t>
      </w:r>
      <w:r w:rsidR="00590EE1">
        <w:rPr>
          <w:rFonts w:ascii="Arial" w:hAnsi="Arial" w:cs="Arial"/>
          <w:color w:val="000000"/>
          <w:sz w:val="20"/>
          <w:szCs w:val="20"/>
        </w:rPr>
        <w:t>ing</w:t>
      </w:r>
      <w:r w:rsidR="002E2363">
        <w:rPr>
          <w:rFonts w:ascii="Arial" w:hAnsi="Arial" w:cs="Arial"/>
          <w:color w:val="000000"/>
          <w:sz w:val="20"/>
          <w:szCs w:val="20"/>
        </w:rPr>
        <w:t xml:space="preserve"> operation prior to the default commencement date of 30/09/2026.</w:t>
      </w:r>
    </w:p>
    <w:p w14:paraId="7220491E" w14:textId="35B3E9BD" w:rsidR="004B245F" w:rsidRPr="004B245F" w:rsidRDefault="004B245F" w:rsidP="004B245F">
      <w:pPr>
        <w:pStyle w:val="AmendHeading2"/>
        <w:tabs>
          <w:tab w:val="right" w:pos="2268"/>
        </w:tabs>
        <w:spacing w:before="0"/>
        <w:ind w:left="2381" w:hanging="2381"/>
        <w:rPr>
          <w:rFonts w:ascii="Arial" w:hAnsi="Arial" w:cs="Arial"/>
          <w:sz w:val="20"/>
          <w:szCs w:val="16"/>
        </w:rPr>
      </w:pPr>
    </w:p>
    <w:p w14:paraId="42D14B37" w14:textId="00A4914C" w:rsidR="002E2363" w:rsidRPr="00F51496" w:rsidRDefault="002E2363" w:rsidP="002E2363">
      <w:pPr>
        <w:jc w:val="both"/>
        <w:rPr>
          <w:rFonts w:ascii="Arial" w:hAnsi="Arial" w:cs="Arial"/>
          <w:color w:val="000000"/>
          <w:sz w:val="20"/>
        </w:rPr>
      </w:pPr>
      <w:r>
        <w:rPr>
          <w:rFonts w:ascii="Arial" w:hAnsi="Arial" w:cs="Arial"/>
          <w:color w:val="000000"/>
          <w:sz w:val="20"/>
        </w:rPr>
        <w:t xml:space="preserve">Section </w:t>
      </w:r>
      <w:r w:rsidR="004F3393" w:rsidRPr="00F51496">
        <w:rPr>
          <w:rFonts w:ascii="Arial" w:hAnsi="Arial" w:cs="Arial"/>
          <w:color w:val="000000"/>
          <w:sz w:val="20"/>
        </w:rPr>
        <w:t>5</w:t>
      </w:r>
      <w:r w:rsidR="00AE3A42" w:rsidRPr="00F51496">
        <w:rPr>
          <w:rFonts w:ascii="Arial" w:hAnsi="Arial" w:cs="Arial"/>
          <w:color w:val="000000"/>
          <w:sz w:val="20"/>
        </w:rPr>
        <w:t>16(1) of the CY</w:t>
      </w:r>
      <w:r w:rsidR="004F3393" w:rsidRPr="00F51496">
        <w:rPr>
          <w:rFonts w:ascii="Arial" w:hAnsi="Arial" w:cs="Arial"/>
          <w:color w:val="000000"/>
          <w:sz w:val="20"/>
        </w:rPr>
        <w:t>F</w:t>
      </w:r>
      <w:r w:rsidR="00AE3A42" w:rsidRPr="00F51496">
        <w:rPr>
          <w:rFonts w:ascii="Arial" w:hAnsi="Arial" w:cs="Arial"/>
          <w:color w:val="000000"/>
          <w:sz w:val="20"/>
        </w:rPr>
        <w:t>A</w:t>
      </w:r>
      <w:r>
        <w:rPr>
          <w:rFonts w:ascii="Arial" w:hAnsi="Arial" w:cs="Arial"/>
          <w:color w:val="000000"/>
          <w:sz w:val="20"/>
        </w:rPr>
        <w:t xml:space="preserve"> </w:t>
      </w:r>
      <w:r w:rsidR="004B245F">
        <w:rPr>
          <w:rFonts w:ascii="Arial" w:hAnsi="Arial" w:cs="Arial"/>
          <w:color w:val="000000"/>
          <w:sz w:val="20"/>
        </w:rPr>
        <w:t xml:space="preserve">(as amended by s.943 of the YJA) </w:t>
      </w:r>
      <w:r>
        <w:rPr>
          <w:rFonts w:ascii="Arial" w:hAnsi="Arial" w:cs="Arial"/>
          <w:color w:val="000000"/>
          <w:sz w:val="20"/>
        </w:rPr>
        <w:t>provides that t</w:t>
      </w:r>
      <w:r w:rsidR="00AE3A42" w:rsidRPr="00F51496">
        <w:rPr>
          <w:rFonts w:ascii="Arial" w:hAnsi="Arial" w:cs="Arial"/>
          <w:color w:val="000000"/>
          <w:sz w:val="20"/>
        </w:rPr>
        <w:t>he Criminal Division of the Court has jurisdiction</w:t>
      </w:r>
      <w:r>
        <w:rPr>
          <w:rFonts w:ascii="Arial" w:hAnsi="Arial" w:cs="Arial"/>
          <w:color w:val="000000"/>
          <w:sz w:val="20"/>
        </w:rPr>
        <w:t xml:space="preserve"> under the CYFA, the YJA or any other Act as follows–</w:t>
      </w:r>
    </w:p>
    <w:p w14:paraId="55879492" w14:textId="77777777" w:rsidR="00AE3A42" w:rsidRPr="00F51496" w:rsidRDefault="00AE3A42" w:rsidP="00F751E6">
      <w:pPr>
        <w:spacing w:before="80"/>
        <w:ind w:left="363" w:hanging="363"/>
        <w:jc w:val="both"/>
        <w:rPr>
          <w:rFonts w:ascii="Arial" w:hAnsi="Arial" w:cs="Arial"/>
          <w:color w:val="000000"/>
          <w:sz w:val="20"/>
        </w:rPr>
      </w:pPr>
      <w:r w:rsidRPr="00F51496">
        <w:rPr>
          <w:rFonts w:ascii="Arial" w:hAnsi="Arial" w:cs="Arial"/>
          <w:color w:val="000000"/>
          <w:sz w:val="20"/>
        </w:rPr>
        <w:t>(a)</w:t>
      </w:r>
      <w:r w:rsidRPr="00F51496">
        <w:rPr>
          <w:rFonts w:ascii="Arial" w:hAnsi="Arial" w:cs="Arial"/>
          <w:color w:val="000000"/>
          <w:sz w:val="20"/>
        </w:rPr>
        <w:tab/>
        <w:t>to hear and determine all charges against children for summary offences;</w:t>
      </w:r>
    </w:p>
    <w:p w14:paraId="4E09A6BD" w14:textId="1FAEC738" w:rsidR="00995078" w:rsidRDefault="00AE3A42" w:rsidP="00AD2CF6">
      <w:pPr>
        <w:spacing w:before="80"/>
        <w:ind w:left="363" w:hanging="363"/>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r>
      <w:r w:rsidR="004B245F" w:rsidRPr="004B245F">
        <w:rPr>
          <w:rFonts w:ascii="Arial" w:hAnsi="Arial" w:cs="Arial"/>
          <w:color w:val="000000"/>
          <w:sz w:val="20"/>
          <w:szCs w:val="20"/>
        </w:rPr>
        <w:t xml:space="preserve">subject to </w:t>
      </w:r>
      <w:r w:rsidR="004B245F" w:rsidRPr="004B245F">
        <w:rPr>
          <w:rFonts w:ascii="Arial" w:hAnsi="Arial" w:cs="Arial"/>
          <w:sz w:val="20"/>
          <w:szCs w:val="20"/>
        </w:rPr>
        <w:t xml:space="preserve">Division 1 of Part 6.1 of the </w:t>
      </w:r>
      <w:r w:rsidR="004B245F">
        <w:rPr>
          <w:rFonts w:ascii="Arial" w:hAnsi="Arial" w:cs="Arial"/>
          <w:color w:val="000000"/>
          <w:sz w:val="20"/>
          <w:szCs w:val="20"/>
        </w:rPr>
        <w:t>YJA,</w:t>
      </w:r>
      <w:r w:rsidR="00995078" w:rsidRPr="004B245F">
        <w:rPr>
          <w:rFonts w:ascii="Arial" w:hAnsi="Arial" w:cs="Arial"/>
          <w:color w:val="000000"/>
          <w:sz w:val="20"/>
          <w:szCs w:val="20"/>
        </w:rPr>
        <w:t xml:space="preserve"> </w:t>
      </w:r>
      <w:r w:rsidR="004B245F">
        <w:rPr>
          <w:rFonts w:ascii="Arial" w:hAnsi="Arial" w:cs="Arial"/>
          <w:color w:val="000000"/>
          <w:sz w:val="20"/>
          <w:szCs w:val="20"/>
        </w:rPr>
        <w:t xml:space="preserve">to </w:t>
      </w:r>
      <w:r w:rsidR="00995078" w:rsidRPr="004B245F">
        <w:rPr>
          <w:rFonts w:ascii="Arial" w:hAnsi="Arial" w:cs="Arial"/>
          <w:color w:val="000000"/>
          <w:sz w:val="20"/>
          <w:szCs w:val="20"/>
        </w:rPr>
        <w:t>hear and</w:t>
      </w:r>
      <w:r w:rsidR="00995078" w:rsidRPr="00F51496">
        <w:rPr>
          <w:rFonts w:ascii="Arial" w:hAnsi="Arial" w:cs="Arial"/>
          <w:color w:val="000000"/>
          <w:sz w:val="20"/>
        </w:rPr>
        <w:t xml:space="preserve"> determine summarily all charges against children for indictable offences other than the following offences:</w:t>
      </w:r>
    </w:p>
    <w:p w14:paraId="2D1C06B3" w14:textId="77777777" w:rsidR="00E61920" w:rsidRPr="00F51496" w:rsidRDefault="00E61920" w:rsidP="00E61920">
      <w:pPr>
        <w:ind w:left="714" w:hanging="357"/>
        <w:jc w:val="both"/>
        <w:rPr>
          <w:rFonts w:ascii="Arial" w:hAnsi="Arial" w:cs="Arial"/>
          <w:color w:val="000000"/>
          <w:sz w:val="20"/>
        </w:rPr>
      </w:pPr>
      <w:r w:rsidRPr="00F51496">
        <w:rPr>
          <w:rFonts w:ascii="Arial" w:hAnsi="Arial" w:cs="Arial"/>
          <w:color w:val="000000"/>
          <w:sz w:val="20"/>
        </w:rPr>
        <w:sym w:font="Wingdings" w:char="F08C"/>
      </w:r>
      <w:r w:rsidRPr="00F51496">
        <w:rPr>
          <w:rFonts w:ascii="Arial" w:hAnsi="Arial" w:cs="Arial"/>
          <w:color w:val="000000"/>
          <w:sz w:val="20"/>
        </w:rPr>
        <w:tab/>
        <w:t>murder;</w:t>
      </w:r>
    </w:p>
    <w:p w14:paraId="2739CB0F" w14:textId="77777777" w:rsidR="00E61920" w:rsidRPr="00F51496" w:rsidRDefault="00E61920" w:rsidP="00E61920">
      <w:pPr>
        <w:ind w:left="714" w:hanging="357"/>
        <w:jc w:val="both"/>
        <w:rPr>
          <w:rFonts w:ascii="Arial" w:hAnsi="Arial" w:cs="Arial"/>
          <w:color w:val="000000"/>
          <w:sz w:val="20"/>
        </w:rPr>
      </w:pPr>
      <w:r w:rsidRPr="00F51496">
        <w:rPr>
          <w:rFonts w:ascii="Arial" w:hAnsi="Arial" w:cs="Arial"/>
          <w:color w:val="000000"/>
          <w:sz w:val="20"/>
        </w:rPr>
        <w:sym w:font="Wingdings" w:char="F08D"/>
      </w:r>
      <w:r w:rsidRPr="00F51496">
        <w:rPr>
          <w:rFonts w:ascii="Arial" w:hAnsi="Arial" w:cs="Arial"/>
          <w:color w:val="000000"/>
          <w:sz w:val="20"/>
        </w:rPr>
        <w:tab/>
        <w:t>attempted murder;</w:t>
      </w:r>
    </w:p>
    <w:p w14:paraId="6F2FC39B" w14:textId="77777777" w:rsidR="00E61920" w:rsidRPr="00F51496" w:rsidRDefault="00E61920" w:rsidP="00E61920">
      <w:pPr>
        <w:ind w:left="714" w:hanging="357"/>
        <w:jc w:val="both"/>
        <w:rPr>
          <w:rFonts w:ascii="Arial" w:hAnsi="Arial" w:cs="Arial"/>
          <w:color w:val="000000"/>
          <w:sz w:val="20"/>
        </w:rPr>
      </w:pPr>
      <w:r w:rsidRPr="00F51496">
        <w:rPr>
          <w:rFonts w:ascii="Arial" w:hAnsi="Arial" w:cs="Arial"/>
          <w:color w:val="000000"/>
          <w:sz w:val="20"/>
        </w:rPr>
        <w:sym w:font="Wingdings" w:char="F08E"/>
      </w:r>
      <w:r w:rsidRPr="00F51496">
        <w:rPr>
          <w:rFonts w:ascii="Arial" w:hAnsi="Arial" w:cs="Arial"/>
          <w:color w:val="000000"/>
          <w:sz w:val="20"/>
        </w:rPr>
        <w:tab/>
        <w:t>manslaughter;</w:t>
      </w:r>
    </w:p>
    <w:p w14:paraId="16700440" w14:textId="77777777" w:rsidR="00E61920" w:rsidRDefault="00E61920" w:rsidP="00E61920">
      <w:pPr>
        <w:ind w:left="720" w:hanging="357"/>
        <w:jc w:val="both"/>
        <w:rPr>
          <w:rFonts w:ascii="Arial" w:hAnsi="Arial" w:cs="Arial"/>
          <w:color w:val="000000"/>
          <w:sz w:val="20"/>
        </w:rPr>
      </w:pPr>
      <w:r w:rsidRPr="00F51496">
        <w:rPr>
          <w:rFonts w:ascii="Arial" w:hAnsi="Arial" w:cs="Arial"/>
          <w:color w:val="000000"/>
          <w:sz w:val="20"/>
        </w:rPr>
        <w:sym w:font="Wingdings" w:char="F08F"/>
      </w:r>
      <w:r w:rsidRPr="00F51496">
        <w:rPr>
          <w:rFonts w:ascii="Arial" w:hAnsi="Arial" w:cs="Arial"/>
          <w:color w:val="000000"/>
          <w:sz w:val="20"/>
        </w:rPr>
        <w:tab/>
        <w:t>child homicide;</w:t>
      </w:r>
    </w:p>
    <w:p w14:paraId="625FD74D" w14:textId="77777777" w:rsidR="00E61920" w:rsidRPr="00F51496" w:rsidRDefault="00E61920" w:rsidP="00E61920">
      <w:pPr>
        <w:ind w:left="720" w:hanging="357"/>
        <w:jc w:val="both"/>
        <w:rPr>
          <w:rFonts w:ascii="Arial" w:hAnsi="Arial" w:cs="Arial"/>
          <w:color w:val="000000"/>
          <w:sz w:val="20"/>
        </w:rPr>
      </w:pPr>
      <w:r w:rsidRPr="00F51496">
        <w:rPr>
          <w:rFonts w:ascii="Arial" w:hAnsi="Arial" w:cs="Arial"/>
          <w:color w:val="000000"/>
          <w:sz w:val="20"/>
        </w:rPr>
        <w:sym w:font="Wingdings" w:char="F090"/>
      </w:r>
      <w:r w:rsidRPr="00F51496">
        <w:rPr>
          <w:rFonts w:ascii="Arial" w:hAnsi="Arial" w:cs="Arial"/>
          <w:color w:val="000000"/>
          <w:sz w:val="20"/>
        </w:rPr>
        <w:tab/>
      </w:r>
      <w:r>
        <w:rPr>
          <w:rFonts w:ascii="Arial" w:hAnsi="Arial" w:cs="Arial"/>
          <w:color w:val="000000"/>
          <w:sz w:val="20"/>
        </w:rPr>
        <w:t>homicide by firearm;</w:t>
      </w:r>
    </w:p>
    <w:p w14:paraId="11D38CD4" w14:textId="77777777" w:rsidR="00E61920" w:rsidRPr="00F51496" w:rsidRDefault="00E61920" w:rsidP="00E61920">
      <w:pPr>
        <w:ind w:left="720" w:hanging="357"/>
        <w:jc w:val="both"/>
        <w:rPr>
          <w:rFonts w:ascii="Arial" w:hAnsi="Arial" w:cs="Arial"/>
          <w:color w:val="000000"/>
          <w:sz w:val="20"/>
        </w:rPr>
      </w:pPr>
      <w:r w:rsidRPr="00F51496">
        <w:rPr>
          <w:rFonts w:ascii="Arial" w:hAnsi="Arial" w:cs="Arial"/>
          <w:color w:val="000000"/>
          <w:sz w:val="20"/>
        </w:rPr>
        <w:sym w:font="Wingdings" w:char="F091"/>
      </w:r>
      <w:r w:rsidRPr="00F51496">
        <w:rPr>
          <w:rFonts w:ascii="Arial" w:hAnsi="Arial" w:cs="Arial"/>
          <w:color w:val="000000"/>
          <w:sz w:val="20"/>
        </w:rPr>
        <w:tab/>
        <w:t xml:space="preserve">arson causing death [s.197A of the </w:t>
      </w:r>
      <w:r w:rsidRPr="008102AC">
        <w:rPr>
          <w:rFonts w:ascii="Arial" w:hAnsi="Arial" w:cs="Arial"/>
          <w:i/>
          <w:iCs/>
          <w:color w:val="000000"/>
          <w:sz w:val="20"/>
        </w:rPr>
        <w:t>Crimes Act 1958</w:t>
      </w:r>
      <w:r w:rsidRPr="00F51496">
        <w:rPr>
          <w:rFonts w:ascii="Arial" w:hAnsi="Arial" w:cs="Arial"/>
          <w:color w:val="000000"/>
          <w:sz w:val="20"/>
        </w:rPr>
        <w:t>];</w:t>
      </w:r>
    </w:p>
    <w:p w14:paraId="7BCE4B0C" w14:textId="77777777" w:rsidR="00E61920" w:rsidRDefault="00E61920" w:rsidP="00E61920">
      <w:pPr>
        <w:ind w:left="720" w:hanging="357"/>
        <w:jc w:val="both"/>
        <w:rPr>
          <w:rFonts w:ascii="Arial" w:hAnsi="Arial" w:cs="Arial"/>
          <w:color w:val="000000"/>
          <w:sz w:val="20"/>
        </w:rPr>
      </w:pPr>
      <w:r>
        <w:rPr>
          <w:rFonts w:ascii="Arial" w:hAnsi="Arial" w:cs="Arial"/>
          <w:color w:val="000000"/>
          <w:sz w:val="20"/>
        </w:rPr>
        <w:sym w:font="Wingdings" w:char="F092"/>
      </w:r>
      <w:r w:rsidRPr="00F51496">
        <w:rPr>
          <w:rFonts w:ascii="Arial" w:hAnsi="Arial" w:cs="Arial"/>
          <w:color w:val="000000"/>
          <w:sz w:val="20"/>
        </w:rPr>
        <w:tab/>
        <w:t xml:space="preserve">culpable driving causing death [s.318 of the </w:t>
      </w:r>
      <w:r w:rsidRPr="008102AC">
        <w:rPr>
          <w:rFonts w:ascii="Arial" w:hAnsi="Arial" w:cs="Arial"/>
          <w:i/>
          <w:iCs/>
          <w:color w:val="000000"/>
          <w:sz w:val="20"/>
        </w:rPr>
        <w:t>Crimes Act 1958</w:t>
      </w:r>
      <w:r w:rsidRPr="00F51496">
        <w:rPr>
          <w:rFonts w:ascii="Arial" w:hAnsi="Arial" w:cs="Arial"/>
          <w:color w:val="000000"/>
          <w:sz w:val="20"/>
        </w:rPr>
        <w:t>];</w:t>
      </w:r>
    </w:p>
    <w:p w14:paraId="342207BE" w14:textId="77777777" w:rsidR="00E61920" w:rsidRDefault="00E61920" w:rsidP="00E61920">
      <w:pPr>
        <w:ind w:left="720" w:hanging="357"/>
        <w:jc w:val="both"/>
        <w:rPr>
          <w:rFonts w:ascii="Arial" w:hAnsi="Arial" w:cs="Arial"/>
          <w:color w:val="000000"/>
          <w:sz w:val="20"/>
        </w:rPr>
      </w:pPr>
      <w:r>
        <w:rPr>
          <w:rFonts w:ascii="Arial" w:hAnsi="Arial" w:cs="Arial"/>
          <w:color w:val="000000"/>
          <w:sz w:val="20"/>
        </w:rPr>
        <w:sym w:font="Wingdings" w:char="F093"/>
      </w:r>
      <w:r w:rsidRPr="00F51496">
        <w:rPr>
          <w:rFonts w:ascii="Arial" w:hAnsi="Arial" w:cs="Arial"/>
          <w:color w:val="000000"/>
          <w:sz w:val="20"/>
        </w:rPr>
        <w:tab/>
      </w:r>
      <w:r>
        <w:rPr>
          <w:rFonts w:ascii="Arial" w:hAnsi="Arial" w:cs="Arial"/>
          <w:color w:val="000000"/>
          <w:sz w:val="20"/>
        </w:rPr>
        <w:t xml:space="preserve">a </w:t>
      </w:r>
      <w:r w:rsidRPr="00285AFB">
        <w:rPr>
          <w:rFonts w:ascii="Arial" w:hAnsi="Arial" w:cs="Arial"/>
          <w:b/>
          <w:bCs/>
          <w:color w:val="000000"/>
          <w:sz w:val="20"/>
        </w:rPr>
        <w:t>designated offence</w:t>
      </w:r>
      <w:r>
        <w:rPr>
          <w:rFonts w:ascii="Arial" w:hAnsi="Arial" w:cs="Arial"/>
          <w:color w:val="000000"/>
          <w:sz w:val="20"/>
        </w:rPr>
        <w:t xml:space="preserve"> committed on or after 27/02/2026 when the child was aged 15 years or over]; in s.516(7) CYFA the </w:t>
      </w:r>
      <w:r w:rsidRPr="00285AFB">
        <w:rPr>
          <w:rFonts w:ascii="Arial" w:hAnsi="Arial" w:cs="Arial"/>
          <w:b/>
          <w:bCs/>
          <w:color w:val="000000"/>
          <w:sz w:val="20"/>
        </w:rPr>
        <w:t>designated offences</w:t>
      </w:r>
      <w:r>
        <w:rPr>
          <w:rFonts w:ascii="Arial" w:hAnsi="Arial" w:cs="Arial"/>
          <w:color w:val="000000"/>
          <w:sz w:val="20"/>
        </w:rPr>
        <w:t xml:space="preserve"> are defined as offences against any of the following sections of the </w:t>
      </w:r>
      <w:r w:rsidRPr="00285AFB">
        <w:rPr>
          <w:rFonts w:ascii="Arial" w:hAnsi="Arial" w:cs="Arial"/>
          <w:i/>
          <w:iCs/>
          <w:color w:val="000000"/>
          <w:sz w:val="20"/>
        </w:rPr>
        <w:t>Crimes Act 1958</w:t>
      </w:r>
      <w:r>
        <w:rPr>
          <w:rFonts w:ascii="Arial" w:hAnsi="Arial" w:cs="Arial"/>
          <w:color w:val="000000"/>
          <w:sz w:val="20"/>
        </w:rPr>
        <w:t>:</w:t>
      </w:r>
    </w:p>
    <w:p w14:paraId="188FCB95" w14:textId="77777777" w:rsidR="00E61920" w:rsidRPr="00F51496" w:rsidRDefault="00E61920" w:rsidP="00E61920">
      <w:pPr>
        <w:numPr>
          <w:ilvl w:val="0"/>
          <w:numId w:val="1"/>
        </w:numPr>
        <w:ind w:left="1083"/>
        <w:jc w:val="both"/>
        <w:rPr>
          <w:rFonts w:ascii="Arial" w:hAnsi="Arial" w:cs="Arial"/>
          <w:color w:val="000000"/>
          <w:sz w:val="20"/>
        </w:rPr>
      </w:pPr>
      <w:r w:rsidRPr="009856E2">
        <w:rPr>
          <w:rFonts w:ascii="Arial" w:hAnsi="Arial" w:cs="Arial"/>
          <w:color w:val="000000"/>
          <w:sz w:val="20"/>
        </w:rPr>
        <w:t>section 15A (causing serious injury intentionally in circumstances of gross violence);</w:t>
      </w:r>
    </w:p>
    <w:p w14:paraId="5F81D883" w14:textId="77777777" w:rsidR="00E61920" w:rsidRPr="00F51496" w:rsidRDefault="00E61920" w:rsidP="00E61920">
      <w:pPr>
        <w:numPr>
          <w:ilvl w:val="0"/>
          <w:numId w:val="1"/>
        </w:numPr>
        <w:ind w:left="1083"/>
        <w:jc w:val="both"/>
        <w:rPr>
          <w:rFonts w:ascii="Arial" w:hAnsi="Arial" w:cs="Arial"/>
          <w:color w:val="000000"/>
          <w:sz w:val="20"/>
        </w:rPr>
      </w:pPr>
      <w:r w:rsidRPr="009856E2">
        <w:rPr>
          <w:rFonts w:ascii="Arial" w:hAnsi="Arial" w:cs="Arial"/>
          <w:color w:val="000000"/>
          <w:sz w:val="20"/>
        </w:rPr>
        <w:t>section 15B (causing serious injury recklessly in circumstances of gross violence);</w:t>
      </w:r>
    </w:p>
    <w:p w14:paraId="135BFB13" w14:textId="77777777" w:rsidR="00E61920" w:rsidRPr="00F51496" w:rsidRDefault="00E61920" w:rsidP="00E61920">
      <w:pPr>
        <w:numPr>
          <w:ilvl w:val="0"/>
          <w:numId w:val="1"/>
        </w:numPr>
        <w:ind w:left="1083"/>
        <w:jc w:val="both"/>
        <w:rPr>
          <w:rFonts w:ascii="Arial" w:hAnsi="Arial" w:cs="Arial"/>
          <w:color w:val="000000"/>
          <w:sz w:val="20"/>
        </w:rPr>
      </w:pPr>
      <w:r w:rsidRPr="009856E2">
        <w:rPr>
          <w:rFonts w:ascii="Arial" w:hAnsi="Arial" w:cs="Arial"/>
          <w:color w:val="000000"/>
          <w:sz w:val="20"/>
        </w:rPr>
        <w:t>section 77A (home invasion);</w:t>
      </w:r>
    </w:p>
    <w:p w14:paraId="4ABBC771" w14:textId="77777777" w:rsidR="00E61920" w:rsidRPr="00F51496" w:rsidRDefault="00E61920" w:rsidP="00E61920">
      <w:pPr>
        <w:numPr>
          <w:ilvl w:val="0"/>
          <w:numId w:val="1"/>
        </w:numPr>
        <w:ind w:left="1083"/>
        <w:jc w:val="both"/>
        <w:rPr>
          <w:rFonts w:ascii="Arial" w:hAnsi="Arial" w:cs="Arial"/>
          <w:color w:val="000000"/>
          <w:sz w:val="20"/>
        </w:rPr>
      </w:pPr>
      <w:r w:rsidRPr="009856E2">
        <w:rPr>
          <w:rFonts w:ascii="Arial" w:hAnsi="Arial" w:cs="Arial"/>
          <w:color w:val="000000"/>
          <w:sz w:val="20"/>
        </w:rPr>
        <w:t>section 77B (aggravated home invasion);</w:t>
      </w:r>
    </w:p>
    <w:p w14:paraId="20DF1517" w14:textId="77777777" w:rsidR="00E61920" w:rsidRDefault="00E61920" w:rsidP="00E61920">
      <w:pPr>
        <w:numPr>
          <w:ilvl w:val="0"/>
          <w:numId w:val="1"/>
        </w:numPr>
        <w:ind w:left="1083"/>
        <w:jc w:val="both"/>
        <w:rPr>
          <w:rFonts w:ascii="Arial" w:hAnsi="Arial" w:cs="Arial"/>
          <w:color w:val="000000"/>
          <w:sz w:val="20"/>
        </w:rPr>
      </w:pPr>
      <w:r w:rsidRPr="009856E2">
        <w:rPr>
          <w:rFonts w:ascii="Arial" w:hAnsi="Arial" w:cs="Arial"/>
          <w:color w:val="000000"/>
          <w:sz w:val="20"/>
        </w:rPr>
        <w:t>section 79A (aggravated carjacking).</w:t>
      </w:r>
    </w:p>
    <w:p w14:paraId="4F5B7AC6" w14:textId="3616E2F5" w:rsidR="00E61920" w:rsidRDefault="00E61920" w:rsidP="00E61920">
      <w:pPr>
        <w:pBdr>
          <w:top w:val="single" w:sz="4" w:space="1" w:color="auto"/>
          <w:left w:val="single" w:sz="4" w:space="4" w:color="auto"/>
          <w:bottom w:val="single" w:sz="4" w:space="1" w:color="auto"/>
          <w:right w:val="single" w:sz="4" w:space="4" w:color="auto"/>
        </w:pBdr>
        <w:ind w:left="363"/>
        <w:jc w:val="both"/>
        <w:rPr>
          <w:rFonts w:ascii="Arial" w:hAnsi="Arial" w:cs="Arial"/>
          <w:sz w:val="20"/>
        </w:rPr>
      </w:pPr>
      <w:r>
        <w:rPr>
          <w:rFonts w:ascii="Arial" w:hAnsi="Arial" w:cs="Arial"/>
          <w:color w:val="000000"/>
          <w:sz w:val="20"/>
        </w:rPr>
        <w:t>Th</w:t>
      </w:r>
      <w:r w:rsidR="00F751E6">
        <w:rPr>
          <w:rFonts w:ascii="Arial" w:hAnsi="Arial" w:cs="Arial"/>
          <w:color w:val="000000"/>
          <w:sz w:val="20"/>
        </w:rPr>
        <w:t xml:space="preserve">is </w:t>
      </w:r>
      <w:r>
        <w:rPr>
          <w:rFonts w:ascii="Arial" w:hAnsi="Arial" w:cs="Arial"/>
          <w:color w:val="000000"/>
          <w:sz w:val="20"/>
        </w:rPr>
        <w:t xml:space="preserve">analysis of paragraph (b) is complicated </w:t>
      </w:r>
      <w:r>
        <w:rPr>
          <w:rFonts w:ascii="Arial" w:hAnsi="Arial" w:cs="Arial"/>
          <w:sz w:val="20"/>
        </w:rPr>
        <w:t>by the fact that as and from 30/09/2026 ss.356 &amp; 356A of the CYFA were repealed by s.921 of the YJA and replaced by ss.156-159 in Part 6.1, Division 1 of the YJA, headed “</w:t>
      </w:r>
      <w:r w:rsidRPr="0014176C">
        <w:rPr>
          <w:rFonts w:ascii="Arial" w:hAnsi="Arial" w:cs="Arial"/>
          <w:b/>
          <w:bCs/>
          <w:sz w:val="20"/>
        </w:rPr>
        <w:t>Procedure for indictable offences</w:t>
      </w:r>
      <w:r>
        <w:rPr>
          <w:rFonts w:ascii="Arial" w:hAnsi="Arial" w:cs="Arial"/>
          <w:sz w:val="20"/>
        </w:rPr>
        <w:t>.” However, the transitional provisions in ss.863(2)+(3) YJA have the effect that the procedure for any indictable offence committed on or after 27/02/2026 is governed by–</w:t>
      </w:r>
    </w:p>
    <w:p w14:paraId="08FEED8D" w14:textId="77777777" w:rsidR="00E61920" w:rsidRPr="003245FE" w:rsidRDefault="00E61920">
      <w:pPr>
        <w:pStyle w:val="ListParagraph"/>
        <w:numPr>
          <w:ilvl w:val="0"/>
          <w:numId w:val="78"/>
        </w:numPr>
        <w:pBdr>
          <w:top w:val="single" w:sz="4" w:space="1" w:color="auto"/>
          <w:left w:val="single" w:sz="4" w:space="4" w:color="auto"/>
          <w:bottom w:val="single" w:sz="4" w:space="1" w:color="auto"/>
          <w:right w:val="single" w:sz="4" w:space="4" w:color="auto"/>
        </w:pBdr>
        <w:spacing w:after="0" w:line="240" w:lineRule="auto"/>
        <w:ind w:hanging="357"/>
        <w:jc w:val="both"/>
        <w:rPr>
          <w:rFonts w:ascii="Arial" w:hAnsi="Arial" w:cs="Arial"/>
          <w:sz w:val="20"/>
        </w:rPr>
      </w:pPr>
      <w:r>
        <w:rPr>
          <w:rFonts w:ascii="Arial" w:hAnsi="Arial" w:cs="Arial"/>
          <w:sz w:val="20"/>
        </w:rPr>
        <w:t>t</w:t>
      </w:r>
      <w:r w:rsidRPr="00276DF2">
        <w:rPr>
          <w:rFonts w:ascii="Arial" w:hAnsi="Arial" w:cs="Arial"/>
          <w:sz w:val="20"/>
        </w:rPr>
        <w:t xml:space="preserve">he </w:t>
      </w:r>
      <w:r w:rsidRPr="00EF44AD">
        <w:rPr>
          <w:rFonts w:ascii="Arial" w:hAnsi="Arial" w:cs="Arial"/>
          <w:b/>
          <w:bCs/>
          <w:color w:val="FF0000"/>
          <w:sz w:val="20"/>
        </w:rPr>
        <w:t>CYFA provisions</w:t>
      </w:r>
      <w:r w:rsidRPr="00276DF2">
        <w:rPr>
          <w:rFonts w:ascii="Arial" w:hAnsi="Arial" w:cs="Arial"/>
          <w:sz w:val="20"/>
        </w:rPr>
        <w:t xml:space="preserve"> [ss.356+356A] </w:t>
      </w:r>
      <w:r>
        <w:rPr>
          <w:rFonts w:ascii="Arial" w:hAnsi="Arial" w:cs="Arial"/>
          <w:sz w:val="20"/>
        </w:rPr>
        <w:t xml:space="preserve">if the </w:t>
      </w:r>
      <w:r w:rsidRPr="003245FE">
        <w:rPr>
          <w:rFonts w:ascii="Arial" w:hAnsi="Arial" w:cs="Arial"/>
          <w:sz w:val="20"/>
        </w:rPr>
        <w:t>criminal proceeding commenced in the Children’s Court before 30/09/2026</w:t>
      </w:r>
      <w:r>
        <w:rPr>
          <w:rFonts w:ascii="Arial" w:hAnsi="Arial" w:cs="Arial"/>
          <w:sz w:val="20"/>
        </w:rPr>
        <w:t>;</w:t>
      </w:r>
    </w:p>
    <w:p w14:paraId="36EBF0B2" w14:textId="77777777" w:rsidR="00E61920" w:rsidRDefault="00E61920" w:rsidP="00F751E6">
      <w:pPr>
        <w:pStyle w:val="ListParagraph"/>
        <w:numPr>
          <w:ilvl w:val="0"/>
          <w:numId w:val="78"/>
        </w:numPr>
        <w:pBdr>
          <w:top w:val="single" w:sz="4" w:space="1" w:color="auto"/>
          <w:left w:val="single" w:sz="4" w:space="4" w:color="auto"/>
          <w:bottom w:val="single" w:sz="4" w:space="1" w:color="auto"/>
          <w:right w:val="single" w:sz="4" w:space="4" w:color="auto"/>
        </w:pBdr>
        <w:spacing w:after="0" w:line="240" w:lineRule="auto"/>
        <w:ind w:hanging="357"/>
        <w:contextualSpacing w:val="0"/>
        <w:jc w:val="both"/>
        <w:rPr>
          <w:rFonts w:ascii="Arial" w:hAnsi="Arial" w:cs="Arial"/>
          <w:sz w:val="20"/>
        </w:rPr>
      </w:pPr>
      <w:r>
        <w:rPr>
          <w:rFonts w:ascii="Arial" w:hAnsi="Arial" w:cs="Arial"/>
          <w:sz w:val="20"/>
        </w:rPr>
        <w:t xml:space="preserve">the </w:t>
      </w:r>
      <w:r w:rsidRPr="00EF44AD">
        <w:rPr>
          <w:rFonts w:ascii="Arial" w:hAnsi="Arial" w:cs="Arial"/>
          <w:b/>
          <w:bCs/>
          <w:color w:val="FF0000"/>
          <w:sz w:val="20"/>
        </w:rPr>
        <w:t>YJA provisions</w:t>
      </w:r>
      <w:r>
        <w:rPr>
          <w:rFonts w:ascii="Arial" w:hAnsi="Arial" w:cs="Arial"/>
          <w:sz w:val="20"/>
        </w:rPr>
        <w:t xml:space="preserve"> [ss.156-159] if the criminal proceeding commenced in the Children’s Court on or after 30/09/2026.</w:t>
      </w:r>
    </w:p>
    <w:p w14:paraId="4E2CE282" w14:textId="0B3B693E" w:rsidR="00F751E6" w:rsidRPr="00F751E6" w:rsidRDefault="00D12D37" w:rsidP="00F751E6">
      <w:pPr>
        <w:pBdr>
          <w:top w:val="single" w:sz="4" w:space="1" w:color="auto"/>
          <w:left w:val="single" w:sz="4" w:space="4" w:color="auto"/>
          <w:bottom w:val="single" w:sz="4" w:space="1" w:color="auto"/>
          <w:right w:val="single" w:sz="4" w:space="4" w:color="auto"/>
        </w:pBdr>
        <w:ind w:left="363"/>
        <w:jc w:val="both"/>
        <w:rPr>
          <w:rFonts w:ascii="Arial" w:hAnsi="Arial" w:cs="Arial"/>
          <w:sz w:val="20"/>
        </w:rPr>
      </w:pPr>
      <w:r>
        <w:rPr>
          <w:rFonts w:ascii="Arial" w:hAnsi="Arial" w:cs="Arial"/>
          <w:sz w:val="20"/>
        </w:rPr>
        <w:t>For a more detailed analysis, s</w:t>
      </w:r>
      <w:r w:rsidR="00F751E6">
        <w:rPr>
          <w:rFonts w:ascii="Arial" w:hAnsi="Arial" w:cs="Arial"/>
          <w:sz w:val="20"/>
        </w:rPr>
        <w:t xml:space="preserve">ee </w:t>
      </w:r>
      <w:r w:rsidR="00F751E6" w:rsidRPr="00F751E6">
        <w:rPr>
          <w:rFonts w:ascii="Arial" w:hAnsi="Arial" w:cs="Arial"/>
          <w:b/>
          <w:bCs/>
          <w:sz w:val="20"/>
          <w:shd w:val="clear" w:color="auto" w:fill="C5E0B3" w:themeFill="accent6" w:themeFillTint="66"/>
        </w:rPr>
        <w:t>section 10.1.3</w:t>
      </w:r>
      <w:r w:rsidR="00F751E6">
        <w:rPr>
          <w:rFonts w:ascii="Arial" w:hAnsi="Arial" w:cs="Arial"/>
          <w:sz w:val="20"/>
        </w:rPr>
        <w:t>.</w:t>
      </w:r>
    </w:p>
    <w:p w14:paraId="0C65415D" w14:textId="77777777" w:rsidR="00AE3A42" w:rsidRPr="00F51496" w:rsidRDefault="00AE3A42" w:rsidP="00AE3A42">
      <w:pPr>
        <w:spacing w:before="80"/>
        <w:ind w:left="363" w:hanging="363"/>
        <w:jc w:val="both"/>
        <w:rPr>
          <w:rFonts w:ascii="Arial" w:hAnsi="Arial" w:cs="Arial"/>
          <w:color w:val="000000"/>
          <w:sz w:val="20"/>
        </w:rPr>
      </w:pPr>
      <w:r w:rsidRPr="00F51496">
        <w:rPr>
          <w:rFonts w:ascii="Arial" w:hAnsi="Arial" w:cs="Arial"/>
          <w:color w:val="000000"/>
          <w:sz w:val="20"/>
        </w:rPr>
        <w:t>(c)</w:t>
      </w:r>
      <w:r w:rsidRPr="00F51496">
        <w:rPr>
          <w:rFonts w:ascii="Arial" w:hAnsi="Arial" w:cs="Arial"/>
          <w:color w:val="000000"/>
          <w:sz w:val="20"/>
        </w:rPr>
        <w:tab/>
        <w:t>to conduct committal proceedings into all charges against children for indictable offences;</w:t>
      </w:r>
    </w:p>
    <w:p w14:paraId="23893626" w14:textId="46C9F913" w:rsidR="00AE3A42" w:rsidRPr="00F51496" w:rsidRDefault="00AE3A42" w:rsidP="00AE3A42">
      <w:pPr>
        <w:spacing w:before="80"/>
        <w:ind w:left="363" w:hanging="363"/>
        <w:jc w:val="both"/>
        <w:rPr>
          <w:rFonts w:ascii="Arial" w:hAnsi="Arial" w:cs="Arial"/>
          <w:color w:val="000000"/>
          <w:sz w:val="20"/>
        </w:rPr>
      </w:pPr>
      <w:r w:rsidRPr="00F51496">
        <w:rPr>
          <w:rFonts w:ascii="Arial" w:hAnsi="Arial" w:cs="Arial"/>
          <w:color w:val="000000"/>
          <w:sz w:val="20"/>
        </w:rPr>
        <w:t>(d)</w:t>
      </w:r>
      <w:r w:rsidRPr="00F51496">
        <w:rPr>
          <w:rFonts w:ascii="Arial" w:hAnsi="Arial" w:cs="Arial"/>
          <w:color w:val="000000"/>
          <w:sz w:val="20"/>
        </w:rPr>
        <w:tab/>
        <w:t>to grant or refuse bail to, or extend, vary, or revoke the bail of, a child who is charged with an offence;</w:t>
      </w:r>
    </w:p>
    <w:p w14:paraId="61EF0D78" w14:textId="2186AD56" w:rsidR="00AE3A42" w:rsidRPr="00F51496" w:rsidRDefault="00AE3A42" w:rsidP="00AE3A42">
      <w:pPr>
        <w:spacing w:before="80"/>
        <w:ind w:left="363" w:hanging="363"/>
        <w:jc w:val="both"/>
        <w:rPr>
          <w:rFonts w:ascii="Arial" w:hAnsi="Arial" w:cs="Arial"/>
          <w:color w:val="000000"/>
          <w:sz w:val="20"/>
        </w:rPr>
      </w:pPr>
      <w:r w:rsidRPr="00F51496">
        <w:rPr>
          <w:rFonts w:ascii="Arial" w:hAnsi="Arial" w:cs="Arial"/>
          <w:color w:val="000000"/>
          <w:sz w:val="20"/>
        </w:rPr>
        <w:t>(e)</w:t>
      </w:r>
      <w:r w:rsidRPr="00F51496">
        <w:rPr>
          <w:rFonts w:ascii="Arial" w:hAnsi="Arial" w:cs="Arial"/>
          <w:color w:val="000000"/>
          <w:sz w:val="20"/>
        </w:rPr>
        <w:tab/>
      </w:r>
      <w:r w:rsidR="00FD45D9">
        <w:rPr>
          <w:rFonts w:ascii="Arial" w:hAnsi="Arial" w:cs="Arial"/>
          <w:color w:val="000000"/>
          <w:sz w:val="20"/>
        </w:rPr>
        <w:t xml:space="preserve">subject to Chapter 7 of the YJA, to deal with a contravention [previously called </w:t>
      </w:r>
      <w:r w:rsidR="00BE568B">
        <w:rPr>
          <w:rFonts w:ascii="Arial" w:hAnsi="Arial" w:cs="Arial"/>
          <w:color w:val="000000"/>
          <w:sz w:val="20"/>
        </w:rPr>
        <w:t xml:space="preserve">a </w:t>
      </w:r>
      <w:r w:rsidR="00FD45D9">
        <w:rPr>
          <w:rFonts w:ascii="Arial" w:hAnsi="Arial" w:cs="Arial"/>
          <w:color w:val="000000"/>
          <w:sz w:val="20"/>
        </w:rPr>
        <w:t xml:space="preserve">breach] of </w:t>
      </w:r>
      <w:r w:rsidR="00590EE1">
        <w:rPr>
          <w:rFonts w:ascii="Arial" w:hAnsi="Arial" w:cs="Arial"/>
          <w:color w:val="000000"/>
          <w:sz w:val="20"/>
        </w:rPr>
        <w:t xml:space="preserve">a sentence or </w:t>
      </w:r>
      <w:r w:rsidRPr="00F51496">
        <w:rPr>
          <w:rFonts w:ascii="Arial" w:hAnsi="Arial" w:cs="Arial"/>
          <w:color w:val="000000"/>
          <w:sz w:val="20"/>
        </w:rPr>
        <w:t>variation of a sentenc</w:t>
      </w:r>
      <w:r w:rsidR="00590EE1">
        <w:rPr>
          <w:rFonts w:ascii="Arial" w:hAnsi="Arial" w:cs="Arial"/>
          <w:color w:val="000000"/>
          <w:sz w:val="20"/>
        </w:rPr>
        <w:t>e</w:t>
      </w:r>
      <w:r w:rsidRPr="00F51496">
        <w:rPr>
          <w:rFonts w:ascii="Arial" w:hAnsi="Arial" w:cs="Arial"/>
          <w:color w:val="000000"/>
          <w:sz w:val="20"/>
        </w:rPr>
        <w:t>.</w:t>
      </w:r>
    </w:p>
    <w:p w14:paraId="2A1C5A81" w14:textId="77777777" w:rsidR="004B245F" w:rsidRDefault="004B245F" w:rsidP="00AE3A42">
      <w:pPr>
        <w:jc w:val="both"/>
        <w:rPr>
          <w:rFonts w:ascii="Arial" w:hAnsi="Arial" w:cs="Arial"/>
          <w:color w:val="000000"/>
          <w:sz w:val="20"/>
        </w:rPr>
      </w:pPr>
    </w:p>
    <w:p w14:paraId="200A898A" w14:textId="05D5EDF2" w:rsidR="00AE3A42" w:rsidRPr="00F51496" w:rsidRDefault="00AE3A42" w:rsidP="00AE3A42">
      <w:pPr>
        <w:jc w:val="both"/>
        <w:rPr>
          <w:rFonts w:ascii="Arial" w:hAnsi="Arial" w:cs="Arial"/>
          <w:color w:val="000000"/>
          <w:sz w:val="20"/>
        </w:rPr>
      </w:pPr>
      <w:r w:rsidRPr="00F51496">
        <w:rPr>
          <w:rFonts w:ascii="Arial" w:hAnsi="Arial" w:cs="Arial"/>
          <w:color w:val="000000"/>
          <w:sz w:val="20"/>
        </w:rPr>
        <w:lastRenderedPageBreak/>
        <w:t xml:space="preserve">Section </w:t>
      </w:r>
      <w:r w:rsidR="004F3393" w:rsidRPr="00F51496">
        <w:rPr>
          <w:rFonts w:ascii="Arial" w:hAnsi="Arial" w:cs="Arial"/>
          <w:color w:val="000000"/>
          <w:sz w:val="20"/>
        </w:rPr>
        <w:t>5</w:t>
      </w:r>
      <w:r w:rsidRPr="00F51496">
        <w:rPr>
          <w:rFonts w:ascii="Arial" w:hAnsi="Arial" w:cs="Arial"/>
          <w:color w:val="000000"/>
          <w:sz w:val="20"/>
        </w:rPr>
        <w:t>16(3) of the CY</w:t>
      </w:r>
      <w:r w:rsidR="004F3393" w:rsidRPr="00F51496">
        <w:rPr>
          <w:rFonts w:ascii="Arial" w:hAnsi="Arial" w:cs="Arial"/>
          <w:color w:val="000000"/>
          <w:sz w:val="20"/>
        </w:rPr>
        <w:t>F</w:t>
      </w:r>
      <w:r w:rsidRPr="00F51496">
        <w:rPr>
          <w:rFonts w:ascii="Arial" w:hAnsi="Arial" w:cs="Arial"/>
          <w:color w:val="000000"/>
          <w:sz w:val="20"/>
        </w:rPr>
        <w:t>A provides that the above jurisdiction given by s.</w:t>
      </w:r>
      <w:r w:rsidR="004F3393" w:rsidRPr="00F51496">
        <w:rPr>
          <w:rFonts w:ascii="Arial" w:hAnsi="Arial" w:cs="Arial"/>
          <w:color w:val="000000"/>
          <w:sz w:val="20"/>
        </w:rPr>
        <w:t>5</w:t>
      </w:r>
      <w:r w:rsidRPr="00F51496">
        <w:rPr>
          <w:rFonts w:ascii="Arial" w:hAnsi="Arial" w:cs="Arial"/>
          <w:color w:val="000000"/>
          <w:sz w:val="20"/>
        </w:rPr>
        <w:t>16(1) is additional to any other jurisdiction given to the Criminal Division by or under the CY</w:t>
      </w:r>
      <w:r w:rsidR="004F3393" w:rsidRPr="00F51496">
        <w:rPr>
          <w:rFonts w:ascii="Arial" w:hAnsi="Arial" w:cs="Arial"/>
          <w:color w:val="000000"/>
          <w:sz w:val="20"/>
        </w:rPr>
        <w:t>F</w:t>
      </w:r>
      <w:r w:rsidRPr="00F51496">
        <w:rPr>
          <w:rFonts w:ascii="Arial" w:hAnsi="Arial" w:cs="Arial"/>
          <w:color w:val="000000"/>
          <w:sz w:val="20"/>
        </w:rPr>
        <w:t>A</w:t>
      </w:r>
      <w:r w:rsidR="00590EE1">
        <w:rPr>
          <w:rFonts w:ascii="Arial" w:hAnsi="Arial" w:cs="Arial"/>
          <w:color w:val="000000"/>
          <w:sz w:val="20"/>
        </w:rPr>
        <w:t>, the YJA</w:t>
      </w:r>
      <w:r w:rsidRPr="00F51496">
        <w:rPr>
          <w:rFonts w:ascii="Arial" w:hAnsi="Arial" w:cs="Arial"/>
          <w:color w:val="000000"/>
          <w:sz w:val="20"/>
        </w:rPr>
        <w:t xml:space="preserve"> or any other Act.</w:t>
      </w:r>
    </w:p>
    <w:p w14:paraId="4F4B2795" w14:textId="77777777" w:rsidR="00AE3A42" w:rsidRDefault="00AE3A42" w:rsidP="00AE3A42">
      <w:pPr>
        <w:jc w:val="both"/>
        <w:rPr>
          <w:rFonts w:ascii="Arial" w:hAnsi="Arial" w:cs="Arial"/>
          <w:color w:val="000000"/>
          <w:sz w:val="20"/>
        </w:rPr>
      </w:pPr>
    </w:p>
    <w:p w14:paraId="113A5EAA" w14:textId="045F8FD5" w:rsidR="00872569" w:rsidRDefault="00872569" w:rsidP="00872569">
      <w:pPr>
        <w:jc w:val="both"/>
        <w:rPr>
          <w:rFonts w:ascii="Arial" w:hAnsi="Arial" w:cs="Arial"/>
          <w:color w:val="000000"/>
          <w:sz w:val="20"/>
        </w:rPr>
      </w:pPr>
      <w:r>
        <w:rPr>
          <w:rFonts w:ascii="Arial" w:hAnsi="Arial" w:cs="Arial"/>
          <w:color w:val="000000"/>
          <w:sz w:val="20"/>
        </w:rPr>
        <w:t>Section 20C</w:t>
      </w:r>
      <w:r w:rsidRPr="00F51496">
        <w:rPr>
          <w:rFonts w:ascii="Arial" w:hAnsi="Arial" w:cs="Arial"/>
          <w:color w:val="000000"/>
          <w:sz w:val="20"/>
        </w:rPr>
        <w:t xml:space="preserve"> of the </w:t>
      </w:r>
      <w:r w:rsidRPr="008102AC">
        <w:rPr>
          <w:rFonts w:ascii="Arial" w:hAnsi="Arial" w:cs="Arial"/>
          <w:i/>
          <w:iCs/>
          <w:color w:val="000000"/>
          <w:sz w:val="20"/>
        </w:rPr>
        <w:t>Crimes Act 1914</w:t>
      </w:r>
      <w:r w:rsidRPr="008102AC">
        <w:rPr>
          <w:rFonts w:ascii="Arial" w:hAnsi="Arial" w:cs="Arial"/>
          <w:color w:val="000000"/>
          <w:sz w:val="20"/>
        </w:rPr>
        <w:t xml:space="preserve"> (Cth)</w:t>
      </w:r>
      <w:r>
        <w:rPr>
          <w:rFonts w:ascii="Arial" w:hAnsi="Arial" w:cs="Arial"/>
          <w:color w:val="000000"/>
          <w:sz w:val="20"/>
        </w:rPr>
        <w:t xml:space="preserve"> provides that </w:t>
      </w:r>
      <w:r w:rsidRPr="00F51496">
        <w:rPr>
          <w:rFonts w:ascii="Arial" w:hAnsi="Arial" w:cs="Arial"/>
          <w:color w:val="000000"/>
          <w:sz w:val="20"/>
        </w:rPr>
        <w:t>a child or young person who</w:t>
      </w:r>
      <w:r>
        <w:rPr>
          <w:rFonts w:ascii="Arial" w:hAnsi="Arial" w:cs="Arial"/>
          <w:color w:val="000000"/>
          <w:sz w:val="20"/>
        </w:rPr>
        <w:t xml:space="preserve">, in a State or Territory, </w:t>
      </w:r>
      <w:r w:rsidRPr="00F51496">
        <w:rPr>
          <w:rFonts w:ascii="Arial" w:hAnsi="Arial" w:cs="Arial"/>
          <w:color w:val="000000"/>
          <w:sz w:val="20"/>
        </w:rPr>
        <w:t>is charged with or convicted of an offence against a law of the Commonwealth may be tried, punished or otherwise dealt with as if the offence were an off</w:t>
      </w:r>
      <w:r>
        <w:rPr>
          <w:rFonts w:ascii="Arial" w:hAnsi="Arial" w:cs="Arial"/>
          <w:color w:val="000000"/>
          <w:sz w:val="20"/>
        </w:rPr>
        <w:t xml:space="preserve">ence against a law of the State or Territory. </w:t>
      </w:r>
      <w:r w:rsidRPr="00F51496">
        <w:rPr>
          <w:rFonts w:ascii="Arial" w:hAnsi="Arial" w:cs="Arial"/>
          <w:color w:val="000000"/>
          <w:sz w:val="20"/>
        </w:rPr>
        <w:t>In Victoria in 2004 &amp; 2005 less than half a percent of offences dealt with by the Children’s Court were Commonwealth offences.</w:t>
      </w:r>
      <w:r>
        <w:rPr>
          <w:rFonts w:ascii="Arial" w:hAnsi="Arial" w:cs="Arial"/>
          <w:color w:val="000000"/>
          <w:sz w:val="20"/>
        </w:rPr>
        <w:t xml:space="preserve"> In </w:t>
      </w:r>
      <w:r w:rsidRPr="0077177B">
        <w:rPr>
          <w:rFonts w:ascii="Arial" w:hAnsi="Arial" w:cs="Arial"/>
          <w:i/>
          <w:color w:val="000000"/>
          <w:sz w:val="20"/>
        </w:rPr>
        <w:t>CDPP v TK</w:t>
      </w:r>
      <w:r>
        <w:rPr>
          <w:rFonts w:ascii="Arial" w:hAnsi="Arial" w:cs="Arial"/>
          <w:color w:val="000000"/>
          <w:sz w:val="20"/>
        </w:rPr>
        <w:t xml:space="preserve"> [2018] VChC 4 Stylianou M discussed the effect of s.20C on sentencing under the CYFA. Part of her Honour’s detailed reasons are set out in </w:t>
      </w:r>
      <w:r w:rsidRPr="00D04051">
        <w:rPr>
          <w:rFonts w:ascii="Arial" w:hAnsi="Arial" w:cs="Arial"/>
          <w:b/>
          <w:bCs/>
          <w:color w:val="000000"/>
          <w:sz w:val="20"/>
          <w:shd w:val="clear" w:color="auto" w:fill="C5E0B3"/>
        </w:rPr>
        <w:t>section 11.1.13</w:t>
      </w:r>
      <w:r>
        <w:rPr>
          <w:rFonts w:ascii="Arial" w:hAnsi="Arial" w:cs="Arial"/>
          <w:color w:val="000000"/>
          <w:sz w:val="20"/>
        </w:rPr>
        <w:t xml:space="preserve"> of these Materials.</w:t>
      </w:r>
    </w:p>
    <w:p w14:paraId="074E69F1" w14:textId="77777777" w:rsidR="00AE3A42" w:rsidRPr="00F51496" w:rsidRDefault="00AE3A42" w:rsidP="00AE3A42">
      <w:pPr>
        <w:rPr>
          <w:rFonts w:ascii="Arial" w:hAnsi="Arial" w:cs="Arial"/>
          <w:b/>
          <w:bCs/>
          <w:color w:val="000000"/>
          <w:sz w:val="20"/>
        </w:rPr>
      </w:pPr>
    </w:p>
    <w:p w14:paraId="6642EF48" w14:textId="77777777" w:rsidR="00B15A73" w:rsidRPr="00F51496" w:rsidRDefault="00B15A73" w:rsidP="00B15A73">
      <w:pPr>
        <w:pStyle w:val="Heading3"/>
        <w:keepNext/>
        <w:spacing w:after="120" w:line="240" w:lineRule="auto"/>
        <w:rPr>
          <w:rFonts w:ascii="Arial" w:hAnsi="Arial" w:cs="Arial"/>
          <w:b/>
          <w:bCs/>
          <w:color w:val="000000"/>
          <w:sz w:val="20"/>
        </w:rPr>
      </w:pPr>
      <w:bookmarkStart w:id="70" w:name="_7.1.1_Classification_of"/>
      <w:bookmarkStart w:id="71" w:name="_Toc30669413"/>
      <w:bookmarkStart w:id="72" w:name="_Toc30671629"/>
      <w:bookmarkStart w:id="73" w:name="_Toc30674156"/>
      <w:bookmarkStart w:id="74" w:name="_Toc30691378"/>
      <w:bookmarkStart w:id="75" w:name="_Toc30691753"/>
      <w:bookmarkStart w:id="76" w:name="_Toc30692133"/>
      <w:bookmarkStart w:id="77" w:name="_Toc30692892"/>
      <w:bookmarkStart w:id="78" w:name="_Toc30693271"/>
      <w:bookmarkStart w:id="79" w:name="_Toc30693649"/>
      <w:bookmarkStart w:id="80" w:name="_Toc30694027"/>
      <w:bookmarkStart w:id="81" w:name="_Toc30694408"/>
      <w:bookmarkStart w:id="82" w:name="_Toc30698997"/>
      <w:bookmarkStart w:id="83" w:name="_Toc30699375"/>
      <w:bookmarkStart w:id="84" w:name="_Toc30699760"/>
      <w:bookmarkStart w:id="85" w:name="_Toc30700915"/>
      <w:bookmarkStart w:id="86" w:name="_Toc30701302"/>
      <w:bookmarkStart w:id="87" w:name="_Toc30743913"/>
      <w:bookmarkStart w:id="88" w:name="_Toc30754736"/>
      <w:bookmarkStart w:id="89" w:name="_Toc30757177"/>
      <w:bookmarkStart w:id="90" w:name="_Toc30757725"/>
      <w:bookmarkStart w:id="91" w:name="_Toc30758125"/>
      <w:bookmarkStart w:id="92" w:name="_Toc30762886"/>
      <w:bookmarkStart w:id="93" w:name="_Toc30767540"/>
      <w:bookmarkStart w:id="94" w:name="_Toc34823558"/>
      <w:bookmarkEnd w:id="70"/>
      <w:r w:rsidRPr="00F51496">
        <w:rPr>
          <w:rFonts w:ascii="Arial" w:hAnsi="Arial" w:cs="Arial"/>
          <w:b/>
          <w:bCs/>
          <w:color w:val="000000"/>
          <w:sz w:val="20"/>
        </w:rPr>
        <w:t>7.1.1</w:t>
      </w:r>
      <w:r w:rsidRPr="00F51496">
        <w:rPr>
          <w:rFonts w:ascii="Arial" w:hAnsi="Arial" w:cs="Arial"/>
          <w:b/>
          <w:bCs/>
          <w:color w:val="000000"/>
          <w:sz w:val="20"/>
        </w:rPr>
        <w:tab/>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Pr>
          <w:rFonts w:ascii="Arial" w:hAnsi="Arial" w:cs="Arial"/>
          <w:b/>
          <w:bCs/>
          <w:color w:val="000000"/>
          <w:sz w:val="20"/>
        </w:rPr>
        <w:t>Classification of offences</w:t>
      </w:r>
    </w:p>
    <w:p w14:paraId="30E287DB" w14:textId="77777777" w:rsidR="00B15A73" w:rsidRPr="00F51496" w:rsidRDefault="00B15A73" w:rsidP="00B15A73">
      <w:pPr>
        <w:jc w:val="both"/>
        <w:rPr>
          <w:rFonts w:ascii="Arial" w:hAnsi="Arial" w:cs="Arial"/>
          <w:color w:val="000000"/>
          <w:sz w:val="20"/>
        </w:rPr>
      </w:pPr>
      <w:r w:rsidRPr="00F51496">
        <w:rPr>
          <w:rFonts w:ascii="Arial" w:hAnsi="Arial" w:cs="Arial"/>
          <w:color w:val="000000"/>
          <w:sz w:val="20"/>
        </w:rPr>
        <w:t>In order to understand the jurisdiction of the Criminal Division of the Court, it is necessary to be aware that offences are classified into 2 categories:</w:t>
      </w:r>
    </w:p>
    <w:p w14:paraId="7D82A935" w14:textId="77777777" w:rsidR="00B15A73" w:rsidRPr="00F51496" w:rsidRDefault="00B15A73" w:rsidP="00191D35">
      <w:pPr>
        <w:ind w:left="357" w:hanging="357"/>
        <w:jc w:val="both"/>
        <w:rPr>
          <w:rFonts w:ascii="Arial" w:hAnsi="Arial" w:cs="Arial"/>
          <w:color w:val="000000"/>
          <w:sz w:val="20"/>
        </w:rPr>
      </w:pPr>
      <w:r w:rsidRPr="00F51496">
        <w:rPr>
          <w:rFonts w:ascii="Arial" w:hAnsi="Arial" w:cs="Arial"/>
          <w:color w:val="000000"/>
          <w:sz w:val="20"/>
        </w:rPr>
        <w:t>(i)</w:t>
      </w:r>
      <w:r w:rsidRPr="00F51496">
        <w:rPr>
          <w:rFonts w:ascii="Arial" w:hAnsi="Arial" w:cs="Arial"/>
          <w:color w:val="000000"/>
          <w:sz w:val="20"/>
        </w:rPr>
        <w:tab/>
        <w:t>summary offences (once called misdemeanours); and</w:t>
      </w:r>
    </w:p>
    <w:p w14:paraId="18A24F7E" w14:textId="77777777" w:rsidR="00B15A73" w:rsidRPr="00F51496" w:rsidRDefault="00B15A73" w:rsidP="00DF6B3E">
      <w:pPr>
        <w:ind w:left="357" w:hanging="357"/>
        <w:jc w:val="both"/>
        <w:rPr>
          <w:rFonts w:ascii="Arial" w:hAnsi="Arial" w:cs="Arial"/>
          <w:color w:val="000000"/>
          <w:sz w:val="20"/>
        </w:rPr>
      </w:pPr>
      <w:r w:rsidRPr="00F51496">
        <w:rPr>
          <w:rFonts w:ascii="Arial" w:hAnsi="Arial" w:cs="Arial"/>
          <w:color w:val="000000"/>
          <w:sz w:val="20"/>
        </w:rPr>
        <w:t>(ii)</w:t>
      </w:r>
      <w:r w:rsidRPr="00F51496">
        <w:rPr>
          <w:rFonts w:ascii="Arial" w:hAnsi="Arial" w:cs="Arial"/>
          <w:color w:val="000000"/>
          <w:sz w:val="20"/>
        </w:rPr>
        <w:tab/>
        <w:t>indictable offences (once called felonies).</w:t>
      </w:r>
    </w:p>
    <w:p w14:paraId="25D0445B" w14:textId="77777777" w:rsidR="00B15A73" w:rsidRPr="00F51496" w:rsidRDefault="00B15A73" w:rsidP="00B15A73">
      <w:pPr>
        <w:jc w:val="both"/>
        <w:rPr>
          <w:rFonts w:ascii="Arial" w:hAnsi="Arial" w:cs="Arial"/>
          <w:color w:val="000000"/>
          <w:sz w:val="20"/>
        </w:rPr>
      </w:pPr>
    </w:p>
    <w:p w14:paraId="41DB17A6" w14:textId="16FD6DE7" w:rsidR="00B15A73" w:rsidRPr="00F51496" w:rsidRDefault="00B15A73" w:rsidP="00B15A73">
      <w:pPr>
        <w:jc w:val="both"/>
        <w:rPr>
          <w:rFonts w:ascii="Arial" w:hAnsi="Arial" w:cs="Arial"/>
          <w:color w:val="000000"/>
          <w:sz w:val="20"/>
        </w:rPr>
      </w:pPr>
      <w:r w:rsidRPr="00F51496">
        <w:rPr>
          <w:rFonts w:ascii="Arial" w:hAnsi="Arial" w:cs="Arial"/>
          <w:color w:val="000000"/>
          <w:sz w:val="20"/>
        </w:rPr>
        <w:t xml:space="preserve">A summary offence is an offence which can only be tried in a court of summary jurisdiction.  Examples include most offences created by the </w:t>
      </w:r>
      <w:r w:rsidRPr="008102AC">
        <w:rPr>
          <w:rFonts w:ascii="Arial" w:hAnsi="Arial" w:cs="Arial"/>
          <w:i/>
          <w:iCs/>
          <w:color w:val="000000"/>
          <w:sz w:val="20"/>
        </w:rPr>
        <w:t>Summary Offences Act 1966</w:t>
      </w:r>
      <w:r w:rsidR="008102AC">
        <w:rPr>
          <w:rFonts w:ascii="Arial" w:hAnsi="Arial" w:cs="Arial"/>
          <w:color w:val="000000"/>
          <w:sz w:val="20"/>
        </w:rPr>
        <w:t xml:space="preserve"> </w:t>
      </w:r>
      <w:r w:rsidRPr="00F51496">
        <w:rPr>
          <w:rFonts w:ascii="Arial" w:hAnsi="Arial" w:cs="Arial"/>
          <w:color w:val="000000"/>
          <w:sz w:val="20"/>
        </w:rPr>
        <w:t xml:space="preserve">&amp; the </w:t>
      </w:r>
      <w:r w:rsidRPr="008102AC">
        <w:rPr>
          <w:rFonts w:ascii="Arial" w:hAnsi="Arial" w:cs="Arial"/>
          <w:i/>
          <w:iCs/>
          <w:color w:val="000000"/>
          <w:sz w:val="20"/>
        </w:rPr>
        <w:t>Road Safety Act 1989</w:t>
      </w:r>
      <w:r w:rsidRPr="00F51496">
        <w:rPr>
          <w:rFonts w:ascii="Arial" w:hAnsi="Arial" w:cs="Arial"/>
          <w:color w:val="000000"/>
          <w:sz w:val="20"/>
        </w:rPr>
        <w:t>.</w:t>
      </w:r>
    </w:p>
    <w:p w14:paraId="0D2704D0" w14:textId="77777777" w:rsidR="00B15A73" w:rsidRPr="00F51496" w:rsidRDefault="00B15A73" w:rsidP="00B15A73">
      <w:pPr>
        <w:jc w:val="both"/>
        <w:rPr>
          <w:rFonts w:ascii="Arial" w:hAnsi="Arial" w:cs="Arial"/>
          <w:color w:val="000000"/>
          <w:sz w:val="20"/>
        </w:rPr>
      </w:pPr>
    </w:p>
    <w:p w14:paraId="2CF05A4F" w14:textId="1D55B403" w:rsidR="00B15A73" w:rsidRPr="00F51496" w:rsidRDefault="00B15A73" w:rsidP="00B15A73">
      <w:pPr>
        <w:jc w:val="both"/>
        <w:rPr>
          <w:rFonts w:ascii="Arial" w:hAnsi="Arial" w:cs="Arial"/>
          <w:color w:val="000000"/>
          <w:sz w:val="20"/>
        </w:rPr>
      </w:pPr>
      <w:r w:rsidRPr="00F51496">
        <w:rPr>
          <w:rFonts w:ascii="Arial" w:hAnsi="Arial" w:cs="Arial"/>
          <w:color w:val="000000"/>
          <w:sz w:val="20"/>
        </w:rPr>
        <w:t xml:space="preserve">An indictable offence is an offence which can be tried on indictment, that is by a judge &amp; jury in the County Court or the Supreme Court.  Examples include most common law offences (eg. affray, false imprisonment) and the majority of the offences created by the </w:t>
      </w:r>
      <w:r w:rsidRPr="008102AC">
        <w:rPr>
          <w:rFonts w:ascii="Arial" w:hAnsi="Arial" w:cs="Arial"/>
          <w:i/>
          <w:iCs/>
          <w:color w:val="000000"/>
          <w:sz w:val="20"/>
        </w:rPr>
        <w:t>Crimes Act 1958</w:t>
      </w:r>
      <w:r w:rsidRPr="00F51496">
        <w:rPr>
          <w:rFonts w:ascii="Arial" w:hAnsi="Arial" w:cs="Arial"/>
          <w:color w:val="000000"/>
          <w:sz w:val="20"/>
        </w:rPr>
        <w:t>.</w:t>
      </w:r>
    </w:p>
    <w:p w14:paraId="1BC54BC3" w14:textId="77777777" w:rsidR="00B15A73" w:rsidRPr="00F51496" w:rsidRDefault="00B15A73" w:rsidP="00B15A73">
      <w:pPr>
        <w:jc w:val="both"/>
        <w:rPr>
          <w:rFonts w:ascii="Arial" w:hAnsi="Arial" w:cs="Arial"/>
          <w:color w:val="000000"/>
          <w:sz w:val="20"/>
        </w:rPr>
      </w:pPr>
    </w:p>
    <w:p w14:paraId="7AF8411E" w14:textId="77777777" w:rsidR="00B15A73" w:rsidRPr="00F51496" w:rsidRDefault="00B15A73" w:rsidP="00B15A73">
      <w:pPr>
        <w:jc w:val="both"/>
        <w:rPr>
          <w:rFonts w:ascii="Arial" w:hAnsi="Arial" w:cs="Arial"/>
          <w:color w:val="000000"/>
          <w:sz w:val="20"/>
        </w:rPr>
      </w:pPr>
      <w:r w:rsidRPr="00F51496">
        <w:rPr>
          <w:rFonts w:ascii="Arial" w:hAnsi="Arial" w:cs="Arial"/>
          <w:color w:val="000000"/>
          <w:sz w:val="20"/>
        </w:rPr>
        <w:t>Sometimes the statutory provision creating an offence specifies whether the offence is indictable or summary.  For example:</w:t>
      </w:r>
    </w:p>
    <w:p w14:paraId="20E70E77" w14:textId="7BE7877D" w:rsidR="00B15A73" w:rsidRPr="00F51496" w:rsidRDefault="00B15A73" w:rsidP="00B15A73">
      <w:pPr>
        <w:numPr>
          <w:ilvl w:val="0"/>
          <w:numId w:val="1"/>
        </w:numPr>
        <w:jc w:val="both"/>
        <w:rPr>
          <w:rFonts w:ascii="Arial" w:hAnsi="Arial" w:cs="Arial"/>
          <w:color w:val="000000"/>
          <w:sz w:val="20"/>
        </w:rPr>
      </w:pPr>
      <w:r w:rsidRPr="00F51496">
        <w:rPr>
          <w:rFonts w:ascii="Arial" w:hAnsi="Arial" w:cs="Arial"/>
          <w:color w:val="000000"/>
          <w:sz w:val="20"/>
        </w:rPr>
        <w:t xml:space="preserve">the various offences of trafficking in a drug of dependence created by ss.71, 71AA, 71AB &amp; 71AC of the </w:t>
      </w:r>
      <w:r w:rsidRPr="008102AC">
        <w:rPr>
          <w:rFonts w:ascii="Arial" w:hAnsi="Arial" w:cs="Arial"/>
          <w:i/>
          <w:iCs/>
          <w:color w:val="000000"/>
          <w:sz w:val="20"/>
        </w:rPr>
        <w:t>Drugs, Poisons and Controlled Substances Act 1981</w:t>
      </w:r>
      <w:r w:rsidRPr="00F51496">
        <w:rPr>
          <w:rFonts w:ascii="Arial" w:hAnsi="Arial" w:cs="Arial"/>
          <w:color w:val="000000"/>
          <w:sz w:val="20"/>
        </w:rPr>
        <w:t xml:space="preserve"> [as amended] are defined as indictable offences;</w:t>
      </w:r>
    </w:p>
    <w:p w14:paraId="5B22BABA" w14:textId="7C45D3A6" w:rsidR="00B15A73" w:rsidRPr="00F51496" w:rsidRDefault="00B15A73" w:rsidP="00B15A73">
      <w:pPr>
        <w:numPr>
          <w:ilvl w:val="0"/>
          <w:numId w:val="1"/>
        </w:numPr>
        <w:jc w:val="both"/>
        <w:rPr>
          <w:rFonts w:ascii="Arial" w:hAnsi="Arial" w:cs="Arial"/>
          <w:color w:val="000000"/>
          <w:sz w:val="20"/>
        </w:rPr>
      </w:pPr>
      <w:r w:rsidRPr="00F51496">
        <w:rPr>
          <w:rFonts w:ascii="Arial" w:hAnsi="Arial" w:cs="Arial"/>
          <w:color w:val="000000"/>
          <w:sz w:val="20"/>
        </w:rPr>
        <w:t xml:space="preserve">s.91 of the </w:t>
      </w:r>
      <w:r w:rsidRPr="008102AC">
        <w:rPr>
          <w:rFonts w:ascii="Arial" w:hAnsi="Arial" w:cs="Arial"/>
          <w:i/>
          <w:iCs/>
          <w:color w:val="000000"/>
          <w:sz w:val="20"/>
        </w:rPr>
        <w:t>Crimes Act 1958</w:t>
      </w:r>
      <w:r w:rsidRPr="00F51496">
        <w:rPr>
          <w:rFonts w:ascii="Arial" w:hAnsi="Arial" w:cs="Arial"/>
          <w:color w:val="000000"/>
          <w:sz w:val="20"/>
        </w:rPr>
        <w:t xml:space="preserve"> which states that the offence of “Going equipped for stealing etc” is a summary offence.</w:t>
      </w:r>
    </w:p>
    <w:p w14:paraId="5E62670E" w14:textId="77777777" w:rsidR="00B15A73" w:rsidRPr="00F51496" w:rsidRDefault="00B15A73" w:rsidP="00B15A73">
      <w:pPr>
        <w:pStyle w:val="DraftHeading1"/>
        <w:tabs>
          <w:tab w:val="right" w:pos="680"/>
        </w:tabs>
        <w:spacing w:before="0"/>
        <w:jc w:val="both"/>
        <w:rPr>
          <w:rFonts w:ascii="Arial" w:hAnsi="Arial" w:cs="Arial"/>
          <w:b w:val="0"/>
          <w:color w:val="000000"/>
          <w:sz w:val="20"/>
        </w:rPr>
      </w:pPr>
      <w:bookmarkStart w:id="95" w:name="_Toc276383645"/>
    </w:p>
    <w:p w14:paraId="00187D19" w14:textId="1DD57048" w:rsidR="00B15A73" w:rsidRPr="00F51496" w:rsidRDefault="00B15A73" w:rsidP="00B15A73">
      <w:pPr>
        <w:pStyle w:val="DraftHeading1"/>
        <w:tabs>
          <w:tab w:val="right" w:pos="680"/>
        </w:tabs>
        <w:spacing w:before="0"/>
        <w:jc w:val="both"/>
        <w:rPr>
          <w:rFonts w:ascii="Arial" w:hAnsi="Arial" w:cs="Arial"/>
          <w:b w:val="0"/>
          <w:color w:val="000000"/>
          <w:sz w:val="20"/>
        </w:rPr>
      </w:pPr>
      <w:r w:rsidRPr="00F51496">
        <w:rPr>
          <w:rFonts w:ascii="Arial" w:hAnsi="Arial" w:cs="Arial"/>
          <w:b w:val="0"/>
          <w:color w:val="000000"/>
          <w:sz w:val="20"/>
        </w:rPr>
        <w:t xml:space="preserve">Occasionally the statutory provision creating an offence specifies that the offence is indictable in some instances and summary in others: e.g. s.60B(2) of the </w:t>
      </w:r>
      <w:r w:rsidRPr="008102AC">
        <w:rPr>
          <w:rFonts w:ascii="Arial" w:hAnsi="Arial" w:cs="Arial"/>
          <w:b w:val="0"/>
          <w:i/>
          <w:iCs/>
          <w:color w:val="000000"/>
          <w:sz w:val="20"/>
        </w:rPr>
        <w:t>Crimes Act 1958</w:t>
      </w:r>
      <w:r w:rsidRPr="00F51496">
        <w:rPr>
          <w:rFonts w:ascii="Arial" w:hAnsi="Arial" w:cs="Arial"/>
          <w:b w:val="0"/>
          <w:color w:val="000000"/>
          <w:sz w:val="20"/>
        </w:rPr>
        <w:t xml:space="preserve"> creating an offence of “Loitering near schools etc”.</w:t>
      </w:r>
    </w:p>
    <w:bookmarkEnd w:id="95"/>
    <w:p w14:paraId="4683E8F8" w14:textId="77777777" w:rsidR="00B15A73" w:rsidRPr="00F51496" w:rsidRDefault="00B15A73" w:rsidP="00B15A73">
      <w:pPr>
        <w:jc w:val="both"/>
        <w:rPr>
          <w:rFonts w:ascii="Arial" w:hAnsi="Arial" w:cs="Arial"/>
          <w:color w:val="000000"/>
          <w:sz w:val="20"/>
        </w:rPr>
      </w:pPr>
    </w:p>
    <w:p w14:paraId="4D8D5779" w14:textId="20414011" w:rsidR="00B15A73" w:rsidRPr="00F51496" w:rsidRDefault="00B15A73" w:rsidP="00B15A73">
      <w:pPr>
        <w:jc w:val="both"/>
        <w:rPr>
          <w:rFonts w:ascii="Arial" w:hAnsi="Arial" w:cs="Arial"/>
          <w:color w:val="000000"/>
          <w:sz w:val="20"/>
        </w:rPr>
      </w:pPr>
      <w:r w:rsidRPr="00F51496">
        <w:rPr>
          <w:rFonts w:ascii="Arial" w:hAnsi="Arial" w:cs="Arial"/>
          <w:color w:val="000000"/>
          <w:sz w:val="20"/>
        </w:rPr>
        <w:t xml:space="preserve">Sometimes the statutory provision is silent as to the classification of the offence.  In that event, the relevant classification is determined by s.112 of the </w:t>
      </w:r>
      <w:r w:rsidRPr="008102AC">
        <w:rPr>
          <w:rFonts w:ascii="Arial" w:hAnsi="Arial" w:cs="Arial"/>
          <w:i/>
          <w:iCs/>
          <w:color w:val="000000"/>
          <w:sz w:val="20"/>
        </w:rPr>
        <w:t>Sentencing Act 1991</w:t>
      </w:r>
      <w:r w:rsidRPr="00F51496">
        <w:rPr>
          <w:rFonts w:ascii="Arial" w:hAnsi="Arial" w:cs="Arial"/>
          <w:color w:val="000000"/>
          <w:sz w:val="20"/>
        </w:rPr>
        <w:t xml:space="preserve"> [No.49/1991] [as amended]:</w:t>
      </w:r>
    </w:p>
    <w:p w14:paraId="42619B38" w14:textId="77777777" w:rsidR="00B15A73" w:rsidRPr="00F51496" w:rsidRDefault="00B15A73" w:rsidP="00B15A73">
      <w:pPr>
        <w:ind w:left="363" w:hanging="363"/>
        <w:jc w:val="both"/>
        <w:rPr>
          <w:rFonts w:ascii="Arial" w:hAnsi="Arial" w:cs="Arial"/>
          <w:color w:val="000000"/>
          <w:sz w:val="20"/>
        </w:rPr>
      </w:pPr>
      <w:r w:rsidRPr="00F51496">
        <w:rPr>
          <w:rFonts w:ascii="Arial" w:hAnsi="Arial" w:cs="Arial"/>
          <w:color w:val="000000"/>
          <w:sz w:val="20"/>
        </w:rPr>
        <w:t>(1)</w:t>
      </w:r>
      <w:r w:rsidRPr="00F51496">
        <w:rPr>
          <w:rFonts w:ascii="Arial" w:hAnsi="Arial" w:cs="Arial"/>
          <w:color w:val="000000"/>
          <w:sz w:val="20"/>
        </w:rPr>
        <w:tab/>
        <w:t xml:space="preserve">An offence that is described in a provision of an Act (other than the </w:t>
      </w:r>
      <w:r w:rsidRPr="008102AC">
        <w:rPr>
          <w:rFonts w:ascii="Arial" w:hAnsi="Arial" w:cs="Arial"/>
          <w:i/>
          <w:iCs/>
          <w:color w:val="000000"/>
          <w:sz w:val="20"/>
        </w:rPr>
        <w:t>Crimes Act 1958</w:t>
      </w:r>
      <w:r w:rsidRPr="00F51496">
        <w:rPr>
          <w:rFonts w:ascii="Arial" w:hAnsi="Arial" w:cs="Arial"/>
          <w:color w:val="000000"/>
          <w:sz w:val="20"/>
        </w:rPr>
        <w:t xml:space="preserve"> or the </w:t>
      </w:r>
      <w:r w:rsidRPr="008102AC">
        <w:rPr>
          <w:rFonts w:ascii="Arial" w:hAnsi="Arial" w:cs="Arial"/>
          <w:i/>
          <w:iCs/>
          <w:color w:val="000000"/>
          <w:sz w:val="20"/>
        </w:rPr>
        <w:t>Wrongs Act 1958</w:t>
      </w:r>
      <w:r w:rsidRPr="00F51496">
        <w:rPr>
          <w:rFonts w:ascii="Arial" w:hAnsi="Arial" w:cs="Arial"/>
          <w:color w:val="000000"/>
          <w:sz w:val="20"/>
        </w:rPr>
        <w:t>), subordinate instrument or local law as being level 1, 2, 3, 4, 5 or 6 or as being punishable by level 1, 2, 3, 4, 5 or 6 imprisonment or fine or both is, unless the contrary intention appears, an indictable offence.</w:t>
      </w:r>
    </w:p>
    <w:p w14:paraId="358C7A27" w14:textId="77777777" w:rsidR="00B15A73" w:rsidRPr="00F51496" w:rsidRDefault="00B15A73" w:rsidP="00B15A73">
      <w:pPr>
        <w:ind w:left="363" w:hanging="363"/>
        <w:jc w:val="both"/>
        <w:rPr>
          <w:rFonts w:ascii="Arial" w:hAnsi="Arial" w:cs="Arial"/>
          <w:color w:val="000000"/>
          <w:sz w:val="20"/>
        </w:rPr>
      </w:pPr>
      <w:r w:rsidRPr="00F51496">
        <w:rPr>
          <w:rFonts w:ascii="Arial" w:hAnsi="Arial" w:cs="Arial"/>
          <w:color w:val="000000"/>
          <w:sz w:val="20"/>
        </w:rPr>
        <w:t>(2)</w:t>
      </w:r>
      <w:r w:rsidRPr="00F51496">
        <w:rPr>
          <w:rFonts w:ascii="Arial" w:hAnsi="Arial" w:cs="Arial"/>
          <w:color w:val="000000"/>
          <w:sz w:val="20"/>
        </w:rPr>
        <w:tab/>
        <w:t xml:space="preserve">Any other offence under an Act (other than the </w:t>
      </w:r>
      <w:r w:rsidRPr="008102AC">
        <w:rPr>
          <w:rFonts w:ascii="Arial" w:hAnsi="Arial" w:cs="Arial"/>
          <w:i/>
          <w:iCs/>
          <w:color w:val="000000"/>
          <w:sz w:val="20"/>
        </w:rPr>
        <w:t>Crimes Act 1958</w:t>
      </w:r>
      <w:r w:rsidRPr="00F51496">
        <w:rPr>
          <w:rFonts w:ascii="Arial" w:hAnsi="Arial" w:cs="Arial"/>
          <w:color w:val="000000"/>
          <w:sz w:val="20"/>
        </w:rPr>
        <w:t xml:space="preserve"> or the </w:t>
      </w:r>
      <w:r w:rsidRPr="008102AC">
        <w:rPr>
          <w:rFonts w:ascii="Arial" w:hAnsi="Arial" w:cs="Arial"/>
          <w:i/>
          <w:iCs/>
          <w:color w:val="000000"/>
          <w:sz w:val="20"/>
        </w:rPr>
        <w:t>Wrongs Act 1958</w:t>
      </w:r>
      <w:r w:rsidRPr="00F51496">
        <w:rPr>
          <w:rFonts w:ascii="Arial" w:hAnsi="Arial" w:cs="Arial"/>
          <w:color w:val="000000"/>
          <w:sz w:val="20"/>
        </w:rPr>
        <w:t>), subordinate instrument or local law is, unless the contrary intention appears, a summary offence.</w:t>
      </w:r>
    </w:p>
    <w:p w14:paraId="6936F698" w14:textId="591EFD08" w:rsidR="00B15A73" w:rsidRPr="00F51496" w:rsidRDefault="00B15A73" w:rsidP="00B15A73">
      <w:pPr>
        <w:ind w:left="363" w:hanging="363"/>
        <w:jc w:val="both"/>
        <w:rPr>
          <w:rFonts w:ascii="Arial" w:hAnsi="Arial" w:cs="Arial"/>
          <w:color w:val="000000"/>
          <w:sz w:val="20"/>
        </w:rPr>
      </w:pPr>
      <w:r w:rsidRPr="00F51496">
        <w:rPr>
          <w:rFonts w:ascii="Arial" w:hAnsi="Arial" w:cs="Arial"/>
          <w:color w:val="000000"/>
          <w:sz w:val="20"/>
        </w:rPr>
        <w:t>(3)</w:t>
      </w:r>
      <w:r w:rsidRPr="00F51496">
        <w:rPr>
          <w:rFonts w:ascii="Arial" w:hAnsi="Arial" w:cs="Arial"/>
          <w:color w:val="000000"/>
          <w:sz w:val="20"/>
        </w:rPr>
        <w:tab/>
        <w:t>If an offence is described as being punishable in more than one way or in one of two or more ways, subsection (1) applies even if only one of those ways is referred to in that subsection.</w:t>
      </w:r>
    </w:p>
    <w:p w14:paraId="7C9F098B" w14:textId="77777777" w:rsidR="00B15A73" w:rsidRPr="00F51496" w:rsidRDefault="00B15A73" w:rsidP="00B15A73">
      <w:pPr>
        <w:jc w:val="both"/>
        <w:rPr>
          <w:rFonts w:ascii="Arial" w:hAnsi="Arial" w:cs="Arial"/>
          <w:color w:val="000000"/>
          <w:sz w:val="20"/>
        </w:rPr>
      </w:pPr>
    </w:p>
    <w:p w14:paraId="7C3E2203" w14:textId="606BB3E4" w:rsidR="0027357D" w:rsidRDefault="00AE3A42" w:rsidP="00290FAB">
      <w:pPr>
        <w:pStyle w:val="Heading3"/>
        <w:keepNext/>
        <w:spacing w:line="240" w:lineRule="auto"/>
        <w:rPr>
          <w:rFonts w:ascii="Arial" w:hAnsi="Arial" w:cs="Arial"/>
          <w:b/>
          <w:bCs/>
          <w:color w:val="000000"/>
          <w:sz w:val="20"/>
        </w:rPr>
      </w:pPr>
      <w:bookmarkStart w:id="96" w:name="_7.1.2_Age_of"/>
      <w:bookmarkStart w:id="97" w:name="_Hlk221598983"/>
      <w:bookmarkEnd w:id="96"/>
      <w:r w:rsidRPr="00F51496">
        <w:rPr>
          <w:rFonts w:ascii="Arial" w:hAnsi="Arial" w:cs="Arial"/>
          <w:b/>
          <w:bCs/>
          <w:color w:val="000000"/>
          <w:sz w:val="20"/>
        </w:rPr>
        <w:t>7.</w:t>
      </w:r>
      <w:r w:rsidR="00ED1E6B">
        <w:rPr>
          <w:rFonts w:ascii="Arial" w:hAnsi="Arial" w:cs="Arial"/>
          <w:b/>
          <w:bCs/>
          <w:color w:val="000000"/>
          <w:sz w:val="20"/>
        </w:rPr>
        <w:t>1</w:t>
      </w:r>
      <w:r w:rsidRPr="00F51496">
        <w:rPr>
          <w:rFonts w:ascii="Arial" w:hAnsi="Arial" w:cs="Arial"/>
          <w:b/>
          <w:bCs/>
          <w:color w:val="000000"/>
          <w:sz w:val="20"/>
        </w:rPr>
        <w:t>.</w:t>
      </w:r>
      <w:r w:rsidR="00ED1E6B">
        <w:rPr>
          <w:rFonts w:ascii="Arial" w:hAnsi="Arial" w:cs="Arial"/>
          <w:b/>
          <w:bCs/>
          <w:color w:val="000000"/>
          <w:sz w:val="20"/>
        </w:rPr>
        <w:t>2</w:t>
      </w:r>
      <w:r w:rsidRPr="00F51496">
        <w:rPr>
          <w:rFonts w:ascii="Arial" w:hAnsi="Arial" w:cs="Arial"/>
          <w:b/>
          <w:bCs/>
          <w:color w:val="000000"/>
          <w:sz w:val="20"/>
        </w:rPr>
        <w:tab/>
        <w:t>Age of ‘child’</w:t>
      </w:r>
      <w:r w:rsidR="00C11A46" w:rsidRPr="00F51496">
        <w:rPr>
          <w:rFonts w:ascii="Arial" w:hAnsi="Arial" w:cs="Arial"/>
          <w:b/>
          <w:bCs/>
          <w:color w:val="000000"/>
          <w:sz w:val="20"/>
        </w:rPr>
        <w:t xml:space="preserve"> for hearing of a </w:t>
      </w:r>
      <w:r w:rsidR="000C13A2">
        <w:rPr>
          <w:rFonts w:ascii="Arial" w:hAnsi="Arial" w:cs="Arial"/>
          <w:b/>
          <w:bCs/>
          <w:color w:val="000000"/>
          <w:sz w:val="20"/>
        </w:rPr>
        <w:t xml:space="preserve">criminal </w:t>
      </w:r>
      <w:r w:rsidR="00C11A46" w:rsidRPr="00F51496">
        <w:rPr>
          <w:rFonts w:ascii="Arial" w:hAnsi="Arial" w:cs="Arial"/>
          <w:b/>
          <w:bCs/>
          <w:color w:val="000000"/>
          <w:sz w:val="20"/>
        </w:rPr>
        <w:t>charge</w:t>
      </w:r>
    </w:p>
    <w:bookmarkEnd w:id="97"/>
    <w:p w14:paraId="76ABCB7E" w14:textId="77777777" w:rsidR="00290FAB" w:rsidRPr="00F51496" w:rsidRDefault="00290FAB" w:rsidP="00232978">
      <w:pPr>
        <w:pStyle w:val="Heading3"/>
        <w:spacing w:line="240" w:lineRule="auto"/>
        <w:rPr>
          <w:rFonts w:ascii="Arial" w:hAnsi="Arial" w:cs="Arial"/>
          <w:b/>
          <w:bCs/>
          <w:color w:val="000000"/>
          <w:sz w:val="20"/>
        </w:rPr>
      </w:pPr>
    </w:p>
    <w:p w14:paraId="37AA8B19" w14:textId="6B7770DA" w:rsidR="00AE3A42" w:rsidRPr="00F51496" w:rsidRDefault="00AE3A42" w:rsidP="00232978">
      <w:pPr>
        <w:pBdr>
          <w:top w:val="single" w:sz="4" w:space="1" w:color="auto"/>
          <w:left w:val="single" w:sz="4" w:space="4" w:color="auto"/>
          <w:bottom w:val="single" w:sz="4" w:space="1" w:color="auto"/>
          <w:right w:val="single" w:sz="4" w:space="4" w:color="auto"/>
        </w:pBdr>
        <w:ind w:left="1134" w:right="1134"/>
        <w:jc w:val="center"/>
        <w:rPr>
          <w:rFonts w:ascii="Arial" w:hAnsi="Arial" w:cs="Arial"/>
          <w:b/>
          <w:bCs/>
          <w:color w:val="000000"/>
          <w:sz w:val="20"/>
        </w:rPr>
      </w:pPr>
      <w:commentRangeStart w:id="98"/>
      <w:commentRangeStart w:id="99"/>
      <w:r w:rsidRPr="00F51496">
        <w:rPr>
          <w:rFonts w:ascii="Arial" w:hAnsi="Arial" w:cs="Arial"/>
          <w:b/>
          <w:bCs/>
          <w:color w:val="000000"/>
          <w:sz w:val="20"/>
        </w:rPr>
        <w:t xml:space="preserve">"We have not passed that subtle line between childhood and adulthood until we move from the passive voice to the active voice </w:t>
      </w:r>
      <w:r w:rsidR="00235652" w:rsidRPr="00235652">
        <w:rPr>
          <w:rFonts w:ascii="Arial" w:hAnsi="Arial" w:cs="Arial"/>
          <w:b/>
          <w:bCs/>
          <w:color w:val="000000"/>
          <w:sz w:val="20"/>
        </w:rPr>
        <w:t>–</w:t>
      </w:r>
      <w:r w:rsidRPr="00F51496">
        <w:rPr>
          <w:rFonts w:ascii="Arial" w:hAnsi="Arial" w:cs="Arial"/>
          <w:b/>
          <w:bCs/>
          <w:color w:val="000000"/>
          <w:sz w:val="20"/>
        </w:rPr>
        <w:t xml:space="preserve"> that is, until we have stopped saying 'It got lost' and say 'I lost it'."</w:t>
      </w:r>
    </w:p>
    <w:p w14:paraId="24A70E55" w14:textId="77777777" w:rsidR="00AE3A42" w:rsidRPr="00F51496" w:rsidRDefault="00AE3A42" w:rsidP="00204E35">
      <w:pPr>
        <w:pBdr>
          <w:top w:val="single" w:sz="4" w:space="1" w:color="auto"/>
          <w:left w:val="single" w:sz="4" w:space="4" w:color="auto"/>
          <w:bottom w:val="single" w:sz="4" w:space="1" w:color="auto"/>
          <w:right w:val="single" w:sz="4" w:space="4" w:color="auto"/>
        </w:pBdr>
        <w:ind w:left="1134" w:right="1134"/>
        <w:jc w:val="center"/>
        <w:rPr>
          <w:rFonts w:ascii="Arial" w:hAnsi="Arial" w:cs="Arial"/>
          <w:color w:val="000000"/>
          <w:sz w:val="20"/>
        </w:rPr>
      </w:pPr>
      <w:r w:rsidRPr="00F51496">
        <w:rPr>
          <w:rFonts w:ascii="Arial" w:hAnsi="Arial" w:cs="Arial"/>
          <w:color w:val="000000"/>
          <w:sz w:val="20"/>
        </w:rPr>
        <w:t xml:space="preserve">Harris S., "On the Contrary" (1962), chapter 7. </w:t>
      </w:r>
      <w:commentRangeEnd w:id="98"/>
      <w:r w:rsidR="009F4300" w:rsidRPr="00F51496">
        <w:rPr>
          <w:rStyle w:val="CommentReference"/>
          <w:rFonts w:ascii="Arial" w:hAnsi="Arial" w:cs="Arial"/>
          <w:color w:val="000000"/>
          <w:sz w:val="20"/>
          <w:szCs w:val="24"/>
        </w:rPr>
        <w:commentReference w:id="98"/>
      </w:r>
      <w:commentRangeEnd w:id="99"/>
      <w:r w:rsidR="00965E27" w:rsidRPr="00F51496">
        <w:rPr>
          <w:rStyle w:val="CommentReference"/>
          <w:rFonts w:ascii="Arial" w:hAnsi="Arial" w:cs="Arial"/>
          <w:color w:val="000000"/>
          <w:sz w:val="20"/>
          <w:szCs w:val="24"/>
        </w:rPr>
        <w:commentReference w:id="99"/>
      </w:r>
    </w:p>
    <w:p w14:paraId="37DD9AF6" w14:textId="77777777" w:rsidR="00AE3A42" w:rsidRPr="00F51496" w:rsidRDefault="00AE3A42" w:rsidP="00AE3A42">
      <w:pPr>
        <w:jc w:val="both"/>
        <w:rPr>
          <w:rFonts w:ascii="Arial" w:hAnsi="Arial" w:cs="Arial"/>
          <w:color w:val="000000"/>
          <w:sz w:val="20"/>
        </w:rPr>
      </w:pPr>
    </w:p>
    <w:p w14:paraId="4B8E9F2A" w14:textId="2EE6ECEE" w:rsidR="00F622A5" w:rsidRPr="00F51496" w:rsidRDefault="00F622A5" w:rsidP="00AE3A42">
      <w:pPr>
        <w:jc w:val="both"/>
        <w:rPr>
          <w:rFonts w:ascii="Arial" w:hAnsi="Arial" w:cs="Arial"/>
          <w:color w:val="000000"/>
          <w:sz w:val="20"/>
        </w:rPr>
      </w:pPr>
      <w:r w:rsidRPr="00F51496">
        <w:rPr>
          <w:rFonts w:ascii="Arial" w:hAnsi="Arial" w:cs="Arial"/>
          <w:color w:val="000000"/>
          <w:sz w:val="20"/>
        </w:rPr>
        <w:t xml:space="preserve">Prior to 01/07/2005 the Children’s Court did not have criminal jurisdiction in respect of an offence committed by a person who had turned 17. Article 1 of the United Nations Convention on the Rights of the Child </w:t>
      </w:r>
      <w:r w:rsidR="00235652">
        <w:rPr>
          <w:rFonts w:ascii="Arial" w:hAnsi="Arial" w:cs="Arial"/>
          <w:color w:val="000000"/>
          <w:sz w:val="20"/>
        </w:rPr>
        <w:t>–</w:t>
      </w:r>
      <w:r w:rsidRPr="00F51496">
        <w:rPr>
          <w:rFonts w:ascii="Arial" w:hAnsi="Arial" w:cs="Arial"/>
          <w:color w:val="000000"/>
          <w:sz w:val="20"/>
        </w:rPr>
        <w:t xml:space="preserve"> to which Australia is a signatory </w:t>
      </w:r>
      <w:r w:rsidR="00235652">
        <w:rPr>
          <w:rFonts w:ascii="Arial" w:hAnsi="Arial" w:cs="Arial"/>
          <w:color w:val="000000"/>
          <w:sz w:val="20"/>
        </w:rPr>
        <w:t>–</w:t>
      </w:r>
      <w:r w:rsidRPr="00F51496">
        <w:rPr>
          <w:rFonts w:ascii="Arial" w:hAnsi="Arial" w:cs="Arial"/>
          <w:color w:val="000000"/>
          <w:sz w:val="20"/>
        </w:rPr>
        <w:t xml:space="preserve"> defines a child as a person under the age of 18 unless the relevant national law specifies an earlier age of majority. Because of the exception, the Victorian age of majority for criminal proceedings prior to 01/07/2005 was not in breach of the UN Convention but was not in accord with its spirit. In its joint report “</w:t>
      </w:r>
      <w:r w:rsidRPr="00F51496">
        <w:rPr>
          <w:rFonts w:ascii="Arial" w:hAnsi="Arial" w:cs="Arial"/>
          <w:i/>
          <w:color w:val="000000"/>
          <w:sz w:val="20"/>
        </w:rPr>
        <w:t>Seen and Heard: Priority for Children in the Legal Process</w:t>
      </w:r>
      <w:r w:rsidRPr="00F51496">
        <w:rPr>
          <w:rFonts w:ascii="Arial" w:hAnsi="Arial" w:cs="Arial"/>
          <w:color w:val="000000"/>
          <w:sz w:val="20"/>
        </w:rPr>
        <w:t>”, the Australian Law Reform Commission and Human Rights and Equal Opportunity Commission recommended: "The age at which a child reaches adulthood for the purposes of the criminal law should be 18 years in all Australian jurisdictions." [Recommendation 196: see paras</w:t>
      </w:r>
      <w:r w:rsidR="00232978">
        <w:rPr>
          <w:rFonts w:ascii="Arial" w:hAnsi="Arial" w:cs="Arial"/>
          <w:color w:val="000000"/>
          <w:sz w:val="20"/>
        </w:rPr>
        <w:t>.</w:t>
      </w:r>
      <w:r w:rsidRPr="00F51496">
        <w:rPr>
          <w:rFonts w:ascii="Arial" w:hAnsi="Arial" w:cs="Arial"/>
          <w:color w:val="000000"/>
          <w:sz w:val="20"/>
        </w:rPr>
        <w:t xml:space="preserve"> 18.21-18.22 of report].</w:t>
      </w:r>
    </w:p>
    <w:p w14:paraId="397CF942" w14:textId="77777777" w:rsidR="00F622A5" w:rsidRPr="00F51496" w:rsidRDefault="00F622A5" w:rsidP="00AE3A42">
      <w:pPr>
        <w:jc w:val="both"/>
        <w:rPr>
          <w:rFonts w:ascii="Arial" w:hAnsi="Arial" w:cs="Arial"/>
          <w:color w:val="000000"/>
          <w:sz w:val="20"/>
        </w:rPr>
      </w:pPr>
    </w:p>
    <w:p w14:paraId="79C2E549" w14:textId="043441D9" w:rsidR="00D50FAC" w:rsidRDefault="008A466A" w:rsidP="00D50FAC">
      <w:pPr>
        <w:jc w:val="both"/>
        <w:rPr>
          <w:rFonts w:ascii="Arial" w:hAnsi="Arial" w:cs="Arial"/>
          <w:color w:val="000000"/>
          <w:sz w:val="20"/>
        </w:rPr>
      </w:pPr>
      <w:r>
        <w:rPr>
          <w:rFonts w:ascii="Arial" w:hAnsi="Arial" w:cs="Arial"/>
          <w:color w:val="000000"/>
          <w:sz w:val="20"/>
        </w:rPr>
        <w:t>F</w:t>
      </w:r>
      <w:r w:rsidR="00F622A5" w:rsidRPr="00F51496">
        <w:rPr>
          <w:rFonts w:ascii="Arial" w:hAnsi="Arial" w:cs="Arial"/>
          <w:color w:val="000000"/>
          <w:sz w:val="20"/>
        </w:rPr>
        <w:t xml:space="preserve">rom 01/07/2005 the Children’s Court </w:t>
      </w:r>
      <w:r w:rsidR="000F546D">
        <w:rPr>
          <w:rFonts w:ascii="Arial" w:hAnsi="Arial" w:cs="Arial"/>
          <w:color w:val="000000"/>
          <w:sz w:val="20"/>
        </w:rPr>
        <w:t>was</w:t>
      </w:r>
      <w:r w:rsidR="00F622A5" w:rsidRPr="00F51496">
        <w:rPr>
          <w:rFonts w:ascii="Arial" w:hAnsi="Arial" w:cs="Arial"/>
          <w:color w:val="000000"/>
          <w:sz w:val="20"/>
        </w:rPr>
        <w:t xml:space="preserve"> given criminal jurisdiction in respect of 17 year old</w:t>
      </w:r>
      <w:r w:rsidR="00957C1C" w:rsidRPr="00F51496">
        <w:rPr>
          <w:rFonts w:ascii="Arial" w:hAnsi="Arial" w:cs="Arial"/>
          <w:color w:val="000000"/>
          <w:sz w:val="20"/>
        </w:rPr>
        <w:t>s</w:t>
      </w:r>
      <w:r w:rsidR="00F622A5" w:rsidRPr="00F51496">
        <w:rPr>
          <w:rFonts w:ascii="Arial" w:hAnsi="Arial" w:cs="Arial"/>
          <w:color w:val="000000"/>
          <w:sz w:val="20"/>
        </w:rPr>
        <w:t xml:space="preserve">. </w:t>
      </w:r>
      <w:r w:rsidR="00D50FAC">
        <w:rPr>
          <w:rFonts w:ascii="Arial" w:hAnsi="Arial" w:cs="Arial"/>
          <w:color w:val="000000"/>
          <w:sz w:val="20"/>
        </w:rPr>
        <w:t>Paragraph</w:t>
      </w:r>
      <w:r w:rsidR="001C2F92">
        <w:rPr>
          <w:rFonts w:ascii="Arial" w:hAnsi="Arial" w:cs="Arial"/>
          <w:color w:val="000000"/>
          <w:sz w:val="20"/>
        </w:rPr>
        <w:t xml:space="preserve"> (a) in the definition of </w:t>
      </w:r>
      <w:r>
        <w:rPr>
          <w:rFonts w:ascii="Arial" w:hAnsi="Arial" w:cs="Arial"/>
          <w:color w:val="000000"/>
          <w:sz w:val="20"/>
        </w:rPr>
        <w:t xml:space="preserve">‘child’ in </w:t>
      </w:r>
      <w:r w:rsidR="00965E27">
        <w:rPr>
          <w:rFonts w:ascii="Arial" w:hAnsi="Arial" w:cs="Arial"/>
          <w:color w:val="000000"/>
          <w:sz w:val="20"/>
        </w:rPr>
        <w:t xml:space="preserve">s.3(1) of the </w:t>
      </w:r>
      <w:r w:rsidR="001C2F92">
        <w:rPr>
          <w:rFonts w:ascii="Arial" w:hAnsi="Arial" w:cs="Arial"/>
          <w:color w:val="000000"/>
          <w:sz w:val="20"/>
        </w:rPr>
        <w:t xml:space="preserve">CYFA </w:t>
      </w:r>
      <w:r>
        <w:rPr>
          <w:rFonts w:ascii="Arial" w:hAnsi="Arial" w:cs="Arial"/>
          <w:color w:val="000000"/>
          <w:sz w:val="20"/>
        </w:rPr>
        <w:t xml:space="preserve">provided that ‘child’ </w:t>
      </w:r>
      <w:r w:rsidRPr="00F51496">
        <w:rPr>
          <w:rFonts w:ascii="Arial" w:hAnsi="Arial" w:cs="Arial"/>
          <w:color w:val="000000"/>
          <w:sz w:val="20"/>
        </w:rPr>
        <w:t xml:space="preserve">means “a person who at the time of the alleged commission of </w:t>
      </w:r>
      <w:r>
        <w:rPr>
          <w:rFonts w:ascii="Arial" w:hAnsi="Arial" w:cs="Arial"/>
          <w:color w:val="000000"/>
          <w:sz w:val="20"/>
        </w:rPr>
        <w:t>an</w:t>
      </w:r>
      <w:r w:rsidRPr="00F51496">
        <w:rPr>
          <w:rFonts w:ascii="Arial" w:hAnsi="Arial" w:cs="Arial"/>
          <w:color w:val="000000"/>
          <w:sz w:val="20"/>
        </w:rPr>
        <w:t xml:space="preserve"> offence was under the age of 18 years but of or above the age of 10 years but does not include any person who is of or above the age of 19 years when a proceeding for the offence is commenced in the Court”.</w:t>
      </w:r>
      <w:r w:rsidR="00D50FAC">
        <w:rPr>
          <w:rFonts w:ascii="Arial" w:hAnsi="Arial" w:cs="Arial"/>
          <w:color w:val="000000"/>
          <w:sz w:val="20"/>
        </w:rPr>
        <w:t xml:space="preserve"> </w:t>
      </w:r>
      <w:r w:rsidR="00D50FAC" w:rsidRPr="00F51496">
        <w:rPr>
          <w:rFonts w:ascii="Arial" w:hAnsi="Arial" w:cs="Arial"/>
          <w:color w:val="000000"/>
          <w:sz w:val="20"/>
        </w:rPr>
        <w:t>Th</w:t>
      </w:r>
      <w:r w:rsidR="00D50FAC">
        <w:rPr>
          <w:rFonts w:ascii="Arial" w:hAnsi="Arial" w:cs="Arial"/>
          <w:color w:val="000000"/>
          <w:sz w:val="20"/>
        </w:rPr>
        <w:t>is</w:t>
      </w:r>
      <w:r w:rsidR="00D50FAC" w:rsidRPr="00F51496">
        <w:rPr>
          <w:rFonts w:ascii="Arial" w:hAnsi="Arial" w:cs="Arial"/>
          <w:color w:val="000000"/>
          <w:sz w:val="20"/>
        </w:rPr>
        <w:t xml:space="preserve"> definition of ‘child’ pick</w:t>
      </w:r>
      <w:r w:rsidR="00D50FAC">
        <w:rPr>
          <w:rFonts w:ascii="Arial" w:hAnsi="Arial" w:cs="Arial"/>
          <w:color w:val="000000"/>
          <w:sz w:val="20"/>
        </w:rPr>
        <w:t>ed</w:t>
      </w:r>
      <w:r w:rsidR="00D50FAC" w:rsidRPr="00F51496">
        <w:rPr>
          <w:rFonts w:ascii="Arial" w:hAnsi="Arial" w:cs="Arial"/>
          <w:color w:val="000000"/>
          <w:sz w:val="20"/>
        </w:rPr>
        <w:t xml:space="preserve"> up the Australian Law Reform Commission’s recommendation and brought Victorian law into line with the UN Convention.</w:t>
      </w:r>
      <w:r w:rsidR="00D50FAC">
        <w:rPr>
          <w:rFonts w:ascii="Arial" w:hAnsi="Arial" w:cs="Arial"/>
          <w:color w:val="000000"/>
          <w:sz w:val="20"/>
        </w:rPr>
        <w:t xml:space="preserve"> </w:t>
      </w:r>
      <w:r w:rsidR="00D50FAC" w:rsidRPr="00F51496">
        <w:rPr>
          <w:rFonts w:ascii="Arial" w:hAnsi="Arial" w:cs="Arial"/>
          <w:color w:val="000000"/>
          <w:sz w:val="20"/>
        </w:rPr>
        <w:t xml:space="preserve">This </w:t>
      </w:r>
      <w:r w:rsidR="00D50FAC">
        <w:rPr>
          <w:rFonts w:ascii="Arial" w:hAnsi="Arial" w:cs="Arial"/>
          <w:color w:val="000000"/>
          <w:sz w:val="20"/>
        </w:rPr>
        <w:t>wa</w:t>
      </w:r>
      <w:r w:rsidR="00D50FAC" w:rsidRPr="00F51496">
        <w:rPr>
          <w:rFonts w:ascii="Arial" w:hAnsi="Arial" w:cs="Arial"/>
          <w:color w:val="000000"/>
          <w:sz w:val="20"/>
        </w:rPr>
        <w:t xml:space="preserve">s reinforced by s.344 of the CYFA which </w:t>
      </w:r>
      <w:r w:rsidR="00D50FAC">
        <w:rPr>
          <w:rFonts w:ascii="Arial" w:hAnsi="Arial" w:cs="Arial"/>
          <w:color w:val="000000"/>
          <w:sz w:val="20"/>
        </w:rPr>
        <w:t>provided until 29/09/2025</w:t>
      </w:r>
      <w:r w:rsidR="00D50FAC" w:rsidRPr="00F51496">
        <w:rPr>
          <w:rFonts w:ascii="Arial" w:hAnsi="Arial" w:cs="Arial"/>
          <w:color w:val="000000"/>
          <w:sz w:val="20"/>
        </w:rPr>
        <w:t xml:space="preserve">: "It is conclusively presumed that a child under the age of 10 years cannot commit an offence." A similar presumption applies in England: see s.16(1) of the </w:t>
      </w:r>
      <w:r w:rsidR="00D50FAC" w:rsidRPr="008102AC">
        <w:rPr>
          <w:rFonts w:ascii="Arial" w:hAnsi="Arial" w:cs="Arial"/>
          <w:i/>
          <w:iCs/>
          <w:color w:val="000000"/>
          <w:sz w:val="20"/>
        </w:rPr>
        <w:t>Children and Young Persons Act 1963</w:t>
      </w:r>
      <w:r w:rsidR="00D50FAC" w:rsidRPr="00F51496">
        <w:rPr>
          <w:rFonts w:ascii="Arial" w:hAnsi="Arial" w:cs="Arial"/>
          <w:color w:val="000000"/>
          <w:sz w:val="20"/>
        </w:rPr>
        <w:t xml:space="preserve"> (Eng).</w:t>
      </w:r>
    </w:p>
    <w:p w14:paraId="44E31249" w14:textId="77777777" w:rsidR="00D50FAC" w:rsidRDefault="00D50FAC" w:rsidP="00D50FAC">
      <w:pPr>
        <w:jc w:val="both"/>
        <w:rPr>
          <w:rFonts w:ascii="Arial" w:hAnsi="Arial" w:cs="Arial"/>
          <w:color w:val="000000"/>
          <w:sz w:val="20"/>
        </w:rPr>
      </w:pPr>
    </w:p>
    <w:p w14:paraId="2E4FA954" w14:textId="383730AA" w:rsidR="00C61B98" w:rsidRPr="00306476" w:rsidRDefault="00C61B98" w:rsidP="00C61B98">
      <w:pPr>
        <w:jc w:val="both"/>
        <w:rPr>
          <w:rFonts w:ascii="Arial" w:hAnsi="Arial" w:cs="Arial"/>
          <w:color w:val="000000"/>
          <w:sz w:val="20"/>
          <w:szCs w:val="20"/>
        </w:rPr>
      </w:pPr>
      <w:bookmarkStart w:id="100" w:name="_7.1.3_No_criminal"/>
      <w:bookmarkStart w:id="101" w:name="_Hlk110232499"/>
      <w:bookmarkEnd w:id="100"/>
      <w:r w:rsidRPr="00306476">
        <w:rPr>
          <w:rFonts w:ascii="Arial" w:hAnsi="Arial" w:cs="Arial"/>
          <w:color w:val="000000"/>
          <w:sz w:val="20"/>
          <w:szCs w:val="20"/>
        </w:rPr>
        <w:t xml:space="preserve">On 18/03/2021 the leader of the Victorian Greens </w:t>
      </w:r>
      <w:r>
        <w:rPr>
          <w:rFonts w:ascii="Arial" w:hAnsi="Arial" w:cs="Arial"/>
          <w:color w:val="000000"/>
          <w:sz w:val="20"/>
          <w:szCs w:val="20"/>
        </w:rPr>
        <w:t xml:space="preserve">had </w:t>
      </w:r>
      <w:r w:rsidRPr="00306476">
        <w:rPr>
          <w:rFonts w:ascii="Arial" w:hAnsi="Arial" w:cs="Arial"/>
          <w:color w:val="000000"/>
          <w:sz w:val="20"/>
          <w:szCs w:val="20"/>
        </w:rPr>
        <w:t xml:space="preserve">introduced into the Legislative Council the </w:t>
      </w:r>
      <w:r w:rsidRPr="00306476">
        <w:rPr>
          <w:rFonts w:ascii="Arial" w:hAnsi="Arial" w:cs="Arial"/>
          <w:i/>
          <w:iCs/>
          <w:color w:val="000000"/>
          <w:sz w:val="20"/>
          <w:szCs w:val="20"/>
        </w:rPr>
        <w:t>Children, Youth and Families (Raise the Age) Amendment Bill 2021</w:t>
      </w:r>
      <w:r w:rsidRPr="00306476">
        <w:rPr>
          <w:rFonts w:ascii="Arial" w:hAnsi="Arial" w:cs="Arial"/>
          <w:color w:val="000000"/>
          <w:sz w:val="20"/>
          <w:szCs w:val="20"/>
        </w:rPr>
        <w:t xml:space="preserve"> whose purpose </w:t>
      </w:r>
      <w:r w:rsidRPr="00306476">
        <w:rPr>
          <w:rFonts w:ascii="Arial" w:hAnsi="Arial" w:cs="Arial"/>
          <w:sz w:val="20"/>
          <w:szCs w:val="20"/>
        </w:rPr>
        <w:t>is to raise the age of criminal responsibility from 10 years to 14 years</w:t>
      </w:r>
      <w:r>
        <w:rPr>
          <w:rFonts w:ascii="Arial" w:hAnsi="Arial" w:cs="Arial"/>
          <w:sz w:val="20"/>
          <w:szCs w:val="20"/>
        </w:rPr>
        <w:t>. That Bill lapsed on 01/11/2022.</w:t>
      </w:r>
    </w:p>
    <w:bookmarkEnd w:id="101"/>
    <w:p w14:paraId="7E7A20F7" w14:textId="77777777" w:rsidR="00C61B98" w:rsidRDefault="00C61B98" w:rsidP="0020083C">
      <w:pPr>
        <w:jc w:val="both"/>
        <w:rPr>
          <w:rFonts w:ascii="Arial" w:hAnsi="Arial" w:cs="Arial"/>
          <w:color w:val="000000"/>
          <w:sz w:val="20"/>
        </w:rPr>
      </w:pPr>
    </w:p>
    <w:p w14:paraId="22915573" w14:textId="49022AEE" w:rsidR="0020083C" w:rsidRDefault="0020083C" w:rsidP="0020083C">
      <w:pPr>
        <w:jc w:val="both"/>
        <w:rPr>
          <w:rFonts w:ascii="Arial" w:hAnsi="Arial" w:cs="Arial"/>
          <w:color w:val="1A325D"/>
          <w:sz w:val="20"/>
          <w:szCs w:val="20"/>
          <w:lang w:eastAsia="en-AU"/>
        </w:rPr>
      </w:pPr>
      <w:r>
        <w:rPr>
          <w:rFonts w:ascii="Arial" w:hAnsi="Arial" w:cs="Arial"/>
          <w:color w:val="000000"/>
          <w:sz w:val="20"/>
        </w:rPr>
        <w:t xml:space="preserve">On 10/09/2024 the </w:t>
      </w:r>
      <w:r w:rsidRPr="00B23B45">
        <w:rPr>
          <w:rFonts w:ascii="Arial" w:hAnsi="Arial" w:cs="Arial"/>
          <w:b/>
          <w:bCs/>
          <w:i/>
          <w:iCs/>
          <w:color w:val="000000"/>
          <w:sz w:val="20"/>
          <w:szCs w:val="20"/>
        </w:rPr>
        <w:t>Youth Justice Act 2024</w:t>
      </w:r>
      <w:r>
        <w:rPr>
          <w:rFonts w:ascii="Arial" w:hAnsi="Arial" w:cs="Arial"/>
          <w:color w:val="000000"/>
          <w:sz w:val="20"/>
          <w:szCs w:val="20"/>
        </w:rPr>
        <w:t xml:space="preserve"> [YJA] received the Royal Assent. Sections 1(1)(a) &amp; 1(1)(b) provide that main purposes of the YJA are–</w:t>
      </w:r>
    </w:p>
    <w:p w14:paraId="3C87DC9E" w14:textId="6C5E0E02" w:rsidR="0020083C" w:rsidRPr="00213207" w:rsidRDefault="0020083C" w:rsidP="00591749">
      <w:pPr>
        <w:pStyle w:val="ListParagraph"/>
        <w:numPr>
          <w:ilvl w:val="0"/>
          <w:numId w:val="61"/>
        </w:numPr>
        <w:tabs>
          <w:tab w:val="left" w:pos="425"/>
        </w:tabs>
        <w:spacing w:after="0" w:line="240" w:lineRule="auto"/>
        <w:ind w:left="357" w:hanging="357"/>
        <w:jc w:val="both"/>
        <w:rPr>
          <w:rFonts w:ascii="Arial" w:hAnsi="Arial" w:cs="Arial"/>
          <w:bCs/>
          <w:color w:val="000000"/>
          <w:szCs w:val="28"/>
        </w:rPr>
      </w:pPr>
      <w:r w:rsidRPr="00213207">
        <w:rPr>
          <w:rFonts w:ascii="Arial" w:hAnsi="Arial" w:cs="Arial"/>
          <w:sz w:val="20"/>
          <w:szCs w:val="16"/>
        </w:rPr>
        <w:t xml:space="preserve">to raise the minimum age of criminal responsibility </w:t>
      </w:r>
      <w:r w:rsidR="00C61B98">
        <w:rPr>
          <w:rFonts w:ascii="Arial" w:hAnsi="Arial" w:cs="Arial"/>
          <w:sz w:val="20"/>
          <w:szCs w:val="16"/>
        </w:rPr>
        <w:t xml:space="preserve">[MACR] </w:t>
      </w:r>
      <w:r w:rsidRPr="00213207">
        <w:rPr>
          <w:rFonts w:ascii="Arial" w:hAnsi="Arial" w:cs="Arial"/>
          <w:sz w:val="20"/>
          <w:szCs w:val="16"/>
        </w:rPr>
        <w:t>from 10 years of age to 12 years of age</w:t>
      </w:r>
      <w:r>
        <w:rPr>
          <w:rFonts w:ascii="Arial" w:hAnsi="Arial" w:cs="Arial"/>
          <w:sz w:val="20"/>
          <w:szCs w:val="16"/>
        </w:rPr>
        <w:t xml:space="preserve">: see </w:t>
      </w:r>
      <w:r w:rsidRPr="00FB4D4B">
        <w:rPr>
          <w:rFonts w:ascii="Arial" w:hAnsi="Arial" w:cs="Arial"/>
          <w:b/>
          <w:bCs/>
          <w:sz w:val="20"/>
          <w:szCs w:val="16"/>
          <w:u w:val="single"/>
        </w:rPr>
        <w:t>s.10 YJA</w:t>
      </w:r>
      <w:r>
        <w:rPr>
          <w:rFonts w:ascii="Arial" w:hAnsi="Arial" w:cs="Arial"/>
          <w:sz w:val="20"/>
          <w:szCs w:val="16"/>
        </w:rPr>
        <w:t>; and</w:t>
      </w:r>
    </w:p>
    <w:p w14:paraId="432769F2" w14:textId="5C9D2575" w:rsidR="0020083C" w:rsidRPr="0090592E" w:rsidRDefault="0020083C" w:rsidP="00591749">
      <w:pPr>
        <w:pStyle w:val="ListParagraph"/>
        <w:numPr>
          <w:ilvl w:val="0"/>
          <w:numId w:val="61"/>
        </w:numPr>
        <w:tabs>
          <w:tab w:val="left" w:pos="425"/>
        </w:tabs>
        <w:spacing w:after="0" w:line="240" w:lineRule="auto"/>
        <w:ind w:left="357" w:hanging="357"/>
        <w:jc w:val="both"/>
        <w:rPr>
          <w:rFonts w:ascii="Arial" w:hAnsi="Arial" w:cs="Arial"/>
          <w:bCs/>
          <w:color w:val="000000"/>
          <w:szCs w:val="28"/>
        </w:rPr>
      </w:pPr>
      <w:r>
        <w:rPr>
          <w:rFonts w:ascii="Arial" w:hAnsi="Arial" w:cs="Arial"/>
          <w:sz w:val="20"/>
          <w:szCs w:val="16"/>
        </w:rPr>
        <w:t xml:space="preserve">to provide for police </w:t>
      </w:r>
      <w:r w:rsidRPr="00213207">
        <w:rPr>
          <w:rFonts w:ascii="Arial" w:hAnsi="Arial" w:cs="Arial"/>
          <w:sz w:val="20"/>
          <w:szCs w:val="16"/>
        </w:rPr>
        <w:t xml:space="preserve">powers in relation to children under the </w:t>
      </w:r>
      <w:r w:rsidR="00C61B98">
        <w:rPr>
          <w:rFonts w:ascii="Arial" w:hAnsi="Arial" w:cs="Arial"/>
          <w:sz w:val="20"/>
          <w:szCs w:val="16"/>
        </w:rPr>
        <w:t xml:space="preserve">MACR </w:t>
      </w:r>
      <w:r w:rsidRPr="00213207">
        <w:rPr>
          <w:rFonts w:ascii="Arial" w:hAnsi="Arial" w:cs="Arial"/>
          <w:sz w:val="20"/>
          <w:szCs w:val="16"/>
        </w:rPr>
        <w:t>who are 10 or 11 years of age</w:t>
      </w:r>
      <w:r>
        <w:rPr>
          <w:rFonts w:ascii="Arial" w:hAnsi="Arial" w:cs="Arial"/>
          <w:sz w:val="20"/>
          <w:szCs w:val="16"/>
        </w:rPr>
        <w:t xml:space="preserve">: see </w:t>
      </w:r>
      <w:r w:rsidRPr="00FB4D4B">
        <w:rPr>
          <w:rFonts w:ascii="Arial" w:hAnsi="Arial" w:cs="Arial"/>
          <w:b/>
          <w:bCs/>
          <w:sz w:val="20"/>
          <w:szCs w:val="16"/>
          <w:u w:val="single"/>
        </w:rPr>
        <w:t>ss.66-91</w:t>
      </w:r>
      <w:r>
        <w:rPr>
          <w:rFonts w:ascii="Arial" w:hAnsi="Arial" w:cs="Arial"/>
          <w:sz w:val="20"/>
          <w:szCs w:val="16"/>
        </w:rPr>
        <w:t xml:space="preserve"> YJA.</w:t>
      </w:r>
    </w:p>
    <w:p w14:paraId="5A184CDE" w14:textId="77777777" w:rsidR="0020083C" w:rsidRDefault="0020083C" w:rsidP="0020083C">
      <w:pPr>
        <w:tabs>
          <w:tab w:val="left" w:pos="425"/>
        </w:tabs>
        <w:jc w:val="both"/>
        <w:rPr>
          <w:rFonts w:ascii="Arial" w:hAnsi="Arial" w:cs="Arial"/>
          <w:bCs/>
          <w:color w:val="000000"/>
          <w:sz w:val="20"/>
          <w:szCs w:val="22"/>
        </w:rPr>
      </w:pPr>
    </w:p>
    <w:p w14:paraId="0530FF5D" w14:textId="766BCC10" w:rsidR="00324A3A" w:rsidRDefault="0006007B" w:rsidP="0020083C">
      <w:pPr>
        <w:tabs>
          <w:tab w:val="left" w:pos="425"/>
        </w:tabs>
        <w:jc w:val="both"/>
        <w:rPr>
          <w:rFonts w:ascii="Arial" w:hAnsi="Arial" w:cs="Arial"/>
          <w:bCs/>
          <w:color w:val="000000"/>
          <w:sz w:val="20"/>
          <w:szCs w:val="22"/>
        </w:rPr>
      </w:pPr>
      <w:r>
        <w:rPr>
          <w:rFonts w:ascii="Arial" w:hAnsi="Arial" w:cs="Arial"/>
          <w:bCs/>
          <w:color w:val="000000"/>
          <w:sz w:val="20"/>
          <w:szCs w:val="22"/>
        </w:rPr>
        <w:t>Commencing on 30/09/2025</w:t>
      </w:r>
      <w:r w:rsidR="00324A3A">
        <w:rPr>
          <w:rFonts w:ascii="Arial" w:hAnsi="Arial" w:cs="Arial"/>
          <w:bCs/>
          <w:color w:val="000000"/>
          <w:sz w:val="20"/>
          <w:szCs w:val="22"/>
        </w:rPr>
        <w:t>–</w:t>
      </w:r>
    </w:p>
    <w:p w14:paraId="50FE0243" w14:textId="3A03F650" w:rsidR="00324A3A" w:rsidRPr="00324A3A" w:rsidRDefault="00324A3A" w:rsidP="00591749">
      <w:pPr>
        <w:numPr>
          <w:ilvl w:val="0"/>
          <w:numId w:val="50"/>
        </w:numPr>
        <w:spacing w:before="60"/>
        <w:ind w:left="357" w:hanging="357"/>
        <w:rPr>
          <w:rFonts w:ascii="Arial" w:hAnsi="Arial" w:cs="Arial"/>
          <w:color w:val="000000"/>
          <w:sz w:val="20"/>
        </w:rPr>
      </w:pPr>
      <w:r>
        <w:rPr>
          <w:rFonts w:ascii="Arial" w:hAnsi="Arial" w:cs="Arial"/>
          <w:bCs/>
          <w:color w:val="000000"/>
          <w:sz w:val="20"/>
          <w:szCs w:val="22"/>
        </w:rPr>
        <w:t xml:space="preserve">s.344 CYFA is repealed by </w:t>
      </w:r>
      <w:r w:rsidRPr="00324A3A">
        <w:rPr>
          <w:rFonts w:ascii="Arial" w:hAnsi="Arial" w:cs="Arial"/>
          <w:b/>
          <w:color w:val="000000"/>
          <w:sz w:val="20"/>
          <w:szCs w:val="22"/>
          <w:u w:val="single"/>
        </w:rPr>
        <w:t>s.782</w:t>
      </w:r>
      <w:r>
        <w:rPr>
          <w:rFonts w:ascii="Arial" w:hAnsi="Arial" w:cs="Arial"/>
          <w:bCs/>
          <w:color w:val="000000"/>
          <w:sz w:val="20"/>
          <w:szCs w:val="22"/>
        </w:rPr>
        <w:t xml:space="preserve"> YJA and is replaced by </w:t>
      </w:r>
      <w:r w:rsidRPr="00324A3A">
        <w:rPr>
          <w:rFonts w:ascii="Arial" w:hAnsi="Arial" w:cs="Arial"/>
          <w:b/>
          <w:color w:val="000000"/>
          <w:sz w:val="20"/>
          <w:szCs w:val="22"/>
          <w:u w:val="single"/>
        </w:rPr>
        <w:t>s.10</w:t>
      </w:r>
      <w:r>
        <w:rPr>
          <w:rFonts w:ascii="Arial" w:hAnsi="Arial" w:cs="Arial"/>
          <w:bCs/>
          <w:color w:val="000000"/>
          <w:sz w:val="20"/>
          <w:szCs w:val="22"/>
        </w:rPr>
        <w:t xml:space="preserve"> YJA: “</w:t>
      </w:r>
      <w:r w:rsidRPr="00324A3A">
        <w:rPr>
          <w:rFonts w:ascii="Arial" w:hAnsi="Arial" w:cs="Arial"/>
          <w:b/>
          <w:color w:val="000000"/>
          <w:sz w:val="20"/>
          <w:szCs w:val="22"/>
        </w:rPr>
        <w:t>It is conclusively presumed that a child under 12 years of age cannot commit an offence.</w:t>
      </w:r>
      <w:r>
        <w:rPr>
          <w:rFonts w:ascii="Arial" w:hAnsi="Arial" w:cs="Arial"/>
          <w:bCs/>
          <w:color w:val="000000"/>
          <w:sz w:val="20"/>
          <w:szCs w:val="22"/>
        </w:rPr>
        <w:t>”</w:t>
      </w:r>
    </w:p>
    <w:p w14:paraId="14D8304F" w14:textId="446C3775" w:rsidR="008A282C" w:rsidRDefault="00324A3A" w:rsidP="00591749">
      <w:pPr>
        <w:numPr>
          <w:ilvl w:val="0"/>
          <w:numId w:val="50"/>
        </w:numPr>
        <w:spacing w:before="60"/>
        <w:ind w:left="357" w:hanging="357"/>
        <w:jc w:val="both"/>
        <w:rPr>
          <w:rFonts w:ascii="Arial" w:hAnsi="Arial" w:cs="Arial"/>
          <w:color w:val="000000"/>
          <w:sz w:val="20"/>
        </w:rPr>
      </w:pPr>
      <w:r w:rsidRPr="00324A3A">
        <w:rPr>
          <w:rFonts w:ascii="Arial" w:hAnsi="Arial" w:cs="Arial"/>
          <w:b/>
          <w:bCs/>
          <w:color w:val="000000"/>
          <w:sz w:val="20"/>
          <w:u w:val="single"/>
        </w:rPr>
        <w:t>s.781</w:t>
      </w:r>
      <w:r>
        <w:rPr>
          <w:rFonts w:ascii="Arial" w:hAnsi="Arial" w:cs="Arial"/>
          <w:color w:val="000000"/>
          <w:sz w:val="20"/>
        </w:rPr>
        <w:t xml:space="preserve"> YJA provides that </w:t>
      </w:r>
      <w:r w:rsidR="006774B2">
        <w:rPr>
          <w:rFonts w:ascii="Arial" w:hAnsi="Arial" w:cs="Arial"/>
          <w:color w:val="000000"/>
          <w:sz w:val="20"/>
        </w:rPr>
        <w:t>paragraphs (a) &amp; (ae) of</w:t>
      </w:r>
      <w:r w:rsidR="008A282C">
        <w:rPr>
          <w:rFonts w:ascii="Arial" w:hAnsi="Arial" w:cs="Arial"/>
          <w:color w:val="000000"/>
          <w:sz w:val="20"/>
        </w:rPr>
        <w:t xml:space="preserve"> </w:t>
      </w:r>
      <w:r>
        <w:rPr>
          <w:rFonts w:ascii="Arial" w:hAnsi="Arial" w:cs="Arial"/>
          <w:color w:val="000000"/>
          <w:sz w:val="20"/>
        </w:rPr>
        <w:t>the definition of ‘</w:t>
      </w:r>
      <w:r w:rsidRPr="00324A3A">
        <w:rPr>
          <w:rFonts w:ascii="Arial" w:hAnsi="Arial" w:cs="Arial"/>
          <w:b/>
          <w:bCs/>
          <w:i/>
          <w:iCs/>
          <w:color w:val="000000"/>
          <w:sz w:val="20"/>
        </w:rPr>
        <w:t>child</w:t>
      </w:r>
      <w:r w:rsidRPr="00324A3A">
        <w:rPr>
          <w:rFonts w:ascii="Arial" w:hAnsi="Arial" w:cs="Arial"/>
          <w:i/>
          <w:iCs/>
          <w:color w:val="000000"/>
          <w:sz w:val="20"/>
        </w:rPr>
        <w:t>’</w:t>
      </w:r>
      <w:r>
        <w:rPr>
          <w:rFonts w:ascii="Arial" w:hAnsi="Arial" w:cs="Arial"/>
          <w:color w:val="000000"/>
          <w:sz w:val="20"/>
        </w:rPr>
        <w:t xml:space="preserve"> in s.3(1) of the CYFA</w:t>
      </w:r>
      <w:r w:rsidR="006774B2">
        <w:rPr>
          <w:rFonts w:ascii="Arial" w:hAnsi="Arial" w:cs="Arial"/>
          <w:color w:val="000000"/>
          <w:sz w:val="20"/>
        </w:rPr>
        <w:t xml:space="preserve"> are amended to read</w:t>
      </w:r>
      <w:r w:rsidR="008A282C">
        <w:rPr>
          <w:rFonts w:ascii="Arial" w:hAnsi="Arial" w:cs="Arial"/>
          <w:color w:val="000000"/>
          <w:sz w:val="20"/>
        </w:rPr>
        <w:t>–</w:t>
      </w:r>
    </w:p>
    <w:p w14:paraId="6419DA51" w14:textId="755BA2DB" w:rsidR="008A282C" w:rsidRDefault="006774B2">
      <w:pPr>
        <w:pStyle w:val="ListParagraph"/>
        <w:numPr>
          <w:ilvl w:val="0"/>
          <w:numId w:val="77"/>
        </w:numPr>
        <w:spacing w:after="0" w:line="240" w:lineRule="auto"/>
        <w:ind w:left="811" w:hanging="454"/>
        <w:jc w:val="both"/>
        <w:rPr>
          <w:rFonts w:ascii="Arial" w:hAnsi="Arial" w:cs="Arial"/>
          <w:color w:val="000000"/>
          <w:sz w:val="20"/>
        </w:rPr>
      </w:pPr>
      <w:r>
        <w:rPr>
          <w:rFonts w:ascii="Arial" w:hAnsi="Arial" w:cs="Arial"/>
          <w:color w:val="000000"/>
          <w:sz w:val="20"/>
        </w:rPr>
        <w:t>“in the case of a person who is alleged to have committed an offence, [</w:t>
      </w:r>
      <w:r w:rsidRPr="00324A3A">
        <w:rPr>
          <w:rFonts w:ascii="Arial" w:hAnsi="Arial" w:cs="Arial"/>
          <w:b/>
          <w:bCs/>
          <w:i/>
          <w:iCs/>
          <w:color w:val="000000"/>
          <w:sz w:val="20"/>
        </w:rPr>
        <w:t>child</w:t>
      </w:r>
      <w:r w:rsidRPr="00324A3A">
        <w:rPr>
          <w:rFonts w:ascii="Arial" w:hAnsi="Arial" w:cs="Arial"/>
          <w:color w:val="000000"/>
          <w:sz w:val="20"/>
        </w:rPr>
        <w:t>]</w:t>
      </w:r>
      <w:r>
        <w:rPr>
          <w:rFonts w:ascii="Arial" w:hAnsi="Arial" w:cs="Arial"/>
          <w:color w:val="000000"/>
          <w:sz w:val="20"/>
        </w:rPr>
        <w:t xml:space="preserve"> has the same meaning as in the YJA”;</w:t>
      </w:r>
    </w:p>
    <w:p w14:paraId="701C5846" w14:textId="49478D07" w:rsidR="006774B2" w:rsidRPr="006774B2" w:rsidRDefault="006774B2" w:rsidP="006774B2">
      <w:pPr>
        <w:ind w:left="811" w:hanging="454"/>
        <w:jc w:val="both"/>
        <w:rPr>
          <w:rFonts w:ascii="Arial" w:hAnsi="Arial" w:cs="Arial"/>
          <w:color w:val="000000"/>
          <w:sz w:val="20"/>
        </w:rPr>
      </w:pPr>
      <w:r>
        <w:rPr>
          <w:rFonts w:ascii="Arial" w:hAnsi="Arial" w:cs="Arial"/>
          <w:color w:val="000000"/>
          <w:sz w:val="20"/>
        </w:rPr>
        <w:t>(ae)</w:t>
      </w:r>
      <w:r>
        <w:rPr>
          <w:rFonts w:ascii="Arial" w:hAnsi="Arial" w:cs="Arial"/>
          <w:color w:val="000000"/>
          <w:sz w:val="20"/>
        </w:rPr>
        <w:tab/>
        <w:t xml:space="preserve">“in the case of s.354A [of the CYFA], </w:t>
      </w:r>
      <w:r w:rsidR="00202306">
        <w:rPr>
          <w:rFonts w:ascii="Arial" w:hAnsi="Arial" w:cs="Arial"/>
          <w:color w:val="000000"/>
          <w:sz w:val="20"/>
        </w:rPr>
        <w:t>[</w:t>
      </w:r>
      <w:r w:rsidR="00202306" w:rsidRPr="00324A3A">
        <w:rPr>
          <w:rFonts w:ascii="Arial" w:hAnsi="Arial" w:cs="Arial"/>
          <w:b/>
          <w:bCs/>
          <w:i/>
          <w:iCs/>
          <w:color w:val="000000"/>
          <w:sz w:val="20"/>
        </w:rPr>
        <w:t>child</w:t>
      </w:r>
      <w:r w:rsidR="00202306">
        <w:rPr>
          <w:rFonts w:ascii="Arial" w:hAnsi="Arial" w:cs="Arial"/>
          <w:color w:val="000000"/>
          <w:sz w:val="20"/>
        </w:rPr>
        <w:t xml:space="preserve"> means] </w:t>
      </w:r>
      <w:r>
        <w:rPr>
          <w:rFonts w:ascii="Arial" w:hAnsi="Arial" w:cs="Arial"/>
          <w:color w:val="000000"/>
          <w:sz w:val="20"/>
        </w:rPr>
        <w:t>a person who is of or above the age of 12</w:t>
      </w:r>
      <w:r w:rsidR="00202306" w:rsidRPr="00202306">
        <w:rPr>
          <w:rFonts w:ascii="Arial" w:hAnsi="Arial" w:cs="Arial"/>
          <w:color w:val="FFFFFF" w:themeColor="background1"/>
          <w:sz w:val="20"/>
        </w:rPr>
        <w:t> </w:t>
      </w:r>
      <w:r>
        <w:rPr>
          <w:rFonts w:ascii="Arial" w:hAnsi="Arial" w:cs="Arial"/>
          <w:color w:val="000000"/>
          <w:sz w:val="20"/>
        </w:rPr>
        <w:t>years and under the age of 18 years when the person appears as an accused in a criminal proceeding”.</w:t>
      </w:r>
    </w:p>
    <w:p w14:paraId="23ECD148" w14:textId="44532302" w:rsidR="006774B2" w:rsidRDefault="006774B2" w:rsidP="006774B2">
      <w:pPr>
        <w:numPr>
          <w:ilvl w:val="0"/>
          <w:numId w:val="50"/>
        </w:numPr>
        <w:spacing w:before="60"/>
        <w:ind w:left="357" w:hanging="357"/>
        <w:rPr>
          <w:rFonts w:ascii="Arial" w:hAnsi="Arial" w:cs="Arial"/>
          <w:color w:val="000000"/>
          <w:sz w:val="20"/>
        </w:rPr>
      </w:pPr>
      <w:r w:rsidRPr="006774B2">
        <w:rPr>
          <w:rFonts w:ascii="Arial" w:hAnsi="Arial" w:cs="Arial"/>
          <w:b/>
          <w:bCs/>
          <w:color w:val="000000"/>
          <w:sz w:val="20"/>
          <w:u w:val="single"/>
        </w:rPr>
        <w:t>s.4</w:t>
      </w:r>
      <w:r>
        <w:rPr>
          <w:rFonts w:ascii="Arial" w:hAnsi="Arial" w:cs="Arial"/>
          <w:color w:val="000000"/>
          <w:sz w:val="20"/>
        </w:rPr>
        <w:t xml:space="preserve"> YJA provides–</w:t>
      </w:r>
    </w:p>
    <w:p w14:paraId="05E64CF7" w14:textId="3FA6FC98" w:rsidR="00D50FAC" w:rsidRPr="00D35020" w:rsidRDefault="0020083C">
      <w:pPr>
        <w:pStyle w:val="ListParagraph"/>
        <w:numPr>
          <w:ilvl w:val="0"/>
          <w:numId w:val="76"/>
        </w:numPr>
        <w:spacing w:before="60"/>
        <w:ind w:left="714" w:hanging="357"/>
        <w:rPr>
          <w:rFonts w:ascii="Arial" w:hAnsi="Arial" w:cs="Arial"/>
          <w:color w:val="000000"/>
          <w:sz w:val="20"/>
        </w:rPr>
      </w:pPr>
      <w:r w:rsidRPr="00D35020">
        <w:rPr>
          <w:rFonts w:ascii="Arial" w:hAnsi="Arial" w:cs="Arial"/>
          <w:color w:val="000000"/>
          <w:sz w:val="20"/>
        </w:rPr>
        <w:t xml:space="preserve">In </w:t>
      </w:r>
      <w:r w:rsidR="00D50FAC" w:rsidRPr="00D35020">
        <w:rPr>
          <w:rFonts w:ascii="Arial" w:hAnsi="Arial" w:cs="Arial"/>
          <w:color w:val="000000"/>
          <w:sz w:val="20"/>
        </w:rPr>
        <w:t>[</w:t>
      </w:r>
      <w:r w:rsidRPr="00D35020">
        <w:rPr>
          <w:rFonts w:ascii="Arial" w:hAnsi="Arial" w:cs="Arial"/>
          <w:color w:val="000000"/>
          <w:sz w:val="20"/>
        </w:rPr>
        <w:t>the YJA</w:t>
      </w:r>
      <w:r w:rsidR="00D50FAC" w:rsidRPr="00D35020">
        <w:rPr>
          <w:rFonts w:ascii="Arial" w:hAnsi="Arial" w:cs="Arial"/>
          <w:color w:val="000000"/>
          <w:sz w:val="20"/>
        </w:rPr>
        <w:t>]</w:t>
      </w:r>
      <w:r w:rsidRPr="00D35020">
        <w:rPr>
          <w:rFonts w:ascii="Arial" w:hAnsi="Arial" w:cs="Arial"/>
          <w:color w:val="000000"/>
          <w:sz w:val="20"/>
        </w:rPr>
        <w:t xml:space="preserve">, </w:t>
      </w:r>
      <w:r w:rsidRPr="00D35020">
        <w:rPr>
          <w:rFonts w:ascii="Arial" w:hAnsi="Arial" w:cs="Arial"/>
          <w:b/>
          <w:bCs/>
          <w:i/>
          <w:iCs/>
          <w:color w:val="000000"/>
          <w:sz w:val="20"/>
        </w:rPr>
        <w:t>child</w:t>
      </w:r>
      <w:r w:rsidRPr="00D35020">
        <w:rPr>
          <w:rFonts w:ascii="Arial" w:hAnsi="Arial" w:cs="Arial"/>
          <w:color w:val="000000"/>
          <w:sz w:val="20"/>
        </w:rPr>
        <w:t xml:space="preserve"> means a person who is under 18 years of age.</w:t>
      </w:r>
    </w:p>
    <w:p w14:paraId="364A4AA6" w14:textId="353F3A59" w:rsidR="0020083C" w:rsidRPr="00D50FAC" w:rsidRDefault="0020083C">
      <w:pPr>
        <w:pStyle w:val="ListParagraph"/>
        <w:numPr>
          <w:ilvl w:val="0"/>
          <w:numId w:val="76"/>
        </w:numPr>
        <w:spacing w:after="0" w:line="240" w:lineRule="auto"/>
        <w:ind w:left="714" w:hanging="357"/>
        <w:jc w:val="both"/>
        <w:rPr>
          <w:rFonts w:ascii="Arial" w:hAnsi="Arial" w:cs="Arial"/>
          <w:color w:val="000000"/>
          <w:sz w:val="20"/>
        </w:rPr>
      </w:pPr>
      <w:r w:rsidRPr="00D50FAC">
        <w:rPr>
          <w:rFonts w:ascii="Arial" w:hAnsi="Arial" w:cs="Arial"/>
          <w:color w:val="000000"/>
          <w:sz w:val="20"/>
        </w:rPr>
        <w:t xml:space="preserve">Additionally, in </w:t>
      </w:r>
      <w:r w:rsidR="008A282C">
        <w:rPr>
          <w:rFonts w:ascii="Arial" w:hAnsi="Arial" w:cs="Arial"/>
          <w:color w:val="000000"/>
          <w:sz w:val="20"/>
        </w:rPr>
        <w:t xml:space="preserve">[the YJA], </w:t>
      </w:r>
      <w:r w:rsidR="008A282C" w:rsidRPr="008A282C">
        <w:rPr>
          <w:rFonts w:ascii="Arial" w:hAnsi="Arial" w:cs="Arial"/>
          <w:b/>
          <w:bCs/>
          <w:color w:val="000000"/>
          <w:sz w:val="20"/>
        </w:rPr>
        <w:t>child</w:t>
      </w:r>
      <w:r w:rsidR="008A282C">
        <w:rPr>
          <w:rFonts w:ascii="Arial" w:hAnsi="Arial" w:cs="Arial"/>
          <w:color w:val="000000"/>
          <w:sz w:val="20"/>
        </w:rPr>
        <w:t xml:space="preserve"> includes, in </w:t>
      </w:r>
      <w:r w:rsidRPr="00D50FAC">
        <w:rPr>
          <w:rFonts w:ascii="Arial" w:hAnsi="Arial" w:cs="Arial"/>
          <w:color w:val="000000"/>
          <w:sz w:val="20"/>
        </w:rPr>
        <w:t>the case of a person who commits a criminal offence or is alleged to have committed an offence, a person who–</w:t>
      </w:r>
    </w:p>
    <w:p w14:paraId="5B1E9CBE" w14:textId="77777777" w:rsidR="0020083C" w:rsidRDefault="0020083C" w:rsidP="00D35020">
      <w:pPr>
        <w:pStyle w:val="ListParagraph"/>
        <w:numPr>
          <w:ilvl w:val="0"/>
          <w:numId w:val="62"/>
        </w:numPr>
        <w:tabs>
          <w:tab w:val="left" w:pos="425"/>
        </w:tabs>
        <w:spacing w:after="0" w:line="240" w:lineRule="auto"/>
        <w:ind w:left="1077" w:hanging="357"/>
        <w:jc w:val="both"/>
        <w:rPr>
          <w:rFonts w:ascii="Arial" w:hAnsi="Arial" w:cs="Arial"/>
          <w:bCs/>
          <w:color w:val="000000"/>
          <w:sz w:val="20"/>
        </w:rPr>
      </w:pPr>
      <w:r>
        <w:rPr>
          <w:rFonts w:ascii="Arial" w:hAnsi="Arial" w:cs="Arial"/>
          <w:bCs/>
          <w:color w:val="000000"/>
          <w:sz w:val="20"/>
        </w:rPr>
        <w:t>was under 18 years of age at the time of the commission or alleged commission of the offence; and</w:t>
      </w:r>
    </w:p>
    <w:p w14:paraId="40700814" w14:textId="7C3B3846" w:rsidR="0020083C" w:rsidRPr="00325CBE" w:rsidRDefault="0020083C" w:rsidP="00D35020">
      <w:pPr>
        <w:pStyle w:val="ListParagraph"/>
        <w:numPr>
          <w:ilvl w:val="0"/>
          <w:numId w:val="62"/>
        </w:numPr>
        <w:tabs>
          <w:tab w:val="left" w:pos="425"/>
        </w:tabs>
        <w:spacing w:after="0" w:line="240" w:lineRule="auto"/>
        <w:ind w:left="1077" w:hanging="357"/>
        <w:jc w:val="both"/>
        <w:rPr>
          <w:rFonts w:ascii="Arial" w:hAnsi="Arial" w:cs="Arial"/>
          <w:bCs/>
          <w:color w:val="000000"/>
          <w:sz w:val="20"/>
        </w:rPr>
      </w:pPr>
      <w:r>
        <w:rPr>
          <w:rFonts w:ascii="Arial" w:hAnsi="Arial" w:cs="Arial"/>
          <w:bCs/>
          <w:color w:val="000000"/>
          <w:sz w:val="20"/>
        </w:rPr>
        <w:t xml:space="preserve">is not </w:t>
      </w:r>
      <w:r w:rsidR="00D35020">
        <w:rPr>
          <w:rFonts w:ascii="Arial" w:hAnsi="Arial" w:cs="Arial"/>
          <w:bCs/>
          <w:color w:val="000000"/>
          <w:sz w:val="20"/>
        </w:rPr>
        <w:t>excluded by subsection (3).</w:t>
      </w:r>
    </w:p>
    <w:p w14:paraId="79B39DF0" w14:textId="4A2AE327" w:rsidR="00D35020" w:rsidRDefault="00D35020" w:rsidP="00D35020">
      <w:pPr>
        <w:ind w:left="680"/>
        <w:jc w:val="both"/>
        <w:rPr>
          <w:rFonts w:ascii="Arial" w:hAnsi="Arial" w:cs="Arial"/>
          <w:color w:val="000000"/>
          <w:sz w:val="20"/>
        </w:rPr>
      </w:pPr>
      <w:r w:rsidRPr="00D35020">
        <w:rPr>
          <w:rFonts w:ascii="Arial" w:hAnsi="Arial" w:cs="Arial"/>
          <w:b/>
          <w:bCs/>
          <w:color w:val="000000"/>
          <w:sz w:val="20"/>
        </w:rPr>
        <w:t>Note</w:t>
      </w:r>
      <w:r>
        <w:rPr>
          <w:rFonts w:ascii="Arial" w:hAnsi="Arial" w:cs="Arial"/>
          <w:color w:val="000000"/>
          <w:sz w:val="20"/>
        </w:rPr>
        <w:t xml:space="preserve">: This includes a young offender within the meaning of the </w:t>
      </w:r>
      <w:r w:rsidRPr="00D35020">
        <w:rPr>
          <w:rFonts w:ascii="Arial" w:hAnsi="Arial" w:cs="Arial"/>
          <w:i/>
          <w:iCs/>
          <w:color w:val="000000"/>
          <w:sz w:val="20"/>
        </w:rPr>
        <w:t>Sentencing Act 1991</w:t>
      </w:r>
      <w:r>
        <w:rPr>
          <w:rFonts w:ascii="Arial" w:hAnsi="Arial" w:cs="Arial"/>
          <w:color w:val="000000"/>
          <w:sz w:val="20"/>
        </w:rPr>
        <w:t xml:space="preserve"> who is under the age of 18 years at the time of the commission of an offence.</w:t>
      </w:r>
    </w:p>
    <w:p w14:paraId="0BE67502" w14:textId="0ADDC062" w:rsidR="00D35020" w:rsidRPr="00D35020" w:rsidRDefault="00D35020">
      <w:pPr>
        <w:pStyle w:val="ListParagraph"/>
        <w:numPr>
          <w:ilvl w:val="0"/>
          <w:numId w:val="76"/>
        </w:numPr>
        <w:spacing w:after="0" w:line="240" w:lineRule="auto"/>
        <w:ind w:left="714" w:hanging="357"/>
        <w:jc w:val="both"/>
        <w:rPr>
          <w:rFonts w:ascii="Arial" w:hAnsi="Arial" w:cs="Arial"/>
          <w:color w:val="000000"/>
          <w:sz w:val="20"/>
        </w:rPr>
      </w:pPr>
      <w:r w:rsidRPr="00D35020">
        <w:rPr>
          <w:rFonts w:ascii="Arial" w:hAnsi="Arial" w:cs="Arial"/>
          <w:sz w:val="20"/>
          <w:szCs w:val="20"/>
        </w:rPr>
        <w:t>A person is excluded if the person is 19 years of age or over at the time of the commencement of the proceeding for the offence or alleged offence.</w:t>
      </w:r>
    </w:p>
    <w:p w14:paraId="58E1E79F" w14:textId="7ABEFC6A" w:rsidR="0020083C" w:rsidRPr="00F51496" w:rsidRDefault="00324A3A" w:rsidP="00D35020">
      <w:pPr>
        <w:ind w:left="357"/>
        <w:jc w:val="both"/>
        <w:rPr>
          <w:rFonts w:ascii="Arial" w:hAnsi="Arial" w:cs="Arial"/>
          <w:color w:val="000000"/>
          <w:sz w:val="20"/>
        </w:rPr>
      </w:pPr>
      <w:r>
        <w:rPr>
          <w:rFonts w:ascii="Arial" w:hAnsi="Arial" w:cs="Arial"/>
          <w:color w:val="000000"/>
          <w:sz w:val="20"/>
        </w:rPr>
        <w:t>[</w:t>
      </w:r>
      <w:r w:rsidR="0020083C" w:rsidRPr="00F51496">
        <w:rPr>
          <w:rFonts w:ascii="Arial" w:hAnsi="Arial" w:cs="Arial"/>
          <w:color w:val="000000"/>
          <w:sz w:val="20"/>
        </w:rPr>
        <w:t>Se</w:t>
      </w:r>
      <w:r w:rsidR="0020083C">
        <w:rPr>
          <w:rFonts w:ascii="Arial" w:hAnsi="Arial" w:cs="Arial"/>
          <w:color w:val="000000"/>
          <w:sz w:val="20"/>
        </w:rPr>
        <w:t>e also s.</w:t>
      </w:r>
      <w:r w:rsidR="0020083C" w:rsidRPr="00F51496">
        <w:rPr>
          <w:rFonts w:ascii="Arial" w:hAnsi="Arial" w:cs="Arial"/>
          <w:color w:val="000000"/>
          <w:sz w:val="20"/>
        </w:rPr>
        <w:t xml:space="preserve">6 of </w:t>
      </w:r>
      <w:r w:rsidR="0020083C" w:rsidRPr="008102AC">
        <w:rPr>
          <w:rFonts w:ascii="Arial" w:hAnsi="Arial" w:cs="Arial"/>
          <w:i/>
          <w:iCs/>
          <w:color w:val="000000"/>
          <w:sz w:val="20"/>
        </w:rPr>
        <w:t>Criminal Procedure Act 2009</w:t>
      </w:r>
      <w:r w:rsidR="0020083C" w:rsidRPr="00F51496">
        <w:rPr>
          <w:rFonts w:ascii="Arial" w:hAnsi="Arial" w:cs="Arial"/>
          <w:color w:val="000000"/>
          <w:sz w:val="20"/>
        </w:rPr>
        <w:t xml:space="preserve"> </w:t>
      </w:r>
      <w:r w:rsidR="0020083C">
        <w:rPr>
          <w:rFonts w:ascii="Arial" w:hAnsi="Arial" w:cs="Arial"/>
          <w:color w:val="000000"/>
          <w:sz w:val="20"/>
        </w:rPr>
        <w:t>which</w:t>
      </w:r>
      <w:r w:rsidR="0020083C" w:rsidRPr="00F51496">
        <w:rPr>
          <w:rFonts w:ascii="Arial" w:hAnsi="Arial" w:cs="Arial"/>
          <w:color w:val="000000"/>
          <w:sz w:val="20"/>
        </w:rPr>
        <w:t xml:space="preserve"> defines when a criminal proceeding is commenced in the Children’s Court.</w:t>
      </w:r>
      <w:r>
        <w:rPr>
          <w:rFonts w:ascii="Arial" w:hAnsi="Arial" w:cs="Arial"/>
          <w:color w:val="000000"/>
          <w:sz w:val="20"/>
        </w:rPr>
        <w:t>]</w:t>
      </w:r>
    </w:p>
    <w:p w14:paraId="32F8A575" w14:textId="7F486AA9" w:rsidR="0020083C" w:rsidRDefault="0020083C" w:rsidP="00591749">
      <w:pPr>
        <w:numPr>
          <w:ilvl w:val="0"/>
          <w:numId w:val="50"/>
        </w:numPr>
        <w:spacing w:before="60"/>
        <w:ind w:left="357" w:hanging="357"/>
        <w:jc w:val="both"/>
        <w:rPr>
          <w:rFonts w:ascii="Arial" w:hAnsi="Arial" w:cs="Arial"/>
          <w:color w:val="000000"/>
          <w:sz w:val="20"/>
        </w:rPr>
      </w:pPr>
      <w:r w:rsidRPr="0020083C">
        <w:rPr>
          <w:rFonts w:ascii="Arial" w:hAnsi="Arial" w:cs="Arial"/>
          <w:b/>
          <w:bCs/>
          <w:color w:val="000000"/>
          <w:sz w:val="20"/>
          <w:u w:val="single"/>
        </w:rPr>
        <w:t>s.3(1)</w:t>
      </w:r>
      <w:r>
        <w:rPr>
          <w:rFonts w:ascii="Arial" w:hAnsi="Arial" w:cs="Arial"/>
          <w:color w:val="000000"/>
          <w:sz w:val="20"/>
        </w:rPr>
        <w:t xml:space="preserve">: </w:t>
      </w:r>
      <w:r w:rsidRPr="0020083C">
        <w:rPr>
          <w:rFonts w:ascii="Arial" w:hAnsi="Arial" w:cs="Arial"/>
          <w:b/>
          <w:bCs/>
          <w:i/>
          <w:iCs/>
          <w:color w:val="000000"/>
          <w:sz w:val="20"/>
        </w:rPr>
        <w:t>proceeding</w:t>
      </w:r>
      <w:r>
        <w:rPr>
          <w:rFonts w:ascii="Arial" w:hAnsi="Arial" w:cs="Arial"/>
          <w:color w:val="000000"/>
          <w:sz w:val="20"/>
        </w:rPr>
        <w:t xml:space="preserve"> means </w:t>
      </w:r>
      <w:r w:rsidRPr="0020083C">
        <w:rPr>
          <w:rFonts w:ascii="Arial" w:hAnsi="Arial" w:cs="Arial"/>
          <w:color w:val="000000"/>
          <w:sz w:val="20"/>
        </w:rPr>
        <w:t xml:space="preserve">any matter in the </w:t>
      </w:r>
      <w:r>
        <w:rPr>
          <w:rFonts w:ascii="Arial" w:hAnsi="Arial" w:cs="Arial"/>
          <w:color w:val="000000"/>
          <w:sz w:val="20"/>
        </w:rPr>
        <w:t xml:space="preserve">Children’s </w:t>
      </w:r>
      <w:r w:rsidRPr="0020083C">
        <w:rPr>
          <w:rFonts w:ascii="Arial" w:hAnsi="Arial" w:cs="Arial"/>
          <w:color w:val="000000"/>
          <w:sz w:val="20"/>
        </w:rPr>
        <w:t xml:space="preserve">Court, including a committal proceeding, but does not include the exercise by a registrar of any jurisdiction, power or authority vested in the registrar as registrar under </w:t>
      </w:r>
      <w:r>
        <w:rPr>
          <w:rFonts w:ascii="Arial" w:hAnsi="Arial" w:cs="Arial"/>
          <w:color w:val="000000"/>
          <w:sz w:val="20"/>
        </w:rPr>
        <w:t>Chapter 17 of t</w:t>
      </w:r>
      <w:r w:rsidRPr="0020083C">
        <w:rPr>
          <w:rFonts w:ascii="Arial" w:hAnsi="Arial" w:cs="Arial"/>
          <w:color w:val="000000"/>
          <w:sz w:val="20"/>
        </w:rPr>
        <w:t xml:space="preserve">he </w:t>
      </w:r>
      <w:r>
        <w:rPr>
          <w:rFonts w:ascii="Arial" w:hAnsi="Arial" w:cs="Arial"/>
          <w:color w:val="000000"/>
          <w:sz w:val="20"/>
        </w:rPr>
        <w:t>YJA [</w:t>
      </w:r>
      <w:r w:rsidRPr="0020083C">
        <w:rPr>
          <w:rFonts w:ascii="Arial" w:hAnsi="Arial" w:cs="Arial"/>
          <w:color w:val="000000"/>
          <w:sz w:val="20"/>
        </w:rPr>
        <w:t>Children and Young Persons Infringement Notice System {CAYPINS}].</w:t>
      </w:r>
    </w:p>
    <w:p w14:paraId="6EE81B0A" w14:textId="77777777" w:rsidR="00D50FAC" w:rsidRDefault="00D50FAC" w:rsidP="0020083C">
      <w:pPr>
        <w:tabs>
          <w:tab w:val="left" w:pos="425"/>
        </w:tabs>
        <w:jc w:val="both"/>
        <w:rPr>
          <w:rFonts w:ascii="Arial" w:hAnsi="Arial" w:cs="Arial"/>
          <w:bCs/>
          <w:color w:val="000000"/>
          <w:sz w:val="20"/>
          <w:szCs w:val="22"/>
        </w:rPr>
      </w:pPr>
    </w:p>
    <w:p w14:paraId="5A0A2565" w14:textId="0294D419" w:rsidR="00FF103F" w:rsidRDefault="00FF103F" w:rsidP="0020083C">
      <w:pPr>
        <w:tabs>
          <w:tab w:val="left" w:pos="425"/>
        </w:tabs>
        <w:jc w:val="both"/>
        <w:rPr>
          <w:rFonts w:ascii="Arial" w:hAnsi="Arial" w:cs="Arial"/>
          <w:bCs/>
          <w:color w:val="000000"/>
          <w:sz w:val="20"/>
          <w:szCs w:val="22"/>
        </w:rPr>
      </w:pPr>
      <w:r>
        <w:rPr>
          <w:rFonts w:ascii="Arial" w:hAnsi="Arial" w:cs="Arial"/>
          <w:bCs/>
          <w:color w:val="000000"/>
          <w:sz w:val="20"/>
          <w:szCs w:val="22"/>
        </w:rPr>
        <w:t xml:space="preserve">Detailed in </w:t>
      </w:r>
      <w:r w:rsidRPr="00283F46">
        <w:rPr>
          <w:rFonts w:ascii="Arial" w:hAnsi="Arial" w:cs="Arial"/>
          <w:b/>
          <w:color w:val="000000"/>
          <w:sz w:val="20"/>
          <w:szCs w:val="22"/>
          <w:u w:val="single"/>
        </w:rPr>
        <w:t>Chapter 19</w:t>
      </w:r>
      <w:r>
        <w:rPr>
          <w:rFonts w:ascii="Arial" w:hAnsi="Arial" w:cs="Arial"/>
          <w:bCs/>
          <w:color w:val="000000"/>
          <w:sz w:val="20"/>
          <w:szCs w:val="22"/>
        </w:rPr>
        <w:t xml:space="preserve"> [ss.768-854] of the YJA are a large number of</w:t>
      </w:r>
      <w:r w:rsidR="009D6BC7">
        <w:rPr>
          <w:rFonts w:ascii="Arial" w:hAnsi="Arial" w:cs="Arial"/>
          <w:bCs/>
          <w:color w:val="000000"/>
          <w:sz w:val="20"/>
          <w:szCs w:val="22"/>
        </w:rPr>
        <w:t xml:space="preserve"> </w:t>
      </w:r>
      <w:r w:rsidR="009D6BC7" w:rsidRPr="008A096F">
        <w:rPr>
          <w:rFonts w:ascii="Arial" w:hAnsi="Arial" w:cs="Arial"/>
          <w:b/>
          <w:color w:val="000000"/>
          <w:sz w:val="20"/>
          <w:szCs w:val="22"/>
        </w:rPr>
        <w:t>Transitional provisions and consequential amendments</w:t>
      </w:r>
      <w:r w:rsidR="009D6BC7">
        <w:rPr>
          <w:rFonts w:ascii="Arial" w:hAnsi="Arial" w:cs="Arial"/>
          <w:bCs/>
          <w:color w:val="000000"/>
          <w:sz w:val="20"/>
          <w:szCs w:val="22"/>
        </w:rPr>
        <w:t xml:space="preserve"> </w:t>
      </w:r>
      <w:r w:rsidR="005C5E40">
        <w:rPr>
          <w:rFonts w:ascii="Arial" w:hAnsi="Arial" w:cs="Arial"/>
          <w:bCs/>
          <w:color w:val="000000"/>
          <w:sz w:val="20"/>
          <w:szCs w:val="22"/>
        </w:rPr>
        <w:t xml:space="preserve">consequent on the increase in </w:t>
      </w:r>
      <w:r w:rsidR="009D6BC7">
        <w:rPr>
          <w:rFonts w:ascii="Arial" w:hAnsi="Arial" w:cs="Arial"/>
          <w:bCs/>
          <w:color w:val="000000"/>
          <w:sz w:val="20"/>
          <w:szCs w:val="22"/>
        </w:rPr>
        <w:t>the MACR</w:t>
      </w:r>
      <w:r>
        <w:rPr>
          <w:rFonts w:ascii="Arial" w:hAnsi="Arial" w:cs="Arial"/>
          <w:bCs/>
          <w:color w:val="000000"/>
          <w:sz w:val="20"/>
          <w:szCs w:val="22"/>
        </w:rPr>
        <w:t xml:space="preserve">. However, pursuant to </w:t>
      </w:r>
      <w:r w:rsidRPr="00EE1380">
        <w:rPr>
          <w:rFonts w:ascii="Arial" w:hAnsi="Arial" w:cs="Arial"/>
          <w:b/>
          <w:color w:val="000000"/>
          <w:sz w:val="20"/>
          <w:szCs w:val="22"/>
          <w:u w:val="single"/>
        </w:rPr>
        <w:t>s.768(2)</w:t>
      </w:r>
      <w:r w:rsidR="0032132F">
        <w:rPr>
          <w:rFonts w:ascii="Arial" w:hAnsi="Arial" w:cs="Arial"/>
          <w:bCs/>
          <w:color w:val="000000"/>
          <w:sz w:val="20"/>
          <w:szCs w:val="22"/>
        </w:rPr>
        <w:t> </w:t>
      </w:r>
      <w:r w:rsidR="00EE1380">
        <w:rPr>
          <w:rFonts w:ascii="Arial" w:hAnsi="Arial" w:cs="Arial"/>
          <w:bCs/>
          <w:color w:val="000000"/>
          <w:sz w:val="20"/>
          <w:szCs w:val="22"/>
        </w:rPr>
        <w:t>YJA</w:t>
      </w:r>
      <w:r>
        <w:rPr>
          <w:rFonts w:ascii="Arial" w:hAnsi="Arial" w:cs="Arial"/>
          <w:bCs/>
          <w:color w:val="000000"/>
          <w:sz w:val="20"/>
          <w:szCs w:val="22"/>
        </w:rPr>
        <w:t>, the transitional provisions in Part 19.1 do not apply to an offence against the law of the Commonwealth.</w:t>
      </w:r>
      <w:r w:rsidR="007602E8">
        <w:rPr>
          <w:rFonts w:ascii="Arial" w:hAnsi="Arial" w:cs="Arial"/>
          <w:bCs/>
          <w:color w:val="000000"/>
          <w:sz w:val="20"/>
          <w:szCs w:val="22"/>
        </w:rPr>
        <w:t xml:space="preserve"> </w:t>
      </w:r>
      <w:r>
        <w:rPr>
          <w:rFonts w:ascii="Arial" w:hAnsi="Arial" w:cs="Arial"/>
          <w:bCs/>
          <w:color w:val="000000"/>
          <w:sz w:val="20"/>
          <w:szCs w:val="22"/>
        </w:rPr>
        <w:t xml:space="preserve">The </w:t>
      </w:r>
      <w:r w:rsidRPr="00EE1380">
        <w:rPr>
          <w:rFonts w:ascii="Arial" w:hAnsi="Arial" w:cs="Arial"/>
          <w:b/>
          <w:color w:val="000000"/>
          <w:sz w:val="20"/>
          <w:szCs w:val="22"/>
        </w:rPr>
        <w:t xml:space="preserve">transitional </w:t>
      </w:r>
      <w:r w:rsidR="005C5E40" w:rsidRPr="00EE1380">
        <w:rPr>
          <w:rFonts w:ascii="Arial" w:hAnsi="Arial" w:cs="Arial"/>
          <w:b/>
          <w:color w:val="000000"/>
          <w:sz w:val="20"/>
          <w:szCs w:val="22"/>
        </w:rPr>
        <w:t xml:space="preserve">MACR </w:t>
      </w:r>
      <w:r w:rsidRPr="00EE1380">
        <w:rPr>
          <w:rFonts w:ascii="Arial" w:hAnsi="Arial" w:cs="Arial"/>
          <w:b/>
          <w:color w:val="000000"/>
          <w:sz w:val="20"/>
          <w:szCs w:val="22"/>
        </w:rPr>
        <w:t>provisions</w:t>
      </w:r>
      <w:r>
        <w:rPr>
          <w:rFonts w:ascii="Arial" w:hAnsi="Arial" w:cs="Arial"/>
          <w:bCs/>
          <w:color w:val="000000"/>
          <w:sz w:val="20"/>
          <w:szCs w:val="22"/>
        </w:rPr>
        <w:t xml:space="preserve"> include–</w:t>
      </w:r>
    </w:p>
    <w:p w14:paraId="1573F15B" w14:textId="6E692721" w:rsidR="00FF103F" w:rsidRDefault="00FF103F" w:rsidP="00591749">
      <w:pPr>
        <w:numPr>
          <w:ilvl w:val="0"/>
          <w:numId w:val="50"/>
        </w:numPr>
        <w:ind w:left="357" w:hanging="357"/>
        <w:jc w:val="both"/>
        <w:rPr>
          <w:rFonts w:ascii="Arial" w:hAnsi="Arial" w:cs="Arial"/>
          <w:color w:val="000000"/>
          <w:sz w:val="20"/>
        </w:rPr>
      </w:pPr>
      <w:bookmarkStart w:id="102" w:name="_Hlk221600740"/>
      <w:r w:rsidRPr="00C61B98">
        <w:rPr>
          <w:rFonts w:ascii="Arial" w:hAnsi="Arial" w:cs="Arial"/>
          <w:b/>
          <w:bCs/>
          <w:color w:val="000000"/>
          <w:sz w:val="20"/>
          <w:u w:val="single"/>
        </w:rPr>
        <w:t>s.</w:t>
      </w:r>
      <w:r>
        <w:rPr>
          <w:rFonts w:ascii="Arial" w:hAnsi="Arial" w:cs="Arial"/>
          <w:b/>
          <w:bCs/>
          <w:color w:val="000000"/>
          <w:sz w:val="20"/>
          <w:u w:val="single"/>
        </w:rPr>
        <w:t>769</w:t>
      </w:r>
      <w:r>
        <w:rPr>
          <w:rFonts w:ascii="Arial" w:hAnsi="Arial" w:cs="Arial"/>
          <w:color w:val="000000"/>
          <w:sz w:val="20"/>
        </w:rPr>
        <w:t>: A p</w:t>
      </w:r>
      <w:r w:rsidRPr="00FF103F">
        <w:rPr>
          <w:rFonts w:ascii="Arial" w:hAnsi="Arial" w:cs="Arial"/>
          <w:color w:val="000000"/>
          <w:sz w:val="20"/>
        </w:rPr>
        <w:t>erson cannot be held criminally responsible for conduct at 10 or 11 years of age either before or after 30/09/2025.</w:t>
      </w:r>
    </w:p>
    <w:p w14:paraId="05D712DD" w14:textId="3A476C2D" w:rsidR="00FF103F" w:rsidRDefault="00FF103F" w:rsidP="00591749">
      <w:pPr>
        <w:numPr>
          <w:ilvl w:val="0"/>
          <w:numId w:val="50"/>
        </w:numPr>
        <w:ind w:left="357" w:hanging="357"/>
        <w:jc w:val="both"/>
        <w:rPr>
          <w:rFonts w:ascii="Arial" w:hAnsi="Arial" w:cs="Arial"/>
          <w:color w:val="000000"/>
          <w:sz w:val="20"/>
        </w:rPr>
      </w:pPr>
      <w:r w:rsidRPr="00FF103F">
        <w:rPr>
          <w:rFonts w:ascii="Arial" w:hAnsi="Arial" w:cs="Arial"/>
          <w:b/>
          <w:bCs/>
          <w:color w:val="000000"/>
          <w:sz w:val="20"/>
          <w:u w:val="single"/>
        </w:rPr>
        <w:t>s.770</w:t>
      </w:r>
      <w:r>
        <w:rPr>
          <w:rFonts w:ascii="Arial" w:hAnsi="Arial" w:cs="Arial"/>
          <w:color w:val="000000"/>
          <w:sz w:val="20"/>
        </w:rPr>
        <w:t>: A person must be released from custody for an offence committed at 10 or 11 years of age.</w:t>
      </w:r>
    </w:p>
    <w:p w14:paraId="6A3BCAFD" w14:textId="02311EAF" w:rsidR="00FF103F" w:rsidRDefault="00FF103F" w:rsidP="00591749">
      <w:pPr>
        <w:numPr>
          <w:ilvl w:val="0"/>
          <w:numId w:val="50"/>
        </w:numPr>
        <w:ind w:left="357" w:hanging="357"/>
        <w:jc w:val="both"/>
        <w:rPr>
          <w:rFonts w:ascii="Arial" w:hAnsi="Arial" w:cs="Arial"/>
          <w:color w:val="000000"/>
          <w:sz w:val="20"/>
        </w:rPr>
      </w:pPr>
      <w:r>
        <w:rPr>
          <w:rFonts w:ascii="Arial" w:hAnsi="Arial" w:cs="Arial"/>
          <w:b/>
          <w:bCs/>
          <w:color w:val="000000"/>
          <w:sz w:val="20"/>
          <w:u w:val="single"/>
        </w:rPr>
        <w:t>s</w:t>
      </w:r>
      <w:r w:rsidR="007602E8">
        <w:rPr>
          <w:rFonts w:ascii="Arial" w:hAnsi="Arial" w:cs="Arial"/>
          <w:b/>
          <w:bCs/>
          <w:color w:val="000000"/>
          <w:sz w:val="20"/>
          <w:u w:val="single"/>
        </w:rPr>
        <w:t>s</w:t>
      </w:r>
      <w:r w:rsidRPr="00FF103F">
        <w:rPr>
          <w:rFonts w:ascii="Arial" w:hAnsi="Arial" w:cs="Arial"/>
          <w:b/>
          <w:bCs/>
          <w:color w:val="000000"/>
          <w:sz w:val="20"/>
          <w:u w:val="single"/>
        </w:rPr>
        <w:t>.771</w:t>
      </w:r>
      <w:r w:rsidR="007602E8">
        <w:rPr>
          <w:rFonts w:ascii="Arial" w:hAnsi="Arial" w:cs="Arial"/>
          <w:b/>
          <w:bCs/>
          <w:color w:val="000000"/>
          <w:sz w:val="20"/>
          <w:u w:val="single"/>
        </w:rPr>
        <w:t xml:space="preserve"> &amp; 777</w:t>
      </w:r>
      <w:r>
        <w:rPr>
          <w:rFonts w:ascii="Arial" w:hAnsi="Arial" w:cs="Arial"/>
          <w:color w:val="000000"/>
          <w:sz w:val="20"/>
        </w:rPr>
        <w:t xml:space="preserve">: </w:t>
      </w:r>
      <w:r w:rsidR="007602E8">
        <w:rPr>
          <w:rFonts w:ascii="Arial" w:hAnsi="Arial" w:cs="Arial"/>
          <w:color w:val="000000"/>
          <w:sz w:val="20"/>
        </w:rPr>
        <w:t>If a c</w:t>
      </w:r>
      <w:r>
        <w:rPr>
          <w:rFonts w:ascii="Arial" w:hAnsi="Arial" w:cs="Arial"/>
          <w:color w:val="000000"/>
          <w:sz w:val="20"/>
        </w:rPr>
        <w:t xml:space="preserve">riminal proceeding </w:t>
      </w:r>
      <w:r w:rsidR="007602E8">
        <w:rPr>
          <w:rFonts w:ascii="Arial" w:hAnsi="Arial" w:cs="Arial"/>
          <w:color w:val="000000"/>
          <w:sz w:val="20"/>
        </w:rPr>
        <w:t xml:space="preserve">is </w:t>
      </w:r>
      <w:r>
        <w:rPr>
          <w:rFonts w:ascii="Arial" w:hAnsi="Arial" w:cs="Arial"/>
          <w:color w:val="000000"/>
          <w:sz w:val="20"/>
        </w:rPr>
        <w:t xml:space="preserve">on foot </w:t>
      </w:r>
      <w:r w:rsidR="007602E8">
        <w:rPr>
          <w:rFonts w:ascii="Arial" w:hAnsi="Arial" w:cs="Arial"/>
          <w:color w:val="000000"/>
          <w:sz w:val="20"/>
        </w:rPr>
        <w:t xml:space="preserve">on 30/09/2025 </w:t>
      </w:r>
      <w:r>
        <w:rPr>
          <w:rFonts w:ascii="Arial" w:hAnsi="Arial" w:cs="Arial"/>
          <w:color w:val="000000"/>
          <w:sz w:val="20"/>
        </w:rPr>
        <w:t>for an offence allegedly committed by a person who was 10 or 11 years of age</w:t>
      </w:r>
      <w:r w:rsidR="007602E8">
        <w:rPr>
          <w:rFonts w:ascii="Arial" w:hAnsi="Arial" w:cs="Arial"/>
          <w:color w:val="000000"/>
          <w:sz w:val="20"/>
        </w:rPr>
        <w:t>, an entry of not guilty must be made on the record in respect of the alleged offence, any bail order is taken to be set aside and the person must be unconditionally released if in custody. The fact that a person is taken under s.771 to be not guilty of an alleged offence does not entitle the person to be awarded costs.</w:t>
      </w:r>
    </w:p>
    <w:p w14:paraId="220ED65A" w14:textId="778CE4A8" w:rsidR="007602E8" w:rsidRDefault="007602E8" w:rsidP="00591749">
      <w:pPr>
        <w:numPr>
          <w:ilvl w:val="0"/>
          <w:numId w:val="50"/>
        </w:numPr>
        <w:ind w:left="357" w:hanging="357"/>
        <w:jc w:val="both"/>
        <w:rPr>
          <w:rFonts w:ascii="Arial" w:hAnsi="Arial" w:cs="Arial"/>
          <w:color w:val="000000"/>
          <w:sz w:val="20"/>
        </w:rPr>
      </w:pPr>
      <w:r>
        <w:rPr>
          <w:rFonts w:ascii="Arial" w:hAnsi="Arial" w:cs="Arial"/>
          <w:b/>
          <w:bCs/>
          <w:color w:val="000000"/>
          <w:sz w:val="20"/>
          <w:u w:val="single"/>
        </w:rPr>
        <w:lastRenderedPageBreak/>
        <w:t>s</w:t>
      </w:r>
      <w:r w:rsidRPr="007602E8">
        <w:rPr>
          <w:rFonts w:ascii="Arial" w:hAnsi="Arial" w:cs="Arial"/>
          <w:b/>
          <w:bCs/>
          <w:color w:val="000000"/>
          <w:sz w:val="20"/>
          <w:u w:val="single"/>
        </w:rPr>
        <w:t>.772</w:t>
      </w:r>
      <w:r>
        <w:rPr>
          <w:rFonts w:ascii="Arial" w:hAnsi="Arial" w:cs="Arial"/>
          <w:color w:val="000000"/>
          <w:sz w:val="20"/>
        </w:rPr>
        <w:t>: Transitional provisions in relation to proceedings adjourned for therapeutic treatment order or protection order.</w:t>
      </w:r>
    </w:p>
    <w:p w14:paraId="6ECFE5E5" w14:textId="5D018063" w:rsidR="007602E8" w:rsidRDefault="007602E8" w:rsidP="00591749">
      <w:pPr>
        <w:numPr>
          <w:ilvl w:val="0"/>
          <w:numId w:val="50"/>
        </w:numPr>
        <w:ind w:left="357" w:hanging="357"/>
        <w:jc w:val="both"/>
        <w:rPr>
          <w:rFonts w:ascii="Arial" w:hAnsi="Arial" w:cs="Arial"/>
          <w:color w:val="000000"/>
          <w:sz w:val="20"/>
        </w:rPr>
      </w:pPr>
      <w:r>
        <w:rPr>
          <w:rFonts w:ascii="Arial" w:hAnsi="Arial" w:cs="Arial"/>
          <w:b/>
          <w:bCs/>
          <w:color w:val="000000"/>
          <w:sz w:val="20"/>
          <w:u w:val="single"/>
        </w:rPr>
        <w:t>s.773</w:t>
      </w:r>
      <w:r>
        <w:rPr>
          <w:rFonts w:ascii="Arial" w:hAnsi="Arial" w:cs="Arial"/>
          <w:color w:val="000000"/>
          <w:sz w:val="20"/>
        </w:rPr>
        <w:t xml:space="preserve">: Any prior conviction or finding of guilt </w:t>
      </w:r>
      <w:r w:rsidR="00AE29C7">
        <w:rPr>
          <w:rFonts w:ascii="Arial" w:hAnsi="Arial" w:cs="Arial"/>
          <w:color w:val="000000"/>
          <w:sz w:val="20"/>
        </w:rPr>
        <w:t xml:space="preserve">for an offence committed when a person was 10 or 11 years of age </w:t>
      </w:r>
      <w:r>
        <w:rPr>
          <w:rFonts w:ascii="Arial" w:hAnsi="Arial" w:cs="Arial"/>
          <w:color w:val="000000"/>
          <w:sz w:val="20"/>
        </w:rPr>
        <w:t>is taken to be set aside.</w:t>
      </w:r>
    </w:p>
    <w:p w14:paraId="7046120D" w14:textId="7E335BC6" w:rsidR="007602E8" w:rsidRDefault="007602E8" w:rsidP="00591749">
      <w:pPr>
        <w:numPr>
          <w:ilvl w:val="0"/>
          <w:numId w:val="50"/>
        </w:numPr>
        <w:ind w:left="357" w:hanging="357"/>
        <w:jc w:val="both"/>
        <w:rPr>
          <w:rFonts w:ascii="Arial" w:hAnsi="Arial" w:cs="Arial"/>
          <w:color w:val="000000"/>
          <w:sz w:val="20"/>
        </w:rPr>
      </w:pPr>
      <w:r w:rsidRPr="007602E8">
        <w:rPr>
          <w:rFonts w:ascii="Arial" w:hAnsi="Arial" w:cs="Arial"/>
          <w:b/>
          <w:bCs/>
          <w:color w:val="000000"/>
          <w:sz w:val="20"/>
          <w:u w:val="single"/>
        </w:rPr>
        <w:t>s.775</w:t>
      </w:r>
      <w:r>
        <w:rPr>
          <w:rFonts w:ascii="Arial" w:hAnsi="Arial" w:cs="Arial"/>
          <w:color w:val="000000"/>
          <w:sz w:val="20"/>
        </w:rPr>
        <w:t xml:space="preserve">: A court has a broad power to </w:t>
      </w:r>
      <w:r w:rsidR="00AE29C7">
        <w:rPr>
          <w:rFonts w:ascii="Arial" w:hAnsi="Arial" w:cs="Arial"/>
          <w:color w:val="000000"/>
          <w:sz w:val="20"/>
        </w:rPr>
        <w:t xml:space="preserve">make any order it considers appropriate to </w:t>
      </w:r>
      <w:r>
        <w:rPr>
          <w:rFonts w:ascii="Arial" w:hAnsi="Arial" w:cs="Arial"/>
          <w:color w:val="000000"/>
          <w:sz w:val="20"/>
        </w:rPr>
        <w:t>resolve a difficulty in a proceeding that arises because of the operation of the transitional provisions.</w:t>
      </w:r>
    </w:p>
    <w:p w14:paraId="182788D5" w14:textId="6AD5D583" w:rsidR="000542C4" w:rsidRPr="00FF103F" w:rsidRDefault="000542C4" w:rsidP="00591749">
      <w:pPr>
        <w:numPr>
          <w:ilvl w:val="0"/>
          <w:numId w:val="50"/>
        </w:numPr>
        <w:ind w:left="357" w:hanging="357"/>
        <w:jc w:val="both"/>
        <w:rPr>
          <w:rFonts w:ascii="Arial" w:hAnsi="Arial" w:cs="Arial"/>
          <w:color w:val="000000"/>
          <w:sz w:val="20"/>
        </w:rPr>
      </w:pPr>
      <w:r w:rsidRPr="000542C4">
        <w:rPr>
          <w:rFonts w:ascii="Arial" w:hAnsi="Arial" w:cs="Arial"/>
          <w:b/>
          <w:bCs/>
          <w:color w:val="000000"/>
          <w:sz w:val="20"/>
          <w:u w:val="single"/>
        </w:rPr>
        <w:t>s.778</w:t>
      </w:r>
      <w:r>
        <w:rPr>
          <w:rFonts w:ascii="Arial" w:hAnsi="Arial" w:cs="Arial"/>
          <w:color w:val="000000"/>
          <w:sz w:val="20"/>
        </w:rPr>
        <w:t>: The application of Part 19.1 to a person does not entitle the person to compensation.</w:t>
      </w:r>
    </w:p>
    <w:bookmarkEnd w:id="102"/>
    <w:p w14:paraId="6868B024" w14:textId="1BFEF478" w:rsidR="00FF103F" w:rsidRDefault="00FF103F" w:rsidP="0020083C">
      <w:pPr>
        <w:tabs>
          <w:tab w:val="left" w:pos="425"/>
        </w:tabs>
        <w:jc w:val="both"/>
        <w:rPr>
          <w:rFonts w:ascii="Arial" w:hAnsi="Arial" w:cs="Arial"/>
          <w:bCs/>
          <w:color w:val="000000"/>
          <w:sz w:val="20"/>
          <w:szCs w:val="22"/>
        </w:rPr>
      </w:pPr>
    </w:p>
    <w:p w14:paraId="16FB90EE" w14:textId="190DF68F" w:rsidR="00FF103F" w:rsidRDefault="008A096F" w:rsidP="0020083C">
      <w:pPr>
        <w:tabs>
          <w:tab w:val="left" w:pos="425"/>
        </w:tabs>
        <w:jc w:val="both"/>
        <w:rPr>
          <w:rFonts w:ascii="Arial" w:hAnsi="Arial" w:cs="Arial"/>
          <w:bCs/>
          <w:color w:val="000000"/>
          <w:sz w:val="20"/>
          <w:szCs w:val="22"/>
        </w:rPr>
      </w:pPr>
      <w:r>
        <w:rPr>
          <w:rFonts w:ascii="Arial" w:hAnsi="Arial" w:cs="Arial"/>
          <w:bCs/>
          <w:color w:val="000000"/>
          <w:sz w:val="20"/>
          <w:szCs w:val="22"/>
        </w:rPr>
        <w:t xml:space="preserve">The </w:t>
      </w:r>
      <w:r w:rsidRPr="0032132F">
        <w:rPr>
          <w:rFonts w:ascii="Arial" w:hAnsi="Arial" w:cs="Arial"/>
          <w:b/>
          <w:color w:val="000000"/>
          <w:sz w:val="20"/>
          <w:szCs w:val="22"/>
        </w:rPr>
        <w:t xml:space="preserve">consequential </w:t>
      </w:r>
      <w:r w:rsidR="005C5E40" w:rsidRPr="0032132F">
        <w:rPr>
          <w:rFonts w:ascii="Arial" w:hAnsi="Arial" w:cs="Arial"/>
          <w:b/>
          <w:color w:val="000000"/>
          <w:sz w:val="20"/>
          <w:szCs w:val="22"/>
        </w:rPr>
        <w:t xml:space="preserve">MACR </w:t>
      </w:r>
      <w:r w:rsidRPr="0032132F">
        <w:rPr>
          <w:rFonts w:ascii="Arial" w:hAnsi="Arial" w:cs="Arial"/>
          <w:b/>
          <w:color w:val="000000"/>
          <w:sz w:val="20"/>
          <w:szCs w:val="22"/>
        </w:rPr>
        <w:t>amendments</w:t>
      </w:r>
      <w:r>
        <w:rPr>
          <w:rFonts w:ascii="Arial" w:hAnsi="Arial" w:cs="Arial"/>
          <w:bCs/>
          <w:color w:val="000000"/>
          <w:sz w:val="20"/>
          <w:szCs w:val="22"/>
        </w:rPr>
        <w:t xml:space="preserve"> include–</w:t>
      </w:r>
    </w:p>
    <w:p w14:paraId="19B568C8" w14:textId="4A116A7D" w:rsidR="008A096F" w:rsidRDefault="008A096F" w:rsidP="00591749">
      <w:pPr>
        <w:numPr>
          <w:ilvl w:val="0"/>
          <w:numId w:val="50"/>
        </w:numPr>
        <w:ind w:left="357" w:hanging="357"/>
        <w:jc w:val="both"/>
        <w:rPr>
          <w:rFonts w:ascii="Arial" w:hAnsi="Arial" w:cs="Arial"/>
          <w:color w:val="000000"/>
          <w:sz w:val="20"/>
        </w:rPr>
      </w:pPr>
      <w:r w:rsidRPr="00C61B98">
        <w:rPr>
          <w:rFonts w:ascii="Arial" w:hAnsi="Arial" w:cs="Arial"/>
          <w:b/>
          <w:bCs/>
          <w:color w:val="000000"/>
          <w:sz w:val="20"/>
          <w:u w:val="single"/>
        </w:rPr>
        <w:t>s.</w:t>
      </w:r>
      <w:r>
        <w:rPr>
          <w:rFonts w:ascii="Arial" w:hAnsi="Arial" w:cs="Arial"/>
          <w:b/>
          <w:bCs/>
          <w:color w:val="000000"/>
          <w:sz w:val="20"/>
          <w:u w:val="single"/>
        </w:rPr>
        <w:t>786</w:t>
      </w:r>
      <w:r>
        <w:rPr>
          <w:rFonts w:ascii="Arial" w:hAnsi="Arial" w:cs="Arial"/>
          <w:color w:val="000000"/>
          <w:sz w:val="20"/>
        </w:rPr>
        <w:t>: Under s.410(1)(b) CYFA a youth residential order may be made if on the day of sentencing a child is aged 12 years or more but under 15 years.</w:t>
      </w:r>
    </w:p>
    <w:p w14:paraId="3D2334DD" w14:textId="276C15B0" w:rsidR="008A096F" w:rsidRDefault="002F329F" w:rsidP="00591749">
      <w:pPr>
        <w:numPr>
          <w:ilvl w:val="0"/>
          <w:numId w:val="50"/>
        </w:numPr>
        <w:ind w:left="357" w:hanging="357"/>
        <w:jc w:val="both"/>
        <w:rPr>
          <w:rFonts w:ascii="Arial" w:hAnsi="Arial" w:cs="Arial"/>
          <w:color w:val="000000"/>
          <w:sz w:val="20"/>
        </w:rPr>
      </w:pPr>
      <w:r w:rsidRPr="002F329F">
        <w:rPr>
          <w:rFonts w:ascii="Arial" w:hAnsi="Arial" w:cs="Arial"/>
          <w:b/>
          <w:bCs/>
          <w:color w:val="000000"/>
          <w:sz w:val="20"/>
          <w:u w:val="single"/>
        </w:rPr>
        <w:t>ss.</w:t>
      </w:r>
      <w:r>
        <w:rPr>
          <w:rFonts w:ascii="Arial" w:hAnsi="Arial" w:cs="Arial"/>
          <w:b/>
          <w:bCs/>
          <w:color w:val="000000"/>
          <w:sz w:val="20"/>
          <w:u w:val="single"/>
        </w:rPr>
        <w:t>805-810</w:t>
      </w:r>
      <w:r>
        <w:rPr>
          <w:rFonts w:ascii="Arial" w:hAnsi="Arial" w:cs="Arial"/>
          <w:color w:val="000000"/>
          <w:sz w:val="20"/>
        </w:rPr>
        <w:t xml:space="preserve">: Amendments to the </w:t>
      </w:r>
      <w:r w:rsidRPr="002F329F">
        <w:rPr>
          <w:rFonts w:ascii="Arial" w:hAnsi="Arial" w:cs="Arial"/>
          <w:i/>
          <w:iCs/>
          <w:color w:val="000000"/>
          <w:sz w:val="20"/>
        </w:rPr>
        <w:t>Crimes Act 1958</w:t>
      </w:r>
      <w:r>
        <w:rPr>
          <w:rFonts w:ascii="Arial" w:hAnsi="Arial" w:cs="Arial"/>
          <w:color w:val="000000"/>
          <w:sz w:val="20"/>
        </w:rPr>
        <w:t xml:space="preserve"> provisions in relation to fingerprinting under s</w:t>
      </w:r>
      <w:r w:rsidR="0032132F">
        <w:rPr>
          <w:rFonts w:ascii="Arial" w:hAnsi="Arial" w:cs="Arial"/>
          <w:color w:val="000000"/>
          <w:sz w:val="20"/>
        </w:rPr>
        <w:t>s</w:t>
      </w:r>
      <w:r>
        <w:rPr>
          <w:rFonts w:ascii="Arial" w:hAnsi="Arial" w:cs="Arial"/>
          <w:color w:val="000000"/>
          <w:sz w:val="20"/>
        </w:rPr>
        <w:t>.464L &amp; 464M</w:t>
      </w:r>
      <w:r w:rsidR="0032132F">
        <w:rPr>
          <w:rFonts w:ascii="Arial" w:hAnsi="Arial" w:cs="Arial"/>
          <w:color w:val="000000"/>
          <w:sz w:val="20"/>
        </w:rPr>
        <w:t>,</w:t>
      </w:r>
      <w:r>
        <w:rPr>
          <w:rFonts w:ascii="Arial" w:hAnsi="Arial" w:cs="Arial"/>
          <w:color w:val="000000"/>
          <w:sz w:val="20"/>
        </w:rPr>
        <w:t xml:space="preserve"> forensic procedures under s</w:t>
      </w:r>
      <w:r w:rsidR="005C5E40">
        <w:rPr>
          <w:rFonts w:ascii="Arial" w:hAnsi="Arial" w:cs="Arial"/>
          <w:color w:val="000000"/>
          <w:sz w:val="20"/>
        </w:rPr>
        <w:t>s.464U, 464ZF &amp; 464ZFAAA and destruction of records</w:t>
      </w:r>
      <w:r w:rsidR="0032132F">
        <w:rPr>
          <w:rFonts w:ascii="Arial" w:hAnsi="Arial" w:cs="Arial"/>
          <w:color w:val="000000"/>
          <w:sz w:val="20"/>
        </w:rPr>
        <w:t xml:space="preserve"> to reflect the new MACR</w:t>
      </w:r>
      <w:r w:rsidR="005C5E40">
        <w:rPr>
          <w:rFonts w:ascii="Arial" w:hAnsi="Arial" w:cs="Arial"/>
          <w:color w:val="000000"/>
          <w:sz w:val="20"/>
        </w:rPr>
        <w:t>.</w:t>
      </w:r>
    </w:p>
    <w:p w14:paraId="65324414" w14:textId="1B90CD90" w:rsidR="005C5E40" w:rsidRDefault="005C5E40" w:rsidP="00591749">
      <w:pPr>
        <w:numPr>
          <w:ilvl w:val="0"/>
          <w:numId w:val="50"/>
        </w:numPr>
        <w:ind w:left="357" w:hanging="357"/>
        <w:jc w:val="both"/>
        <w:rPr>
          <w:rFonts w:ascii="Arial" w:hAnsi="Arial" w:cs="Arial"/>
          <w:color w:val="000000"/>
          <w:sz w:val="20"/>
        </w:rPr>
      </w:pPr>
      <w:r>
        <w:rPr>
          <w:rFonts w:ascii="Arial" w:hAnsi="Arial" w:cs="Arial"/>
          <w:b/>
          <w:bCs/>
          <w:color w:val="000000"/>
          <w:sz w:val="20"/>
          <w:u w:val="single"/>
        </w:rPr>
        <w:t>ss</w:t>
      </w:r>
      <w:r w:rsidRPr="005C5E40">
        <w:rPr>
          <w:rFonts w:ascii="Arial" w:hAnsi="Arial" w:cs="Arial"/>
          <w:b/>
          <w:bCs/>
          <w:color w:val="000000"/>
          <w:sz w:val="20"/>
          <w:u w:val="single"/>
        </w:rPr>
        <w:t>.831</w:t>
      </w:r>
      <w:r>
        <w:rPr>
          <w:rFonts w:ascii="Arial" w:hAnsi="Arial" w:cs="Arial"/>
          <w:b/>
          <w:bCs/>
          <w:color w:val="000000"/>
          <w:sz w:val="20"/>
          <w:u w:val="single"/>
        </w:rPr>
        <w:t xml:space="preserve"> &amp; 834</w:t>
      </w:r>
      <w:r>
        <w:rPr>
          <w:rFonts w:ascii="Arial" w:hAnsi="Arial" w:cs="Arial"/>
          <w:color w:val="000000"/>
          <w:sz w:val="20"/>
        </w:rPr>
        <w:t xml:space="preserve">: Insertion of new transitional s.201C of the </w:t>
      </w:r>
      <w:r w:rsidRPr="005C5E40">
        <w:rPr>
          <w:rFonts w:ascii="Arial" w:hAnsi="Arial" w:cs="Arial"/>
          <w:i/>
          <w:iCs/>
          <w:color w:val="000000"/>
          <w:sz w:val="20"/>
        </w:rPr>
        <w:t>Fines Reform Act 2014</w:t>
      </w:r>
      <w:r>
        <w:rPr>
          <w:rFonts w:ascii="Arial" w:hAnsi="Arial" w:cs="Arial"/>
          <w:color w:val="000000"/>
          <w:sz w:val="20"/>
        </w:rPr>
        <w:t xml:space="preserve"> and ss.218-221 of the </w:t>
      </w:r>
      <w:r w:rsidRPr="005C5E40">
        <w:rPr>
          <w:rFonts w:ascii="Arial" w:hAnsi="Arial" w:cs="Arial"/>
          <w:i/>
          <w:iCs/>
          <w:color w:val="000000"/>
          <w:sz w:val="20"/>
        </w:rPr>
        <w:t>Infringements Act 2006</w:t>
      </w:r>
      <w:r>
        <w:rPr>
          <w:rFonts w:ascii="Arial" w:hAnsi="Arial" w:cs="Arial"/>
          <w:color w:val="000000"/>
          <w:sz w:val="20"/>
        </w:rPr>
        <w:t>.</w:t>
      </w:r>
    </w:p>
    <w:p w14:paraId="103AC8A1" w14:textId="71BF69F3" w:rsidR="005C5E40" w:rsidRPr="00035AA7" w:rsidRDefault="00AE29C7" w:rsidP="00591749">
      <w:pPr>
        <w:numPr>
          <w:ilvl w:val="0"/>
          <w:numId w:val="50"/>
        </w:numPr>
        <w:ind w:left="357" w:hanging="357"/>
        <w:jc w:val="both"/>
        <w:rPr>
          <w:rFonts w:ascii="Arial" w:hAnsi="Arial" w:cs="Arial"/>
          <w:color w:val="000000"/>
          <w:sz w:val="20"/>
          <w:u w:val="single"/>
        </w:rPr>
      </w:pPr>
      <w:r w:rsidRPr="00C56D94">
        <w:rPr>
          <w:rFonts w:ascii="Arial" w:hAnsi="Arial" w:cs="Arial"/>
          <w:b/>
          <w:bCs/>
          <w:color w:val="000000"/>
          <w:sz w:val="20"/>
          <w:u w:val="single"/>
        </w:rPr>
        <w:t>s</w:t>
      </w:r>
      <w:r w:rsidR="005C5E40" w:rsidRPr="00C56D94">
        <w:rPr>
          <w:rFonts w:ascii="Arial" w:hAnsi="Arial" w:cs="Arial"/>
          <w:b/>
          <w:bCs/>
          <w:color w:val="000000"/>
          <w:sz w:val="20"/>
          <w:u w:val="single"/>
        </w:rPr>
        <w:t>s</w:t>
      </w:r>
      <w:r w:rsidR="005C5E40" w:rsidRPr="00C56D94">
        <w:rPr>
          <w:rFonts w:ascii="Arial" w:hAnsi="Arial" w:cs="Arial"/>
          <w:color w:val="000000"/>
          <w:sz w:val="20"/>
          <w:u w:val="single"/>
        </w:rPr>
        <w:t>.</w:t>
      </w:r>
      <w:r w:rsidR="005C5E40" w:rsidRPr="00C56D94">
        <w:rPr>
          <w:rFonts w:ascii="Arial" w:hAnsi="Arial" w:cs="Arial"/>
          <w:b/>
          <w:bCs/>
          <w:color w:val="000000"/>
          <w:sz w:val="20"/>
          <w:u w:val="single"/>
        </w:rPr>
        <w:t>837-</w:t>
      </w:r>
      <w:r w:rsidR="00C56D94">
        <w:rPr>
          <w:rFonts w:ascii="Arial" w:hAnsi="Arial" w:cs="Arial"/>
          <w:b/>
          <w:bCs/>
          <w:color w:val="000000"/>
          <w:sz w:val="20"/>
          <w:u w:val="single"/>
        </w:rPr>
        <w:t>839</w:t>
      </w:r>
      <w:r w:rsidR="00C56D94" w:rsidRPr="00C56D94">
        <w:rPr>
          <w:rFonts w:ascii="Arial" w:hAnsi="Arial" w:cs="Arial"/>
          <w:color w:val="000000"/>
          <w:sz w:val="20"/>
        </w:rPr>
        <w:t>:</w:t>
      </w:r>
      <w:r w:rsidR="00C56D94">
        <w:rPr>
          <w:rFonts w:ascii="Arial" w:hAnsi="Arial" w:cs="Arial"/>
          <w:color w:val="000000"/>
          <w:sz w:val="20"/>
        </w:rPr>
        <w:t xml:space="preserve"> </w:t>
      </w:r>
      <w:bookmarkStart w:id="103" w:name="_Hlk221599661"/>
      <w:r w:rsidR="00C56D94">
        <w:rPr>
          <w:rFonts w:ascii="Arial" w:hAnsi="Arial" w:cs="Arial"/>
          <w:color w:val="000000"/>
          <w:sz w:val="20"/>
        </w:rPr>
        <w:t xml:space="preserve">Amendment to s.18 </w:t>
      </w:r>
      <w:r w:rsidR="00C56D94" w:rsidRPr="00035AA7">
        <w:rPr>
          <w:rFonts w:ascii="Arial" w:hAnsi="Arial" w:cs="Arial"/>
          <w:i/>
          <w:iCs/>
          <w:color w:val="000000"/>
          <w:sz w:val="20"/>
        </w:rPr>
        <w:t>Personal Safety Intervention Orders Act 2010</w:t>
      </w:r>
      <w:r w:rsidR="00C56D94">
        <w:rPr>
          <w:rFonts w:ascii="Arial" w:hAnsi="Arial" w:cs="Arial"/>
          <w:color w:val="000000"/>
          <w:sz w:val="20"/>
        </w:rPr>
        <w:t xml:space="preserve"> to read: “If a person makes an application for a personal safety intervention order [PSIO] against a child who, at the date of making the application, is aged under </w:t>
      </w:r>
      <w:r w:rsidR="00C56D94" w:rsidRPr="00C56D94">
        <w:rPr>
          <w:rFonts w:ascii="Arial" w:hAnsi="Arial" w:cs="Arial"/>
          <w:b/>
          <w:bCs/>
          <w:color w:val="000000"/>
          <w:sz w:val="20"/>
        </w:rPr>
        <w:t>12</w:t>
      </w:r>
      <w:r w:rsidR="00C56D94">
        <w:rPr>
          <w:rFonts w:ascii="Arial" w:hAnsi="Arial" w:cs="Arial"/>
          <w:color w:val="000000"/>
          <w:sz w:val="20"/>
        </w:rPr>
        <w:t xml:space="preserve"> years: </w:t>
      </w:r>
      <w:bookmarkEnd w:id="103"/>
      <w:r w:rsidR="00C56D94">
        <w:rPr>
          <w:rFonts w:ascii="Arial" w:hAnsi="Arial" w:cs="Arial"/>
          <w:color w:val="000000"/>
          <w:sz w:val="20"/>
        </w:rPr>
        <w:t xml:space="preserve">(a) if the court knows that the child was aged under </w:t>
      </w:r>
      <w:r w:rsidR="00C56D94" w:rsidRPr="00035AA7">
        <w:rPr>
          <w:rFonts w:ascii="Arial" w:hAnsi="Arial" w:cs="Arial"/>
          <w:b/>
          <w:bCs/>
          <w:color w:val="000000"/>
          <w:sz w:val="20"/>
        </w:rPr>
        <w:t>12</w:t>
      </w:r>
      <w:r w:rsidR="00C56D94">
        <w:rPr>
          <w:rFonts w:ascii="Arial" w:hAnsi="Arial" w:cs="Arial"/>
          <w:color w:val="000000"/>
          <w:sz w:val="20"/>
        </w:rPr>
        <w:t xml:space="preserve"> years, the court must not make a PSIO against the child; and (b) </w:t>
      </w:r>
      <w:r w:rsidR="00035AA7">
        <w:rPr>
          <w:rFonts w:ascii="Arial" w:hAnsi="Arial" w:cs="Arial"/>
          <w:color w:val="000000"/>
          <w:sz w:val="20"/>
        </w:rPr>
        <w:t xml:space="preserve">if the court makes a PSIO against the child, the order has no effect.” New transitional provisions are inserted as ss.200-202 of the </w:t>
      </w:r>
      <w:r w:rsidR="00035AA7" w:rsidRPr="00035AA7">
        <w:rPr>
          <w:rFonts w:ascii="Arial" w:hAnsi="Arial" w:cs="Arial"/>
          <w:i/>
          <w:iCs/>
          <w:color w:val="000000"/>
          <w:sz w:val="20"/>
        </w:rPr>
        <w:t>Personal Safety Intervention Orders Act 2010</w:t>
      </w:r>
      <w:r w:rsidR="00035AA7">
        <w:rPr>
          <w:rFonts w:ascii="Arial" w:hAnsi="Arial" w:cs="Arial"/>
          <w:color w:val="000000"/>
          <w:sz w:val="20"/>
        </w:rPr>
        <w:t>.</w:t>
      </w:r>
    </w:p>
    <w:p w14:paraId="464FFBA7" w14:textId="182DD255" w:rsidR="00035AA7" w:rsidRPr="00C56D94" w:rsidRDefault="00035AA7" w:rsidP="00591749">
      <w:pPr>
        <w:numPr>
          <w:ilvl w:val="0"/>
          <w:numId w:val="50"/>
        </w:numPr>
        <w:ind w:left="357" w:hanging="357"/>
        <w:jc w:val="both"/>
        <w:rPr>
          <w:rFonts w:ascii="Arial" w:hAnsi="Arial" w:cs="Arial"/>
          <w:color w:val="000000"/>
          <w:sz w:val="20"/>
          <w:u w:val="single"/>
        </w:rPr>
      </w:pPr>
      <w:r>
        <w:rPr>
          <w:rFonts w:ascii="Arial" w:hAnsi="Arial" w:cs="Arial"/>
          <w:b/>
          <w:bCs/>
          <w:color w:val="000000"/>
          <w:sz w:val="20"/>
          <w:u w:val="single"/>
        </w:rPr>
        <w:t>ss</w:t>
      </w:r>
      <w:r w:rsidRPr="00035AA7">
        <w:rPr>
          <w:rFonts w:ascii="Arial" w:hAnsi="Arial" w:cs="Arial"/>
          <w:b/>
          <w:bCs/>
          <w:color w:val="000000"/>
          <w:sz w:val="20"/>
          <w:u w:val="single"/>
        </w:rPr>
        <w:t>.841-8</w:t>
      </w:r>
      <w:r>
        <w:rPr>
          <w:rFonts w:ascii="Arial" w:hAnsi="Arial" w:cs="Arial"/>
          <w:b/>
          <w:bCs/>
          <w:color w:val="000000"/>
          <w:sz w:val="20"/>
          <w:u w:val="single"/>
        </w:rPr>
        <w:t>45</w:t>
      </w:r>
      <w:r w:rsidRPr="00035AA7">
        <w:rPr>
          <w:rFonts w:ascii="Arial" w:hAnsi="Arial" w:cs="Arial"/>
          <w:color w:val="000000"/>
          <w:sz w:val="20"/>
        </w:rPr>
        <w:t xml:space="preserve">: Amendments to the </w:t>
      </w:r>
      <w:r w:rsidRPr="00035AA7">
        <w:rPr>
          <w:rFonts w:ascii="Arial" w:hAnsi="Arial" w:cs="Arial"/>
          <w:i/>
          <w:iCs/>
          <w:color w:val="000000"/>
          <w:sz w:val="20"/>
        </w:rPr>
        <w:t>Spent Convictions Act 2021</w:t>
      </w:r>
      <w:r w:rsidRPr="00035AA7">
        <w:rPr>
          <w:rFonts w:ascii="Arial" w:hAnsi="Arial" w:cs="Arial"/>
          <w:color w:val="000000"/>
          <w:sz w:val="20"/>
        </w:rPr>
        <w:t>.</w:t>
      </w:r>
    </w:p>
    <w:p w14:paraId="6B2643EB" w14:textId="77777777" w:rsidR="009D6BC7" w:rsidRDefault="009D6BC7" w:rsidP="0020083C">
      <w:pPr>
        <w:tabs>
          <w:tab w:val="left" w:pos="425"/>
        </w:tabs>
        <w:jc w:val="both"/>
        <w:rPr>
          <w:rFonts w:ascii="Arial" w:hAnsi="Arial" w:cs="Arial"/>
          <w:bCs/>
          <w:color w:val="000000"/>
          <w:sz w:val="20"/>
          <w:szCs w:val="22"/>
        </w:rPr>
      </w:pPr>
    </w:p>
    <w:p w14:paraId="036FD990" w14:textId="25BE7443" w:rsidR="00204E35" w:rsidRPr="00F51496" w:rsidRDefault="00327509" w:rsidP="00204E35">
      <w:pPr>
        <w:jc w:val="both"/>
        <w:rPr>
          <w:rFonts w:ascii="Arial" w:hAnsi="Arial" w:cs="Arial"/>
          <w:color w:val="000000"/>
          <w:sz w:val="20"/>
        </w:rPr>
      </w:pPr>
      <w:r w:rsidRPr="00F51496">
        <w:rPr>
          <w:rFonts w:ascii="Arial" w:hAnsi="Arial" w:cs="Arial"/>
          <w:color w:val="000000"/>
          <w:sz w:val="20"/>
        </w:rPr>
        <w:t xml:space="preserve">By comparison </w:t>
      </w:r>
      <w:r w:rsidR="009D6BC7">
        <w:rPr>
          <w:rFonts w:ascii="Arial" w:hAnsi="Arial" w:cs="Arial"/>
          <w:color w:val="000000"/>
          <w:sz w:val="20"/>
        </w:rPr>
        <w:t xml:space="preserve">with Victoria, </w:t>
      </w:r>
      <w:r w:rsidRPr="00F51496">
        <w:rPr>
          <w:rFonts w:ascii="Arial" w:hAnsi="Arial" w:cs="Arial"/>
          <w:color w:val="000000"/>
          <w:sz w:val="20"/>
        </w:rPr>
        <w:t xml:space="preserve">the minimum age of criminal responsibility in Canada is 12 and in many European countries ages ranging from 12 (Greece &amp; Netherlands) </w:t>
      </w:r>
      <w:r w:rsidR="009B7F1D">
        <w:rPr>
          <w:rFonts w:ascii="Arial" w:hAnsi="Arial" w:cs="Arial"/>
          <w:color w:val="000000"/>
          <w:sz w:val="20"/>
        </w:rPr>
        <w:t xml:space="preserve">to 14 (Germany) </w:t>
      </w:r>
      <w:r w:rsidRPr="00F51496">
        <w:rPr>
          <w:rFonts w:ascii="Arial" w:hAnsi="Arial" w:cs="Arial"/>
          <w:color w:val="000000"/>
          <w:sz w:val="20"/>
        </w:rPr>
        <w:t xml:space="preserve">to </w:t>
      </w:r>
      <w:r w:rsidR="009B7F1D">
        <w:rPr>
          <w:rFonts w:ascii="Arial" w:hAnsi="Arial" w:cs="Arial"/>
          <w:color w:val="000000"/>
          <w:sz w:val="20"/>
        </w:rPr>
        <w:t xml:space="preserve">generally </w:t>
      </w:r>
      <w:r w:rsidRPr="00F51496">
        <w:rPr>
          <w:rFonts w:ascii="Arial" w:hAnsi="Arial" w:cs="Arial"/>
          <w:color w:val="000000"/>
          <w:sz w:val="20"/>
        </w:rPr>
        <w:t>18 (Belgium &amp; Luxembourg).</w:t>
      </w:r>
      <w:r w:rsidR="009B7F1D">
        <w:rPr>
          <w:rFonts w:ascii="Arial" w:hAnsi="Arial" w:cs="Arial"/>
          <w:color w:val="000000"/>
          <w:sz w:val="20"/>
        </w:rPr>
        <w:t xml:space="preserve"> In New Zealand criminal proceedings cannot be commenced against a child who has committed an offence under the age of 14 </w:t>
      </w:r>
      <w:r w:rsidR="009C006F">
        <w:rPr>
          <w:rFonts w:ascii="Arial" w:hAnsi="Arial" w:cs="Arial"/>
          <w:color w:val="000000"/>
          <w:sz w:val="20"/>
        </w:rPr>
        <w:t>except that this age is reduced to</w:t>
      </w:r>
      <w:r w:rsidR="00235652">
        <w:rPr>
          <w:rFonts w:ascii="Arial" w:hAnsi="Arial" w:cs="Arial"/>
          <w:color w:val="000000"/>
          <w:sz w:val="20"/>
        </w:rPr>
        <w:t>–</w:t>
      </w:r>
    </w:p>
    <w:p w14:paraId="74FA14B1" w14:textId="77777777" w:rsidR="00C11A46" w:rsidRDefault="009B7F1D" w:rsidP="00591749">
      <w:pPr>
        <w:numPr>
          <w:ilvl w:val="0"/>
          <w:numId w:val="50"/>
        </w:numPr>
        <w:ind w:left="357" w:hanging="357"/>
        <w:rPr>
          <w:rFonts w:ascii="Arial" w:hAnsi="Arial" w:cs="Arial"/>
          <w:color w:val="000000"/>
          <w:sz w:val="20"/>
        </w:rPr>
      </w:pPr>
      <w:r w:rsidRPr="009B7F1D">
        <w:rPr>
          <w:rFonts w:ascii="Arial" w:hAnsi="Arial" w:cs="Arial"/>
          <w:color w:val="000000"/>
          <w:sz w:val="20"/>
        </w:rPr>
        <w:t>10 where the offence is murder or manslaughter;</w:t>
      </w:r>
    </w:p>
    <w:p w14:paraId="38F8D106" w14:textId="77777777" w:rsidR="009B7F1D" w:rsidRDefault="009B7F1D" w:rsidP="00591749">
      <w:pPr>
        <w:numPr>
          <w:ilvl w:val="0"/>
          <w:numId w:val="50"/>
        </w:numPr>
        <w:ind w:left="357" w:hanging="357"/>
        <w:jc w:val="both"/>
        <w:rPr>
          <w:rFonts w:ascii="Arial" w:hAnsi="Arial" w:cs="Arial"/>
          <w:color w:val="000000"/>
          <w:sz w:val="20"/>
        </w:rPr>
      </w:pPr>
      <w:r>
        <w:rPr>
          <w:rFonts w:ascii="Arial" w:hAnsi="Arial" w:cs="Arial"/>
          <w:color w:val="000000"/>
          <w:sz w:val="20"/>
        </w:rPr>
        <w:t>12 where the offence has a maximum penalty of at least 14 years’ imprisonment or where the offence has a maximum period of at least 10 years and the child is a previous offender as defined.</w:t>
      </w:r>
    </w:p>
    <w:p w14:paraId="3C779D6F" w14:textId="5AA04B48" w:rsidR="005D77E2" w:rsidRPr="009130AC" w:rsidRDefault="005D77E2" w:rsidP="009101E1">
      <w:pPr>
        <w:rPr>
          <w:rFonts w:ascii="Arial" w:hAnsi="Arial" w:cs="Arial"/>
          <w:color w:val="000000"/>
          <w:sz w:val="20"/>
        </w:rPr>
      </w:pPr>
    </w:p>
    <w:p w14:paraId="23BBF5DE" w14:textId="77777777" w:rsidR="000C13A2" w:rsidRDefault="000C13A2" w:rsidP="00F6111E">
      <w:pPr>
        <w:pStyle w:val="Heading3"/>
        <w:keepNext/>
        <w:spacing w:after="120" w:line="240" w:lineRule="auto"/>
        <w:rPr>
          <w:rFonts w:ascii="Arial" w:hAnsi="Arial" w:cs="Arial"/>
          <w:b/>
          <w:bCs/>
          <w:color w:val="000000"/>
          <w:sz w:val="20"/>
        </w:rPr>
      </w:pPr>
      <w:bookmarkStart w:id="104" w:name="_7.1.3_Police_powers"/>
      <w:bookmarkStart w:id="105" w:name="_Hlk221599274"/>
      <w:bookmarkEnd w:id="104"/>
      <w:r w:rsidRPr="00F51496">
        <w:rPr>
          <w:rFonts w:ascii="Arial" w:hAnsi="Arial" w:cs="Arial"/>
          <w:b/>
          <w:bCs/>
          <w:color w:val="000000"/>
          <w:sz w:val="20"/>
        </w:rPr>
        <w:t>7.</w:t>
      </w:r>
      <w:r>
        <w:rPr>
          <w:rFonts w:ascii="Arial" w:hAnsi="Arial" w:cs="Arial"/>
          <w:b/>
          <w:bCs/>
          <w:color w:val="000000"/>
          <w:sz w:val="20"/>
        </w:rPr>
        <w:t>1</w:t>
      </w:r>
      <w:r w:rsidRPr="00F51496">
        <w:rPr>
          <w:rFonts w:ascii="Arial" w:hAnsi="Arial" w:cs="Arial"/>
          <w:b/>
          <w:bCs/>
          <w:color w:val="000000"/>
          <w:sz w:val="20"/>
        </w:rPr>
        <w:t>.</w:t>
      </w:r>
      <w:r>
        <w:rPr>
          <w:rFonts w:ascii="Arial" w:hAnsi="Arial" w:cs="Arial"/>
          <w:b/>
          <w:bCs/>
          <w:color w:val="000000"/>
          <w:sz w:val="20"/>
        </w:rPr>
        <w:t>3</w:t>
      </w:r>
      <w:r w:rsidRPr="00F51496">
        <w:rPr>
          <w:rFonts w:ascii="Arial" w:hAnsi="Arial" w:cs="Arial"/>
          <w:b/>
          <w:bCs/>
          <w:color w:val="000000"/>
          <w:sz w:val="20"/>
        </w:rPr>
        <w:tab/>
      </w:r>
      <w:r>
        <w:rPr>
          <w:rFonts w:ascii="Arial" w:hAnsi="Arial" w:cs="Arial"/>
          <w:b/>
          <w:bCs/>
          <w:color w:val="000000"/>
          <w:sz w:val="20"/>
        </w:rPr>
        <w:t>Police powers in relation to children under the MACR who are 10 or 11 years of age</w:t>
      </w:r>
    </w:p>
    <w:p w14:paraId="3A79753E" w14:textId="52E074E9" w:rsidR="000C13A2" w:rsidRDefault="00F6111E" w:rsidP="00354838">
      <w:pPr>
        <w:jc w:val="both"/>
        <w:rPr>
          <w:rFonts w:ascii="Arial" w:hAnsi="Arial" w:cs="Arial"/>
          <w:color w:val="000000"/>
          <w:sz w:val="20"/>
        </w:rPr>
      </w:pPr>
      <w:bookmarkStart w:id="106" w:name="_Hlk221599335"/>
      <w:bookmarkEnd w:id="105"/>
      <w:r w:rsidRPr="00283F46">
        <w:rPr>
          <w:rFonts w:ascii="Arial" w:hAnsi="Arial" w:cs="Arial"/>
          <w:b/>
          <w:bCs/>
          <w:color w:val="000000"/>
          <w:sz w:val="20"/>
          <w:u w:val="single"/>
        </w:rPr>
        <w:t>Chapter 3</w:t>
      </w:r>
      <w:r>
        <w:rPr>
          <w:rFonts w:ascii="Arial" w:hAnsi="Arial" w:cs="Arial"/>
          <w:color w:val="000000"/>
          <w:sz w:val="20"/>
        </w:rPr>
        <w:t xml:space="preserve"> of the YJA is entitled “</w:t>
      </w:r>
      <w:r w:rsidRPr="00354838">
        <w:rPr>
          <w:rFonts w:ascii="Arial" w:hAnsi="Arial" w:cs="Arial"/>
          <w:b/>
          <w:bCs/>
          <w:color w:val="000000"/>
          <w:sz w:val="20"/>
        </w:rPr>
        <w:t xml:space="preserve">Police Power to take into care and control and transport a child aged </w:t>
      </w:r>
      <w:r w:rsidR="00354838" w:rsidRPr="00354838">
        <w:rPr>
          <w:rFonts w:ascii="Arial" w:hAnsi="Arial" w:cs="Arial"/>
          <w:b/>
          <w:bCs/>
          <w:color w:val="000000"/>
          <w:sz w:val="20"/>
        </w:rPr>
        <w:t>10 or 11 years old</w:t>
      </w:r>
      <w:r w:rsidR="00354838">
        <w:rPr>
          <w:rFonts w:ascii="Arial" w:hAnsi="Arial" w:cs="Arial"/>
          <w:color w:val="000000"/>
          <w:sz w:val="20"/>
        </w:rPr>
        <w:t xml:space="preserve">”. The new provisions in </w:t>
      </w:r>
      <w:r w:rsidR="00354838" w:rsidRPr="0032132F">
        <w:rPr>
          <w:rFonts w:ascii="Arial" w:hAnsi="Arial" w:cs="Arial"/>
          <w:b/>
          <w:bCs/>
          <w:color w:val="000000"/>
          <w:sz w:val="20"/>
          <w:u w:val="single"/>
        </w:rPr>
        <w:t>ss.66-</w:t>
      </w:r>
      <w:r w:rsidR="00393B2B" w:rsidRPr="0032132F">
        <w:rPr>
          <w:rFonts w:ascii="Arial" w:hAnsi="Arial" w:cs="Arial"/>
          <w:b/>
          <w:bCs/>
          <w:color w:val="000000"/>
          <w:sz w:val="20"/>
          <w:u w:val="single"/>
        </w:rPr>
        <w:t>79</w:t>
      </w:r>
      <w:r w:rsidR="00354838">
        <w:rPr>
          <w:rFonts w:ascii="Arial" w:hAnsi="Arial" w:cs="Arial"/>
          <w:color w:val="000000"/>
          <w:sz w:val="20"/>
        </w:rPr>
        <w:t xml:space="preserve"> of the YJA complement the removal of criminal responsibility from a child who is 10 or 11 years old. In particular </w:t>
      </w:r>
      <w:r w:rsidR="00354838" w:rsidRPr="0032132F">
        <w:rPr>
          <w:rFonts w:ascii="Arial" w:hAnsi="Arial" w:cs="Arial"/>
          <w:b/>
          <w:bCs/>
          <w:color w:val="000000"/>
          <w:sz w:val="20"/>
          <w:u w:val="single"/>
        </w:rPr>
        <w:t>s.68(1)</w:t>
      </w:r>
      <w:r w:rsidR="00354838">
        <w:rPr>
          <w:rFonts w:ascii="Arial" w:hAnsi="Arial" w:cs="Arial"/>
          <w:color w:val="000000"/>
          <w:sz w:val="20"/>
        </w:rPr>
        <w:t xml:space="preserve"> YJA empowers a police officer to take a child aged 10 or 11 into care and control if the police officer believes on reasonable grounds that–</w:t>
      </w:r>
    </w:p>
    <w:p w14:paraId="1789FD02" w14:textId="514BB49E" w:rsidR="000C13A2" w:rsidRDefault="00354838" w:rsidP="00591749">
      <w:pPr>
        <w:pStyle w:val="ListParagraph"/>
        <w:numPr>
          <w:ilvl w:val="0"/>
          <w:numId w:val="63"/>
        </w:numPr>
        <w:spacing w:after="0" w:line="240" w:lineRule="auto"/>
        <w:ind w:left="357" w:hanging="357"/>
        <w:jc w:val="both"/>
        <w:rPr>
          <w:rFonts w:ascii="Arial" w:hAnsi="Arial" w:cs="Arial"/>
          <w:color w:val="000000"/>
          <w:sz w:val="20"/>
        </w:rPr>
      </w:pPr>
      <w:r>
        <w:rPr>
          <w:rFonts w:ascii="Arial" w:hAnsi="Arial" w:cs="Arial"/>
          <w:color w:val="000000"/>
          <w:sz w:val="20"/>
        </w:rPr>
        <w:t>there is a risk of serious harm to the child or another person that is likely to occur as a result of the behaviour of the child; and</w:t>
      </w:r>
    </w:p>
    <w:p w14:paraId="6834EF45" w14:textId="33CC9BFA" w:rsidR="00354838" w:rsidRPr="00354838" w:rsidRDefault="00354838" w:rsidP="00591749">
      <w:pPr>
        <w:pStyle w:val="ListParagraph"/>
        <w:numPr>
          <w:ilvl w:val="0"/>
          <w:numId w:val="63"/>
        </w:numPr>
        <w:spacing w:after="0" w:line="240" w:lineRule="auto"/>
        <w:ind w:left="357" w:hanging="357"/>
        <w:jc w:val="both"/>
        <w:rPr>
          <w:rFonts w:ascii="Arial" w:hAnsi="Arial" w:cs="Arial"/>
          <w:color w:val="000000"/>
          <w:sz w:val="20"/>
        </w:rPr>
      </w:pPr>
      <w:r>
        <w:rPr>
          <w:rFonts w:ascii="Arial" w:hAnsi="Arial" w:cs="Arial"/>
          <w:color w:val="000000"/>
          <w:sz w:val="20"/>
        </w:rPr>
        <w:t>it is necessary for the child to be transported under s.69 to minimise that risk of harm or serious harm.</w:t>
      </w:r>
    </w:p>
    <w:p w14:paraId="42343868" w14:textId="77777777" w:rsidR="00354838" w:rsidRDefault="00354838" w:rsidP="00354838">
      <w:pPr>
        <w:jc w:val="both"/>
        <w:rPr>
          <w:rFonts w:ascii="Arial" w:hAnsi="Arial" w:cs="Arial"/>
          <w:color w:val="000000"/>
          <w:sz w:val="20"/>
        </w:rPr>
      </w:pPr>
    </w:p>
    <w:bookmarkEnd w:id="106"/>
    <w:p w14:paraId="7B3A083A" w14:textId="3309E9EA" w:rsidR="00354838" w:rsidRDefault="00354838" w:rsidP="005256FB">
      <w:pPr>
        <w:jc w:val="both"/>
        <w:rPr>
          <w:rFonts w:ascii="Arial" w:hAnsi="Arial" w:cs="Arial"/>
          <w:color w:val="000000"/>
          <w:sz w:val="20"/>
        </w:rPr>
      </w:pPr>
      <w:r w:rsidRPr="0032132F">
        <w:rPr>
          <w:rFonts w:ascii="Arial" w:hAnsi="Arial" w:cs="Arial"/>
          <w:b/>
          <w:bCs/>
          <w:color w:val="000000"/>
          <w:sz w:val="20"/>
          <w:u w:val="single"/>
        </w:rPr>
        <w:t>Sections</w:t>
      </w:r>
      <w:r w:rsidRPr="0032132F">
        <w:rPr>
          <w:rFonts w:ascii="Arial" w:hAnsi="Arial" w:cs="Arial"/>
          <w:color w:val="000000"/>
          <w:sz w:val="20"/>
          <w:u w:val="single"/>
        </w:rPr>
        <w:t xml:space="preserve"> </w:t>
      </w:r>
      <w:r w:rsidRPr="0032132F">
        <w:rPr>
          <w:rFonts w:ascii="Arial" w:hAnsi="Arial" w:cs="Arial"/>
          <w:b/>
          <w:bCs/>
          <w:color w:val="000000"/>
          <w:sz w:val="20"/>
          <w:u w:val="single"/>
        </w:rPr>
        <w:t>68(2)</w:t>
      </w:r>
      <w:r w:rsidR="005256FB" w:rsidRPr="0032132F">
        <w:rPr>
          <w:rFonts w:ascii="Arial" w:hAnsi="Arial" w:cs="Arial"/>
          <w:b/>
          <w:bCs/>
          <w:color w:val="000000"/>
          <w:sz w:val="20"/>
          <w:u w:val="single"/>
        </w:rPr>
        <w:t xml:space="preserve"> &amp;</w:t>
      </w:r>
      <w:r w:rsidRPr="0032132F">
        <w:rPr>
          <w:rFonts w:ascii="Arial" w:hAnsi="Arial" w:cs="Arial"/>
          <w:b/>
          <w:bCs/>
          <w:color w:val="000000"/>
          <w:sz w:val="20"/>
          <w:u w:val="single"/>
        </w:rPr>
        <w:t xml:space="preserve"> (3)</w:t>
      </w:r>
      <w:r w:rsidRPr="00354838">
        <w:rPr>
          <w:rFonts w:ascii="Arial" w:hAnsi="Arial" w:cs="Arial"/>
          <w:b/>
          <w:bCs/>
          <w:color w:val="000000"/>
          <w:sz w:val="20"/>
        </w:rPr>
        <w:t xml:space="preserve"> </w:t>
      </w:r>
      <w:r w:rsidR="00C56D94">
        <w:rPr>
          <w:rFonts w:ascii="Arial" w:hAnsi="Arial" w:cs="Arial"/>
          <w:color w:val="000000"/>
          <w:sz w:val="20"/>
        </w:rPr>
        <w:t>require</w:t>
      </w:r>
      <w:r>
        <w:rPr>
          <w:rFonts w:ascii="Arial" w:hAnsi="Arial" w:cs="Arial"/>
          <w:color w:val="000000"/>
          <w:sz w:val="20"/>
        </w:rPr>
        <w:t xml:space="preserve"> a police officer </w:t>
      </w:r>
      <w:r w:rsidR="005256FB">
        <w:rPr>
          <w:rFonts w:ascii="Arial" w:hAnsi="Arial" w:cs="Arial"/>
          <w:color w:val="000000"/>
          <w:sz w:val="20"/>
        </w:rPr>
        <w:t>before taking a child into care and control under s.68(1) to–</w:t>
      </w:r>
    </w:p>
    <w:p w14:paraId="5091F371" w14:textId="0D2E1327" w:rsidR="005256FB" w:rsidRDefault="005256FB" w:rsidP="00591749">
      <w:pPr>
        <w:numPr>
          <w:ilvl w:val="0"/>
          <w:numId w:val="8"/>
        </w:numPr>
        <w:tabs>
          <w:tab w:val="left" w:pos="425"/>
        </w:tabs>
        <w:ind w:left="363"/>
        <w:jc w:val="both"/>
        <w:rPr>
          <w:rFonts w:ascii="Arial" w:hAnsi="Arial" w:cs="Arial"/>
          <w:bCs/>
          <w:color w:val="000000"/>
          <w:sz w:val="20"/>
        </w:rPr>
      </w:pPr>
      <w:r>
        <w:rPr>
          <w:rFonts w:ascii="Arial" w:hAnsi="Arial" w:cs="Arial"/>
          <w:bCs/>
          <w:color w:val="000000"/>
          <w:sz w:val="20"/>
        </w:rPr>
        <w:t>take reasonable steps to minimise the risk of serious harm to the child or another person that is likely to occur as a result of the behaviour of the child;</w:t>
      </w:r>
    </w:p>
    <w:p w14:paraId="3A7EA3B6" w14:textId="24688EDA" w:rsidR="005256FB" w:rsidRDefault="005256FB" w:rsidP="00591749">
      <w:pPr>
        <w:numPr>
          <w:ilvl w:val="0"/>
          <w:numId w:val="8"/>
        </w:numPr>
        <w:tabs>
          <w:tab w:val="left" w:pos="425"/>
        </w:tabs>
        <w:ind w:left="363"/>
        <w:jc w:val="both"/>
        <w:rPr>
          <w:rFonts w:ascii="Arial" w:hAnsi="Arial" w:cs="Arial"/>
          <w:bCs/>
          <w:color w:val="000000"/>
          <w:sz w:val="20"/>
        </w:rPr>
      </w:pPr>
      <w:r>
        <w:rPr>
          <w:rFonts w:ascii="Arial" w:hAnsi="Arial" w:cs="Arial"/>
          <w:bCs/>
          <w:color w:val="000000"/>
          <w:sz w:val="20"/>
        </w:rPr>
        <w:t>inform the child that the child is not under arrest, is not being charged with an offence and has been taken into care and control for the purpose of transporting the child to prevent serious harm to the child or another person that is likely to occur as a result of the behaviour of the child; and</w:t>
      </w:r>
    </w:p>
    <w:p w14:paraId="710D0A70" w14:textId="060FA328" w:rsidR="005256FB" w:rsidRPr="00F51496" w:rsidRDefault="005256FB" w:rsidP="00591749">
      <w:pPr>
        <w:numPr>
          <w:ilvl w:val="0"/>
          <w:numId w:val="8"/>
        </w:numPr>
        <w:tabs>
          <w:tab w:val="left" w:pos="425"/>
        </w:tabs>
        <w:ind w:left="363"/>
        <w:jc w:val="both"/>
        <w:rPr>
          <w:rFonts w:ascii="Arial" w:hAnsi="Arial" w:cs="Arial"/>
          <w:bCs/>
          <w:color w:val="000000"/>
          <w:sz w:val="20"/>
        </w:rPr>
      </w:pPr>
      <w:r>
        <w:rPr>
          <w:rFonts w:ascii="Arial" w:hAnsi="Arial" w:cs="Arial"/>
          <w:bCs/>
          <w:color w:val="000000"/>
          <w:sz w:val="20"/>
        </w:rPr>
        <w:t>ask the child whether they are Aboriginal or Torres Strait Islander</w:t>
      </w:r>
      <w:r w:rsidR="00C30041">
        <w:rPr>
          <w:rFonts w:ascii="Arial" w:hAnsi="Arial" w:cs="Arial"/>
          <w:bCs/>
          <w:color w:val="000000"/>
          <w:sz w:val="20"/>
        </w:rPr>
        <w:t>.</w:t>
      </w:r>
    </w:p>
    <w:p w14:paraId="394CB479" w14:textId="77777777" w:rsidR="00354838" w:rsidRDefault="00354838" w:rsidP="009101E1">
      <w:pPr>
        <w:rPr>
          <w:rFonts w:ascii="Arial" w:hAnsi="Arial" w:cs="Arial"/>
          <w:color w:val="000000"/>
          <w:sz w:val="20"/>
        </w:rPr>
      </w:pPr>
    </w:p>
    <w:p w14:paraId="33450FB6" w14:textId="440397EA" w:rsidR="00C30041" w:rsidRDefault="00393B2B" w:rsidP="00393B2B">
      <w:pPr>
        <w:jc w:val="both"/>
        <w:rPr>
          <w:rFonts w:ascii="Arial" w:hAnsi="Arial" w:cs="Arial"/>
          <w:bCs/>
          <w:color w:val="000000"/>
          <w:sz w:val="20"/>
        </w:rPr>
      </w:pPr>
      <w:r w:rsidRPr="0032132F">
        <w:rPr>
          <w:rFonts w:ascii="Arial" w:hAnsi="Arial" w:cs="Arial"/>
          <w:b/>
          <w:bCs/>
          <w:color w:val="000000"/>
          <w:sz w:val="20"/>
          <w:u w:val="single"/>
        </w:rPr>
        <w:t>Section 69</w:t>
      </w:r>
      <w:r w:rsidR="00C30041" w:rsidRPr="0032132F">
        <w:rPr>
          <w:rFonts w:ascii="Arial" w:hAnsi="Arial" w:cs="Arial"/>
          <w:b/>
          <w:bCs/>
          <w:color w:val="000000"/>
          <w:sz w:val="20"/>
          <w:u w:val="single"/>
        </w:rPr>
        <w:t>(1)</w:t>
      </w:r>
      <w:r w:rsidRPr="00393B2B">
        <w:rPr>
          <w:rFonts w:ascii="Arial" w:hAnsi="Arial" w:cs="Arial"/>
          <w:color w:val="000000"/>
          <w:sz w:val="20"/>
        </w:rPr>
        <w:t xml:space="preserve"> </w:t>
      </w:r>
      <w:r>
        <w:rPr>
          <w:rFonts w:ascii="Arial" w:hAnsi="Arial" w:cs="Arial"/>
          <w:color w:val="000000"/>
          <w:sz w:val="20"/>
        </w:rPr>
        <w:t>provides that as soon as practicable after complying with the requirements of s.68, a police officer must place the child in the care of a suitable person whom t</w:t>
      </w:r>
      <w:r>
        <w:rPr>
          <w:rFonts w:ascii="Arial" w:hAnsi="Arial" w:cs="Arial"/>
          <w:bCs/>
          <w:color w:val="000000"/>
          <w:sz w:val="20"/>
        </w:rPr>
        <w:t xml:space="preserve">he police officer believes on reasonable grounds is capable of caring for the child and consents to do so. </w:t>
      </w:r>
      <w:r w:rsidR="00560D30">
        <w:rPr>
          <w:rFonts w:ascii="Arial" w:hAnsi="Arial" w:cs="Arial"/>
          <w:bCs/>
          <w:color w:val="000000"/>
          <w:sz w:val="20"/>
        </w:rPr>
        <w:t>I</w:t>
      </w:r>
      <w:r>
        <w:rPr>
          <w:rFonts w:ascii="Arial" w:hAnsi="Arial" w:cs="Arial"/>
          <w:bCs/>
          <w:color w:val="000000"/>
          <w:sz w:val="20"/>
        </w:rPr>
        <w:t>f a police officer is unable to place the child into the care of a suitable person, a police officer</w:t>
      </w:r>
      <w:r w:rsidR="00C30041">
        <w:rPr>
          <w:rFonts w:ascii="Arial" w:hAnsi="Arial" w:cs="Arial"/>
          <w:bCs/>
          <w:color w:val="000000"/>
          <w:sz w:val="20"/>
        </w:rPr>
        <w:t>–</w:t>
      </w:r>
    </w:p>
    <w:p w14:paraId="2499641B" w14:textId="2F6ACCD6" w:rsidR="00C30041" w:rsidRDefault="00560D30" w:rsidP="00591749">
      <w:pPr>
        <w:numPr>
          <w:ilvl w:val="0"/>
          <w:numId w:val="8"/>
        </w:numPr>
        <w:tabs>
          <w:tab w:val="left" w:pos="425"/>
        </w:tabs>
        <w:ind w:left="363"/>
        <w:jc w:val="both"/>
        <w:rPr>
          <w:rFonts w:ascii="Arial" w:hAnsi="Arial" w:cs="Arial"/>
          <w:bCs/>
          <w:color w:val="000000"/>
          <w:sz w:val="20"/>
        </w:rPr>
      </w:pPr>
      <w:r>
        <w:rPr>
          <w:rFonts w:ascii="Arial" w:hAnsi="Arial" w:cs="Arial"/>
          <w:bCs/>
          <w:color w:val="000000"/>
          <w:sz w:val="20"/>
        </w:rPr>
        <w:t xml:space="preserve">under </w:t>
      </w:r>
      <w:r w:rsidRPr="0032132F">
        <w:rPr>
          <w:rFonts w:ascii="Arial" w:hAnsi="Arial" w:cs="Arial"/>
          <w:b/>
          <w:color w:val="000000"/>
          <w:sz w:val="20"/>
          <w:u w:val="single"/>
        </w:rPr>
        <w:t>s.69(3)</w:t>
      </w:r>
      <w:r>
        <w:rPr>
          <w:rFonts w:ascii="Arial" w:hAnsi="Arial" w:cs="Arial"/>
          <w:bCs/>
          <w:color w:val="000000"/>
          <w:sz w:val="20"/>
        </w:rPr>
        <w:t xml:space="preserve"> must take reasonable steps to place the child into the care of an appropriate health or welfare agency; or</w:t>
      </w:r>
    </w:p>
    <w:p w14:paraId="49B2A724" w14:textId="1E5F9552" w:rsidR="00393B2B" w:rsidRPr="00560D30" w:rsidRDefault="00560D30" w:rsidP="00591749">
      <w:pPr>
        <w:numPr>
          <w:ilvl w:val="0"/>
          <w:numId w:val="8"/>
        </w:numPr>
        <w:tabs>
          <w:tab w:val="left" w:pos="425"/>
        </w:tabs>
        <w:ind w:left="363"/>
        <w:jc w:val="both"/>
        <w:rPr>
          <w:rFonts w:ascii="Arial" w:hAnsi="Arial" w:cs="Arial"/>
          <w:bCs/>
          <w:color w:val="000000"/>
          <w:sz w:val="20"/>
        </w:rPr>
      </w:pPr>
      <w:r>
        <w:rPr>
          <w:rFonts w:ascii="Arial" w:hAnsi="Arial" w:cs="Arial"/>
          <w:bCs/>
          <w:color w:val="000000"/>
          <w:sz w:val="20"/>
        </w:rPr>
        <w:t xml:space="preserve">under </w:t>
      </w:r>
      <w:r w:rsidRPr="0032132F">
        <w:rPr>
          <w:rFonts w:ascii="Arial" w:hAnsi="Arial" w:cs="Arial"/>
          <w:b/>
          <w:color w:val="000000"/>
          <w:sz w:val="20"/>
          <w:u w:val="single"/>
        </w:rPr>
        <w:t>s.69(5)</w:t>
      </w:r>
      <w:r>
        <w:rPr>
          <w:rFonts w:ascii="Arial" w:hAnsi="Arial" w:cs="Arial"/>
          <w:bCs/>
          <w:color w:val="000000"/>
          <w:sz w:val="20"/>
        </w:rPr>
        <w:t xml:space="preserve">, as a last resort, must </w:t>
      </w:r>
      <w:r w:rsidR="00393B2B" w:rsidRPr="00560D30">
        <w:rPr>
          <w:rFonts w:ascii="Arial" w:hAnsi="Arial" w:cs="Arial"/>
          <w:bCs/>
          <w:color w:val="000000"/>
          <w:sz w:val="20"/>
        </w:rPr>
        <w:t>transport the child to a police station</w:t>
      </w:r>
      <w:r w:rsidR="00C56D94">
        <w:rPr>
          <w:rFonts w:ascii="Arial" w:hAnsi="Arial" w:cs="Arial"/>
          <w:bCs/>
          <w:color w:val="000000"/>
          <w:sz w:val="20"/>
        </w:rPr>
        <w:t>,</w:t>
      </w:r>
      <w:r>
        <w:rPr>
          <w:rFonts w:ascii="Arial" w:hAnsi="Arial" w:cs="Arial"/>
          <w:bCs/>
          <w:color w:val="000000"/>
          <w:sz w:val="20"/>
        </w:rPr>
        <w:t xml:space="preserve"> in which case the provisions of </w:t>
      </w:r>
      <w:r w:rsidRPr="0032132F">
        <w:rPr>
          <w:rFonts w:ascii="Arial" w:hAnsi="Arial" w:cs="Arial"/>
          <w:b/>
          <w:color w:val="000000"/>
          <w:sz w:val="20"/>
          <w:u w:val="single"/>
        </w:rPr>
        <w:t>s.70</w:t>
      </w:r>
      <w:r>
        <w:rPr>
          <w:rFonts w:ascii="Arial" w:hAnsi="Arial" w:cs="Arial"/>
          <w:bCs/>
          <w:color w:val="000000"/>
          <w:sz w:val="20"/>
        </w:rPr>
        <w:t xml:space="preserve"> apply.</w:t>
      </w:r>
    </w:p>
    <w:p w14:paraId="65C2F6BA" w14:textId="77777777" w:rsidR="00393B2B" w:rsidRDefault="00393B2B" w:rsidP="00393B2B">
      <w:pPr>
        <w:tabs>
          <w:tab w:val="left" w:pos="425"/>
        </w:tabs>
        <w:jc w:val="both"/>
        <w:rPr>
          <w:rFonts w:ascii="Arial" w:hAnsi="Arial" w:cs="Arial"/>
          <w:bCs/>
          <w:color w:val="000000"/>
          <w:sz w:val="20"/>
        </w:rPr>
      </w:pPr>
    </w:p>
    <w:p w14:paraId="3E5A6AC9" w14:textId="20DCE4C6" w:rsidR="005256FB" w:rsidRDefault="00C30041" w:rsidP="00850463">
      <w:pPr>
        <w:keepNext/>
        <w:keepLines/>
        <w:jc w:val="both"/>
        <w:rPr>
          <w:rFonts w:ascii="Arial" w:hAnsi="Arial" w:cs="Arial"/>
          <w:color w:val="000000"/>
          <w:sz w:val="20"/>
        </w:rPr>
      </w:pPr>
      <w:r>
        <w:rPr>
          <w:rFonts w:ascii="Arial" w:hAnsi="Arial" w:cs="Arial"/>
          <w:color w:val="000000"/>
          <w:sz w:val="20"/>
        </w:rPr>
        <w:lastRenderedPageBreak/>
        <w:t xml:space="preserve">Additional provisions relating to the care and control power in </w:t>
      </w:r>
      <w:r w:rsidRPr="009061BD">
        <w:rPr>
          <w:rFonts w:ascii="Arial" w:hAnsi="Arial" w:cs="Arial"/>
          <w:b/>
          <w:bCs/>
          <w:color w:val="000000"/>
          <w:sz w:val="20"/>
          <w:u w:val="single"/>
        </w:rPr>
        <w:t>s.68</w:t>
      </w:r>
      <w:r>
        <w:rPr>
          <w:rFonts w:ascii="Arial" w:hAnsi="Arial" w:cs="Arial"/>
          <w:color w:val="000000"/>
          <w:sz w:val="20"/>
        </w:rPr>
        <w:t xml:space="preserve"> and the transport power in </w:t>
      </w:r>
      <w:r w:rsidRPr="009061BD">
        <w:rPr>
          <w:rFonts w:ascii="Arial" w:hAnsi="Arial" w:cs="Arial"/>
          <w:b/>
          <w:bCs/>
          <w:color w:val="000000"/>
          <w:sz w:val="20"/>
          <w:u w:val="single"/>
        </w:rPr>
        <w:t>s.69</w:t>
      </w:r>
      <w:r w:rsidR="003E4972">
        <w:rPr>
          <w:rFonts w:ascii="Arial" w:hAnsi="Arial" w:cs="Arial"/>
          <w:color w:val="000000"/>
          <w:sz w:val="20"/>
        </w:rPr>
        <w:t>:</w:t>
      </w:r>
    </w:p>
    <w:p w14:paraId="435F3249" w14:textId="4FAEFA24" w:rsidR="00C30041" w:rsidRDefault="00C30041" w:rsidP="00591749">
      <w:pPr>
        <w:numPr>
          <w:ilvl w:val="0"/>
          <w:numId w:val="8"/>
        </w:numPr>
        <w:tabs>
          <w:tab w:val="left" w:pos="425"/>
        </w:tabs>
        <w:ind w:left="363"/>
        <w:jc w:val="both"/>
        <w:rPr>
          <w:rFonts w:ascii="Arial" w:hAnsi="Arial" w:cs="Arial"/>
          <w:bCs/>
          <w:color w:val="000000"/>
          <w:sz w:val="20"/>
        </w:rPr>
      </w:pPr>
      <w:r w:rsidRPr="009061BD">
        <w:rPr>
          <w:rFonts w:ascii="Arial" w:hAnsi="Arial" w:cs="Arial"/>
          <w:b/>
          <w:color w:val="000000"/>
          <w:sz w:val="20"/>
          <w:u w:val="single"/>
        </w:rPr>
        <w:t>s.71</w:t>
      </w:r>
      <w:r>
        <w:rPr>
          <w:rFonts w:ascii="Arial" w:hAnsi="Arial" w:cs="Arial"/>
          <w:bCs/>
          <w:color w:val="000000"/>
          <w:sz w:val="20"/>
        </w:rPr>
        <w:t xml:space="preserve">: </w:t>
      </w:r>
      <w:r w:rsidR="007966F3">
        <w:rPr>
          <w:rFonts w:ascii="Arial" w:hAnsi="Arial" w:cs="Arial"/>
          <w:bCs/>
          <w:color w:val="000000"/>
          <w:sz w:val="20"/>
        </w:rPr>
        <w:t>Child in respect of whom the transport power in ss.69 &amp; 70 is being exercised is not to be questioned or interviewed in relation to any offence or alleged offence.</w:t>
      </w:r>
    </w:p>
    <w:p w14:paraId="6A3281F7" w14:textId="12A4B902" w:rsidR="007966F3" w:rsidRDefault="007966F3" w:rsidP="00591749">
      <w:pPr>
        <w:numPr>
          <w:ilvl w:val="0"/>
          <w:numId w:val="8"/>
        </w:numPr>
        <w:tabs>
          <w:tab w:val="left" w:pos="425"/>
        </w:tabs>
        <w:ind w:left="363"/>
        <w:jc w:val="both"/>
        <w:rPr>
          <w:rFonts w:ascii="Arial" w:hAnsi="Arial" w:cs="Arial"/>
          <w:bCs/>
          <w:color w:val="000000"/>
          <w:sz w:val="20"/>
        </w:rPr>
      </w:pPr>
      <w:r w:rsidRPr="009061BD">
        <w:rPr>
          <w:rFonts w:ascii="Arial" w:hAnsi="Arial" w:cs="Arial"/>
          <w:b/>
          <w:color w:val="000000"/>
          <w:sz w:val="20"/>
          <w:u w:val="single"/>
        </w:rPr>
        <w:t>s.72</w:t>
      </w:r>
      <w:r>
        <w:rPr>
          <w:rFonts w:ascii="Arial" w:hAnsi="Arial" w:cs="Arial"/>
          <w:bCs/>
          <w:color w:val="000000"/>
          <w:sz w:val="20"/>
        </w:rPr>
        <w:t xml:space="preserve">: Additional </w:t>
      </w:r>
      <w:r w:rsidR="00AA47C3">
        <w:rPr>
          <w:rFonts w:ascii="Arial" w:hAnsi="Arial" w:cs="Arial"/>
          <w:bCs/>
          <w:color w:val="000000"/>
          <w:sz w:val="20"/>
        </w:rPr>
        <w:t xml:space="preserve">provisions </w:t>
      </w:r>
      <w:r w:rsidR="003E4972">
        <w:rPr>
          <w:rFonts w:ascii="Arial" w:hAnsi="Arial" w:cs="Arial"/>
          <w:bCs/>
          <w:color w:val="000000"/>
          <w:sz w:val="20"/>
        </w:rPr>
        <w:t xml:space="preserve">applicable </w:t>
      </w:r>
      <w:r w:rsidR="00AA47C3">
        <w:rPr>
          <w:rFonts w:ascii="Arial" w:hAnsi="Arial" w:cs="Arial"/>
          <w:bCs/>
          <w:color w:val="000000"/>
          <w:sz w:val="20"/>
        </w:rPr>
        <w:t>if a</w:t>
      </w:r>
      <w:r w:rsidR="000E698C">
        <w:rPr>
          <w:rFonts w:ascii="Arial" w:hAnsi="Arial" w:cs="Arial"/>
          <w:bCs/>
          <w:color w:val="000000"/>
          <w:sz w:val="20"/>
        </w:rPr>
        <w:t xml:space="preserve">n </w:t>
      </w:r>
      <w:r w:rsidR="00AA47C3">
        <w:rPr>
          <w:rFonts w:ascii="Arial" w:hAnsi="Arial" w:cs="Arial"/>
          <w:bCs/>
          <w:color w:val="000000"/>
          <w:sz w:val="20"/>
        </w:rPr>
        <w:t>Abori</w:t>
      </w:r>
      <w:r w:rsidR="000E698C">
        <w:rPr>
          <w:rFonts w:ascii="Arial" w:hAnsi="Arial" w:cs="Arial"/>
          <w:bCs/>
          <w:color w:val="000000"/>
          <w:sz w:val="20"/>
        </w:rPr>
        <w:t>ginal or Torres Strait Islander child is taken into care and control.</w:t>
      </w:r>
    </w:p>
    <w:p w14:paraId="1514C6DB" w14:textId="0CD6BD56" w:rsidR="000E698C" w:rsidRDefault="000E698C" w:rsidP="00591749">
      <w:pPr>
        <w:numPr>
          <w:ilvl w:val="0"/>
          <w:numId w:val="8"/>
        </w:numPr>
        <w:tabs>
          <w:tab w:val="left" w:pos="425"/>
        </w:tabs>
        <w:ind w:left="363"/>
        <w:jc w:val="both"/>
        <w:rPr>
          <w:rFonts w:ascii="Arial" w:hAnsi="Arial" w:cs="Arial"/>
          <w:bCs/>
          <w:color w:val="000000"/>
          <w:sz w:val="20"/>
        </w:rPr>
      </w:pPr>
      <w:r w:rsidRPr="009061BD">
        <w:rPr>
          <w:rFonts w:ascii="Arial" w:hAnsi="Arial" w:cs="Arial"/>
          <w:b/>
          <w:color w:val="000000"/>
          <w:sz w:val="20"/>
          <w:u w:val="single"/>
        </w:rPr>
        <w:t>ss.73 &amp; 74</w:t>
      </w:r>
      <w:r>
        <w:rPr>
          <w:rFonts w:ascii="Arial" w:hAnsi="Arial" w:cs="Arial"/>
          <w:bCs/>
          <w:color w:val="000000"/>
          <w:sz w:val="20"/>
        </w:rPr>
        <w:t>: Provisions relating to the use of force in exercising the transport power under s.69, the search power under s.75 or the seizure power under s.76.</w:t>
      </w:r>
    </w:p>
    <w:p w14:paraId="49488141" w14:textId="353FB357" w:rsidR="000E698C" w:rsidRDefault="000E698C" w:rsidP="00591749">
      <w:pPr>
        <w:numPr>
          <w:ilvl w:val="0"/>
          <w:numId w:val="8"/>
        </w:numPr>
        <w:tabs>
          <w:tab w:val="left" w:pos="425"/>
        </w:tabs>
        <w:ind w:left="363"/>
        <w:jc w:val="both"/>
        <w:rPr>
          <w:rFonts w:ascii="Arial" w:hAnsi="Arial" w:cs="Arial"/>
          <w:bCs/>
          <w:color w:val="000000"/>
          <w:sz w:val="20"/>
        </w:rPr>
      </w:pPr>
      <w:r w:rsidRPr="009061BD">
        <w:rPr>
          <w:rFonts w:ascii="Arial" w:hAnsi="Arial" w:cs="Arial"/>
          <w:b/>
          <w:color w:val="000000"/>
          <w:sz w:val="20"/>
          <w:u w:val="single"/>
        </w:rPr>
        <w:t>s.75</w:t>
      </w:r>
      <w:r>
        <w:rPr>
          <w:rFonts w:ascii="Arial" w:hAnsi="Arial" w:cs="Arial"/>
          <w:bCs/>
          <w:color w:val="000000"/>
          <w:sz w:val="20"/>
        </w:rPr>
        <w:t>: A police officer may pat-down search a child in respect of whom the transport power is being exercised if the police officer believes on reasonable grounds that the child is carrying anything that presents a danger to health and safety or could be used by the child to avoid transportation.</w:t>
      </w:r>
    </w:p>
    <w:p w14:paraId="255D8128" w14:textId="509C33FF" w:rsidR="005256FB" w:rsidRPr="000E698C" w:rsidRDefault="000E698C" w:rsidP="00591749">
      <w:pPr>
        <w:numPr>
          <w:ilvl w:val="0"/>
          <w:numId w:val="8"/>
        </w:numPr>
        <w:tabs>
          <w:tab w:val="left" w:pos="425"/>
        </w:tabs>
        <w:ind w:left="363"/>
        <w:jc w:val="both"/>
        <w:rPr>
          <w:rFonts w:ascii="Arial" w:hAnsi="Arial" w:cs="Arial"/>
          <w:color w:val="000000"/>
          <w:sz w:val="20"/>
        </w:rPr>
      </w:pPr>
      <w:r w:rsidRPr="009061BD">
        <w:rPr>
          <w:rFonts w:ascii="Arial" w:hAnsi="Arial" w:cs="Arial"/>
          <w:b/>
          <w:color w:val="000000"/>
          <w:sz w:val="20"/>
          <w:u w:val="single"/>
        </w:rPr>
        <w:t>s.76</w:t>
      </w:r>
      <w:r w:rsidRPr="000E698C">
        <w:rPr>
          <w:rFonts w:ascii="Arial" w:hAnsi="Arial" w:cs="Arial"/>
          <w:bCs/>
          <w:color w:val="000000"/>
          <w:sz w:val="20"/>
        </w:rPr>
        <w:t xml:space="preserve">: Power to seize </w:t>
      </w:r>
      <w:r>
        <w:rPr>
          <w:rFonts w:ascii="Arial" w:hAnsi="Arial" w:cs="Arial"/>
          <w:bCs/>
          <w:color w:val="000000"/>
          <w:sz w:val="20"/>
        </w:rPr>
        <w:t xml:space="preserve">objects found during a pat-down search </w:t>
      </w:r>
      <w:r w:rsidR="009061BD">
        <w:rPr>
          <w:rFonts w:ascii="Arial" w:hAnsi="Arial" w:cs="Arial"/>
          <w:bCs/>
          <w:color w:val="000000"/>
          <w:sz w:val="20"/>
        </w:rPr>
        <w:t xml:space="preserve">of a child </w:t>
      </w:r>
      <w:r>
        <w:rPr>
          <w:rFonts w:ascii="Arial" w:hAnsi="Arial" w:cs="Arial"/>
          <w:bCs/>
          <w:color w:val="000000"/>
          <w:sz w:val="20"/>
        </w:rPr>
        <w:t>under s.75(1).</w:t>
      </w:r>
    </w:p>
    <w:p w14:paraId="3CF94F72" w14:textId="3132DDAD" w:rsidR="000E698C" w:rsidRDefault="000E698C" w:rsidP="00591749">
      <w:pPr>
        <w:numPr>
          <w:ilvl w:val="0"/>
          <w:numId w:val="8"/>
        </w:numPr>
        <w:tabs>
          <w:tab w:val="left" w:pos="425"/>
        </w:tabs>
        <w:ind w:left="363"/>
        <w:jc w:val="both"/>
        <w:rPr>
          <w:rFonts w:ascii="Arial" w:hAnsi="Arial" w:cs="Arial"/>
          <w:color w:val="000000"/>
          <w:sz w:val="20"/>
        </w:rPr>
      </w:pPr>
      <w:r w:rsidRPr="009061BD">
        <w:rPr>
          <w:rFonts w:ascii="Arial" w:hAnsi="Arial" w:cs="Arial"/>
          <w:b/>
          <w:bCs/>
          <w:color w:val="000000"/>
          <w:sz w:val="20"/>
          <w:u w:val="single"/>
        </w:rPr>
        <w:t>s.78</w:t>
      </w:r>
      <w:r>
        <w:rPr>
          <w:rFonts w:ascii="Arial" w:hAnsi="Arial" w:cs="Arial"/>
          <w:color w:val="000000"/>
          <w:sz w:val="20"/>
        </w:rPr>
        <w:t>: Information to be provided to child and parent in relation to exercise of the transport power.</w:t>
      </w:r>
    </w:p>
    <w:p w14:paraId="536E2904" w14:textId="730D21F1" w:rsidR="000E698C" w:rsidRPr="000E698C" w:rsidRDefault="000E698C" w:rsidP="00591749">
      <w:pPr>
        <w:numPr>
          <w:ilvl w:val="0"/>
          <w:numId w:val="8"/>
        </w:numPr>
        <w:tabs>
          <w:tab w:val="left" w:pos="425"/>
        </w:tabs>
        <w:ind w:left="363"/>
        <w:jc w:val="both"/>
        <w:rPr>
          <w:rFonts w:ascii="Arial" w:hAnsi="Arial" w:cs="Arial"/>
          <w:color w:val="000000"/>
          <w:sz w:val="20"/>
        </w:rPr>
      </w:pPr>
      <w:r w:rsidRPr="00202306">
        <w:rPr>
          <w:rFonts w:ascii="Arial" w:hAnsi="Arial" w:cs="Arial"/>
          <w:b/>
          <w:bCs/>
          <w:color w:val="000000"/>
          <w:sz w:val="20"/>
          <w:u w:val="single"/>
        </w:rPr>
        <w:t>s.79</w:t>
      </w:r>
      <w:r>
        <w:rPr>
          <w:rFonts w:ascii="Arial" w:hAnsi="Arial" w:cs="Arial"/>
          <w:color w:val="000000"/>
          <w:sz w:val="20"/>
        </w:rPr>
        <w:t xml:space="preserve">: Nothing in </w:t>
      </w:r>
      <w:r w:rsidR="009061BD">
        <w:rPr>
          <w:rFonts w:ascii="Arial" w:hAnsi="Arial" w:cs="Arial"/>
          <w:color w:val="000000"/>
          <w:sz w:val="20"/>
        </w:rPr>
        <w:t>ss.68-79</w:t>
      </w:r>
      <w:r>
        <w:rPr>
          <w:rFonts w:ascii="Arial" w:hAnsi="Arial" w:cs="Arial"/>
          <w:color w:val="000000"/>
          <w:sz w:val="20"/>
        </w:rPr>
        <w:t xml:space="preserve"> limits </w:t>
      </w:r>
      <w:r w:rsidR="003E4972">
        <w:rPr>
          <w:rFonts w:ascii="Arial" w:hAnsi="Arial" w:cs="Arial"/>
          <w:color w:val="000000"/>
          <w:sz w:val="20"/>
        </w:rPr>
        <w:t xml:space="preserve">any </w:t>
      </w:r>
      <w:r>
        <w:rPr>
          <w:rFonts w:ascii="Arial" w:hAnsi="Arial" w:cs="Arial"/>
          <w:color w:val="000000"/>
          <w:sz w:val="20"/>
        </w:rPr>
        <w:t xml:space="preserve">other duties or powers a police officer has </w:t>
      </w:r>
      <w:r w:rsidR="00283F46">
        <w:rPr>
          <w:rFonts w:ascii="Arial" w:hAnsi="Arial" w:cs="Arial"/>
          <w:color w:val="000000"/>
          <w:sz w:val="20"/>
        </w:rPr>
        <w:t xml:space="preserve">as </w:t>
      </w:r>
      <w:r>
        <w:rPr>
          <w:rFonts w:ascii="Arial" w:hAnsi="Arial" w:cs="Arial"/>
          <w:color w:val="000000"/>
          <w:sz w:val="20"/>
        </w:rPr>
        <w:t>a constable at common law.</w:t>
      </w:r>
    </w:p>
    <w:p w14:paraId="4528721A" w14:textId="77777777" w:rsidR="00C30041" w:rsidRPr="009130AC" w:rsidRDefault="00C30041" w:rsidP="009101E1">
      <w:pPr>
        <w:rPr>
          <w:rFonts w:ascii="Arial" w:hAnsi="Arial" w:cs="Arial"/>
          <w:color w:val="000000"/>
          <w:sz w:val="20"/>
        </w:rPr>
      </w:pPr>
    </w:p>
    <w:p w14:paraId="53DF8563" w14:textId="77777777" w:rsidR="00680768" w:rsidRPr="00F51496" w:rsidRDefault="000506E2" w:rsidP="00680768">
      <w:pPr>
        <w:pStyle w:val="Heading3"/>
        <w:keepNext/>
        <w:spacing w:after="120" w:line="240" w:lineRule="auto"/>
        <w:rPr>
          <w:rFonts w:ascii="Arial" w:hAnsi="Arial" w:cs="Arial"/>
          <w:b/>
          <w:bCs/>
          <w:color w:val="000000"/>
          <w:sz w:val="20"/>
        </w:rPr>
      </w:pPr>
      <w:bookmarkStart w:id="107" w:name="_7.1.4_Transfer_of"/>
      <w:bookmarkEnd w:id="107"/>
      <w:r w:rsidRPr="00F51496">
        <w:rPr>
          <w:rFonts w:ascii="Arial" w:hAnsi="Arial" w:cs="Arial"/>
          <w:b/>
          <w:bCs/>
          <w:color w:val="000000"/>
          <w:sz w:val="20"/>
        </w:rPr>
        <w:t>7.</w:t>
      </w:r>
      <w:r w:rsidR="00706933">
        <w:rPr>
          <w:rFonts w:ascii="Arial" w:hAnsi="Arial" w:cs="Arial"/>
          <w:b/>
          <w:bCs/>
          <w:color w:val="000000"/>
          <w:sz w:val="20"/>
        </w:rPr>
        <w:t>1.4</w:t>
      </w:r>
      <w:r w:rsidRPr="00F51496">
        <w:rPr>
          <w:rFonts w:ascii="Arial" w:hAnsi="Arial" w:cs="Arial"/>
          <w:b/>
          <w:bCs/>
          <w:color w:val="000000"/>
          <w:sz w:val="20"/>
        </w:rPr>
        <w:tab/>
      </w:r>
      <w:r w:rsidR="00D509BA" w:rsidRPr="00F51496">
        <w:rPr>
          <w:rFonts w:ascii="Arial" w:hAnsi="Arial" w:cs="Arial"/>
          <w:b/>
          <w:bCs/>
          <w:color w:val="000000"/>
          <w:sz w:val="20"/>
        </w:rPr>
        <w:t>T</w:t>
      </w:r>
      <w:r w:rsidRPr="00F51496">
        <w:rPr>
          <w:rFonts w:ascii="Arial" w:hAnsi="Arial" w:cs="Arial"/>
          <w:b/>
          <w:bCs/>
          <w:color w:val="000000"/>
          <w:sz w:val="20"/>
        </w:rPr>
        <w:t xml:space="preserve">ransfer </w:t>
      </w:r>
      <w:r w:rsidR="00D509BA" w:rsidRPr="00F51496">
        <w:rPr>
          <w:rFonts w:ascii="Arial" w:hAnsi="Arial" w:cs="Arial"/>
          <w:b/>
          <w:bCs/>
          <w:color w:val="000000"/>
          <w:sz w:val="20"/>
        </w:rPr>
        <w:t xml:space="preserve">of the </w:t>
      </w:r>
      <w:r w:rsidRPr="00F51496">
        <w:rPr>
          <w:rFonts w:ascii="Arial" w:hAnsi="Arial" w:cs="Arial"/>
          <w:b/>
          <w:bCs/>
          <w:color w:val="000000"/>
          <w:sz w:val="20"/>
        </w:rPr>
        <w:t>hearing of a charge to</w:t>
      </w:r>
      <w:r w:rsidR="00D509BA" w:rsidRPr="00F51496">
        <w:rPr>
          <w:rFonts w:ascii="Arial" w:hAnsi="Arial" w:cs="Arial"/>
          <w:b/>
          <w:bCs/>
          <w:color w:val="000000"/>
          <w:sz w:val="20"/>
        </w:rPr>
        <w:t xml:space="preserve"> or from </w:t>
      </w:r>
      <w:r w:rsidRPr="00F51496">
        <w:rPr>
          <w:rFonts w:ascii="Arial" w:hAnsi="Arial" w:cs="Arial"/>
          <w:b/>
          <w:bCs/>
          <w:color w:val="000000"/>
          <w:sz w:val="20"/>
        </w:rPr>
        <w:t>Magistrates’ Court</w:t>
      </w:r>
    </w:p>
    <w:p w14:paraId="410D0D8B" w14:textId="032B4342" w:rsidR="000506E2" w:rsidRPr="00F51496" w:rsidRDefault="003C6116" w:rsidP="00E83147">
      <w:pPr>
        <w:jc w:val="both"/>
        <w:rPr>
          <w:rFonts w:ascii="Arial" w:hAnsi="Arial" w:cs="Arial"/>
          <w:bCs/>
          <w:color w:val="000000"/>
          <w:sz w:val="20"/>
        </w:rPr>
      </w:pPr>
      <w:r>
        <w:rPr>
          <w:rFonts w:ascii="Arial" w:hAnsi="Arial" w:cs="Arial"/>
          <w:b/>
          <w:bCs/>
          <w:color w:val="000000"/>
          <w:sz w:val="20"/>
          <w:u w:val="single"/>
        </w:rPr>
        <w:t>T</w:t>
      </w:r>
      <w:r w:rsidR="00D509BA" w:rsidRPr="00F51496">
        <w:rPr>
          <w:rFonts w:ascii="Arial" w:hAnsi="Arial" w:cs="Arial"/>
          <w:b/>
          <w:bCs/>
          <w:color w:val="000000"/>
          <w:sz w:val="20"/>
          <w:u w:val="single"/>
        </w:rPr>
        <w:t>ransfer</w:t>
      </w:r>
      <w:r w:rsidR="00461A92" w:rsidRPr="00F51496">
        <w:rPr>
          <w:rFonts w:ascii="Arial" w:hAnsi="Arial" w:cs="Arial"/>
          <w:b/>
          <w:bCs/>
          <w:color w:val="000000"/>
          <w:sz w:val="20"/>
          <w:u w:val="single"/>
        </w:rPr>
        <w:t xml:space="preserve"> </w:t>
      </w:r>
      <w:r w:rsidR="0056275F">
        <w:rPr>
          <w:rFonts w:ascii="Arial" w:hAnsi="Arial" w:cs="Arial"/>
          <w:b/>
          <w:bCs/>
          <w:color w:val="000000"/>
          <w:sz w:val="20"/>
          <w:u w:val="single"/>
        </w:rPr>
        <w:t xml:space="preserve">from Children’s Court </w:t>
      </w:r>
      <w:r w:rsidR="00461A92" w:rsidRPr="00F51496">
        <w:rPr>
          <w:rFonts w:ascii="Arial" w:hAnsi="Arial" w:cs="Arial"/>
          <w:b/>
          <w:bCs/>
          <w:color w:val="000000"/>
          <w:sz w:val="20"/>
          <w:u w:val="single"/>
        </w:rPr>
        <w:t>to Magistrates’ Court</w:t>
      </w:r>
      <w:r w:rsidR="00D509BA" w:rsidRPr="00F51496">
        <w:rPr>
          <w:rFonts w:ascii="Arial" w:hAnsi="Arial" w:cs="Arial"/>
          <w:bCs/>
          <w:color w:val="000000"/>
          <w:sz w:val="20"/>
        </w:rPr>
        <w:t xml:space="preserve">: </w:t>
      </w:r>
      <w:r w:rsidR="009101E1" w:rsidRPr="00F51496">
        <w:rPr>
          <w:rFonts w:ascii="Arial" w:hAnsi="Arial" w:cs="Arial"/>
          <w:bCs/>
          <w:color w:val="000000"/>
          <w:sz w:val="20"/>
        </w:rPr>
        <w:t xml:space="preserve">Section </w:t>
      </w:r>
      <w:r w:rsidR="004F3393" w:rsidRPr="00F51496">
        <w:rPr>
          <w:rFonts w:ascii="Arial" w:hAnsi="Arial" w:cs="Arial"/>
          <w:bCs/>
          <w:color w:val="000000"/>
          <w:sz w:val="20"/>
        </w:rPr>
        <w:t>5</w:t>
      </w:r>
      <w:r w:rsidR="009101E1" w:rsidRPr="00F51496">
        <w:rPr>
          <w:rFonts w:ascii="Arial" w:hAnsi="Arial" w:cs="Arial"/>
          <w:bCs/>
          <w:color w:val="000000"/>
          <w:sz w:val="20"/>
        </w:rPr>
        <w:t>16(4) of the CY</w:t>
      </w:r>
      <w:r w:rsidR="004F3393" w:rsidRPr="00F51496">
        <w:rPr>
          <w:rFonts w:ascii="Arial" w:hAnsi="Arial" w:cs="Arial"/>
          <w:bCs/>
          <w:color w:val="000000"/>
          <w:sz w:val="20"/>
        </w:rPr>
        <w:t>F</w:t>
      </w:r>
      <w:r w:rsidR="009101E1" w:rsidRPr="00F51496">
        <w:rPr>
          <w:rFonts w:ascii="Arial" w:hAnsi="Arial" w:cs="Arial"/>
          <w:bCs/>
          <w:color w:val="000000"/>
          <w:sz w:val="20"/>
        </w:rPr>
        <w:t xml:space="preserve">A imposes an obligation on </w:t>
      </w:r>
      <w:r w:rsidR="00D509BA" w:rsidRPr="00F51496">
        <w:rPr>
          <w:rFonts w:ascii="Arial" w:hAnsi="Arial" w:cs="Arial"/>
          <w:bCs/>
          <w:color w:val="000000"/>
          <w:sz w:val="20"/>
        </w:rPr>
        <w:t xml:space="preserve">the Children’s Court </w:t>
      </w:r>
      <w:r w:rsidR="0056275F">
        <w:rPr>
          <w:rFonts w:ascii="Arial" w:hAnsi="Arial" w:cs="Arial"/>
          <w:bCs/>
          <w:color w:val="000000"/>
          <w:sz w:val="20"/>
        </w:rPr>
        <w:t xml:space="preserve">(unchanged by the YJA) </w:t>
      </w:r>
      <w:r w:rsidR="00D509BA" w:rsidRPr="00F51496">
        <w:rPr>
          <w:rFonts w:ascii="Arial" w:hAnsi="Arial" w:cs="Arial"/>
          <w:bCs/>
          <w:color w:val="000000"/>
          <w:sz w:val="20"/>
        </w:rPr>
        <w:t xml:space="preserve">to discontinue a proceeding for the hearing of a charge and order that the hearing be transferred to the Magistrates’ Court if before or during the proceeding it appears to the Children’s Court that the </w:t>
      </w:r>
      <w:r w:rsidR="00751D6B" w:rsidRPr="00F51496">
        <w:rPr>
          <w:rFonts w:ascii="Arial" w:hAnsi="Arial" w:cs="Arial"/>
          <w:bCs/>
          <w:color w:val="000000"/>
          <w:sz w:val="20"/>
        </w:rPr>
        <w:t>accused</w:t>
      </w:r>
      <w:r w:rsidR="00D509BA" w:rsidRPr="00F51496">
        <w:rPr>
          <w:rFonts w:ascii="Arial" w:hAnsi="Arial" w:cs="Arial"/>
          <w:bCs/>
          <w:color w:val="000000"/>
          <w:sz w:val="20"/>
        </w:rPr>
        <w:t xml:space="preserve"> is not a </w:t>
      </w:r>
      <w:r w:rsidR="0056275F">
        <w:rPr>
          <w:rFonts w:ascii="Arial" w:hAnsi="Arial" w:cs="Arial"/>
          <w:bCs/>
          <w:color w:val="000000"/>
          <w:sz w:val="20"/>
        </w:rPr>
        <w:t>“</w:t>
      </w:r>
      <w:r w:rsidR="00D509BA" w:rsidRPr="00F51496">
        <w:rPr>
          <w:rFonts w:ascii="Arial" w:hAnsi="Arial" w:cs="Arial"/>
          <w:bCs/>
          <w:color w:val="000000"/>
          <w:sz w:val="20"/>
        </w:rPr>
        <w:t>child</w:t>
      </w:r>
      <w:r w:rsidR="0056275F">
        <w:rPr>
          <w:rFonts w:ascii="Arial" w:hAnsi="Arial" w:cs="Arial"/>
          <w:bCs/>
          <w:color w:val="000000"/>
          <w:sz w:val="20"/>
        </w:rPr>
        <w:t>”</w:t>
      </w:r>
      <w:r w:rsidR="00D509BA" w:rsidRPr="00F51496">
        <w:rPr>
          <w:rFonts w:ascii="Arial" w:hAnsi="Arial" w:cs="Arial"/>
          <w:bCs/>
          <w:color w:val="000000"/>
          <w:sz w:val="20"/>
        </w:rPr>
        <w:t xml:space="preserve"> within the meaning of </w:t>
      </w:r>
      <w:r w:rsidR="0056275F">
        <w:rPr>
          <w:rFonts w:ascii="Arial" w:hAnsi="Arial" w:cs="Arial"/>
          <w:bCs/>
          <w:color w:val="000000"/>
          <w:sz w:val="20"/>
        </w:rPr>
        <w:t>the YJA or the CYFA</w:t>
      </w:r>
      <w:r w:rsidR="00D509BA" w:rsidRPr="00F51496">
        <w:rPr>
          <w:rFonts w:ascii="Arial" w:hAnsi="Arial" w:cs="Arial"/>
          <w:bCs/>
          <w:color w:val="000000"/>
          <w:sz w:val="20"/>
        </w:rPr>
        <w:t>.</w:t>
      </w:r>
      <w:r w:rsidR="003970F4" w:rsidRPr="00F51496">
        <w:rPr>
          <w:rFonts w:ascii="Arial" w:hAnsi="Arial" w:cs="Arial"/>
          <w:bCs/>
          <w:color w:val="000000"/>
          <w:sz w:val="20"/>
        </w:rPr>
        <w:t xml:space="preserve"> If a proceeding is transferred, the Children’s Court </w:t>
      </w:r>
      <w:r w:rsidR="00BF0DE2" w:rsidRPr="00F51496">
        <w:rPr>
          <w:rFonts w:ascii="Arial" w:hAnsi="Arial" w:cs="Arial"/>
          <w:bCs/>
          <w:color w:val="000000"/>
          <w:sz w:val="20"/>
        </w:rPr>
        <w:t>in the meantime may</w:t>
      </w:r>
      <w:r w:rsidR="003970F4" w:rsidRPr="00F51496">
        <w:rPr>
          <w:rFonts w:ascii="Arial" w:hAnsi="Arial" w:cs="Arial"/>
          <w:bCs/>
          <w:color w:val="000000"/>
          <w:sz w:val="20"/>
        </w:rPr>
        <w:t>:</w:t>
      </w:r>
    </w:p>
    <w:p w14:paraId="30DCAF6A" w14:textId="77777777" w:rsidR="007D3349" w:rsidRPr="00F51496" w:rsidRDefault="003970F4" w:rsidP="007D3349">
      <w:pPr>
        <w:numPr>
          <w:ilvl w:val="0"/>
          <w:numId w:val="10"/>
        </w:numPr>
        <w:tabs>
          <w:tab w:val="left" w:pos="425"/>
        </w:tabs>
        <w:ind w:left="420" w:hanging="420"/>
        <w:jc w:val="both"/>
        <w:rPr>
          <w:rFonts w:ascii="Arial" w:hAnsi="Arial" w:cs="Arial"/>
          <w:bCs/>
          <w:color w:val="000000"/>
          <w:sz w:val="20"/>
        </w:rPr>
      </w:pPr>
      <w:r w:rsidRPr="0056275F">
        <w:rPr>
          <w:rFonts w:ascii="Arial" w:hAnsi="Arial" w:cs="Arial"/>
          <w:bCs/>
          <w:color w:val="000000"/>
          <w:sz w:val="20"/>
        </w:rPr>
        <w:t xml:space="preserve">permit the </w:t>
      </w:r>
      <w:r w:rsidR="00751D6B" w:rsidRPr="0056275F">
        <w:rPr>
          <w:rFonts w:ascii="Arial" w:hAnsi="Arial" w:cs="Arial"/>
          <w:bCs/>
          <w:color w:val="000000"/>
          <w:sz w:val="20"/>
        </w:rPr>
        <w:t>accused</w:t>
      </w:r>
      <w:r w:rsidRPr="0056275F">
        <w:rPr>
          <w:rFonts w:ascii="Arial" w:hAnsi="Arial" w:cs="Arial"/>
          <w:bCs/>
          <w:color w:val="000000"/>
          <w:sz w:val="20"/>
        </w:rPr>
        <w:t xml:space="preserve"> to go at large; or</w:t>
      </w:r>
    </w:p>
    <w:p w14:paraId="791A2D34" w14:textId="503D995F" w:rsidR="0056275F" w:rsidRPr="007D3349" w:rsidRDefault="0056275F" w:rsidP="007D33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grant the accused bail; or</w:t>
      </w:r>
    </w:p>
    <w:p w14:paraId="14553639" w14:textId="77777777" w:rsidR="007D3349" w:rsidRPr="00F51496" w:rsidRDefault="0056275F" w:rsidP="007D33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 xml:space="preserve">remand the accused in prison or a police gaol or under s.49 of the </w:t>
      </w:r>
      <w:r w:rsidRPr="008102AC">
        <w:rPr>
          <w:rFonts w:ascii="Arial" w:hAnsi="Arial" w:cs="Arial"/>
          <w:bCs/>
          <w:i/>
          <w:iCs/>
          <w:color w:val="000000"/>
          <w:sz w:val="20"/>
        </w:rPr>
        <w:t>Magistrates’ Court Act</w:t>
      </w:r>
      <w:r w:rsidRPr="00F51496">
        <w:rPr>
          <w:rFonts w:ascii="Arial" w:hAnsi="Arial" w:cs="Arial"/>
          <w:bCs/>
          <w:color w:val="000000"/>
          <w:sz w:val="20"/>
        </w:rPr>
        <w:t>.</w:t>
      </w:r>
    </w:p>
    <w:p w14:paraId="44BB0F3C" w14:textId="77777777" w:rsidR="007D3349" w:rsidRPr="00F51496" w:rsidRDefault="007D3349" w:rsidP="007D3349">
      <w:pPr>
        <w:rPr>
          <w:rFonts w:ascii="Arial" w:hAnsi="Arial" w:cs="Arial"/>
          <w:bCs/>
          <w:color w:val="000000"/>
          <w:sz w:val="20"/>
        </w:rPr>
      </w:pPr>
    </w:p>
    <w:p w14:paraId="731B136F" w14:textId="317F6895" w:rsidR="007D3349" w:rsidRPr="00F51496" w:rsidRDefault="007D3349" w:rsidP="007D3349">
      <w:pPr>
        <w:jc w:val="both"/>
        <w:rPr>
          <w:rFonts w:ascii="Arial" w:hAnsi="Arial" w:cs="Arial"/>
          <w:bCs/>
          <w:color w:val="000000"/>
          <w:sz w:val="20"/>
        </w:rPr>
      </w:pPr>
      <w:r w:rsidRPr="00F51496">
        <w:rPr>
          <w:rFonts w:ascii="Arial" w:hAnsi="Arial" w:cs="Arial"/>
          <w:b/>
          <w:bCs/>
          <w:color w:val="000000"/>
          <w:sz w:val="20"/>
          <w:u w:val="single"/>
        </w:rPr>
        <w:t xml:space="preserve">Presumptive hearing but discretionary transfer </w:t>
      </w:r>
      <w:r>
        <w:rPr>
          <w:rFonts w:ascii="Arial" w:hAnsi="Arial" w:cs="Arial"/>
          <w:b/>
          <w:bCs/>
          <w:color w:val="000000"/>
          <w:sz w:val="20"/>
          <w:u w:val="single"/>
        </w:rPr>
        <w:t xml:space="preserve">from Children’s Court </w:t>
      </w:r>
      <w:r w:rsidRPr="00F51496">
        <w:rPr>
          <w:rFonts w:ascii="Arial" w:hAnsi="Arial" w:cs="Arial"/>
          <w:b/>
          <w:bCs/>
          <w:color w:val="000000"/>
          <w:sz w:val="20"/>
          <w:u w:val="single"/>
        </w:rPr>
        <w:t xml:space="preserve">to Magistrates’ Court </w:t>
      </w:r>
      <w:r>
        <w:rPr>
          <w:rFonts w:ascii="Arial" w:hAnsi="Arial" w:cs="Arial"/>
          <w:b/>
          <w:bCs/>
          <w:color w:val="000000"/>
          <w:sz w:val="20"/>
          <w:u w:val="single"/>
        </w:rPr>
        <w:t>i</w:t>
      </w:r>
      <w:r w:rsidRPr="00F51496">
        <w:rPr>
          <w:rFonts w:ascii="Arial" w:hAnsi="Arial" w:cs="Arial"/>
          <w:b/>
          <w:bCs/>
          <w:color w:val="000000"/>
          <w:sz w:val="20"/>
          <w:u w:val="single"/>
        </w:rPr>
        <w:t xml:space="preserve">f </w:t>
      </w:r>
      <w:r>
        <w:rPr>
          <w:rFonts w:ascii="Arial" w:hAnsi="Arial" w:cs="Arial"/>
          <w:b/>
          <w:bCs/>
          <w:color w:val="000000"/>
          <w:sz w:val="20"/>
          <w:u w:val="single"/>
        </w:rPr>
        <w:t>“</w:t>
      </w:r>
      <w:r w:rsidRPr="00F51496">
        <w:rPr>
          <w:rFonts w:ascii="Arial" w:hAnsi="Arial" w:cs="Arial"/>
          <w:b/>
          <w:bCs/>
          <w:color w:val="000000"/>
          <w:sz w:val="20"/>
          <w:u w:val="single"/>
        </w:rPr>
        <w:t>child</w:t>
      </w:r>
      <w:r>
        <w:rPr>
          <w:rFonts w:ascii="Arial" w:hAnsi="Arial" w:cs="Arial"/>
          <w:b/>
          <w:bCs/>
          <w:color w:val="000000"/>
          <w:sz w:val="20"/>
          <w:u w:val="single"/>
        </w:rPr>
        <w:t>”</w:t>
      </w:r>
      <w:r w:rsidRPr="00F51496">
        <w:rPr>
          <w:rFonts w:ascii="Arial" w:hAnsi="Arial" w:cs="Arial"/>
          <w:b/>
          <w:bCs/>
          <w:color w:val="000000"/>
          <w:sz w:val="20"/>
          <w:u w:val="single"/>
        </w:rPr>
        <w:t xml:space="preserve"> now 19 or more</w:t>
      </w:r>
      <w:r w:rsidRPr="00F51496">
        <w:rPr>
          <w:rFonts w:ascii="Arial" w:hAnsi="Arial" w:cs="Arial"/>
          <w:bCs/>
          <w:color w:val="000000"/>
          <w:sz w:val="20"/>
        </w:rPr>
        <w:t>:</w:t>
      </w:r>
      <w:r>
        <w:rPr>
          <w:rFonts w:ascii="Arial" w:hAnsi="Arial" w:cs="Arial"/>
          <w:bCs/>
          <w:color w:val="000000"/>
          <w:sz w:val="20"/>
        </w:rPr>
        <w:t xml:space="preserve"> </w:t>
      </w:r>
      <w:r w:rsidRPr="00F51496">
        <w:rPr>
          <w:rFonts w:ascii="Arial" w:hAnsi="Arial" w:cs="Arial"/>
          <w:bCs/>
          <w:color w:val="000000"/>
          <w:sz w:val="20"/>
        </w:rPr>
        <w:t>For any proceeding for the hearing of a charge for an offence commenced on or after 01/07/2005, s.516(5) of the CYFA provides that, despite s.516(4), if before or during the hearing it appears to the Children’s Court that the accused is of or above the age of 19 years but was a child when the proceeding for the offence was commenced in the Court, the Children’s Court must hear and determine the charge unless at any stage the Court considers that exceptional circumstances exist, having regard to:</w:t>
      </w:r>
    </w:p>
    <w:p w14:paraId="70C5827B" w14:textId="77777777" w:rsidR="007D3349" w:rsidRPr="00F51496" w:rsidRDefault="007D3349" w:rsidP="007D3349">
      <w:pPr>
        <w:numPr>
          <w:ilvl w:val="0"/>
          <w:numId w:val="7"/>
        </w:numPr>
        <w:tabs>
          <w:tab w:val="left" w:pos="425"/>
        </w:tabs>
        <w:ind w:left="425" w:hanging="425"/>
        <w:jc w:val="both"/>
        <w:rPr>
          <w:rFonts w:ascii="Arial" w:hAnsi="Arial" w:cs="Arial"/>
          <w:bCs/>
          <w:color w:val="000000"/>
          <w:sz w:val="20"/>
        </w:rPr>
      </w:pPr>
      <w:r w:rsidRPr="00F51496">
        <w:rPr>
          <w:rFonts w:ascii="Arial" w:hAnsi="Arial" w:cs="Arial"/>
          <w:bCs/>
          <w:color w:val="000000"/>
          <w:sz w:val="20"/>
        </w:rPr>
        <w:t>the age of the accused;</w:t>
      </w:r>
    </w:p>
    <w:p w14:paraId="642B9DF2" w14:textId="77777777" w:rsidR="007D3349" w:rsidRPr="00F51496" w:rsidRDefault="007D3349" w:rsidP="007D3349">
      <w:pPr>
        <w:numPr>
          <w:ilvl w:val="0"/>
          <w:numId w:val="7"/>
        </w:numPr>
        <w:tabs>
          <w:tab w:val="left" w:pos="425"/>
        </w:tabs>
        <w:ind w:left="425" w:hanging="425"/>
        <w:jc w:val="both"/>
        <w:rPr>
          <w:rFonts w:ascii="Arial" w:hAnsi="Arial" w:cs="Arial"/>
          <w:bCs/>
          <w:color w:val="000000"/>
          <w:sz w:val="20"/>
        </w:rPr>
      </w:pPr>
      <w:r w:rsidRPr="00F51496">
        <w:rPr>
          <w:rFonts w:ascii="Arial" w:hAnsi="Arial" w:cs="Arial"/>
          <w:bCs/>
          <w:color w:val="000000"/>
          <w:sz w:val="20"/>
        </w:rPr>
        <w:t>the nature and circumstances of the alleged offence;</w:t>
      </w:r>
    </w:p>
    <w:p w14:paraId="78573117" w14:textId="77777777" w:rsidR="007D3349" w:rsidRPr="00F51496" w:rsidRDefault="007D3349" w:rsidP="007D3349">
      <w:pPr>
        <w:numPr>
          <w:ilvl w:val="0"/>
          <w:numId w:val="7"/>
        </w:numPr>
        <w:tabs>
          <w:tab w:val="left" w:pos="425"/>
        </w:tabs>
        <w:ind w:left="425" w:hanging="425"/>
        <w:jc w:val="both"/>
        <w:rPr>
          <w:rFonts w:ascii="Arial" w:hAnsi="Arial" w:cs="Arial"/>
          <w:bCs/>
          <w:color w:val="000000"/>
          <w:sz w:val="20"/>
        </w:rPr>
      </w:pPr>
      <w:r w:rsidRPr="00F51496">
        <w:rPr>
          <w:rFonts w:ascii="Arial" w:hAnsi="Arial" w:cs="Arial"/>
          <w:bCs/>
          <w:color w:val="000000"/>
          <w:sz w:val="20"/>
        </w:rPr>
        <w:t>the stage of the proceeding;</w:t>
      </w:r>
    </w:p>
    <w:p w14:paraId="440339F0" w14:textId="77777777" w:rsidR="007D3349" w:rsidRPr="00F51496" w:rsidRDefault="007D3349" w:rsidP="007D3349">
      <w:pPr>
        <w:numPr>
          <w:ilvl w:val="0"/>
          <w:numId w:val="7"/>
        </w:numPr>
        <w:tabs>
          <w:tab w:val="left" w:pos="425"/>
        </w:tabs>
        <w:ind w:left="425" w:hanging="425"/>
        <w:jc w:val="both"/>
        <w:rPr>
          <w:rFonts w:ascii="Arial" w:hAnsi="Arial" w:cs="Arial"/>
          <w:bCs/>
          <w:color w:val="000000"/>
          <w:sz w:val="20"/>
        </w:rPr>
      </w:pPr>
      <w:r w:rsidRPr="00F51496">
        <w:rPr>
          <w:rFonts w:ascii="Arial" w:hAnsi="Arial" w:cs="Arial"/>
          <w:bCs/>
          <w:color w:val="000000"/>
          <w:sz w:val="20"/>
        </w:rPr>
        <w:t>whether the accused is the subject of another proceeding in another court;</w:t>
      </w:r>
    </w:p>
    <w:p w14:paraId="4AD28C52" w14:textId="77777777" w:rsidR="007D3349" w:rsidRPr="00F51496" w:rsidRDefault="007D3349" w:rsidP="007D3349">
      <w:pPr>
        <w:numPr>
          <w:ilvl w:val="0"/>
          <w:numId w:val="7"/>
        </w:numPr>
        <w:tabs>
          <w:tab w:val="left" w:pos="425"/>
        </w:tabs>
        <w:ind w:left="425" w:hanging="425"/>
        <w:jc w:val="both"/>
        <w:rPr>
          <w:rFonts w:ascii="Arial" w:hAnsi="Arial" w:cs="Arial"/>
          <w:bCs/>
          <w:color w:val="000000"/>
          <w:sz w:val="20"/>
        </w:rPr>
      </w:pPr>
      <w:r w:rsidRPr="00F51496">
        <w:rPr>
          <w:rFonts w:ascii="Arial" w:hAnsi="Arial" w:cs="Arial"/>
          <w:bCs/>
          <w:color w:val="000000"/>
          <w:sz w:val="20"/>
        </w:rPr>
        <w:t>any delay in the hearing of the charge and the reason for the delay;</w:t>
      </w:r>
    </w:p>
    <w:p w14:paraId="0A5E015B" w14:textId="77777777" w:rsidR="007D3349" w:rsidRPr="00F51496" w:rsidRDefault="007D3349" w:rsidP="007D3349">
      <w:pPr>
        <w:numPr>
          <w:ilvl w:val="0"/>
          <w:numId w:val="7"/>
        </w:numPr>
        <w:tabs>
          <w:tab w:val="left" w:pos="425"/>
        </w:tabs>
        <w:ind w:left="425" w:hanging="425"/>
        <w:jc w:val="both"/>
        <w:rPr>
          <w:rFonts w:ascii="Arial" w:hAnsi="Arial" w:cs="Arial"/>
          <w:bCs/>
          <w:color w:val="000000"/>
          <w:sz w:val="20"/>
        </w:rPr>
      </w:pPr>
      <w:r w:rsidRPr="00F51496">
        <w:rPr>
          <w:rFonts w:ascii="Arial" w:hAnsi="Arial" w:cs="Arial"/>
          <w:bCs/>
          <w:color w:val="000000"/>
          <w:sz w:val="20"/>
        </w:rPr>
        <w:t>whether the sentencing orders available to the Court are appropriate;</w:t>
      </w:r>
    </w:p>
    <w:p w14:paraId="5366B22F" w14:textId="77777777" w:rsidR="007D3349" w:rsidRPr="00F51496" w:rsidRDefault="007D3349" w:rsidP="007D3349">
      <w:pPr>
        <w:numPr>
          <w:ilvl w:val="0"/>
          <w:numId w:val="7"/>
        </w:numPr>
        <w:tabs>
          <w:tab w:val="left" w:pos="425"/>
        </w:tabs>
        <w:ind w:left="425" w:hanging="425"/>
        <w:jc w:val="both"/>
        <w:rPr>
          <w:rFonts w:ascii="Arial" w:hAnsi="Arial" w:cs="Arial"/>
          <w:bCs/>
          <w:color w:val="000000"/>
          <w:sz w:val="20"/>
        </w:rPr>
      </w:pPr>
      <w:r w:rsidRPr="00F51496">
        <w:rPr>
          <w:rFonts w:ascii="Arial" w:hAnsi="Arial" w:cs="Arial"/>
          <w:bCs/>
          <w:color w:val="000000"/>
          <w:sz w:val="20"/>
        </w:rPr>
        <w:t>whether the accused prefers the charge to be heard in the Children’s Court or the Magistrates’ Court;</w:t>
      </w:r>
    </w:p>
    <w:p w14:paraId="25CEA2C5" w14:textId="77777777" w:rsidR="007D3349" w:rsidRPr="00F51496" w:rsidRDefault="007D3349" w:rsidP="007D3349">
      <w:pPr>
        <w:numPr>
          <w:ilvl w:val="0"/>
          <w:numId w:val="7"/>
        </w:numPr>
        <w:tabs>
          <w:tab w:val="left" w:pos="425"/>
        </w:tabs>
        <w:ind w:left="425" w:hanging="425"/>
        <w:jc w:val="both"/>
        <w:rPr>
          <w:rFonts w:ascii="Arial" w:hAnsi="Arial" w:cs="Arial"/>
          <w:bCs/>
          <w:color w:val="000000"/>
          <w:sz w:val="20"/>
        </w:rPr>
      </w:pPr>
      <w:r w:rsidRPr="00F51496">
        <w:rPr>
          <w:rFonts w:ascii="Arial" w:hAnsi="Arial" w:cs="Arial"/>
          <w:bCs/>
          <w:color w:val="000000"/>
          <w:sz w:val="20"/>
        </w:rPr>
        <w:t>any other matter that the Court considers relevant.</w:t>
      </w:r>
    </w:p>
    <w:p w14:paraId="0347366A" w14:textId="77777777" w:rsidR="007D3349" w:rsidRPr="00F51496" w:rsidRDefault="007D3349" w:rsidP="007D3349">
      <w:pPr>
        <w:ind w:left="425" w:hanging="425"/>
        <w:jc w:val="both"/>
        <w:rPr>
          <w:rFonts w:ascii="Arial" w:hAnsi="Arial" w:cs="Arial"/>
          <w:bCs/>
          <w:color w:val="000000"/>
          <w:sz w:val="20"/>
        </w:rPr>
      </w:pPr>
    </w:p>
    <w:p w14:paraId="5DFF21A0" w14:textId="09611C83" w:rsidR="007D3349" w:rsidRPr="00F51496" w:rsidRDefault="007D3349" w:rsidP="007D3349">
      <w:pPr>
        <w:jc w:val="both"/>
        <w:rPr>
          <w:rFonts w:ascii="Arial" w:hAnsi="Arial" w:cs="Arial"/>
          <w:bCs/>
          <w:color w:val="000000"/>
          <w:sz w:val="20"/>
        </w:rPr>
      </w:pPr>
      <w:r w:rsidRPr="00F51496">
        <w:rPr>
          <w:rFonts w:ascii="Arial" w:hAnsi="Arial" w:cs="Arial"/>
          <w:bCs/>
          <w:color w:val="000000"/>
          <w:sz w:val="20"/>
        </w:rPr>
        <w:t xml:space="preserve">Section 516(6) </w:t>
      </w:r>
      <w:r w:rsidR="003C6116">
        <w:rPr>
          <w:rFonts w:ascii="Arial" w:hAnsi="Arial" w:cs="Arial"/>
          <w:bCs/>
          <w:color w:val="000000"/>
          <w:sz w:val="20"/>
        </w:rPr>
        <w:t xml:space="preserve">of the CYFA </w:t>
      </w:r>
      <w:r w:rsidRPr="00F51496">
        <w:rPr>
          <w:rFonts w:ascii="Arial" w:hAnsi="Arial" w:cs="Arial"/>
          <w:bCs/>
          <w:color w:val="000000"/>
          <w:sz w:val="20"/>
        </w:rPr>
        <w:t>provides that if the Court considers that exceptional circumstances exist under s.516(5), it must discontinue the proceeding and order that it be transferred to the Magistrates’ Court and in the meantime may:</w:t>
      </w:r>
    </w:p>
    <w:p w14:paraId="1FB9DBE8" w14:textId="77777777" w:rsidR="007D3349" w:rsidRPr="00F51496" w:rsidRDefault="007D3349" w:rsidP="007D33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permit the accused to go at large; or</w:t>
      </w:r>
    </w:p>
    <w:p w14:paraId="38362986" w14:textId="77777777" w:rsidR="007D3349" w:rsidRPr="00F51496" w:rsidRDefault="007D3349" w:rsidP="007D33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grant the accused bail; or</w:t>
      </w:r>
    </w:p>
    <w:p w14:paraId="10E3D625" w14:textId="77777777" w:rsidR="007D3349" w:rsidRPr="00F51496" w:rsidRDefault="007D3349" w:rsidP="007D33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 xml:space="preserve">remand the accused in prison or a police gaol or under s.49 of the </w:t>
      </w:r>
      <w:r w:rsidRPr="008102AC">
        <w:rPr>
          <w:rFonts w:ascii="Arial" w:hAnsi="Arial" w:cs="Arial"/>
          <w:bCs/>
          <w:i/>
          <w:iCs/>
          <w:color w:val="000000"/>
          <w:sz w:val="20"/>
        </w:rPr>
        <w:t>Magistrates’ Court Act</w:t>
      </w:r>
      <w:r w:rsidRPr="00F51496">
        <w:rPr>
          <w:rFonts w:ascii="Arial" w:hAnsi="Arial" w:cs="Arial"/>
          <w:bCs/>
          <w:color w:val="000000"/>
          <w:sz w:val="20"/>
        </w:rPr>
        <w:t>.</w:t>
      </w:r>
    </w:p>
    <w:p w14:paraId="2A956C12" w14:textId="77777777" w:rsidR="007D3349" w:rsidRDefault="007D3349" w:rsidP="007D3349">
      <w:pPr>
        <w:rPr>
          <w:rFonts w:ascii="Arial" w:hAnsi="Arial" w:cs="Arial"/>
          <w:color w:val="000000"/>
          <w:sz w:val="20"/>
          <w:szCs w:val="28"/>
        </w:rPr>
      </w:pPr>
    </w:p>
    <w:p w14:paraId="2ED3DD9C" w14:textId="49AF3B3A" w:rsidR="000506E2" w:rsidRPr="0056275F" w:rsidRDefault="0056275F" w:rsidP="007D3349">
      <w:pPr>
        <w:rPr>
          <w:rFonts w:ascii="Arial" w:hAnsi="Arial" w:cs="Arial"/>
          <w:bCs/>
          <w:color w:val="000000"/>
          <w:sz w:val="22"/>
          <w:szCs w:val="28"/>
        </w:rPr>
      </w:pPr>
      <w:r w:rsidRPr="0056275F">
        <w:rPr>
          <w:rFonts w:ascii="Arial" w:hAnsi="Arial" w:cs="Arial"/>
          <w:color w:val="000000"/>
          <w:sz w:val="20"/>
          <w:szCs w:val="28"/>
        </w:rPr>
        <w:t>It is not entirely clear why CYFA s</w:t>
      </w:r>
      <w:r w:rsidR="007D3349">
        <w:rPr>
          <w:rFonts w:ascii="Arial" w:hAnsi="Arial" w:cs="Arial"/>
          <w:color w:val="000000"/>
          <w:sz w:val="20"/>
          <w:szCs w:val="28"/>
        </w:rPr>
        <w:t>s</w:t>
      </w:r>
      <w:r w:rsidRPr="0056275F">
        <w:rPr>
          <w:rFonts w:ascii="Arial" w:hAnsi="Arial" w:cs="Arial"/>
          <w:color w:val="000000"/>
          <w:sz w:val="20"/>
          <w:szCs w:val="28"/>
        </w:rPr>
        <w:t>.516</w:t>
      </w:r>
      <w:r w:rsidR="007D3349">
        <w:rPr>
          <w:rFonts w:ascii="Arial" w:hAnsi="Arial" w:cs="Arial"/>
          <w:color w:val="000000"/>
          <w:sz w:val="20"/>
          <w:szCs w:val="28"/>
        </w:rPr>
        <w:t>(4)-(6)</w:t>
      </w:r>
      <w:r w:rsidRPr="0056275F">
        <w:rPr>
          <w:rFonts w:ascii="Arial" w:hAnsi="Arial" w:cs="Arial"/>
          <w:color w:val="000000"/>
          <w:sz w:val="20"/>
          <w:szCs w:val="28"/>
        </w:rPr>
        <w:t xml:space="preserve"> were not moved to the</w:t>
      </w:r>
      <w:r>
        <w:rPr>
          <w:rFonts w:ascii="Arial" w:hAnsi="Arial" w:cs="Arial"/>
          <w:color w:val="000000"/>
          <w:sz w:val="20"/>
          <w:szCs w:val="28"/>
        </w:rPr>
        <w:t xml:space="preserve"> YJA</w:t>
      </w:r>
      <w:r w:rsidR="00753A80">
        <w:rPr>
          <w:rFonts w:ascii="Arial" w:hAnsi="Arial" w:cs="Arial"/>
          <w:color w:val="000000"/>
          <w:sz w:val="20"/>
          <w:szCs w:val="28"/>
        </w:rPr>
        <w:t>: see s.943 YJA</w:t>
      </w:r>
      <w:r>
        <w:rPr>
          <w:rFonts w:ascii="Arial" w:hAnsi="Arial" w:cs="Arial"/>
          <w:color w:val="000000"/>
          <w:sz w:val="20"/>
          <w:szCs w:val="28"/>
        </w:rPr>
        <w:t>.</w:t>
      </w:r>
    </w:p>
    <w:p w14:paraId="49C8DCF3" w14:textId="77777777" w:rsidR="00BF0861" w:rsidRPr="00F51496" w:rsidRDefault="00BF0861" w:rsidP="00D509BA">
      <w:pPr>
        <w:rPr>
          <w:rFonts w:ascii="Arial" w:hAnsi="Arial" w:cs="Arial"/>
          <w:bCs/>
          <w:color w:val="000000"/>
          <w:sz w:val="20"/>
        </w:rPr>
      </w:pPr>
    </w:p>
    <w:p w14:paraId="7FEACD63" w14:textId="20276777" w:rsidR="00BF0861" w:rsidRPr="00BF0861" w:rsidRDefault="00BF0861" w:rsidP="00E83147">
      <w:pPr>
        <w:jc w:val="both"/>
        <w:rPr>
          <w:rFonts w:ascii="Arial" w:hAnsi="Arial" w:cs="Arial"/>
          <w:bCs/>
          <w:color w:val="000000"/>
          <w:sz w:val="20"/>
          <w:szCs w:val="20"/>
        </w:rPr>
      </w:pPr>
      <w:r w:rsidRPr="00BF0861">
        <w:rPr>
          <w:rFonts w:ascii="Arial" w:hAnsi="Arial" w:cs="Arial"/>
          <w:b/>
          <w:bCs/>
          <w:color w:val="000000"/>
          <w:sz w:val="20"/>
          <w:szCs w:val="20"/>
          <w:u w:val="single"/>
        </w:rPr>
        <w:t>T</w:t>
      </w:r>
      <w:r w:rsidR="00461A92" w:rsidRPr="00BF0861">
        <w:rPr>
          <w:rFonts w:ascii="Arial" w:hAnsi="Arial" w:cs="Arial"/>
          <w:b/>
          <w:bCs/>
          <w:color w:val="000000"/>
          <w:sz w:val="20"/>
          <w:szCs w:val="20"/>
          <w:u w:val="single"/>
        </w:rPr>
        <w:t>ransfer from Magistrates’ Court</w:t>
      </w:r>
      <w:r w:rsidR="003C6116" w:rsidRPr="00BF0861">
        <w:rPr>
          <w:rFonts w:ascii="Arial" w:hAnsi="Arial" w:cs="Arial"/>
          <w:b/>
          <w:bCs/>
          <w:color w:val="000000"/>
          <w:sz w:val="20"/>
          <w:szCs w:val="20"/>
          <w:u w:val="single"/>
        </w:rPr>
        <w:t xml:space="preserve"> to Children’s Court</w:t>
      </w:r>
      <w:r w:rsidR="00461A92" w:rsidRPr="00BF0861">
        <w:rPr>
          <w:rFonts w:ascii="Arial" w:hAnsi="Arial" w:cs="Arial"/>
          <w:bCs/>
          <w:color w:val="000000"/>
          <w:sz w:val="20"/>
          <w:szCs w:val="20"/>
        </w:rPr>
        <w:t xml:space="preserve">: </w:t>
      </w:r>
      <w:r w:rsidRPr="00BF0861">
        <w:rPr>
          <w:rFonts w:ascii="Arial" w:hAnsi="Arial" w:cs="Arial"/>
          <w:bCs/>
          <w:color w:val="000000"/>
          <w:sz w:val="20"/>
          <w:szCs w:val="20"/>
        </w:rPr>
        <w:t xml:space="preserve">Section 160 of the YJA [previously s.585 CYFA] provides that </w:t>
      </w:r>
      <w:r w:rsidRPr="00BF0861">
        <w:rPr>
          <w:rFonts w:ascii="Arial" w:hAnsi="Arial" w:cs="Arial"/>
          <w:sz w:val="20"/>
          <w:szCs w:val="20"/>
        </w:rPr>
        <w:t xml:space="preserve">the Magistrates’ Court must discontinue a criminal proceeding and order that it be transferred to the Children’s Court </w:t>
      </w:r>
      <w:r w:rsidR="00977548">
        <w:rPr>
          <w:rFonts w:ascii="Arial" w:hAnsi="Arial" w:cs="Arial"/>
          <w:sz w:val="20"/>
          <w:szCs w:val="20"/>
        </w:rPr>
        <w:t xml:space="preserve">[ChCV] </w:t>
      </w:r>
      <w:r w:rsidRPr="00BF0861">
        <w:rPr>
          <w:rFonts w:ascii="Arial" w:hAnsi="Arial" w:cs="Arial"/>
          <w:sz w:val="20"/>
          <w:szCs w:val="20"/>
        </w:rPr>
        <w:t xml:space="preserve">if at any stage in the proceeding the Magistrates’ Court is satisfied that the accused is a child or was a child when the proceeding was commenced. The accused bears the burden of proof and the standard of proof is the balance of probabilities. </w:t>
      </w:r>
      <w:r>
        <w:rPr>
          <w:rFonts w:ascii="Arial" w:hAnsi="Arial" w:cs="Arial"/>
          <w:sz w:val="20"/>
          <w:szCs w:val="20"/>
        </w:rPr>
        <w:t xml:space="preserve">If a proceeding is transferred to the ChCV, </w:t>
      </w:r>
      <w:r w:rsidRPr="00BF0861">
        <w:rPr>
          <w:rFonts w:ascii="Arial" w:hAnsi="Arial" w:cs="Arial"/>
          <w:sz w:val="20"/>
          <w:szCs w:val="20"/>
        </w:rPr>
        <w:t>the Magistrates’ Court may</w:t>
      </w:r>
      <w:r>
        <w:rPr>
          <w:rFonts w:ascii="Arial" w:hAnsi="Arial" w:cs="Arial"/>
          <w:sz w:val="20"/>
          <w:szCs w:val="20"/>
        </w:rPr>
        <w:t>, for the period un</w:t>
      </w:r>
      <w:r w:rsidRPr="00BF0861">
        <w:rPr>
          <w:rFonts w:ascii="Arial" w:hAnsi="Arial" w:cs="Arial"/>
          <w:sz w:val="20"/>
          <w:szCs w:val="20"/>
        </w:rPr>
        <w:t>til the proceeding is heard by the ChCV</w:t>
      </w:r>
      <w:r>
        <w:rPr>
          <w:rFonts w:ascii="Arial" w:hAnsi="Arial" w:cs="Arial"/>
          <w:sz w:val="20"/>
          <w:szCs w:val="20"/>
        </w:rPr>
        <w:t>–</w:t>
      </w:r>
    </w:p>
    <w:p w14:paraId="658D169E" w14:textId="77777777" w:rsidR="003970F4" w:rsidRPr="00F51496" w:rsidRDefault="003970F4" w:rsidP="00591749">
      <w:pPr>
        <w:numPr>
          <w:ilvl w:val="0"/>
          <w:numId w:val="9"/>
        </w:numPr>
        <w:tabs>
          <w:tab w:val="left" w:pos="425"/>
        </w:tabs>
        <w:ind w:left="420" w:hanging="420"/>
        <w:jc w:val="both"/>
        <w:rPr>
          <w:rFonts w:ascii="Arial" w:hAnsi="Arial" w:cs="Arial"/>
          <w:bCs/>
          <w:color w:val="000000"/>
          <w:sz w:val="20"/>
        </w:rPr>
      </w:pPr>
      <w:r w:rsidRPr="00F51496">
        <w:rPr>
          <w:rFonts w:ascii="Arial" w:hAnsi="Arial" w:cs="Arial"/>
          <w:bCs/>
          <w:color w:val="000000"/>
          <w:sz w:val="20"/>
        </w:rPr>
        <w:t xml:space="preserve">permit the </w:t>
      </w:r>
      <w:r w:rsidR="00751D6B" w:rsidRPr="00F51496">
        <w:rPr>
          <w:rFonts w:ascii="Arial" w:hAnsi="Arial" w:cs="Arial"/>
          <w:bCs/>
          <w:color w:val="000000"/>
          <w:sz w:val="20"/>
        </w:rPr>
        <w:t>accused</w:t>
      </w:r>
      <w:r w:rsidRPr="00F51496">
        <w:rPr>
          <w:rFonts w:ascii="Arial" w:hAnsi="Arial" w:cs="Arial"/>
          <w:bCs/>
          <w:color w:val="000000"/>
          <w:sz w:val="20"/>
        </w:rPr>
        <w:t xml:space="preserve"> to go at large; or</w:t>
      </w:r>
    </w:p>
    <w:p w14:paraId="70A9A53B" w14:textId="77777777" w:rsidR="003970F4" w:rsidRPr="00F51496" w:rsidRDefault="003970F4" w:rsidP="00591749">
      <w:pPr>
        <w:numPr>
          <w:ilvl w:val="0"/>
          <w:numId w:val="9"/>
        </w:numPr>
        <w:tabs>
          <w:tab w:val="left" w:pos="425"/>
        </w:tabs>
        <w:ind w:left="420" w:hanging="420"/>
        <w:jc w:val="both"/>
        <w:rPr>
          <w:rFonts w:ascii="Arial" w:hAnsi="Arial" w:cs="Arial"/>
          <w:bCs/>
          <w:color w:val="000000"/>
          <w:sz w:val="20"/>
        </w:rPr>
      </w:pPr>
      <w:r w:rsidRPr="00F51496">
        <w:rPr>
          <w:rFonts w:ascii="Arial" w:hAnsi="Arial" w:cs="Arial"/>
          <w:bCs/>
          <w:color w:val="000000"/>
          <w:sz w:val="20"/>
        </w:rPr>
        <w:t xml:space="preserve">grant the </w:t>
      </w:r>
      <w:r w:rsidR="00751D6B" w:rsidRPr="00F51496">
        <w:rPr>
          <w:rFonts w:ascii="Arial" w:hAnsi="Arial" w:cs="Arial"/>
          <w:bCs/>
          <w:color w:val="000000"/>
          <w:sz w:val="20"/>
        </w:rPr>
        <w:t>accused</w:t>
      </w:r>
      <w:r w:rsidRPr="00F51496">
        <w:rPr>
          <w:rFonts w:ascii="Arial" w:hAnsi="Arial" w:cs="Arial"/>
          <w:bCs/>
          <w:color w:val="000000"/>
          <w:sz w:val="20"/>
        </w:rPr>
        <w:t xml:space="preserve"> bail; or</w:t>
      </w:r>
    </w:p>
    <w:p w14:paraId="3734AF9C" w14:textId="77777777" w:rsidR="003970F4" w:rsidRPr="00F51496" w:rsidRDefault="003970F4" w:rsidP="00591749">
      <w:pPr>
        <w:numPr>
          <w:ilvl w:val="0"/>
          <w:numId w:val="9"/>
        </w:numPr>
        <w:tabs>
          <w:tab w:val="left" w:pos="425"/>
        </w:tabs>
        <w:ind w:left="420" w:hanging="420"/>
        <w:jc w:val="both"/>
        <w:rPr>
          <w:rFonts w:ascii="Arial" w:hAnsi="Arial" w:cs="Arial"/>
          <w:bCs/>
          <w:color w:val="000000"/>
          <w:sz w:val="20"/>
        </w:rPr>
      </w:pPr>
      <w:r w:rsidRPr="00F51496">
        <w:rPr>
          <w:rFonts w:ascii="Arial" w:hAnsi="Arial" w:cs="Arial"/>
          <w:bCs/>
          <w:color w:val="000000"/>
          <w:sz w:val="20"/>
        </w:rPr>
        <w:t xml:space="preserve">remand the </w:t>
      </w:r>
      <w:r w:rsidR="00751D6B" w:rsidRPr="00F51496">
        <w:rPr>
          <w:rFonts w:ascii="Arial" w:hAnsi="Arial" w:cs="Arial"/>
          <w:bCs/>
          <w:color w:val="000000"/>
          <w:sz w:val="20"/>
        </w:rPr>
        <w:t>accused</w:t>
      </w:r>
      <w:r w:rsidRPr="00F51496">
        <w:rPr>
          <w:rFonts w:ascii="Arial" w:hAnsi="Arial" w:cs="Arial"/>
          <w:bCs/>
          <w:color w:val="000000"/>
          <w:sz w:val="20"/>
        </w:rPr>
        <w:t xml:space="preserve"> in a remand centre.</w:t>
      </w:r>
    </w:p>
    <w:p w14:paraId="7B41D227" w14:textId="77777777" w:rsidR="001066A6" w:rsidRPr="00F51496" w:rsidRDefault="001066A6" w:rsidP="00D509BA">
      <w:pPr>
        <w:rPr>
          <w:rFonts w:ascii="Arial" w:hAnsi="Arial" w:cs="Arial"/>
          <w:bCs/>
          <w:color w:val="000000"/>
          <w:sz w:val="20"/>
        </w:rPr>
      </w:pPr>
    </w:p>
    <w:p w14:paraId="3A29780D" w14:textId="386FF739" w:rsidR="0039213D" w:rsidRPr="00F51496" w:rsidRDefault="0039213D" w:rsidP="0039213D">
      <w:pPr>
        <w:pStyle w:val="Heading3"/>
        <w:keepNext/>
        <w:spacing w:after="120" w:line="240" w:lineRule="auto"/>
        <w:rPr>
          <w:rFonts w:ascii="Arial" w:hAnsi="Arial" w:cs="Arial"/>
          <w:b/>
          <w:bCs/>
          <w:color w:val="000000"/>
          <w:sz w:val="20"/>
        </w:rPr>
      </w:pPr>
      <w:bookmarkStart w:id="108" w:name="_7.1.5_Age_of"/>
      <w:bookmarkStart w:id="109" w:name="_7.1.5_Breach,_variation"/>
      <w:bookmarkStart w:id="110" w:name="_7.1.5_Proceedings_for"/>
      <w:bookmarkStart w:id="111" w:name="_Hlk126736102"/>
      <w:bookmarkEnd w:id="108"/>
      <w:bookmarkEnd w:id="109"/>
      <w:bookmarkEnd w:id="110"/>
      <w:r w:rsidRPr="00F51496">
        <w:rPr>
          <w:rFonts w:ascii="Arial" w:hAnsi="Arial" w:cs="Arial"/>
          <w:b/>
          <w:bCs/>
          <w:color w:val="000000"/>
          <w:sz w:val="20"/>
        </w:rPr>
        <w:lastRenderedPageBreak/>
        <w:t>7.</w:t>
      </w:r>
      <w:r>
        <w:rPr>
          <w:rFonts w:ascii="Arial" w:hAnsi="Arial" w:cs="Arial"/>
          <w:b/>
          <w:bCs/>
          <w:color w:val="000000"/>
          <w:sz w:val="20"/>
        </w:rPr>
        <w:t>1.5</w:t>
      </w:r>
      <w:r w:rsidRPr="00F51496">
        <w:rPr>
          <w:rFonts w:ascii="Arial" w:hAnsi="Arial" w:cs="Arial"/>
          <w:b/>
          <w:bCs/>
          <w:color w:val="000000"/>
          <w:sz w:val="20"/>
        </w:rPr>
        <w:tab/>
      </w:r>
      <w:r>
        <w:rPr>
          <w:rFonts w:ascii="Arial" w:hAnsi="Arial" w:cs="Arial"/>
          <w:b/>
          <w:bCs/>
          <w:color w:val="000000"/>
          <w:sz w:val="20"/>
        </w:rPr>
        <w:t xml:space="preserve">Proceeding for variation or revocation of </w:t>
      </w:r>
      <w:r w:rsidR="00BE568B">
        <w:rPr>
          <w:rFonts w:ascii="Arial" w:hAnsi="Arial" w:cs="Arial"/>
          <w:b/>
          <w:bCs/>
          <w:color w:val="000000"/>
          <w:sz w:val="20"/>
        </w:rPr>
        <w:t>a c</w:t>
      </w:r>
      <w:r>
        <w:rPr>
          <w:rFonts w:ascii="Arial" w:hAnsi="Arial" w:cs="Arial"/>
          <w:b/>
          <w:bCs/>
          <w:color w:val="000000"/>
          <w:sz w:val="20"/>
        </w:rPr>
        <w:t>ommunity-based sentenc</w:t>
      </w:r>
      <w:r w:rsidR="004E4DB5">
        <w:rPr>
          <w:rFonts w:ascii="Arial" w:hAnsi="Arial" w:cs="Arial"/>
          <w:b/>
          <w:bCs/>
          <w:color w:val="000000"/>
          <w:sz w:val="20"/>
        </w:rPr>
        <w:t>e other than a</w:t>
      </w:r>
      <w:r w:rsidR="00B60FA6">
        <w:rPr>
          <w:rFonts w:ascii="Arial" w:hAnsi="Arial" w:cs="Arial"/>
          <w:b/>
          <w:bCs/>
          <w:color w:val="000000"/>
          <w:sz w:val="20"/>
        </w:rPr>
        <w:t xml:space="preserve"> fine</w:t>
      </w:r>
    </w:p>
    <w:p w14:paraId="15174AB4" w14:textId="3860A1B9" w:rsidR="009F4300" w:rsidRDefault="00616798" w:rsidP="009F4300">
      <w:pPr>
        <w:jc w:val="both"/>
        <w:rPr>
          <w:rFonts w:ascii="Arial" w:hAnsi="Arial" w:cs="Arial"/>
          <w:color w:val="000000"/>
          <w:sz w:val="20"/>
        </w:rPr>
      </w:pPr>
      <w:r>
        <w:rPr>
          <w:rFonts w:ascii="Arial" w:hAnsi="Arial" w:cs="Arial"/>
          <w:color w:val="000000"/>
          <w:sz w:val="20"/>
        </w:rPr>
        <w:t>A p</w:t>
      </w:r>
      <w:r w:rsidR="008F02E0">
        <w:rPr>
          <w:rFonts w:ascii="Arial" w:hAnsi="Arial" w:cs="Arial"/>
          <w:color w:val="000000"/>
          <w:sz w:val="20"/>
        </w:rPr>
        <w:t>roceeding for</w:t>
      </w:r>
      <w:r w:rsidR="009F4300">
        <w:rPr>
          <w:rFonts w:ascii="Arial" w:hAnsi="Arial" w:cs="Arial"/>
          <w:color w:val="000000"/>
          <w:sz w:val="20"/>
        </w:rPr>
        <w:t xml:space="preserve"> </w:t>
      </w:r>
      <w:r w:rsidR="009F4300" w:rsidRPr="00F51496">
        <w:rPr>
          <w:rFonts w:ascii="Arial" w:hAnsi="Arial" w:cs="Arial"/>
          <w:color w:val="000000"/>
          <w:sz w:val="20"/>
        </w:rPr>
        <w:t xml:space="preserve">variation </w:t>
      </w:r>
      <w:r w:rsidR="009F4300">
        <w:rPr>
          <w:rFonts w:ascii="Arial" w:hAnsi="Arial" w:cs="Arial"/>
          <w:color w:val="000000"/>
          <w:sz w:val="20"/>
        </w:rPr>
        <w:t xml:space="preserve">or revocation </w:t>
      </w:r>
      <w:r w:rsidR="009F4300" w:rsidRPr="00F51496">
        <w:rPr>
          <w:rFonts w:ascii="Arial" w:hAnsi="Arial" w:cs="Arial"/>
          <w:color w:val="000000"/>
          <w:sz w:val="20"/>
        </w:rPr>
        <w:t xml:space="preserve">of a </w:t>
      </w:r>
      <w:r w:rsidR="009F4300">
        <w:rPr>
          <w:rFonts w:ascii="Arial" w:hAnsi="Arial" w:cs="Arial"/>
          <w:color w:val="000000"/>
          <w:sz w:val="20"/>
        </w:rPr>
        <w:t xml:space="preserve">community-based </w:t>
      </w:r>
      <w:r w:rsidR="009F4300" w:rsidRPr="00F51496">
        <w:rPr>
          <w:rFonts w:ascii="Arial" w:hAnsi="Arial" w:cs="Arial"/>
          <w:color w:val="000000"/>
          <w:sz w:val="20"/>
        </w:rPr>
        <w:t>sentenc</w:t>
      </w:r>
      <w:r w:rsidR="009F4300">
        <w:rPr>
          <w:rFonts w:ascii="Arial" w:hAnsi="Arial" w:cs="Arial"/>
          <w:color w:val="000000"/>
          <w:sz w:val="20"/>
        </w:rPr>
        <w:t>ing order</w:t>
      </w:r>
      <w:r w:rsidR="00B41C91">
        <w:rPr>
          <w:rFonts w:ascii="Arial" w:hAnsi="Arial" w:cs="Arial"/>
          <w:color w:val="000000"/>
          <w:sz w:val="20"/>
        </w:rPr>
        <w:t xml:space="preserve"> </w:t>
      </w:r>
      <w:r w:rsidR="008F02E0">
        <w:rPr>
          <w:rFonts w:ascii="Arial" w:hAnsi="Arial" w:cs="Arial"/>
          <w:color w:val="000000"/>
          <w:sz w:val="20"/>
        </w:rPr>
        <w:t xml:space="preserve">(other than a fine) </w:t>
      </w:r>
      <w:r w:rsidR="00B41C91">
        <w:rPr>
          <w:rFonts w:ascii="Arial" w:hAnsi="Arial" w:cs="Arial"/>
          <w:color w:val="000000"/>
          <w:sz w:val="20"/>
        </w:rPr>
        <w:t xml:space="preserve">which </w:t>
      </w:r>
      <w:r>
        <w:rPr>
          <w:rFonts w:ascii="Arial" w:hAnsi="Arial" w:cs="Arial"/>
          <w:color w:val="000000"/>
          <w:sz w:val="20"/>
        </w:rPr>
        <w:t>is</w:t>
      </w:r>
      <w:r w:rsidR="00B41C91">
        <w:rPr>
          <w:rFonts w:ascii="Arial" w:hAnsi="Arial" w:cs="Arial"/>
          <w:color w:val="000000"/>
          <w:sz w:val="20"/>
        </w:rPr>
        <w:t xml:space="preserve"> not associated with </w:t>
      </w:r>
      <w:r w:rsidR="004E4DB5">
        <w:rPr>
          <w:rFonts w:ascii="Arial" w:hAnsi="Arial" w:cs="Arial"/>
          <w:color w:val="000000"/>
          <w:sz w:val="20"/>
        </w:rPr>
        <w:t xml:space="preserve">an </w:t>
      </w:r>
      <w:r w:rsidR="00A01DA4">
        <w:rPr>
          <w:rFonts w:ascii="Arial" w:hAnsi="Arial" w:cs="Arial"/>
          <w:color w:val="000000"/>
          <w:sz w:val="20"/>
        </w:rPr>
        <w:t xml:space="preserve">order </w:t>
      </w:r>
      <w:r w:rsidR="00B41C91">
        <w:rPr>
          <w:rFonts w:ascii="Arial" w:hAnsi="Arial" w:cs="Arial"/>
          <w:color w:val="000000"/>
          <w:sz w:val="20"/>
        </w:rPr>
        <w:t>contravention/breach</w:t>
      </w:r>
      <w:r w:rsidR="008F02E0">
        <w:rPr>
          <w:rFonts w:ascii="Arial" w:hAnsi="Arial" w:cs="Arial"/>
          <w:color w:val="000000"/>
          <w:sz w:val="20"/>
        </w:rPr>
        <w:t xml:space="preserve"> </w:t>
      </w:r>
      <w:r>
        <w:rPr>
          <w:rFonts w:ascii="Arial" w:hAnsi="Arial" w:cs="Arial"/>
          <w:color w:val="000000"/>
          <w:sz w:val="20"/>
        </w:rPr>
        <w:t>is</w:t>
      </w:r>
      <w:r w:rsidR="008F02E0">
        <w:rPr>
          <w:rFonts w:ascii="Arial" w:hAnsi="Arial" w:cs="Arial"/>
          <w:color w:val="000000"/>
          <w:sz w:val="20"/>
        </w:rPr>
        <w:t xml:space="preserve"> governed by</w:t>
      </w:r>
      <w:r w:rsidR="00B41C91">
        <w:rPr>
          <w:rFonts w:ascii="Arial" w:hAnsi="Arial" w:cs="Arial"/>
          <w:color w:val="000000"/>
          <w:sz w:val="20"/>
        </w:rPr>
        <w:t xml:space="preserve"> </w:t>
      </w:r>
      <w:r w:rsidR="009F4300" w:rsidRPr="004834D6">
        <w:rPr>
          <w:rFonts w:ascii="Arial" w:hAnsi="Arial" w:cs="Arial"/>
          <w:b/>
          <w:bCs/>
          <w:color w:val="000000"/>
          <w:sz w:val="20"/>
        </w:rPr>
        <w:t>Part 7.10 (ss.303</w:t>
      </w:r>
      <w:r w:rsidR="009F4300" w:rsidRPr="004834D6">
        <w:rPr>
          <w:rFonts w:ascii="Arial" w:hAnsi="Arial" w:cs="Arial"/>
          <w:b/>
          <w:bCs/>
          <w:color w:val="000000"/>
          <w:sz w:val="20"/>
        </w:rPr>
        <w:noBreakHyphen/>
        <w:t>306) YJA</w:t>
      </w:r>
      <w:r w:rsidR="009F4300">
        <w:rPr>
          <w:rFonts w:ascii="Arial" w:hAnsi="Arial" w:cs="Arial"/>
          <w:color w:val="000000"/>
          <w:sz w:val="20"/>
        </w:rPr>
        <w:t xml:space="preserve"> [cf.</w:t>
      </w:r>
      <w:r w:rsidR="00A01DA4" w:rsidRPr="00A01DA4">
        <w:rPr>
          <w:rFonts w:ascii="Arial" w:hAnsi="Arial" w:cs="Arial"/>
          <w:color w:val="FFFFFF" w:themeColor="background1"/>
          <w:sz w:val="20"/>
        </w:rPr>
        <w:t> </w:t>
      </w:r>
      <w:r w:rsidR="009F4300">
        <w:rPr>
          <w:rFonts w:ascii="Arial" w:hAnsi="Arial" w:cs="Arial"/>
          <w:color w:val="000000"/>
          <w:sz w:val="20"/>
        </w:rPr>
        <w:t xml:space="preserve">ss.409, 409N &amp; 421 CYFA]. </w:t>
      </w:r>
      <w:r w:rsidR="009F4300" w:rsidRPr="009F75C8">
        <w:rPr>
          <w:rFonts w:ascii="Arial" w:hAnsi="Arial" w:cs="Arial"/>
          <w:color w:val="000000"/>
          <w:sz w:val="20"/>
        </w:rPr>
        <w:t>See ss.87</w:t>
      </w:r>
      <w:r w:rsidR="004D69B6">
        <w:rPr>
          <w:rFonts w:ascii="Arial" w:hAnsi="Arial" w:cs="Arial"/>
          <w:color w:val="000000"/>
          <w:sz w:val="20"/>
        </w:rPr>
        <w:t>1</w:t>
      </w:r>
      <w:r w:rsidR="00B41C91">
        <w:rPr>
          <w:rFonts w:ascii="Arial" w:hAnsi="Arial" w:cs="Arial"/>
          <w:color w:val="000000"/>
          <w:sz w:val="20"/>
        </w:rPr>
        <w:noBreakHyphen/>
      </w:r>
      <w:r w:rsidR="009F4300" w:rsidRPr="009F75C8">
        <w:rPr>
          <w:rFonts w:ascii="Arial" w:hAnsi="Arial" w:cs="Arial"/>
          <w:color w:val="000000"/>
          <w:sz w:val="20"/>
        </w:rPr>
        <w:t>8</w:t>
      </w:r>
      <w:r w:rsidR="009F4300">
        <w:rPr>
          <w:rFonts w:ascii="Arial" w:hAnsi="Arial" w:cs="Arial"/>
          <w:color w:val="000000"/>
          <w:sz w:val="20"/>
        </w:rPr>
        <w:t>74</w:t>
      </w:r>
      <w:r w:rsidR="009F4300" w:rsidRPr="009F75C8">
        <w:rPr>
          <w:rFonts w:ascii="Arial" w:hAnsi="Arial" w:cs="Arial"/>
          <w:color w:val="000000"/>
          <w:sz w:val="20"/>
        </w:rPr>
        <w:t xml:space="preserve"> YJA for transitional provisions relating to </w:t>
      </w:r>
      <w:r w:rsidR="009F4300">
        <w:rPr>
          <w:rFonts w:ascii="Arial" w:hAnsi="Arial" w:cs="Arial"/>
          <w:color w:val="000000"/>
          <w:sz w:val="20"/>
        </w:rPr>
        <w:t>proceedings</w:t>
      </w:r>
      <w:r w:rsidR="009F4300" w:rsidRPr="009F75C8">
        <w:rPr>
          <w:rFonts w:ascii="Arial" w:hAnsi="Arial" w:cs="Arial"/>
          <w:color w:val="000000"/>
          <w:sz w:val="20"/>
        </w:rPr>
        <w:t xml:space="preserve"> </w:t>
      </w:r>
      <w:r w:rsidR="009F4300">
        <w:rPr>
          <w:rFonts w:ascii="Arial" w:hAnsi="Arial" w:cs="Arial"/>
          <w:color w:val="000000"/>
          <w:sz w:val="20"/>
        </w:rPr>
        <w:t xml:space="preserve">for </w:t>
      </w:r>
      <w:r w:rsidR="009F4300" w:rsidRPr="009F75C8">
        <w:rPr>
          <w:rFonts w:ascii="Arial" w:hAnsi="Arial" w:cs="Arial"/>
          <w:color w:val="000000"/>
          <w:sz w:val="20"/>
        </w:rPr>
        <w:t xml:space="preserve">variation or revocation of a CYFA </w:t>
      </w:r>
      <w:r w:rsidR="00B41C91">
        <w:rPr>
          <w:rFonts w:ascii="Arial" w:hAnsi="Arial" w:cs="Arial"/>
          <w:color w:val="000000"/>
          <w:sz w:val="20"/>
        </w:rPr>
        <w:t xml:space="preserve">community-based </w:t>
      </w:r>
      <w:r w:rsidR="009F4300">
        <w:rPr>
          <w:rFonts w:ascii="Arial" w:hAnsi="Arial" w:cs="Arial"/>
          <w:color w:val="000000"/>
          <w:sz w:val="20"/>
        </w:rPr>
        <w:t xml:space="preserve">sentencing </w:t>
      </w:r>
      <w:r w:rsidR="009F4300" w:rsidRPr="009F75C8">
        <w:rPr>
          <w:rFonts w:ascii="Arial" w:hAnsi="Arial" w:cs="Arial"/>
          <w:color w:val="000000"/>
          <w:sz w:val="20"/>
        </w:rPr>
        <w:t>order</w:t>
      </w:r>
      <w:r w:rsidR="009F4300">
        <w:rPr>
          <w:rFonts w:ascii="Arial" w:hAnsi="Arial" w:cs="Arial"/>
          <w:color w:val="000000"/>
          <w:sz w:val="20"/>
        </w:rPr>
        <w:t xml:space="preserve"> </w:t>
      </w:r>
      <w:r>
        <w:rPr>
          <w:rFonts w:ascii="Arial" w:hAnsi="Arial" w:cs="Arial"/>
          <w:color w:val="000000"/>
          <w:sz w:val="20"/>
        </w:rPr>
        <w:t>other than a fine</w:t>
      </w:r>
      <w:r w:rsidR="009F4300" w:rsidRPr="009F75C8">
        <w:rPr>
          <w:rFonts w:ascii="Arial" w:hAnsi="Arial" w:cs="Arial"/>
          <w:color w:val="000000"/>
          <w:sz w:val="20"/>
        </w:rPr>
        <w:t>.</w:t>
      </w:r>
    </w:p>
    <w:p w14:paraId="1BF353A5" w14:textId="77777777" w:rsidR="008F02E0" w:rsidRPr="00A01DA4" w:rsidRDefault="008F02E0" w:rsidP="009F4300">
      <w:pPr>
        <w:jc w:val="both"/>
        <w:rPr>
          <w:rFonts w:ascii="Arial" w:hAnsi="Arial" w:cs="Arial"/>
          <w:color w:val="000000"/>
          <w:sz w:val="18"/>
          <w:szCs w:val="22"/>
        </w:rPr>
      </w:pPr>
    </w:p>
    <w:p w14:paraId="12BEE603" w14:textId="0B5C6216" w:rsidR="00A01DA4" w:rsidRDefault="00A01DA4" w:rsidP="004834D6">
      <w:pPr>
        <w:jc w:val="both"/>
        <w:rPr>
          <w:rFonts w:ascii="Arial" w:hAnsi="Arial" w:cs="Arial"/>
          <w:color w:val="000000"/>
          <w:sz w:val="20"/>
        </w:rPr>
      </w:pPr>
      <w:r>
        <w:rPr>
          <w:rFonts w:ascii="Arial" w:hAnsi="Arial" w:cs="Arial"/>
          <w:color w:val="000000"/>
          <w:sz w:val="20"/>
        </w:rPr>
        <w:t>It seems clear from the wording of Part 7.10 that p</w:t>
      </w:r>
      <w:r w:rsidR="00363C57">
        <w:rPr>
          <w:rFonts w:ascii="Arial" w:hAnsi="Arial" w:cs="Arial"/>
          <w:color w:val="000000"/>
          <w:sz w:val="20"/>
        </w:rPr>
        <w:t xml:space="preserve">roceedings for variation or revocation of a community-based sentencing order </w:t>
      </w:r>
      <w:r w:rsidR="00E96384">
        <w:rPr>
          <w:rFonts w:ascii="Arial" w:hAnsi="Arial" w:cs="Arial"/>
          <w:color w:val="000000"/>
          <w:sz w:val="20"/>
        </w:rPr>
        <w:t xml:space="preserve">which </w:t>
      </w:r>
      <w:r>
        <w:rPr>
          <w:rFonts w:ascii="Arial" w:hAnsi="Arial" w:cs="Arial"/>
          <w:color w:val="000000"/>
          <w:sz w:val="20"/>
        </w:rPr>
        <w:t>is</w:t>
      </w:r>
      <w:r w:rsidR="00E96384">
        <w:rPr>
          <w:rFonts w:ascii="Arial" w:hAnsi="Arial" w:cs="Arial"/>
          <w:color w:val="000000"/>
          <w:sz w:val="20"/>
        </w:rPr>
        <w:t xml:space="preserve"> </w:t>
      </w:r>
      <w:r w:rsidR="00BE568B">
        <w:rPr>
          <w:rFonts w:ascii="Arial" w:hAnsi="Arial" w:cs="Arial"/>
          <w:color w:val="000000"/>
          <w:sz w:val="20"/>
        </w:rPr>
        <w:t xml:space="preserve">not associated with </w:t>
      </w:r>
      <w:r w:rsidR="000450E0">
        <w:rPr>
          <w:rFonts w:ascii="Arial" w:hAnsi="Arial" w:cs="Arial"/>
          <w:color w:val="000000"/>
          <w:sz w:val="20"/>
        </w:rPr>
        <w:t xml:space="preserve">a </w:t>
      </w:r>
      <w:r w:rsidR="00BE568B">
        <w:rPr>
          <w:rFonts w:ascii="Arial" w:hAnsi="Arial" w:cs="Arial"/>
          <w:color w:val="000000"/>
          <w:sz w:val="20"/>
        </w:rPr>
        <w:t xml:space="preserve">contravention of such order </w:t>
      </w:r>
      <w:r w:rsidR="00363C57">
        <w:rPr>
          <w:rFonts w:ascii="Arial" w:hAnsi="Arial" w:cs="Arial"/>
          <w:color w:val="000000"/>
          <w:sz w:val="20"/>
        </w:rPr>
        <w:t>are commenced and heard in the Children’s Court irrespective of</w:t>
      </w:r>
      <w:r>
        <w:rPr>
          <w:rFonts w:ascii="Arial" w:hAnsi="Arial" w:cs="Arial"/>
          <w:color w:val="000000"/>
          <w:sz w:val="20"/>
        </w:rPr>
        <w:t>–</w:t>
      </w:r>
    </w:p>
    <w:p w14:paraId="4A243C7D" w14:textId="12F608F8" w:rsidR="00A01DA4" w:rsidRPr="00A01DA4" w:rsidRDefault="00363C57">
      <w:pPr>
        <w:pStyle w:val="ListParagraph"/>
        <w:numPr>
          <w:ilvl w:val="0"/>
          <w:numId w:val="91"/>
        </w:numPr>
        <w:spacing w:after="0" w:line="240" w:lineRule="auto"/>
        <w:ind w:left="357" w:hanging="357"/>
        <w:jc w:val="both"/>
        <w:rPr>
          <w:rFonts w:ascii="Arial" w:hAnsi="Arial" w:cs="Arial"/>
          <w:color w:val="000000"/>
          <w:sz w:val="20"/>
        </w:rPr>
      </w:pPr>
      <w:r w:rsidRPr="00A01DA4">
        <w:rPr>
          <w:rFonts w:ascii="Arial" w:hAnsi="Arial" w:cs="Arial"/>
          <w:color w:val="000000"/>
          <w:sz w:val="20"/>
        </w:rPr>
        <w:t>the age of the person at the time the proceeding was commenced</w:t>
      </w:r>
      <w:r w:rsidR="00A01DA4" w:rsidRPr="00A01DA4">
        <w:rPr>
          <w:rFonts w:ascii="Arial" w:hAnsi="Arial" w:cs="Arial"/>
          <w:color w:val="000000"/>
          <w:sz w:val="20"/>
        </w:rPr>
        <w:t>; or</w:t>
      </w:r>
    </w:p>
    <w:p w14:paraId="1194D7A5" w14:textId="2C3F7FD2" w:rsidR="00363C57" w:rsidRPr="00A01DA4" w:rsidRDefault="00363C57">
      <w:pPr>
        <w:pStyle w:val="ListParagraph"/>
        <w:numPr>
          <w:ilvl w:val="0"/>
          <w:numId w:val="91"/>
        </w:numPr>
        <w:spacing w:after="0" w:line="240" w:lineRule="auto"/>
        <w:ind w:left="357" w:hanging="357"/>
        <w:jc w:val="both"/>
        <w:rPr>
          <w:rFonts w:ascii="Arial" w:hAnsi="Arial" w:cs="Arial"/>
          <w:color w:val="000000"/>
          <w:sz w:val="20"/>
        </w:rPr>
      </w:pPr>
      <w:r w:rsidRPr="00A01DA4">
        <w:rPr>
          <w:rFonts w:ascii="Arial" w:hAnsi="Arial" w:cs="Arial"/>
          <w:color w:val="000000"/>
          <w:sz w:val="20"/>
        </w:rPr>
        <w:t xml:space="preserve">whether the </w:t>
      </w:r>
      <w:r w:rsidR="00741B0B" w:rsidRPr="00A01DA4">
        <w:rPr>
          <w:rFonts w:ascii="Arial" w:hAnsi="Arial" w:cs="Arial"/>
          <w:color w:val="000000"/>
          <w:sz w:val="20"/>
        </w:rPr>
        <w:t xml:space="preserve">sentencing </w:t>
      </w:r>
      <w:r w:rsidRPr="00A01DA4">
        <w:rPr>
          <w:rFonts w:ascii="Arial" w:hAnsi="Arial" w:cs="Arial"/>
          <w:color w:val="000000"/>
          <w:sz w:val="20"/>
        </w:rPr>
        <w:t xml:space="preserve">order was imposed </w:t>
      </w:r>
      <w:r w:rsidR="009F4300" w:rsidRPr="00A01DA4">
        <w:rPr>
          <w:rFonts w:ascii="Arial" w:hAnsi="Arial" w:cs="Arial"/>
          <w:color w:val="000000"/>
          <w:sz w:val="20"/>
        </w:rPr>
        <w:t xml:space="preserve">under either the YJA or the CYFA </w:t>
      </w:r>
      <w:r w:rsidRPr="00A01DA4">
        <w:rPr>
          <w:rFonts w:ascii="Arial" w:hAnsi="Arial" w:cs="Arial"/>
          <w:color w:val="000000"/>
          <w:sz w:val="20"/>
        </w:rPr>
        <w:t xml:space="preserve">by the Children’s Court or </w:t>
      </w:r>
      <w:r w:rsidR="009F4300" w:rsidRPr="00A01DA4">
        <w:rPr>
          <w:rFonts w:ascii="Arial" w:hAnsi="Arial" w:cs="Arial"/>
          <w:color w:val="000000"/>
          <w:sz w:val="20"/>
        </w:rPr>
        <w:t xml:space="preserve">by </w:t>
      </w:r>
      <w:r w:rsidRPr="00A01DA4">
        <w:rPr>
          <w:rFonts w:ascii="Arial" w:hAnsi="Arial" w:cs="Arial"/>
          <w:color w:val="000000"/>
          <w:sz w:val="20"/>
        </w:rPr>
        <w:t>the Supreme Court or the County Court</w:t>
      </w:r>
      <w:r w:rsidR="009F4300" w:rsidRPr="00A01DA4">
        <w:rPr>
          <w:rFonts w:ascii="Arial" w:hAnsi="Arial" w:cs="Arial"/>
          <w:color w:val="000000"/>
          <w:sz w:val="20"/>
        </w:rPr>
        <w:t>,</w:t>
      </w:r>
      <w:r w:rsidRPr="00A01DA4">
        <w:rPr>
          <w:rFonts w:ascii="Arial" w:hAnsi="Arial" w:cs="Arial"/>
          <w:color w:val="000000"/>
          <w:sz w:val="20"/>
        </w:rPr>
        <w:t xml:space="preserve"> </w:t>
      </w:r>
      <w:r w:rsidR="009F4300" w:rsidRPr="00A01DA4">
        <w:rPr>
          <w:rFonts w:ascii="Arial" w:hAnsi="Arial" w:cs="Arial"/>
          <w:color w:val="000000"/>
          <w:sz w:val="20"/>
        </w:rPr>
        <w:t>on appeal or otherwise.</w:t>
      </w:r>
    </w:p>
    <w:p w14:paraId="16219874" w14:textId="77777777" w:rsidR="00363C57" w:rsidRPr="00A01DA4" w:rsidRDefault="00363C57" w:rsidP="004834D6">
      <w:pPr>
        <w:jc w:val="both"/>
        <w:rPr>
          <w:rFonts w:ascii="Arial" w:hAnsi="Arial" w:cs="Arial"/>
          <w:color w:val="000000"/>
          <w:sz w:val="18"/>
          <w:szCs w:val="22"/>
        </w:rPr>
      </w:pPr>
    </w:p>
    <w:p w14:paraId="280FF867" w14:textId="5ABCE679" w:rsidR="00E877F9" w:rsidRDefault="008961BC" w:rsidP="004834D6">
      <w:pPr>
        <w:jc w:val="both"/>
        <w:rPr>
          <w:rFonts w:ascii="Arial" w:hAnsi="Arial" w:cs="Arial"/>
          <w:color w:val="000000"/>
          <w:sz w:val="20"/>
        </w:rPr>
      </w:pPr>
      <w:r>
        <w:rPr>
          <w:rFonts w:ascii="Arial" w:hAnsi="Arial" w:cs="Arial"/>
          <w:color w:val="000000"/>
          <w:sz w:val="20"/>
        </w:rPr>
        <w:t>Under s.303 YJA t</w:t>
      </w:r>
      <w:r w:rsidR="00363C57">
        <w:rPr>
          <w:rFonts w:ascii="Arial" w:hAnsi="Arial" w:cs="Arial"/>
          <w:color w:val="000000"/>
          <w:sz w:val="20"/>
        </w:rPr>
        <w:t xml:space="preserve">he </w:t>
      </w:r>
      <w:r w:rsidR="00A9170B">
        <w:rPr>
          <w:rFonts w:ascii="Arial" w:hAnsi="Arial" w:cs="Arial"/>
          <w:color w:val="000000"/>
          <w:sz w:val="20"/>
        </w:rPr>
        <w:t xml:space="preserve">DJCS </w:t>
      </w:r>
      <w:r w:rsidR="00363C57">
        <w:rPr>
          <w:rFonts w:ascii="Arial" w:hAnsi="Arial" w:cs="Arial"/>
          <w:color w:val="000000"/>
          <w:sz w:val="20"/>
        </w:rPr>
        <w:t xml:space="preserve">Secretary or a </w:t>
      </w:r>
      <w:r w:rsidR="00D5684B">
        <w:rPr>
          <w:rFonts w:ascii="Arial" w:hAnsi="Arial" w:cs="Arial"/>
          <w:color w:val="000000"/>
          <w:sz w:val="20"/>
        </w:rPr>
        <w:t xml:space="preserve">child in respect of </w:t>
      </w:r>
      <w:r w:rsidR="00363C57">
        <w:rPr>
          <w:rFonts w:ascii="Arial" w:hAnsi="Arial" w:cs="Arial"/>
          <w:color w:val="000000"/>
          <w:sz w:val="20"/>
        </w:rPr>
        <w:t>whom a GBO, CSO, PRO, YSSO or YCO is in force may apply to the Children’s Court for variation or revocation of the order</w:t>
      </w:r>
      <w:r w:rsidR="00D5684B">
        <w:rPr>
          <w:rFonts w:ascii="Arial" w:hAnsi="Arial" w:cs="Arial"/>
          <w:color w:val="000000"/>
          <w:sz w:val="20"/>
        </w:rPr>
        <w:t xml:space="preserve"> if–</w:t>
      </w:r>
    </w:p>
    <w:p w14:paraId="573DC75C" w14:textId="0389ED36" w:rsidR="00D5684B" w:rsidRDefault="00D5684B">
      <w:pPr>
        <w:pStyle w:val="ListParagraph"/>
        <w:numPr>
          <w:ilvl w:val="0"/>
          <w:numId w:val="80"/>
        </w:numPr>
        <w:spacing w:after="0" w:line="240" w:lineRule="auto"/>
        <w:ind w:left="357" w:hanging="357"/>
        <w:jc w:val="both"/>
        <w:rPr>
          <w:rFonts w:ascii="Arial" w:hAnsi="Arial" w:cs="Arial"/>
          <w:sz w:val="20"/>
          <w:szCs w:val="20"/>
        </w:rPr>
      </w:pPr>
      <w:r>
        <w:rPr>
          <w:rFonts w:ascii="Arial" w:hAnsi="Arial" w:cs="Arial"/>
          <w:sz w:val="20"/>
          <w:szCs w:val="20"/>
        </w:rPr>
        <w:t>the circumstances of the child have changed since the making of the order; or</w:t>
      </w:r>
    </w:p>
    <w:p w14:paraId="74FBCA49" w14:textId="7E8F91D7" w:rsidR="00D5684B" w:rsidRDefault="00D5684B">
      <w:pPr>
        <w:pStyle w:val="ListParagraph"/>
        <w:numPr>
          <w:ilvl w:val="0"/>
          <w:numId w:val="80"/>
        </w:numPr>
        <w:spacing w:after="0" w:line="240" w:lineRule="auto"/>
        <w:ind w:left="357" w:hanging="357"/>
        <w:jc w:val="both"/>
        <w:rPr>
          <w:rFonts w:ascii="Arial" w:hAnsi="Arial" w:cs="Arial"/>
          <w:sz w:val="20"/>
          <w:szCs w:val="20"/>
        </w:rPr>
      </w:pPr>
      <w:r>
        <w:rPr>
          <w:rFonts w:ascii="Arial" w:hAnsi="Arial" w:cs="Arial"/>
          <w:sz w:val="20"/>
          <w:szCs w:val="20"/>
        </w:rPr>
        <w:t>the circumstances that were presented to the ChCV or the DJCS Secretary before the order was made were incorrect; or</w:t>
      </w:r>
    </w:p>
    <w:p w14:paraId="38C13C15" w14:textId="363D89F4" w:rsidR="00D5684B" w:rsidRDefault="00D5684B">
      <w:pPr>
        <w:pStyle w:val="ListParagraph"/>
        <w:numPr>
          <w:ilvl w:val="0"/>
          <w:numId w:val="80"/>
        </w:numPr>
        <w:spacing w:after="0" w:line="240" w:lineRule="auto"/>
        <w:ind w:left="357" w:hanging="357"/>
        <w:jc w:val="both"/>
        <w:rPr>
          <w:rFonts w:ascii="Arial" w:hAnsi="Arial" w:cs="Arial"/>
          <w:sz w:val="20"/>
          <w:szCs w:val="20"/>
        </w:rPr>
      </w:pPr>
      <w:r>
        <w:rPr>
          <w:rFonts w:ascii="Arial" w:hAnsi="Arial" w:cs="Arial"/>
          <w:sz w:val="20"/>
          <w:szCs w:val="20"/>
        </w:rPr>
        <w:t>the child is in custody or is otherwise unable to comply with the order; or</w:t>
      </w:r>
    </w:p>
    <w:p w14:paraId="0E2A4903" w14:textId="68EBD062" w:rsidR="00D5684B" w:rsidRPr="00E4443A" w:rsidRDefault="00D5684B">
      <w:pPr>
        <w:pStyle w:val="ListParagraph"/>
        <w:numPr>
          <w:ilvl w:val="0"/>
          <w:numId w:val="80"/>
        </w:numPr>
        <w:spacing w:after="0" w:line="240" w:lineRule="auto"/>
        <w:ind w:left="357" w:hanging="357"/>
        <w:jc w:val="both"/>
        <w:rPr>
          <w:rFonts w:ascii="Arial" w:hAnsi="Arial" w:cs="Arial"/>
          <w:sz w:val="20"/>
          <w:szCs w:val="20"/>
        </w:rPr>
      </w:pPr>
      <w:r>
        <w:rPr>
          <w:rFonts w:ascii="Arial" w:hAnsi="Arial" w:cs="Arial"/>
          <w:sz w:val="20"/>
          <w:szCs w:val="20"/>
        </w:rPr>
        <w:t>the child is no longer willing to comply with the order.</w:t>
      </w:r>
    </w:p>
    <w:p w14:paraId="2A4C96B1" w14:textId="77777777" w:rsidR="00D5684B" w:rsidRPr="00A01DA4" w:rsidRDefault="00D5684B" w:rsidP="004834D6">
      <w:pPr>
        <w:jc w:val="both"/>
        <w:rPr>
          <w:rFonts w:ascii="Arial" w:hAnsi="Arial" w:cs="Arial"/>
          <w:color w:val="000000"/>
          <w:sz w:val="18"/>
          <w:szCs w:val="22"/>
        </w:rPr>
      </w:pPr>
    </w:p>
    <w:p w14:paraId="2AFFFF55" w14:textId="20BC5E1B" w:rsidR="00363C57" w:rsidRDefault="00F9096F" w:rsidP="004834D6">
      <w:pPr>
        <w:jc w:val="both"/>
        <w:rPr>
          <w:rFonts w:ascii="Arial" w:hAnsi="Arial" w:cs="Arial"/>
          <w:color w:val="000000"/>
          <w:sz w:val="20"/>
        </w:rPr>
      </w:pPr>
      <w:r>
        <w:rPr>
          <w:rFonts w:ascii="Arial" w:hAnsi="Arial" w:cs="Arial"/>
          <w:color w:val="000000"/>
          <w:sz w:val="20"/>
        </w:rPr>
        <w:t>Under</w:t>
      </w:r>
      <w:r w:rsidR="00A53E80">
        <w:rPr>
          <w:rFonts w:ascii="Arial" w:hAnsi="Arial" w:cs="Arial"/>
          <w:color w:val="000000"/>
          <w:sz w:val="20"/>
        </w:rPr>
        <w:t xml:space="preserve"> s</w:t>
      </w:r>
      <w:r w:rsidR="00A9170B">
        <w:rPr>
          <w:rFonts w:ascii="Arial" w:hAnsi="Arial" w:cs="Arial"/>
          <w:color w:val="000000"/>
          <w:sz w:val="20"/>
        </w:rPr>
        <w:t>s</w:t>
      </w:r>
      <w:r w:rsidR="00A53E80">
        <w:rPr>
          <w:rFonts w:ascii="Arial" w:hAnsi="Arial" w:cs="Arial"/>
          <w:color w:val="000000"/>
          <w:sz w:val="20"/>
        </w:rPr>
        <w:t>.304</w:t>
      </w:r>
      <w:r w:rsidR="001459A2">
        <w:rPr>
          <w:rFonts w:ascii="Arial" w:hAnsi="Arial" w:cs="Arial"/>
          <w:color w:val="000000"/>
          <w:sz w:val="20"/>
        </w:rPr>
        <w:t>(1)</w:t>
      </w:r>
      <w:r w:rsidR="00A53E80">
        <w:rPr>
          <w:rFonts w:ascii="Arial" w:hAnsi="Arial" w:cs="Arial"/>
          <w:color w:val="000000"/>
          <w:sz w:val="20"/>
        </w:rPr>
        <w:t xml:space="preserve"> </w:t>
      </w:r>
      <w:r w:rsidR="00A9170B">
        <w:rPr>
          <w:rFonts w:ascii="Arial" w:hAnsi="Arial" w:cs="Arial"/>
          <w:color w:val="000000"/>
          <w:sz w:val="20"/>
        </w:rPr>
        <w:t xml:space="preserve">&amp; 304(3) </w:t>
      </w:r>
      <w:r w:rsidR="00A53E80">
        <w:rPr>
          <w:rFonts w:ascii="Arial" w:hAnsi="Arial" w:cs="Arial"/>
          <w:color w:val="000000"/>
          <w:sz w:val="20"/>
        </w:rPr>
        <w:t>YJA</w:t>
      </w:r>
      <w:r w:rsidR="004E4DB5">
        <w:rPr>
          <w:rFonts w:ascii="Arial" w:hAnsi="Arial" w:cs="Arial"/>
          <w:color w:val="000000"/>
          <w:sz w:val="20"/>
        </w:rPr>
        <w:t xml:space="preserve"> on an application under s.303 YJA, the Children’s Court </w:t>
      </w:r>
      <w:r w:rsidR="001459A2">
        <w:rPr>
          <w:rFonts w:ascii="Arial" w:hAnsi="Arial" w:cs="Arial"/>
          <w:color w:val="000000"/>
          <w:sz w:val="20"/>
        </w:rPr>
        <w:t>may</w:t>
      </w:r>
      <w:r w:rsidR="004E4DB5">
        <w:rPr>
          <w:rFonts w:ascii="Arial" w:hAnsi="Arial" w:cs="Arial"/>
          <w:color w:val="000000"/>
          <w:sz w:val="20"/>
        </w:rPr>
        <w:t>, if it considers it appropriate to do so</w:t>
      </w:r>
      <w:r w:rsidR="001459A2">
        <w:rPr>
          <w:rFonts w:ascii="Arial" w:hAnsi="Arial" w:cs="Arial"/>
          <w:color w:val="000000"/>
          <w:sz w:val="20"/>
        </w:rPr>
        <w:t>–</w:t>
      </w:r>
    </w:p>
    <w:p w14:paraId="6750F64E" w14:textId="6E6800DB" w:rsidR="001459A2" w:rsidRPr="00E4443A" w:rsidRDefault="001459A2">
      <w:pPr>
        <w:pStyle w:val="ListParagraph"/>
        <w:numPr>
          <w:ilvl w:val="0"/>
          <w:numId w:val="82"/>
        </w:numPr>
        <w:spacing w:after="0" w:line="240" w:lineRule="auto"/>
        <w:ind w:left="357" w:hanging="357"/>
        <w:jc w:val="both"/>
        <w:rPr>
          <w:rFonts w:ascii="Arial" w:hAnsi="Arial" w:cs="Arial"/>
          <w:sz w:val="20"/>
          <w:szCs w:val="20"/>
        </w:rPr>
      </w:pPr>
      <w:r w:rsidRPr="00E4443A">
        <w:rPr>
          <w:rFonts w:ascii="Arial" w:hAnsi="Arial" w:cs="Arial"/>
          <w:sz w:val="20"/>
          <w:szCs w:val="20"/>
        </w:rPr>
        <w:t>dismiss the application; or</w:t>
      </w:r>
    </w:p>
    <w:p w14:paraId="534DCBA6" w14:textId="1E6A006D" w:rsidR="001459A2" w:rsidRDefault="001459A2">
      <w:pPr>
        <w:pStyle w:val="ListParagraph"/>
        <w:numPr>
          <w:ilvl w:val="0"/>
          <w:numId w:val="82"/>
        </w:numPr>
        <w:spacing w:after="0" w:line="240" w:lineRule="auto"/>
        <w:ind w:left="357" w:hanging="357"/>
        <w:jc w:val="both"/>
        <w:rPr>
          <w:rFonts w:ascii="Arial" w:hAnsi="Arial" w:cs="Arial"/>
          <w:sz w:val="20"/>
          <w:szCs w:val="20"/>
        </w:rPr>
      </w:pPr>
      <w:r w:rsidRPr="00E4443A">
        <w:rPr>
          <w:rFonts w:ascii="Arial" w:hAnsi="Arial" w:cs="Arial"/>
          <w:sz w:val="20"/>
          <w:szCs w:val="20"/>
        </w:rPr>
        <w:t>vary the order by–</w:t>
      </w:r>
    </w:p>
    <w:p w14:paraId="73AE861C" w14:textId="4C6DD5C7" w:rsidR="00E4443A" w:rsidRDefault="00EC4B07">
      <w:pPr>
        <w:pStyle w:val="ListParagraph"/>
        <w:numPr>
          <w:ilvl w:val="0"/>
          <w:numId w:val="81"/>
        </w:numPr>
        <w:spacing w:after="0" w:line="240" w:lineRule="auto"/>
        <w:ind w:left="714" w:hanging="357"/>
        <w:jc w:val="both"/>
        <w:rPr>
          <w:rFonts w:ascii="Arial" w:hAnsi="Arial" w:cs="Arial"/>
          <w:color w:val="000000"/>
          <w:sz w:val="20"/>
        </w:rPr>
      </w:pPr>
      <w:r w:rsidRPr="00EC4B07">
        <w:rPr>
          <w:rFonts w:ascii="Arial" w:hAnsi="Arial" w:cs="Arial"/>
          <w:color w:val="000000"/>
          <w:sz w:val="20"/>
        </w:rPr>
        <w:t xml:space="preserve">varying a special condition, including </w:t>
      </w:r>
      <w:r w:rsidR="00565983">
        <w:rPr>
          <w:rFonts w:ascii="Arial" w:hAnsi="Arial" w:cs="Arial"/>
          <w:color w:val="000000"/>
          <w:sz w:val="20"/>
        </w:rPr>
        <w:t xml:space="preserve">by </w:t>
      </w:r>
      <w:r w:rsidRPr="00EC4B07">
        <w:rPr>
          <w:rFonts w:ascii="Arial" w:hAnsi="Arial" w:cs="Arial"/>
          <w:color w:val="000000"/>
          <w:sz w:val="20"/>
        </w:rPr>
        <w:t>suspending or revoking the condition;</w:t>
      </w:r>
    </w:p>
    <w:p w14:paraId="108AA9CF" w14:textId="103F7ABA" w:rsidR="00EC4B07" w:rsidRDefault="00EC4B07">
      <w:pPr>
        <w:pStyle w:val="ListParagraph"/>
        <w:numPr>
          <w:ilvl w:val="0"/>
          <w:numId w:val="81"/>
        </w:numPr>
        <w:spacing w:after="0" w:line="240" w:lineRule="auto"/>
        <w:ind w:left="714" w:hanging="357"/>
        <w:jc w:val="both"/>
        <w:rPr>
          <w:rFonts w:ascii="Arial" w:hAnsi="Arial" w:cs="Arial"/>
          <w:color w:val="000000"/>
          <w:sz w:val="20"/>
        </w:rPr>
      </w:pPr>
      <w:r>
        <w:rPr>
          <w:rFonts w:ascii="Arial" w:hAnsi="Arial" w:cs="Arial"/>
          <w:color w:val="000000"/>
          <w:sz w:val="20"/>
        </w:rPr>
        <w:t>attaching a permitted special condition;</w:t>
      </w:r>
    </w:p>
    <w:p w14:paraId="03FD800B" w14:textId="2A6CD9AD" w:rsidR="00EC4B07" w:rsidRPr="00EC4B07" w:rsidRDefault="00EC4B07">
      <w:pPr>
        <w:pStyle w:val="ListParagraph"/>
        <w:numPr>
          <w:ilvl w:val="0"/>
          <w:numId w:val="81"/>
        </w:numPr>
        <w:spacing w:after="0" w:line="240" w:lineRule="auto"/>
        <w:ind w:left="714" w:hanging="357"/>
        <w:jc w:val="both"/>
        <w:rPr>
          <w:rFonts w:ascii="Arial" w:hAnsi="Arial" w:cs="Arial"/>
          <w:color w:val="000000"/>
          <w:sz w:val="20"/>
        </w:rPr>
      </w:pPr>
      <w:r>
        <w:rPr>
          <w:rFonts w:ascii="Arial" w:hAnsi="Arial" w:cs="Arial"/>
          <w:color w:val="000000"/>
          <w:sz w:val="20"/>
        </w:rPr>
        <w:t>if the order is a YSSO, ordering that the child be subject to judicial monitoring; or</w:t>
      </w:r>
    </w:p>
    <w:p w14:paraId="733DC1E4" w14:textId="3C4CD537" w:rsidR="00EC4B07" w:rsidRDefault="00EC4B07">
      <w:pPr>
        <w:pStyle w:val="ListParagraph"/>
        <w:numPr>
          <w:ilvl w:val="0"/>
          <w:numId w:val="82"/>
        </w:numPr>
        <w:spacing w:after="0" w:line="240" w:lineRule="auto"/>
        <w:ind w:left="357" w:hanging="357"/>
        <w:jc w:val="both"/>
        <w:rPr>
          <w:rFonts w:ascii="Arial" w:hAnsi="Arial" w:cs="Arial"/>
          <w:sz w:val="20"/>
          <w:szCs w:val="20"/>
        </w:rPr>
      </w:pPr>
      <w:r>
        <w:rPr>
          <w:rFonts w:ascii="Arial" w:hAnsi="Arial" w:cs="Arial"/>
          <w:sz w:val="20"/>
          <w:szCs w:val="20"/>
        </w:rPr>
        <w:t>revoke the order and make no further order; or</w:t>
      </w:r>
    </w:p>
    <w:p w14:paraId="1171CF57" w14:textId="0C689548" w:rsidR="00EC4B07" w:rsidRPr="00E4443A" w:rsidRDefault="00EC4B07">
      <w:pPr>
        <w:pStyle w:val="ListParagraph"/>
        <w:numPr>
          <w:ilvl w:val="0"/>
          <w:numId w:val="82"/>
        </w:numPr>
        <w:spacing w:after="0" w:line="240" w:lineRule="auto"/>
        <w:ind w:left="357" w:hanging="357"/>
        <w:jc w:val="both"/>
        <w:rPr>
          <w:rFonts w:ascii="Arial" w:hAnsi="Arial" w:cs="Arial"/>
          <w:sz w:val="20"/>
          <w:szCs w:val="20"/>
        </w:rPr>
      </w:pPr>
      <w:r>
        <w:rPr>
          <w:rFonts w:ascii="Arial" w:hAnsi="Arial" w:cs="Arial"/>
          <w:color w:val="000000"/>
          <w:sz w:val="20"/>
        </w:rPr>
        <w:t>revoke the order and make any other order it could have made if it had not made the revoked order but must not make a youth justice custodial order if the applicant is the DJCS Secretary.</w:t>
      </w:r>
    </w:p>
    <w:p w14:paraId="02BABDB8" w14:textId="7A7C643C" w:rsidR="001459A2" w:rsidRPr="00EC4B07" w:rsidRDefault="001459A2" w:rsidP="004834D6">
      <w:pPr>
        <w:spacing w:before="60"/>
        <w:jc w:val="both"/>
        <w:rPr>
          <w:rFonts w:ascii="Arial" w:hAnsi="Arial" w:cs="Arial"/>
          <w:sz w:val="20"/>
          <w:szCs w:val="20"/>
        </w:rPr>
      </w:pPr>
      <w:r w:rsidRPr="00EC4B07">
        <w:rPr>
          <w:rFonts w:ascii="Arial" w:hAnsi="Arial" w:cs="Arial"/>
          <w:sz w:val="20"/>
          <w:szCs w:val="20"/>
        </w:rPr>
        <w:t xml:space="preserve">However, under s.304(2) YJA the </w:t>
      </w:r>
      <w:r w:rsidR="00EF7A70">
        <w:rPr>
          <w:rFonts w:ascii="Arial" w:hAnsi="Arial" w:cs="Arial"/>
          <w:sz w:val="20"/>
          <w:szCs w:val="20"/>
        </w:rPr>
        <w:t xml:space="preserve">Children’s </w:t>
      </w:r>
      <w:r w:rsidRPr="00EC4B07">
        <w:rPr>
          <w:rFonts w:ascii="Arial" w:hAnsi="Arial" w:cs="Arial"/>
          <w:sz w:val="20"/>
          <w:szCs w:val="20"/>
        </w:rPr>
        <w:t>Court must not extend the period of the order unless the Court is varying a CSO</w:t>
      </w:r>
      <w:r w:rsidR="00A9170B" w:rsidRPr="00EC4B07">
        <w:rPr>
          <w:rFonts w:ascii="Arial" w:hAnsi="Arial" w:cs="Arial"/>
          <w:sz w:val="20"/>
          <w:szCs w:val="20"/>
        </w:rPr>
        <w:t xml:space="preserve"> in which case the Court may extend the period of the order by up to 3 months but must not increase the number of hours of community service activities.</w:t>
      </w:r>
    </w:p>
    <w:p w14:paraId="6039E3A0" w14:textId="50E4EC56" w:rsidR="00492BA4" w:rsidRPr="00EC4B07" w:rsidRDefault="00492BA4" w:rsidP="004834D6">
      <w:pPr>
        <w:spacing w:before="60"/>
        <w:jc w:val="both"/>
        <w:rPr>
          <w:rFonts w:ascii="Arial" w:hAnsi="Arial" w:cs="Arial"/>
          <w:sz w:val="20"/>
          <w:szCs w:val="20"/>
        </w:rPr>
      </w:pPr>
      <w:r w:rsidRPr="00EC4B07">
        <w:rPr>
          <w:rFonts w:ascii="Arial" w:hAnsi="Arial" w:cs="Arial"/>
          <w:sz w:val="20"/>
          <w:szCs w:val="20"/>
        </w:rPr>
        <w:t>Under s.304(4) YJA when the child attends for judicial monitoring under s.294 YJA, the Children’s Court, on its own motion, may exercise any of the powers in s.304(1)(b)-(d), other than revoking a YCO, if it considers it appropriate to do so.</w:t>
      </w:r>
    </w:p>
    <w:p w14:paraId="5E3A7A44" w14:textId="20746A26" w:rsidR="00492BA4" w:rsidRPr="00EC4B07" w:rsidRDefault="00492BA4" w:rsidP="004834D6">
      <w:pPr>
        <w:spacing w:before="60"/>
        <w:jc w:val="both"/>
        <w:rPr>
          <w:rFonts w:ascii="Arial" w:hAnsi="Arial" w:cs="Arial"/>
          <w:sz w:val="20"/>
          <w:szCs w:val="20"/>
        </w:rPr>
      </w:pPr>
      <w:r w:rsidRPr="00EC4B07">
        <w:rPr>
          <w:rFonts w:ascii="Arial" w:hAnsi="Arial" w:cs="Arial"/>
          <w:sz w:val="20"/>
          <w:szCs w:val="20"/>
        </w:rPr>
        <w:t xml:space="preserve">Under s.304(5) YJA, in determining whether it is appropriate to exercise a power under s.304(1) or </w:t>
      </w:r>
      <w:r w:rsidR="00EC4B07">
        <w:rPr>
          <w:rFonts w:ascii="Arial" w:hAnsi="Arial" w:cs="Arial"/>
          <w:sz w:val="20"/>
          <w:szCs w:val="20"/>
        </w:rPr>
        <w:t>s.304</w:t>
      </w:r>
      <w:r w:rsidRPr="00EC4B07">
        <w:rPr>
          <w:rFonts w:ascii="Arial" w:hAnsi="Arial" w:cs="Arial"/>
          <w:sz w:val="20"/>
          <w:szCs w:val="20"/>
        </w:rPr>
        <w:t xml:space="preserve">(4), the Children’s Court </w:t>
      </w:r>
      <w:r w:rsidRPr="005F4EA5">
        <w:rPr>
          <w:rFonts w:ascii="Arial" w:hAnsi="Arial" w:cs="Arial"/>
          <w:b/>
          <w:bCs/>
          <w:sz w:val="20"/>
          <w:szCs w:val="20"/>
        </w:rPr>
        <w:t>must</w:t>
      </w:r>
      <w:r w:rsidRPr="00EC4B07">
        <w:rPr>
          <w:rFonts w:ascii="Arial" w:hAnsi="Arial" w:cs="Arial"/>
          <w:sz w:val="20"/>
          <w:szCs w:val="20"/>
        </w:rPr>
        <w:t xml:space="preserve"> take into account–</w:t>
      </w:r>
    </w:p>
    <w:p w14:paraId="419331DC" w14:textId="14A874DA" w:rsidR="00492BA4" w:rsidRDefault="00492BA4">
      <w:pPr>
        <w:pStyle w:val="ListParagraph"/>
        <w:numPr>
          <w:ilvl w:val="0"/>
          <w:numId w:val="79"/>
        </w:numPr>
        <w:spacing w:after="0" w:line="240" w:lineRule="auto"/>
        <w:ind w:left="357" w:hanging="357"/>
        <w:jc w:val="both"/>
        <w:rPr>
          <w:rFonts w:ascii="Arial" w:hAnsi="Arial" w:cs="Arial"/>
          <w:color w:val="000000"/>
          <w:sz w:val="20"/>
        </w:rPr>
      </w:pPr>
      <w:r>
        <w:rPr>
          <w:rFonts w:ascii="Arial" w:hAnsi="Arial" w:cs="Arial"/>
          <w:color w:val="000000"/>
          <w:sz w:val="20"/>
        </w:rPr>
        <w:t>a variation report;</w:t>
      </w:r>
    </w:p>
    <w:p w14:paraId="585A53B5" w14:textId="09EB100D" w:rsidR="00492BA4" w:rsidRDefault="00492BA4">
      <w:pPr>
        <w:pStyle w:val="ListParagraph"/>
        <w:numPr>
          <w:ilvl w:val="0"/>
          <w:numId w:val="79"/>
        </w:numPr>
        <w:spacing w:after="0" w:line="240" w:lineRule="auto"/>
        <w:ind w:left="357" w:hanging="357"/>
        <w:jc w:val="both"/>
        <w:rPr>
          <w:rFonts w:ascii="Arial" w:hAnsi="Arial" w:cs="Arial"/>
          <w:color w:val="000000"/>
          <w:sz w:val="20"/>
        </w:rPr>
      </w:pPr>
      <w:r>
        <w:rPr>
          <w:rFonts w:ascii="Arial" w:hAnsi="Arial" w:cs="Arial"/>
          <w:color w:val="000000"/>
          <w:sz w:val="20"/>
        </w:rPr>
        <w:t>the fact that the order was considered appropriate at the time of sentencing;</w:t>
      </w:r>
    </w:p>
    <w:p w14:paraId="6269FD2D" w14:textId="112F3176" w:rsidR="00492BA4" w:rsidRDefault="00492BA4">
      <w:pPr>
        <w:pStyle w:val="ListParagraph"/>
        <w:numPr>
          <w:ilvl w:val="0"/>
          <w:numId w:val="79"/>
        </w:numPr>
        <w:spacing w:after="0" w:line="240" w:lineRule="auto"/>
        <w:ind w:left="357" w:hanging="357"/>
        <w:jc w:val="both"/>
        <w:rPr>
          <w:rFonts w:ascii="Arial" w:hAnsi="Arial" w:cs="Arial"/>
          <w:color w:val="000000"/>
          <w:sz w:val="20"/>
        </w:rPr>
      </w:pPr>
      <w:r>
        <w:rPr>
          <w:rFonts w:ascii="Arial" w:hAnsi="Arial" w:cs="Arial"/>
          <w:color w:val="000000"/>
          <w:sz w:val="20"/>
        </w:rPr>
        <w:t>the extent of the child’s compliance with the order; and</w:t>
      </w:r>
    </w:p>
    <w:p w14:paraId="5C6B6ED2" w14:textId="3EAE7F62" w:rsidR="00492BA4" w:rsidRDefault="00492BA4">
      <w:pPr>
        <w:pStyle w:val="ListParagraph"/>
        <w:numPr>
          <w:ilvl w:val="0"/>
          <w:numId w:val="79"/>
        </w:numPr>
        <w:spacing w:after="0" w:line="240" w:lineRule="auto"/>
        <w:ind w:left="357" w:hanging="357"/>
        <w:jc w:val="both"/>
        <w:rPr>
          <w:rFonts w:ascii="Arial" w:hAnsi="Arial" w:cs="Arial"/>
          <w:color w:val="000000"/>
          <w:sz w:val="20"/>
        </w:rPr>
      </w:pPr>
      <w:r>
        <w:rPr>
          <w:rFonts w:ascii="Arial" w:hAnsi="Arial" w:cs="Arial"/>
          <w:color w:val="000000"/>
          <w:sz w:val="20"/>
        </w:rPr>
        <w:t>the child’s youth justice plan (if any).</w:t>
      </w:r>
    </w:p>
    <w:p w14:paraId="69FE8B53" w14:textId="77777777" w:rsidR="001459A2" w:rsidRPr="00A01DA4" w:rsidRDefault="001459A2" w:rsidP="004834D6">
      <w:pPr>
        <w:pStyle w:val="Heading3"/>
        <w:spacing w:line="240" w:lineRule="auto"/>
        <w:rPr>
          <w:rFonts w:ascii="Arial" w:hAnsi="Arial" w:cs="Arial"/>
          <w:color w:val="000000"/>
          <w:sz w:val="18"/>
          <w:szCs w:val="18"/>
        </w:rPr>
      </w:pPr>
    </w:p>
    <w:p w14:paraId="557B8542" w14:textId="42F4335D" w:rsidR="00492BA4" w:rsidRDefault="00492BA4" w:rsidP="004834D6">
      <w:pPr>
        <w:jc w:val="both"/>
        <w:rPr>
          <w:rFonts w:ascii="Arial" w:hAnsi="Arial" w:cs="Arial"/>
          <w:sz w:val="20"/>
          <w:szCs w:val="20"/>
        </w:rPr>
      </w:pPr>
      <w:r w:rsidRPr="00EC4B07">
        <w:rPr>
          <w:rFonts w:ascii="Arial" w:hAnsi="Arial" w:cs="Arial"/>
          <w:sz w:val="20"/>
          <w:szCs w:val="20"/>
        </w:rPr>
        <w:t>Under s.306 YJA a YSSO or YCO may be varied or revoked under s.304 without the consent of the child and without a warning having been given to the child under s.295 YJA.</w:t>
      </w:r>
    </w:p>
    <w:p w14:paraId="59B4EE45" w14:textId="77777777" w:rsidR="00BE571A" w:rsidRPr="00A01DA4" w:rsidRDefault="00BE571A" w:rsidP="004834D6">
      <w:pPr>
        <w:jc w:val="both"/>
        <w:rPr>
          <w:rFonts w:ascii="Arial" w:hAnsi="Arial" w:cs="Arial"/>
          <w:sz w:val="18"/>
          <w:szCs w:val="18"/>
        </w:rPr>
      </w:pPr>
    </w:p>
    <w:p w14:paraId="4D864212" w14:textId="36BC281C" w:rsidR="000D3DC6" w:rsidRPr="000D3DC6" w:rsidRDefault="00BE571A" w:rsidP="004834D6">
      <w:pPr>
        <w:jc w:val="both"/>
        <w:rPr>
          <w:rFonts w:ascii="Arial" w:hAnsi="Arial" w:cs="Arial"/>
          <w:sz w:val="20"/>
          <w:szCs w:val="20"/>
        </w:rPr>
      </w:pPr>
      <w:r>
        <w:rPr>
          <w:rFonts w:ascii="Arial" w:hAnsi="Arial" w:cs="Arial"/>
          <w:sz w:val="20"/>
          <w:szCs w:val="20"/>
        </w:rPr>
        <w:t>New s.320 YJA provides that if a child is in custody while subject to an order imposing a fine or instalment order</w:t>
      </w:r>
      <w:r w:rsidR="000D3DC6">
        <w:rPr>
          <w:rFonts w:ascii="Arial" w:hAnsi="Arial" w:cs="Arial"/>
          <w:sz w:val="20"/>
          <w:szCs w:val="20"/>
        </w:rPr>
        <w:t xml:space="preserve">, the child may apply for an order or </w:t>
      </w:r>
      <w:r w:rsidR="000D3DC6" w:rsidRPr="000D3DC6">
        <w:rPr>
          <w:rFonts w:ascii="Arial" w:hAnsi="Arial" w:cs="Arial"/>
          <w:sz w:val="20"/>
          <w:szCs w:val="20"/>
        </w:rPr>
        <w:t>the Children’s Court</w:t>
      </w:r>
      <w:r w:rsidR="00993F22">
        <w:rPr>
          <w:rFonts w:ascii="Arial" w:hAnsi="Arial" w:cs="Arial"/>
          <w:sz w:val="20"/>
          <w:szCs w:val="20"/>
        </w:rPr>
        <w:t xml:space="preserve"> (</w:t>
      </w:r>
      <w:r w:rsidR="000D3DC6" w:rsidRPr="000D3DC6">
        <w:rPr>
          <w:rFonts w:ascii="Arial" w:hAnsi="Arial" w:cs="Arial"/>
          <w:sz w:val="20"/>
          <w:szCs w:val="20"/>
        </w:rPr>
        <w:t>on its own motion</w:t>
      </w:r>
      <w:r w:rsidR="00993F22">
        <w:rPr>
          <w:rFonts w:ascii="Arial" w:hAnsi="Arial" w:cs="Arial"/>
          <w:sz w:val="20"/>
          <w:szCs w:val="20"/>
        </w:rPr>
        <w:t>)</w:t>
      </w:r>
      <w:r w:rsidR="000D3DC6" w:rsidRPr="000D3DC6">
        <w:rPr>
          <w:rFonts w:ascii="Arial" w:hAnsi="Arial" w:cs="Arial"/>
          <w:sz w:val="20"/>
          <w:szCs w:val="20"/>
        </w:rPr>
        <w:t xml:space="preserve"> may cause the child to be served with a notice to appear before the Court for </w:t>
      </w:r>
      <w:r w:rsidR="000D3DC6">
        <w:rPr>
          <w:rFonts w:ascii="Arial" w:hAnsi="Arial" w:cs="Arial"/>
          <w:sz w:val="20"/>
          <w:szCs w:val="20"/>
        </w:rPr>
        <w:t>an order that–</w:t>
      </w:r>
    </w:p>
    <w:p w14:paraId="2C851AC3" w14:textId="018FF015" w:rsidR="00BE571A" w:rsidRDefault="00BE571A">
      <w:pPr>
        <w:pStyle w:val="ListParagraph"/>
        <w:numPr>
          <w:ilvl w:val="0"/>
          <w:numId w:val="92"/>
        </w:numPr>
        <w:spacing w:after="0" w:line="240" w:lineRule="auto"/>
        <w:ind w:left="357" w:hanging="357"/>
        <w:jc w:val="both"/>
        <w:rPr>
          <w:rFonts w:ascii="Arial" w:hAnsi="Arial" w:cs="Arial"/>
          <w:sz w:val="20"/>
          <w:szCs w:val="20"/>
        </w:rPr>
      </w:pPr>
      <w:r>
        <w:rPr>
          <w:rFonts w:ascii="Arial" w:hAnsi="Arial" w:cs="Arial"/>
          <w:sz w:val="20"/>
          <w:szCs w:val="20"/>
        </w:rPr>
        <w:t>the outstanding fine be discharged in full or in part; or</w:t>
      </w:r>
    </w:p>
    <w:p w14:paraId="56BAF3CF" w14:textId="0A2D0DC4" w:rsidR="00BE571A" w:rsidRDefault="00BE571A">
      <w:pPr>
        <w:pStyle w:val="ListParagraph"/>
        <w:numPr>
          <w:ilvl w:val="0"/>
          <w:numId w:val="92"/>
        </w:numPr>
        <w:spacing w:after="0" w:line="240" w:lineRule="auto"/>
        <w:ind w:left="357" w:hanging="357"/>
        <w:jc w:val="both"/>
        <w:rPr>
          <w:rFonts w:ascii="Arial" w:hAnsi="Arial" w:cs="Arial"/>
          <w:sz w:val="20"/>
          <w:szCs w:val="20"/>
        </w:rPr>
      </w:pPr>
      <w:r>
        <w:rPr>
          <w:rFonts w:ascii="Arial" w:hAnsi="Arial" w:cs="Arial"/>
          <w:sz w:val="20"/>
          <w:szCs w:val="20"/>
        </w:rPr>
        <w:t>the fine or instalment order be varied; or</w:t>
      </w:r>
    </w:p>
    <w:p w14:paraId="28E5FCF9" w14:textId="233749D5" w:rsidR="00BE571A" w:rsidRDefault="00BE571A">
      <w:pPr>
        <w:pStyle w:val="ListParagraph"/>
        <w:numPr>
          <w:ilvl w:val="0"/>
          <w:numId w:val="92"/>
        </w:numPr>
        <w:spacing w:after="0" w:line="240" w:lineRule="auto"/>
        <w:ind w:left="357" w:hanging="357"/>
        <w:jc w:val="both"/>
        <w:rPr>
          <w:rFonts w:ascii="Arial" w:hAnsi="Arial" w:cs="Arial"/>
          <w:sz w:val="20"/>
          <w:szCs w:val="20"/>
        </w:rPr>
      </w:pPr>
      <w:r>
        <w:rPr>
          <w:rFonts w:ascii="Arial" w:hAnsi="Arial" w:cs="Arial"/>
          <w:sz w:val="20"/>
          <w:szCs w:val="20"/>
        </w:rPr>
        <w:t>the fine then unpaid be levied by a warrant to seize property; or</w:t>
      </w:r>
    </w:p>
    <w:p w14:paraId="0D3A7FA6" w14:textId="6F4B23BD" w:rsidR="00BE571A" w:rsidRPr="00BE571A" w:rsidRDefault="000D3DC6">
      <w:pPr>
        <w:pStyle w:val="ListParagraph"/>
        <w:numPr>
          <w:ilvl w:val="0"/>
          <w:numId w:val="92"/>
        </w:numPr>
        <w:spacing w:after="0" w:line="240" w:lineRule="auto"/>
        <w:ind w:left="357" w:hanging="357"/>
        <w:jc w:val="both"/>
        <w:rPr>
          <w:rFonts w:ascii="Arial" w:hAnsi="Arial" w:cs="Arial"/>
          <w:sz w:val="20"/>
          <w:szCs w:val="20"/>
        </w:rPr>
      </w:pPr>
      <w:r>
        <w:rPr>
          <w:rFonts w:ascii="Arial" w:hAnsi="Arial" w:cs="Arial"/>
          <w:sz w:val="20"/>
          <w:szCs w:val="20"/>
        </w:rPr>
        <w:t>the hearing of the matter be adjourned for up to 6 months on any terms the Court thinks fit.</w:t>
      </w:r>
    </w:p>
    <w:p w14:paraId="225C59F8" w14:textId="77777777" w:rsidR="00492BA4" w:rsidRPr="001459A2" w:rsidRDefault="00492BA4" w:rsidP="001459A2">
      <w:pPr>
        <w:pStyle w:val="Heading3"/>
        <w:spacing w:line="240" w:lineRule="auto"/>
        <w:rPr>
          <w:rFonts w:ascii="Arial" w:hAnsi="Arial" w:cs="Arial"/>
          <w:color w:val="000000"/>
          <w:sz w:val="20"/>
        </w:rPr>
      </w:pPr>
    </w:p>
    <w:p w14:paraId="16F2FBEF" w14:textId="5FABFF03" w:rsidR="00680768" w:rsidRPr="00F51496" w:rsidRDefault="00C11A46" w:rsidP="00680768">
      <w:pPr>
        <w:pStyle w:val="Heading3"/>
        <w:keepNext/>
        <w:spacing w:after="120" w:line="240" w:lineRule="auto"/>
        <w:rPr>
          <w:rFonts w:ascii="Arial" w:hAnsi="Arial" w:cs="Arial"/>
          <w:b/>
          <w:bCs/>
          <w:color w:val="000000"/>
          <w:sz w:val="20"/>
        </w:rPr>
      </w:pPr>
      <w:bookmarkStart w:id="112" w:name="_7.1.6_Proceedings_for_1"/>
      <w:bookmarkEnd w:id="112"/>
      <w:r w:rsidRPr="00F51496">
        <w:rPr>
          <w:rFonts w:ascii="Arial" w:hAnsi="Arial" w:cs="Arial"/>
          <w:b/>
          <w:bCs/>
          <w:color w:val="000000"/>
          <w:sz w:val="20"/>
        </w:rPr>
        <w:t>7.</w:t>
      </w:r>
      <w:r w:rsidR="00706933">
        <w:rPr>
          <w:rFonts w:ascii="Arial" w:hAnsi="Arial" w:cs="Arial"/>
          <w:b/>
          <w:bCs/>
          <w:color w:val="000000"/>
          <w:sz w:val="20"/>
        </w:rPr>
        <w:t>1.</w:t>
      </w:r>
      <w:r w:rsidR="0039213D">
        <w:rPr>
          <w:rFonts w:ascii="Arial" w:hAnsi="Arial" w:cs="Arial"/>
          <w:b/>
          <w:bCs/>
          <w:color w:val="000000"/>
          <w:sz w:val="20"/>
        </w:rPr>
        <w:t>6</w:t>
      </w:r>
      <w:r w:rsidRPr="00F51496">
        <w:rPr>
          <w:rFonts w:ascii="Arial" w:hAnsi="Arial" w:cs="Arial"/>
          <w:b/>
          <w:bCs/>
          <w:color w:val="000000"/>
          <w:sz w:val="20"/>
        </w:rPr>
        <w:tab/>
      </w:r>
      <w:r w:rsidR="000E191D">
        <w:rPr>
          <w:rFonts w:ascii="Arial" w:hAnsi="Arial" w:cs="Arial"/>
          <w:b/>
          <w:bCs/>
          <w:color w:val="000000"/>
          <w:sz w:val="20"/>
        </w:rPr>
        <w:t xml:space="preserve">Proceeding for </w:t>
      </w:r>
      <w:r w:rsidR="00DE4D20">
        <w:rPr>
          <w:rFonts w:ascii="Arial" w:hAnsi="Arial" w:cs="Arial"/>
          <w:b/>
          <w:bCs/>
          <w:color w:val="000000"/>
          <w:sz w:val="20"/>
        </w:rPr>
        <w:t>contravention</w:t>
      </w:r>
      <w:r w:rsidR="000E191D">
        <w:rPr>
          <w:rFonts w:ascii="Arial" w:hAnsi="Arial" w:cs="Arial"/>
          <w:b/>
          <w:bCs/>
          <w:color w:val="000000"/>
          <w:sz w:val="20"/>
        </w:rPr>
        <w:t xml:space="preserve"> of </w:t>
      </w:r>
      <w:r w:rsidR="00BE568B">
        <w:rPr>
          <w:rFonts w:ascii="Arial" w:hAnsi="Arial" w:cs="Arial"/>
          <w:b/>
          <w:bCs/>
          <w:color w:val="000000"/>
          <w:sz w:val="20"/>
        </w:rPr>
        <w:t xml:space="preserve">a </w:t>
      </w:r>
      <w:r w:rsidR="0039213D">
        <w:rPr>
          <w:rFonts w:ascii="Arial" w:hAnsi="Arial" w:cs="Arial"/>
          <w:b/>
          <w:bCs/>
          <w:color w:val="000000"/>
          <w:sz w:val="20"/>
        </w:rPr>
        <w:t>community-based sentenc</w:t>
      </w:r>
      <w:r w:rsidR="004E4DB5">
        <w:rPr>
          <w:rFonts w:ascii="Arial" w:hAnsi="Arial" w:cs="Arial"/>
          <w:b/>
          <w:bCs/>
          <w:color w:val="000000"/>
          <w:sz w:val="20"/>
        </w:rPr>
        <w:t>e</w:t>
      </w:r>
      <w:r w:rsidR="00AC4BC3">
        <w:rPr>
          <w:rFonts w:ascii="Arial" w:hAnsi="Arial" w:cs="Arial"/>
          <w:b/>
          <w:bCs/>
          <w:color w:val="000000"/>
          <w:sz w:val="20"/>
        </w:rPr>
        <w:t xml:space="preserve"> other than a fine</w:t>
      </w:r>
    </w:p>
    <w:p w14:paraId="7F74C1C3" w14:textId="1294AAFF" w:rsidR="004D69B6" w:rsidRDefault="00616798" w:rsidP="00977548">
      <w:pPr>
        <w:jc w:val="both"/>
        <w:rPr>
          <w:rFonts w:ascii="Arial" w:hAnsi="Arial" w:cs="Arial"/>
          <w:color w:val="000000"/>
          <w:sz w:val="20"/>
        </w:rPr>
      </w:pPr>
      <w:r>
        <w:rPr>
          <w:rFonts w:ascii="Arial" w:hAnsi="Arial" w:cs="Arial"/>
          <w:color w:val="000000"/>
          <w:sz w:val="20"/>
        </w:rPr>
        <w:t>A p</w:t>
      </w:r>
      <w:r w:rsidR="00977548">
        <w:rPr>
          <w:rFonts w:ascii="Arial" w:hAnsi="Arial" w:cs="Arial"/>
          <w:color w:val="000000"/>
          <w:sz w:val="20"/>
        </w:rPr>
        <w:t>roceeding for contravention/breach</w:t>
      </w:r>
      <w:r w:rsidR="00977548" w:rsidRPr="00F51496">
        <w:rPr>
          <w:rFonts w:ascii="Arial" w:hAnsi="Arial" w:cs="Arial"/>
          <w:color w:val="000000"/>
          <w:sz w:val="20"/>
        </w:rPr>
        <w:t xml:space="preserve"> of a </w:t>
      </w:r>
      <w:r w:rsidR="00977548">
        <w:rPr>
          <w:rFonts w:ascii="Arial" w:hAnsi="Arial" w:cs="Arial"/>
          <w:color w:val="000000"/>
          <w:sz w:val="20"/>
        </w:rPr>
        <w:t xml:space="preserve">community-based </w:t>
      </w:r>
      <w:r w:rsidR="00977548" w:rsidRPr="00F51496">
        <w:rPr>
          <w:rFonts w:ascii="Arial" w:hAnsi="Arial" w:cs="Arial"/>
          <w:color w:val="000000"/>
          <w:sz w:val="20"/>
        </w:rPr>
        <w:t>sentenc</w:t>
      </w:r>
      <w:r w:rsidR="00977548">
        <w:rPr>
          <w:rFonts w:ascii="Arial" w:hAnsi="Arial" w:cs="Arial"/>
          <w:color w:val="000000"/>
          <w:sz w:val="20"/>
        </w:rPr>
        <w:t>ing order</w:t>
      </w:r>
      <w:r w:rsidR="008F02E0">
        <w:rPr>
          <w:rFonts w:ascii="Arial" w:hAnsi="Arial" w:cs="Arial"/>
          <w:color w:val="000000"/>
          <w:sz w:val="20"/>
        </w:rPr>
        <w:t xml:space="preserve"> other than a fine </w:t>
      </w:r>
      <w:r>
        <w:rPr>
          <w:rFonts w:ascii="Arial" w:hAnsi="Arial" w:cs="Arial"/>
          <w:color w:val="000000"/>
          <w:sz w:val="20"/>
        </w:rPr>
        <w:t>is</w:t>
      </w:r>
      <w:r w:rsidR="008F02E0">
        <w:rPr>
          <w:rFonts w:ascii="Arial" w:hAnsi="Arial" w:cs="Arial"/>
          <w:color w:val="000000"/>
          <w:sz w:val="20"/>
        </w:rPr>
        <w:t xml:space="preserve"> governed by</w:t>
      </w:r>
      <w:r w:rsidR="00977548">
        <w:rPr>
          <w:rFonts w:ascii="Arial" w:hAnsi="Arial" w:cs="Arial"/>
          <w:color w:val="000000"/>
          <w:sz w:val="20"/>
        </w:rPr>
        <w:t xml:space="preserve"> </w:t>
      </w:r>
      <w:r w:rsidR="00977548" w:rsidRPr="00242E91">
        <w:rPr>
          <w:rFonts w:ascii="Arial" w:hAnsi="Arial" w:cs="Arial"/>
          <w:b/>
          <w:bCs/>
          <w:color w:val="000000"/>
          <w:sz w:val="20"/>
        </w:rPr>
        <w:t>Part</w:t>
      </w:r>
      <w:r w:rsidR="00977548" w:rsidRPr="00565983">
        <w:rPr>
          <w:rFonts w:ascii="Arial" w:hAnsi="Arial" w:cs="Arial"/>
          <w:color w:val="FFFFFF" w:themeColor="background1"/>
          <w:sz w:val="20"/>
        </w:rPr>
        <w:t> </w:t>
      </w:r>
      <w:r w:rsidR="00977548" w:rsidRPr="00242E91">
        <w:rPr>
          <w:rFonts w:ascii="Arial" w:hAnsi="Arial" w:cs="Arial"/>
          <w:b/>
          <w:bCs/>
          <w:color w:val="000000"/>
          <w:sz w:val="20"/>
        </w:rPr>
        <w:t>7.11 (ss.307</w:t>
      </w:r>
      <w:r w:rsidR="00977548" w:rsidRPr="00242E91">
        <w:rPr>
          <w:rFonts w:ascii="Arial" w:hAnsi="Arial" w:cs="Arial"/>
          <w:b/>
          <w:bCs/>
          <w:color w:val="000000"/>
          <w:sz w:val="20"/>
        </w:rPr>
        <w:noBreakHyphen/>
        <w:t>314) YJA</w:t>
      </w:r>
      <w:r w:rsidR="00977548">
        <w:rPr>
          <w:rFonts w:ascii="Arial" w:hAnsi="Arial" w:cs="Arial"/>
          <w:color w:val="000000"/>
          <w:sz w:val="20"/>
        </w:rPr>
        <w:t xml:space="preserve"> [cf. ss.</w:t>
      </w:r>
      <w:r w:rsidR="004D69B6">
        <w:rPr>
          <w:rFonts w:ascii="Arial" w:hAnsi="Arial" w:cs="Arial"/>
          <w:color w:val="000000"/>
          <w:sz w:val="20"/>
        </w:rPr>
        <w:t>366, 371, 384, 392, 408, 409Q CYFA]. Under the CYFA s</w:t>
      </w:r>
      <w:r w:rsidR="00426405">
        <w:rPr>
          <w:rFonts w:ascii="Arial" w:hAnsi="Arial" w:cs="Arial"/>
          <w:color w:val="000000"/>
          <w:sz w:val="20"/>
        </w:rPr>
        <w:t>s</w:t>
      </w:r>
      <w:r w:rsidR="004D69B6">
        <w:rPr>
          <w:rFonts w:ascii="Arial" w:hAnsi="Arial" w:cs="Arial"/>
          <w:color w:val="000000"/>
          <w:sz w:val="20"/>
        </w:rPr>
        <w:t>.</w:t>
      </w:r>
      <w:r w:rsidR="00426405">
        <w:rPr>
          <w:rFonts w:ascii="Arial" w:hAnsi="Arial" w:cs="Arial"/>
          <w:color w:val="000000"/>
          <w:sz w:val="20"/>
        </w:rPr>
        <w:t xml:space="preserve">378 &amp; </w:t>
      </w:r>
      <w:r w:rsidR="004D69B6">
        <w:rPr>
          <w:rFonts w:ascii="Arial" w:hAnsi="Arial" w:cs="Arial"/>
          <w:color w:val="000000"/>
          <w:sz w:val="20"/>
        </w:rPr>
        <w:t xml:space="preserve">423 also governed default in payment of a CYFA fine or of any instalment under an instalment order but </w:t>
      </w:r>
      <w:r w:rsidR="00426405">
        <w:rPr>
          <w:rFonts w:ascii="Arial" w:hAnsi="Arial" w:cs="Arial"/>
          <w:color w:val="000000"/>
          <w:sz w:val="20"/>
        </w:rPr>
        <w:t xml:space="preserve">under the YJA </w:t>
      </w:r>
      <w:r w:rsidR="004D69B6">
        <w:rPr>
          <w:rFonts w:ascii="Arial" w:hAnsi="Arial" w:cs="Arial"/>
          <w:color w:val="000000"/>
          <w:sz w:val="20"/>
        </w:rPr>
        <w:t xml:space="preserve">fine defaults are governed by ss.257-261 YJA (discussed in </w:t>
      </w:r>
      <w:r w:rsidR="004D69B6" w:rsidRPr="00F9096F">
        <w:rPr>
          <w:rFonts w:ascii="Arial" w:hAnsi="Arial" w:cs="Arial"/>
          <w:b/>
          <w:bCs/>
          <w:color w:val="000000"/>
          <w:sz w:val="20"/>
          <w:shd w:val="clear" w:color="auto" w:fill="C5E0B3" w:themeFill="accent6" w:themeFillTint="66"/>
        </w:rPr>
        <w:t>section 7.1.7</w:t>
      </w:r>
      <w:r w:rsidR="004D69B6">
        <w:rPr>
          <w:rFonts w:ascii="Arial" w:hAnsi="Arial" w:cs="Arial"/>
          <w:color w:val="000000"/>
          <w:sz w:val="20"/>
        </w:rPr>
        <w:t xml:space="preserve"> below). See</w:t>
      </w:r>
      <w:r w:rsidR="004D69B6" w:rsidRPr="00426405">
        <w:rPr>
          <w:rFonts w:ascii="Arial" w:hAnsi="Arial" w:cs="Arial"/>
          <w:color w:val="FFFFFF" w:themeColor="background1"/>
          <w:sz w:val="20"/>
        </w:rPr>
        <w:t> </w:t>
      </w:r>
      <w:r w:rsidR="004D69B6" w:rsidRPr="009F75C8">
        <w:rPr>
          <w:rFonts w:ascii="Arial" w:hAnsi="Arial" w:cs="Arial"/>
          <w:color w:val="000000"/>
          <w:sz w:val="20"/>
        </w:rPr>
        <w:t>ss.87</w:t>
      </w:r>
      <w:r w:rsidR="004D69B6">
        <w:rPr>
          <w:rFonts w:ascii="Arial" w:hAnsi="Arial" w:cs="Arial"/>
          <w:color w:val="000000"/>
          <w:sz w:val="20"/>
        </w:rPr>
        <w:t>1</w:t>
      </w:r>
      <w:r w:rsidR="004D69B6" w:rsidRPr="009F75C8">
        <w:rPr>
          <w:rFonts w:ascii="Arial" w:hAnsi="Arial" w:cs="Arial"/>
          <w:color w:val="000000"/>
          <w:sz w:val="20"/>
        </w:rPr>
        <w:t xml:space="preserve">-885 YJA for transitional provisions relating to </w:t>
      </w:r>
      <w:r w:rsidR="004D69B6">
        <w:rPr>
          <w:rFonts w:ascii="Arial" w:hAnsi="Arial" w:cs="Arial"/>
          <w:color w:val="000000"/>
          <w:sz w:val="20"/>
        </w:rPr>
        <w:t>proceedings</w:t>
      </w:r>
      <w:r w:rsidR="004D69B6" w:rsidRPr="009F75C8">
        <w:rPr>
          <w:rFonts w:ascii="Arial" w:hAnsi="Arial" w:cs="Arial"/>
          <w:color w:val="000000"/>
          <w:sz w:val="20"/>
        </w:rPr>
        <w:t xml:space="preserve"> </w:t>
      </w:r>
      <w:r w:rsidR="004D69B6">
        <w:rPr>
          <w:rFonts w:ascii="Arial" w:hAnsi="Arial" w:cs="Arial"/>
          <w:color w:val="000000"/>
          <w:sz w:val="20"/>
        </w:rPr>
        <w:t>for contraven</w:t>
      </w:r>
      <w:r w:rsidR="004D69B6" w:rsidRPr="009F75C8">
        <w:rPr>
          <w:rFonts w:ascii="Arial" w:hAnsi="Arial" w:cs="Arial"/>
          <w:color w:val="000000"/>
          <w:sz w:val="20"/>
        </w:rPr>
        <w:t>tion</w:t>
      </w:r>
      <w:r w:rsidR="004D69B6">
        <w:rPr>
          <w:rFonts w:ascii="Arial" w:hAnsi="Arial" w:cs="Arial"/>
          <w:color w:val="000000"/>
          <w:sz w:val="20"/>
        </w:rPr>
        <w:t>/breach</w:t>
      </w:r>
      <w:r w:rsidR="004D69B6" w:rsidRPr="009F75C8">
        <w:rPr>
          <w:rFonts w:ascii="Arial" w:hAnsi="Arial" w:cs="Arial"/>
          <w:color w:val="000000"/>
          <w:sz w:val="20"/>
        </w:rPr>
        <w:t xml:space="preserve"> of a CYFA </w:t>
      </w:r>
      <w:r w:rsidR="004D69B6">
        <w:rPr>
          <w:rFonts w:ascii="Arial" w:hAnsi="Arial" w:cs="Arial"/>
          <w:color w:val="000000"/>
          <w:sz w:val="20"/>
        </w:rPr>
        <w:t xml:space="preserve">community-based </w:t>
      </w:r>
      <w:r w:rsidR="004D69B6" w:rsidRPr="009F75C8">
        <w:rPr>
          <w:rFonts w:ascii="Arial" w:hAnsi="Arial" w:cs="Arial"/>
          <w:color w:val="000000"/>
          <w:sz w:val="20"/>
        </w:rPr>
        <w:t>sentencing order</w:t>
      </w:r>
      <w:r w:rsidR="00426405">
        <w:rPr>
          <w:rFonts w:ascii="Arial" w:hAnsi="Arial" w:cs="Arial"/>
          <w:color w:val="000000"/>
          <w:sz w:val="20"/>
        </w:rPr>
        <w:t>.</w:t>
      </w:r>
    </w:p>
    <w:p w14:paraId="37F23888" w14:textId="77777777" w:rsidR="00AC4BC3" w:rsidRPr="000B268C" w:rsidRDefault="00AC4BC3" w:rsidP="00AC4BC3">
      <w:pPr>
        <w:jc w:val="both"/>
        <w:rPr>
          <w:rFonts w:ascii="Arial" w:hAnsi="Arial" w:cs="Arial"/>
          <w:color w:val="000000"/>
          <w:sz w:val="18"/>
          <w:szCs w:val="22"/>
        </w:rPr>
      </w:pPr>
    </w:p>
    <w:tbl>
      <w:tblPr>
        <w:tblStyle w:val="TableGrid"/>
        <w:tblW w:w="9128" w:type="dxa"/>
        <w:tblLook w:val="04A0" w:firstRow="1" w:lastRow="0" w:firstColumn="1" w:lastColumn="0" w:noHBand="0" w:noVBand="1"/>
      </w:tblPr>
      <w:tblGrid>
        <w:gridCol w:w="9128"/>
      </w:tblGrid>
      <w:tr w:rsidR="00AC4BC3" w:rsidRPr="00BD4366" w14:paraId="6C5CB5F9" w14:textId="77777777" w:rsidTr="000A020A">
        <w:tc>
          <w:tcPr>
            <w:tcW w:w="9128" w:type="dxa"/>
            <w:shd w:val="clear" w:color="auto" w:fill="000000" w:themeFill="text1"/>
          </w:tcPr>
          <w:p w14:paraId="626F8C0D" w14:textId="02AFABEC" w:rsidR="00BD4366" w:rsidRPr="00BD4366" w:rsidRDefault="00AC4BC3" w:rsidP="00BD4366">
            <w:pPr>
              <w:jc w:val="center"/>
              <w:rPr>
                <w:rFonts w:ascii="Arial" w:hAnsi="Arial" w:cs="Arial"/>
                <w:b/>
                <w:bCs/>
                <w:sz w:val="20"/>
              </w:rPr>
            </w:pPr>
            <w:r w:rsidRPr="00BD4366">
              <w:rPr>
                <w:rFonts w:ascii="Arial" w:hAnsi="Arial" w:cs="Arial"/>
                <w:b/>
                <w:bCs/>
                <w:sz w:val="20"/>
              </w:rPr>
              <w:t xml:space="preserve">COMMENCEMENT OF A </w:t>
            </w:r>
            <w:r w:rsidR="00A9011D">
              <w:rPr>
                <w:rFonts w:ascii="Arial" w:hAnsi="Arial" w:cs="Arial"/>
                <w:b/>
                <w:bCs/>
                <w:sz w:val="20"/>
              </w:rPr>
              <w:t>GBO, CSO, PRO, YSSO OR YCO</w:t>
            </w:r>
            <w:r w:rsidRPr="00BD4366">
              <w:rPr>
                <w:rFonts w:ascii="Arial" w:hAnsi="Arial" w:cs="Arial"/>
                <w:b/>
                <w:bCs/>
                <w:sz w:val="20"/>
              </w:rPr>
              <w:t xml:space="preserve"> CONTRAVENTION</w:t>
            </w:r>
            <w:r w:rsidR="00A9011D">
              <w:rPr>
                <w:rFonts w:ascii="Arial" w:hAnsi="Arial" w:cs="Arial"/>
                <w:b/>
                <w:bCs/>
                <w:sz w:val="20"/>
              </w:rPr>
              <w:t xml:space="preserve"> </w:t>
            </w:r>
            <w:r w:rsidRPr="00BD4366">
              <w:rPr>
                <w:rFonts w:ascii="Arial" w:hAnsi="Arial" w:cs="Arial"/>
                <w:b/>
                <w:bCs/>
                <w:sz w:val="20"/>
              </w:rPr>
              <w:t>PROCEEDING</w:t>
            </w:r>
          </w:p>
        </w:tc>
      </w:tr>
    </w:tbl>
    <w:p w14:paraId="3BBDF6D6" w14:textId="77777777" w:rsidR="00AC4BC3" w:rsidRPr="000B268C" w:rsidRDefault="00AC4BC3" w:rsidP="00AC4BC3">
      <w:pPr>
        <w:jc w:val="both"/>
        <w:rPr>
          <w:rFonts w:ascii="Arial" w:hAnsi="Arial" w:cs="Arial"/>
          <w:color w:val="000000"/>
          <w:sz w:val="18"/>
          <w:szCs w:val="22"/>
        </w:rPr>
      </w:pPr>
    </w:p>
    <w:p w14:paraId="54C64459" w14:textId="4F6021B3" w:rsidR="00DB1391" w:rsidRDefault="00DB1391" w:rsidP="00AC4BC3">
      <w:pPr>
        <w:jc w:val="both"/>
        <w:rPr>
          <w:rFonts w:ascii="Arial" w:hAnsi="Arial" w:cs="Arial"/>
          <w:color w:val="000000"/>
          <w:sz w:val="20"/>
        </w:rPr>
      </w:pPr>
      <w:r>
        <w:rPr>
          <w:rFonts w:ascii="Arial" w:hAnsi="Arial" w:cs="Arial"/>
          <w:color w:val="000000"/>
          <w:sz w:val="20"/>
        </w:rPr>
        <w:t xml:space="preserve">The starting point for a proceeding for contravention of a </w:t>
      </w:r>
      <w:r w:rsidR="00A9011D">
        <w:rPr>
          <w:rFonts w:ascii="Arial" w:hAnsi="Arial" w:cs="Arial"/>
          <w:color w:val="000000"/>
          <w:sz w:val="20"/>
        </w:rPr>
        <w:t xml:space="preserve">GBO, CSO, PRO, YSSO or YCO </w:t>
      </w:r>
      <w:r>
        <w:rPr>
          <w:rFonts w:ascii="Arial" w:hAnsi="Arial" w:cs="Arial"/>
          <w:color w:val="000000"/>
          <w:sz w:val="20"/>
        </w:rPr>
        <w:t>is the Children’s Court.</w:t>
      </w:r>
    </w:p>
    <w:p w14:paraId="018809D1" w14:textId="77777777" w:rsidR="00DB1391" w:rsidRPr="000B268C" w:rsidRDefault="00DB1391" w:rsidP="00AC4BC3">
      <w:pPr>
        <w:jc w:val="both"/>
        <w:rPr>
          <w:rFonts w:ascii="Arial" w:hAnsi="Arial" w:cs="Arial"/>
          <w:color w:val="000000"/>
          <w:sz w:val="18"/>
          <w:szCs w:val="22"/>
        </w:rPr>
      </w:pPr>
    </w:p>
    <w:p w14:paraId="044DEB26" w14:textId="39B6A775" w:rsidR="00AC4BC3" w:rsidRDefault="00993F22" w:rsidP="00993F22">
      <w:pPr>
        <w:jc w:val="both"/>
        <w:rPr>
          <w:rFonts w:ascii="Arial" w:hAnsi="Arial" w:cs="Arial"/>
          <w:color w:val="000000"/>
          <w:sz w:val="20"/>
        </w:rPr>
      </w:pPr>
      <w:r>
        <w:rPr>
          <w:rFonts w:ascii="Arial" w:hAnsi="Arial" w:cs="Arial"/>
          <w:color w:val="000000"/>
          <w:sz w:val="20"/>
        </w:rPr>
        <w:t>Under ss.307(1)-(</w:t>
      </w:r>
      <w:r w:rsidR="00AC4BC3">
        <w:rPr>
          <w:rFonts w:ascii="Arial" w:hAnsi="Arial" w:cs="Arial"/>
          <w:color w:val="000000"/>
          <w:sz w:val="20"/>
        </w:rPr>
        <w:t>3</w:t>
      </w:r>
      <w:r>
        <w:rPr>
          <w:rFonts w:ascii="Arial" w:hAnsi="Arial" w:cs="Arial"/>
          <w:color w:val="000000"/>
          <w:sz w:val="20"/>
        </w:rPr>
        <w:t xml:space="preserve">) YJA </w:t>
      </w:r>
      <w:r w:rsidR="00AC4BC3">
        <w:rPr>
          <w:rFonts w:ascii="Arial" w:hAnsi="Arial" w:cs="Arial"/>
          <w:color w:val="000000"/>
          <w:sz w:val="20"/>
        </w:rPr>
        <w:t>the DJCS Secretary may apply to the Children’s Court for variation or</w:t>
      </w:r>
      <w:r w:rsidR="00321B7F">
        <w:rPr>
          <w:rFonts w:ascii="Arial" w:hAnsi="Arial" w:cs="Arial"/>
          <w:color w:val="000000"/>
          <w:sz w:val="20"/>
        </w:rPr>
        <w:t xml:space="preserve"> </w:t>
      </w:r>
      <w:r w:rsidR="00AC4BC3">
        <w:rPr>
          <w:rFonts w:ascii="Arial" w:hAnsi="Arial" w:cs="Arial"/>
          <w:color w:val="000000"/>
          <w:sz w:val="20"/>
        </w:rPr>
        <w:t xml:space="preserve">revocation of a GBO, CSO, PRO, YSSO or YCO in force </w:t>
      </w:r>
      <w:r w:rsidR="00321B7F">
        <w:rPr>
          <w:rFonts w:ascii="Arial" w:hAnsi="Arial" w:cs="Arial"/>
          <w:color w:val="000000"/>
          <w:sz w:val="20"/>
        </w:rPr>
        <w:t xml:space="preserve">in respect of a child </w:t>
      </w:r>
      <w:r w:rsidR="00AC4BC3">
        <w:rPr>
          <w:rFonts w:ascii="Arial" w:hAnsi="Arial" w:cs="Arial"/>
          <w:color w:val="000000"/>
          <w:sz w:val="20"/>
        </w:rPr>
        <w:t>if it appears to the Secretary that the child has contravened the order.</w:t>
      </w:r>
    </w:p>
    <w:p w14:paraId="774B9B7E" w14:textId="715D3157" w:rsidR="00993F22" w:rsidRPr="00AD2252" w:rsidRDefault="00AC4BC3" w:rsidP="00321B7F">
      <w:pPr>
        <w:spacing w:before="60"/>
        <w:jc w:val="both"/>
        <w:rPr>
          <w:rFonts w:ascii="Arial" w:hAnsi="Arial" w:cs="Arial"/>
          <w:color w:val="000000"/>
          <w:sz w:val="20"/>
        </w:rPr>
      </w:pPr>
      <w:r>
        <w:rPr>
          <w:rFonts w:ascii="Arial" w:hAnsi="Arial" w:cs="Arial"/>
          <w:color w:val="000000"/>
          <w:sz w:val="20"/>
        </w:rPr>
        <w:t xml:space="preserve">Under s.307(3) YJA a police officer may apply to the Children’s Court </w:t>
      </w:r>
      <w:r w:rsidR="00993F22">
        <w:rPr>
          <w:rFonts w:ascii="Arial" w:hAnsi="Arial" w:cs="Arial"/>
          <w:color w:val="000000"/>
          <w:sz w:val="20"/>
        </w:rPr>
        <w:t xml:space="preserve">for variation or revocation of </w:t>
      </w:r>
      <w:r>
        <w:rPr>
          <w:rFonts w:ascii="Arial" w:hAnsi="Arial" w:cs="Arial"/>
          <w:color w:val="000000"/>
          <w:sz w:val="20"/>
        </w:rPr>
        <w:t xml:space="preserve">a YCO in force </w:t>
      </w:r>
      <w:r w:rsidR="00321B7F">
        <w:rPr>
          <w:rFonts w:ascii="Arial" w:hAnsi="Arial" w:cs="Arial"/>
          <w:color w:val="000000"/>
          <w:sz w:val="20"/>
        </w:rPr>
        <w:t xml:space="preserve">in respect of a child if </w:t>
      </w:r>
      <w:r w:rsidR="00993F22">
        <w:rPr>
          <w:rFonts w:ascii="Arial" w:hAnsi="Arial" w:cs="Arial"/>
          <w:color w:val="000000"/>
          <w:sz w:val="20"/>
        </w:rPr>
        <w:t xml:space="preserve">the child has been found guilty of an offence punishable on first conviction with imprisonment for a term of 5 years or more during the period that </w:t>
      </w:r>
      <w:r w:rsidR="00321B7F">
        <w:rPr>
          <w:rFonts w:ascii="Arial" w:hAnsi="Arial" w:cs="Arial"/>
          <w:color w:val="000000"/>
          <w:sz w:val="20"/>
        </w:rPr>
        <w:t>the</w:t>
      </w:r>
      <w:r w:rsidR="00993F22">
        <w:rPr>
          <w:rFonts w:ascii="Arial" w:hAnsi="Arial" w:cs="Arial"/>
          <w:color w:val="000000"/>
          <w:sz w:val="20"/>
        </w:rPr>
        <w:t xml:space="preserve"> YCO is in force.</w:t>
      </w:r>
    </w:p>
    <w:p w14:paraId="2A992164" w14:textId="77777777" w:rsidR="00993F22" w:rsidRDefault="00993F22" w:rsidP="00993F22">
      <w:pPr>
        <w:spacing w:before="60"/>
        <w:jc w:val="both"/>
        <w:rPr>
          <w:rFonts w:ascii="Arial" w:hAnsi="Arial" w:cs="Arial"/>
          <w:color w:val="000000"/>
          <w:sz w:val="20"/>
        </w:rPr>
      </w:pPr>
      <w:r>
        <w:rPr>
          <w:rFonts w:ascii="Arial" w:hAnsi="Arial" w:cs="Arial"/>
          <w:color w:val="000000"/>
          <w:sz w:val="20"/>
        </w:rPr>
        <w:t>In addition, s.308 YJA provides that while a GBO, CSO, PRO, YSSO or YCO is in force and it appears to the ChCV that the child has contravened the order, the Children’s Court may direct that the child be served with a notice to appear before the Court.</w:t>
      </w:r>
    </w:p>
    <w:p w14:paraId="460FAC16" w14:textId="77777777" w:rsidR="00993F22" w:rsidRPr="000B268C" w:rsidRDefault="00993F22" w:rsidP="00977548">
      <w:pPr>
        <w:jc w:val="both"/>
        <w:rPr>
          <w:rFonts w:ascii="Arial" w:hAnsi="Arial" w:cs="Arial"/>
          <w:color w:val="000000"/>
          <w:sz w:val="18"/>
          <w:szCs w:val="22"/>
        </w:rPr>
      </w:pPr>
    </w:p>
    <w:p w14:paraId="5B37B614" w14:textId="44A74ECF" w:rsidR="00E14B4B" w:rsidRDefault="00977548" w:rsidP="00DD12EB">
      <w:pPr>
        <w:jc w:val="both"/>
        <w:rPr>
          <w:rFonts w:ascii="Arial" w:hAnsi="Arial" w:cs="Arial"/>
          <w:color w:val="000000"/>
          <w:sz w:val="20"/>
        </w:rPr>
      </w:pPr>
      <w:r>
        <w:rPr>
          <w:rFonts w:ascii="Arial" w:hAnsi="Arial" w:cs="Arial"/>
          <w:color w:val="000000"/>
          <w:sz w:val="20"/>
        </w:rPr>
        <w:t>Under s.314(1) YJA all p</w:t>
      </w:r>
      <w:r w:rsidR="00F9096F">
        <w:rPr>
          <w:rFonts w:ascii="Arial" w:hAnsi="Arial" w:cs="Arial"/>
          <w:color w:val="000000"/>
          <w:sz w:val="20"/>
        </w:rPr>
        <w:t xml:space="preserve">roceedings for </w:t>
      </w:r>
      <w:r w:rsidR="00EC4B07">
        <w:rPr>
          <w:rFonts w:ascii="Arial" w:hAnsi="Arial" w:cs="Arial"/>
          <w:color w:val="000000"/>
          <w:sz w:val="20"/>
        </w:rPr>
        <w:t>“</w:t>
      </w:r>
      <w:r w:rsidR="00F9096F">
        <w:rPr>
          <w:rFonts w:ascii="Arial" w:hAnsi="Arial" w:cs="Arial"/>
          <w:color w:val="000000"/>
          <w:sz w:val="20"/>
        </w:rPr>
        <w:t>contravention</w:t>
      </w:r>
      <w:r w:rsidR="00EC4B07">
        <w:rPr>
          <w:rFonts w:ascii="Arial" w:hAnsi="Arial" w:cs="Arial"/>
          <w:color w:val="000000"/>
          <w:sz w:val="20"/>
        </w:rPr>
        <w:t>”</w:t>
      </w:r>
      <w:r w:rsidR="00F9096F">
        <w:rPr>
          <w:rFonts w:ascii="Arial" w:hAnsi="Arial" w:cs="Arial"/>
          <w:color w:val="000000"/>
          <w:sz w:val="20"/>
        </w:rPr>
        <w:t xml:space="preserve"> [previously called </w:t>
      </w:r>
      <w:r w:rsidR="00EC4B07">
        <w:rPr>
          <w:rFonts w:ascii="Arial" w:hAnsi="Arial" w:cs="Arial"/>
          <w:color w:val="000000"/>
          <w:sz w:val="20"/>
        </w:rPr>
        <w:t>“</w:t>
      </w:r>
      <w:r w:rsidR="00F9096F">
        <w:rPr>
          <w:rFonts w:ascii="Arial" w:hAnsi="Arial" w:cs="Arial"/>
          <w:color w:val="000000"/>
          <w:sz w:val="20"/>
        </w:rPr>
        <w:t>breach</w:t>
      </w:r>
      <w:r w:rsidR="00EC4B07">
        <w:rPr>
          <w:rFonts w:ascii="Arial" w:hAnsi="Arial" w:cs="Arial"/>
          <w:color w:val="000000"/>
          <w:sz w:val="20"/>
        </w:rPr>
        <w:t>”</w:t>
      </w:r>
      <w:r w:rsidR="00F9096F">
        <w:rPr>
          <w:rFonts w:ascii="Arial" w:hAnsi="Arial" w:cs="Arial"/>
          <w:color w:val="000000"/>
          <w:sz w:val="20"/>
        </w:rPr>
        <w:t xml:space="preserve"> in the CYFA] of a </w:t>
      </w:r>
      <w:r w:rsidR="00A9011D">
        <w:rPr>
          <w:rFonts w:ascii="Arial" w:hAnsi="Arial" w:cs="Arial"/>
          <w:color w:val="000000"/>
          <w:sz w:val="20"/>
        </w:rPr>
        <w:t xml:space="preserve">GBO, CSO, PRO, YSSO or YCO </w:t>
      </w:r>
      <w:r>
        <w:rPr>
          <w:rFonts w:ascii="Arial" w:hAnsi="Arial" w:cs="Arial"/>
          <w:color w:val="000000"/>
          <w:sz w:val="20"/>
        </w:rPr>
        <w:t xml:space="preserve">must be </w:t>
      </w:r>
      <w:r w:rsidR="00F9096F" w:rsidRPr="00977548">
        <w:rPr>
          <w:rFonts w:ascii="Arial" w:hAnsi="Arial" w:cs="Arial"/>
          <w:b/>
          <w:bCs/>
          <w:color w:val="000000"/>
          <w:sz w:val="20"/>
        </w:rPr>
        <w:t>commenced</w:t>
      </w:r>
      <w:r w:rsidR="00F9096F">
        <w:rPr>
          <w:rFonts w:ascii="Arial" w:hAnsi="Arial" w:cs="Arial"/>
          <w:color w:val="000000"/>
          <w:sz w:val="20"/>
        </w:rPr>
        <w:t xml:space="preserve"> in the Children’s Court irrespective of</w:t>
      </w:r>
      <w:r w:rsidR="00E14B4B">
        <w:rPr>
          <w:rFonts w:ascii="Arial" w:hAnsi="Arial" w:cs="Arial"/>
          <w:color w:val="000000"/>
          <w:sz w:val="20"/>
        </w:rPr>
        <w:t>–</w:t>
      </w:r>
    </w:p>
    <w:p w14:paraId="31890560" w14:textId="6193D325" w:rsidR="00977548" w:rsidRDefault="00977548">
      <w:pPr>
        <w:pStyle w:val="ListParagraph"/>
        <w:numPr>
          <w:ilvl w:val="0"/>
          <w:numId w:val="88"/>
        </w:numPr>
        <w:spacing w:after="0" w:line="240" w:lineRule="auto"/>
        <w:ind w:left="357" w:hanging="357"/>
        <w:jc w:val="both"/>
        <w:rPr>
          <w:rFonts w:ascii="Arial" w:hAnsi="Arial" w:cs="Arial"/>
          <w:color w:val="000000"/>
          <w:sz w:val="20"/>
        </w:rPr>
      </w:pPr>
      <w:r w:rsidRPr="00977548">
        <w:rPr>
          <w:rFonts w:ascii="Arial" w:hAnsi="Arial" w:cs="Arial"/>
          <w:color w:val="000000"/>
          <w:sz w:val="20"/>
        </w:rPr>
        <w:t>whether the sentence to which the proceeding relates was imposed by the Children’s Court, the County Court or the Supreme Court, on appeal or otherwise; and</w:t>
      </w:r>
    </w:p>
    <w:p w14:paraId="2A96473D" w14:textId="394C27E6" w:rsidR="009F75C8" w:rsidRDefault="00977548">
      <w:pPr>
        <w:pStyle w:val="ListParagraph"/>
        <w:numPr>
          <w:ilvl w:val="0"/>
          <w:numId w:val="88"/>
        </w:numPr>
        <w:spacing w:after="0" w:line="240" w:lineRule="auto"/>
        <w:ind w:left="357" w:hanging="357"/>
        <w:jc w:val="both"/>
        <w:rPr>
          <w:rFonts w:ascii="Arial" w:hAnsi="Arial" w:cs="Arial"/>
          <w:color w:val="000000"/>
          <w:sz w:val="20"/>
        </w:rPr>
      </w:pPr>
      <w:r w:rsidRPr="00977548">
        <w:rPr>
          <w:rFonts w:ascii="Arial" w:hAnsi="Arial" w:cs="Arial"/>
          <w:color w:val="000000"/>
          <w:sz w:val="20"/>
        </w:rPr>
        <w:t>whether the child is 19 years of age or over.</w:t>
      </w:r>
    </w:p>
    <w:p w14:paraId="5AAB9694" w14:textId="77777777" w:rsidR="00993F22" w:rsidRPr="000B268C" w:rsidRDefault="00993F22" w:rsidP="00993F22">
      <w:pPr>
        <w:jc w:val="both"/>
        <w:rPr>
          <w:rFonts w:ascii="Arial" w:hAnsi="Arial" w:cs="Arial"/>
          <w:color w:val="000000"/>
          <w:sz w:val="18"/>
          <w:szCs w:val="22"/>
        </w:rPr>
      </w:pPr>
    </w:p>
    <w:tbl>
      <w:tblPr>
        <w:tblStyle w:val="TableGrid"/>
        <w:tblW w:w="9128" w:type="dxa"/>
        <w:tblLook w:val="04A0" w:firstRow="1" w:lastRow="0" w:firstColumn="1" w:lastColumn="0" w:noHBand="0" w:noVBand="1"/>
      </w:tblPr>
      <w:tblGrid>
        <w:gridCol w:w="9128"/>
      </w:tblGrid>
      <w:tr w:rsidR="00993F22" w:rsidRPr="00BD4366" w14:paraId="7302359B" w14:textId="77777777" w:rsidTr="000A020A">
        <w:tc>
          <w:tcPr>
            <w:tcW w:w="9128" w:type="dxa"/>
            <w:shd w:val="clear" w:color="auto" w:fill="000000" w:themeFill="text1"/>
          </w:tcPr>
          <w:p w14:paraId="03BC89E1" w14:textId="2BE2EB7A" w:rsidR="00993F22" w:rsidRPr="00BD4366" w:rsidRDefault="00993F22" w:rsidP="000A020A">
            <w:pPr>
              <w:jc w:val="center"/>
              <w:rPr>
                <w:rFonts w:ascii="Arial" w:hAnsi="Arial" w:cs="Arial"/>
                <w:b/>
                <w:bCs/>
                <w:sz w:val="20"/>
              </w:rPr>
            </w:pPr>
            <w:r w:rsidRPr="00BD4366">
              <w:rPr>
                <w:rFonts w:ascii="Arial" w:hAnsi="Arial" w:cs="Arial"/>
                <w:b/>
                <w:bCs/>
                <w:sz w:val="20"/>
              </w:rPr>
              <w:t xml:space="preserve">SHOULD </w:t>
            </w:r>
            <w:r w:rsidR="000450E0">
              <w:rPr>
                <w:rFonts w:ascii="Arial" w:hAnsi="Arial" w:cs="Arial"/>
                <w:b/>
                <w:bCs/>
                <w:sz w:val="20"/>
              </w:rPr>
              <w:t>A GBO, CSO, PRO, YSSO OR YCO</w:t>
            </w:r>
            <w:r w:rsidR="000450E0" w:rsidRPr="00BD4366">
              <w:rPr>
                <w:rFonts w:ascii="Arial" w:hAnsi="Arial" w:cs="Arial"/>
                <w:b/>
                <w:bCs/>
                <w:sz w:val="20"/>
              </w:rPr>
              <w:t xml:space="preserve"> </w:t>
            </w:r>
            <w:r w:rsidRPr="00BD4366">
              <w:rPr>
                <w:rFonts w:ascii="Arial" w:hAnsi="Arial" w:cs="Arial"/>
                <w:b/>
                <w:bCs/>
                <w:sz w:val="20"/>
              </w:rPr>
              <w:t>CONTRAVENTION PROCEEDING BE TRANSFERRED TO ANOTHER COURT?</w:t>
            </w:r>
          </w:p>
        </w:tc>
      </w:tr>
    </w:tbl>
    <w:p w14:paraId="36CF7657" w14:textId="77777777" w:rsidR="00993F22" w:rsidRPr="000B268C" w:rsidRDefault="00993F22" w:rsidP="00993F22">
      <w:pPr>
        <w:jc w:val="both"/>
        <w:rPr>
          <w:rFonts w:ascii="Arial" w:hAnsi="Arial" w:cs="Arial"/>
          <w:color w:val="000000"/>
          <w:sz w:val="18"/>
          <w:szCs w:val="22"/>
        </w:rPr>
      </w:pPr>
    </w:p>
    <w:p w14:paraId="51778E63" w14:textId="6CC2B452" w:rsidR="00977548" w:rsidRPr="00977548" w:rsidRDefault="00977548" w:rsidP="00DD12EB">
      <w:pPr>
        <w:jc w:val="both"/>
        <w:rPr>
          <w:rFonts w:ascii="Arial" w:hAnsi="Arial" w:cs="Arial"/>
          <w:color w:val="000000"/>
          <w:sz w:val="20"/>
        </w:rPr>
      </w:pPr>
      <w:r>
        <w:rPr>
          <w:rFonts w:ascii="Arial" w:hAnsi="Arial" w:cs="Arial"/>
          <w:color w:val="000000"/>
          <w:sz w:val="20"/>
        </w:rPr>
        <w:t xml:space="preserve">Under s.314(2) YJA </w:t>
      </w:r>
      <w:r w:rsidR="00DD12EB">
        <w:rPr>
          <w:rFonts w:ascii="Arial" w:hAnsi="Arial" w:cs="Arial"/>
          <w:color w:val="000000"/>
          <w:sz w:val="20"/>
        </w:rPr>
        <w:t xml:space="preserve">if </w:t>
      </w:r>
      <w:r w:rsidR="00F820E5">
        <w:rPr>
          <w:rFonts w:ascii="Arial" w:hAnsi="Arial" w:cs="Arial"/>
          <w:color w:val="000000"/>
          <w:sz w:val="20"/>
        </w:rPr>
        <w:t>such</w:t>
      </w:r>
      <w:r w:rsidR="00DD12EB">
        <w:rPr>
          <w:rFonts w:ascii="Arial" w:hAnsi="Arial" w:cs="Arial"/>
          <w:color w:val="000000"/>
          <w:sz w:val="20"/>
        </w:rPr>
        <w:t xml:space="preserve"> </w:t>
      </w:r>
      <w:r w:rsidR="000450E0">
        <w:rPr>
          <w:rFonts w:ascii="Arial" w:hAnsi="Arial" w:cs="Arial"/>
          <w:color w:val="000000"/>
          <w:sz w:val="20"/>
        </w:rPr>
        <w:t xml:space="preserve">an </w:t>
      </w:r>
      <w:r w:rsidR="00DD12EB">
        <w:rPr>
          <w:rFonts w:ascii="Arial" w:hAnsi="Arial" w:cs="Arial"/>
          <w:color w:val="000000"/>
          <w:sz w:val="20"/>
        </w:rPr>
        <w:t>order contravention proceeding is in respect of a child who is under 19 years of age when the proceeding commences, the Children’s Court must hear and determine the proceeding unless–</w:t>
      </w:r>
    </w:p>
    <w:p w14:paraId="4080D236" w14:textId="77777777" w:rsidR="00DD12EB" w:rsidRDefault="00DD12EB">
      <w:pPr>
        <w:pStyle w:val="ListParagraph"/>
        <w:numPr>
          <w:ilvl w:val="0"/>
          <w:numId w:val="89"/>
        </w:numPr>
        <w:spacing w:after="0" w:line="240" w:lineRule="auto"/>
        <w:ind w:left="357" w:hanging="357"/>
        <w:jc w:val="both"/>
        <w:rPr>
          <w:rFonts w:ascii="Arial" w:hAnsi="Arial" w:cs="Arial"/>
          <w:color w:val="000000"/>
          <w:sz w:val="20"/>
        </w:rPr>
      </w:pPr>
      <w:r>
        <w:rPr>
          <w:rFonts w:ascii="Arial" w:hAnsi="Arial" w:cs="Arial"/>
          <w:color w:val="000000"/>
          <w:sz w:val="20"/>
        </w:rPr>
        <w:t>the sentence was imposed by the Supreme Court or the County Court and the child does not consent to the Children’s Court hearing the proceeding</w:t>
      </w:r>
      <w:r w:rsidR="009F75C8">
        <w:rPr>
          <w:rFonts w:ascii="Arial" w:hAnsi="Arial" w:cs="Arial"/>
          <w:color w:val="000000"/>
          <w:sz w:val="20"/>
        </w:rPr>
        <w:t>;</w:t>
      </w:r>
      <w:r w:rsidR="00F9096F" w:rsidRPr="009F75C8">
        <w:rPr>
          <w:rFonts w:ascii="Arial" w:hAnsi="Arial" w:cs="Arial"/>
          <w:color w:val="000000"/>
          <w:sz w:val="20"/>
        </w:rPr>
        <w:t xml:space="preserve"> or</w:t>
      </w:r>
    </w:p>
    <w:p w14:paraId="48CACFF0" w14:textId="7277AE52" w:rsidR="00F9096F" w:rsidRPr="00DD12EB" w:rsidRDefault="00DD12EB">
      <w:pPr>
        <w:pStyle w:val="ListParagraph"/>
        <w:numPr>
          <w:ilvl w:val="0"/>
          <w:numId w:val="89"/>
        </w:numPr>
        <w:spacing w:after="0" w:line="240" w:lineRule="auto"/>
        <w:ind w:left="357" w:hanging="357"/>
        <w:jc w:val="both"/>
        <w:rPr>
          <w:rFonts w:ascii="Arial" w:hAnsi="Arial" w:cs="Arial"/>
          <w:color w:val="000000"/>
          <w:sz w:val="20"/>
        </w:rPr>
      </w:pPr>
      <w:r w:rsidRPr="00DD12EB">
        <w:rPr>
          <w:rFonts w:ascii="Arial" w:hAnsi="Arial" w:cs="Arial"/>
          <w:color w:val="000000"/>
          <w:sz w:val="20"/>
        </w:rPr>
        <w:t>the Children’s Court considers that in all the circumstances of the case it is appropriate to transfer the proceeding to the court that imposed the sentence.</w:t>
      </w:r>
    </w:p>
    <w:p w14:paraId="4639381D" w14:textId="77777777" w:rsidR="00DB1391" w:rsidRPr="000B268C" w:rsidRDefault="00DB1391" w:rsidP="008961BC">
      <w:pPr>
        <w:jc w:val="both"/>
        <w:rPr>
          <w:rFonts w:ascii="Arial" w:hAnsi="Arial" w:cs="Arial"/>
          <w:color w:val="000000"/>
          <w:sz w:val="18"/>
          <w:szCs w:val="22"/>
        </w:rPr>
      </w:pPr>
    </w:p>
    <w:p w14:paraId="26B8A45C" w14:textId="31794B14" w:rsidR="00DD12EB" w:rsidRDefault="00DD12EB" w:rsidP="008961BC">
      <w:pPr>
        <w:jc w:val="both"/>
        <w:rPr>
          <w:rFonts w:ascii="Arial" w:hAnsi="Arial" w:cs="Arial"/>
          <w:color w:val="000000"/>
          <w:sz w:val="20"/>
        </w:rPr>
      </w:pPr>
      <w:r>
        <w:rPr>
          <w:rFonts w:ascii="Arial" w:hAnsi="Arial" w:cs="Arial"/>
          <w:color w:val="000000"/>
          <w:sz w:val="20"/>
        </w:rPr>
        <w:t>Under ss.314(3)</w:t>
      </w:r>
      <w:r w:rsidR="00F91E2E">
        <w:rPr>
          <w:rFonts w:ascii="Arial" w:hAnsi="Arial" w:cs="Arial"/>
          <w:color w:val="000000"/>
          <w:sz w:val="20"/>
        </w:rPr>
        <w:t>-</w:t>
      </w:r>
      <w:r>
        <w:rPr>
          <w:rFonts w:ascii="Arial" w:hAnsi="Arial" w:cs="Arial"/>
          <w:color w:val="000000"/>
          <w:sz w:val="20"/>
        </w:rPr>
        <w:t>(</w:t>
      </w:r>
      <w:r w:rsidR="00993F22">
        <w:rPr>
          <w:rFonts w:ascii="Arial" w:hAnsi="Arial" w:cs="Arial"/>
          <w:color w:val="000000"/>
          <w:sz w:val="20"/>
        </w:rPr>
        <w:t>5</w:t>
      </w:r>
      <w:r>
        <w:rPr>
          <w:rFonts w:ascii="Arial" w:hAnsi="Arial" w:cs="Arial"/>
          <w:color w:val="000000"/>
          <w:sz w:val="20"/>
        </w:rPr>
        <w:t xml:space="preserve">) YJA if </w:t>
      </w:r>
      <w:r w:rsidR="00F820E5">
        <w:rPr>
          <w:rFonts w:ascii="Arial" w:hAnsi="Arial" w:cs="Arial"/>
          <w:color w:val="000000"/>
          <w:sz w:val="20"/>
        </w:rPr>
        <w:t>such</w:t>
      </w:r>
      <w:r w:rsidR="000450E0">
        <w:rPr>
          <w:rFonts w:ascii="Arial" w:hAnsi="Arial" w:cs="Arial"/>
          <w:color w:val="000000"/>
          <w:sz w:val="20"/>
        </w:rPr>
        <w:t xml:space="preserve"> an</w:t>
      </w:r>
      <w:r>
        <w:rPr>
          <w:rFonts w:ascii="Arial" w:hAnsi="Arial" w:cs="Arial"/>
          <w:color w:val="000000"/>
          <w:sz w:val="20"/>
        </w:rPr>
        <w:t xml:space="preserve"> order contravention proceeding is in respect of a child who is 19</w:t>
      </w:r>
      <w:r w:rsidR="00993F22" w:rsidRPr="00993F22">
        <w:rPr>
          <w:rFonts w:ascii="Arial" w:hAnsi="Arial" w:cs="Arial"/>
          <w:color w:val="FFFFFF" w:themeColor="background1"/>
          <w:sz w:val="20"/>
        </w:rPr>
        <w:t> </w:t>
      </w:r>
      <w:r>
        <w:rPr>
          <w:rFonts w:ascii="Arial" w:hAnsi="Arial" w:cs="Arial"/>
          <w:color w:val="000000"/>
          <w:sz w:val="20"/>
        </w:rPr>
        <w:t xml:space="preserve">years of age or over when the proceeding commences, the Children’s Court </w:t>
      </w:r>
      <w:r w:rsidRPr="00A9011D">
        <w:rPr>
          <w:rFonts w:ascii="Arial" w:hAnsi="Arial" w:cs="Arial"/>
          <w:b/>
          <w:bCs/>
          <w:color w:val="000000"/>
          <w:sz w:val="20"/>
        </w:rPr>
        <w:t>must</w:t>
      </w:r>
      <w:r>
        <w:rPr>
          <w:rFonts w:ascii="Arial" w:hAnsi="Arial" w:cs="Arial"/>
          <w:color w:val="000000"/>
          <w:sz w:val="20"/>
        </w:rPr>
        <w:t xml:space="preserve"> transfer the proceeding to the Magistrates’ Court or to the court that imposed the sentence unless the Children’s Court considers that in all the circumstances of the case it is appropriate for the Children’s Court to hear and determine the proceeding, having regard to the following matters–</w:t>
      </w:r>
    </w:p>
    <w:p w14:paraId="27E60907" w14:textId="6703011C" w:rsidR="00993F22" w:rsidRDefault="00993F22">
      <w:pPr>
        <w:pStyle w:val="ListParagraph"/>
        <w:numPr>
          <w:ilvl w:val="0"/>
          <w:numId w:val="90"/>
        </w:numPr>
        <w:spacing w:after="0" w:line="240" w:lineRule="auto"/>
        <w:ind w:left="357" w:hanging="357"/>
        <w:jc w:val="both"/>
        <w:rPr>
          <w:rFonts w:ascii="Arial" w:hAnsi="Arial" w:cs="Arial"/>
          <w:color w:val="000000"/>
          <w:sz w:val="20"/>
        </w:rPr>
      </w:pPr>
      <w:r>
        <w:rPr>
          <w:rFonts w:ascii="Arial" w:hAnsi="Arial" w:cs="Arial"/>
          <w:color w:val="000000"/>
          <w:sz w:val="20"/>
        </w:rPr>
        <w:t>the age, maturity and stage of development of the child;</w:t>
      </w:r>
    </w:p>
    <w:p w14:paraId="506A2666" w14:textId="0DA2C7E7" w:rsidR="00993F22" w:rsidRDefault="00993F22">
      <w:pPr>
        <w:pStyle w:val="ListParagraph"/>
        <w:numPr>
          <w:ilvl w:val="0"/>
          <w:numId w:val="90"/>
        </w:numPr>
        <w:spacing w:after="0" w:line="240" w:lineRule="auto"/>
        <w:ind w:left="357" w:hanging="357"/>
        <w:jc w:val="both"/>
        <w:rPr>
          <w:rFonts w:ascii="Arial" w:hAnsi="Arial" w:cs="Arial"/>
          <w:color w:val="000000"/>
          <w:sz w:val="20"/>
        </w:rPr>
      </w:pPr>
      <w:r>
        <w:rPr>
          <w:rFonts w:ascii="Arial" w:hAnsi="Arial" w:cs="Arial"/>
          <w:color w:val="000000"/>
          <w:sz w:val="20"/>
        </w:rPr>
        <w:t>the nature and circumstances of the alleged contravention;</w:t>
      </w:r>
    </w:p>
    <w:p w14:paraId="5B9B8568" w14:textId="00D85EE1" w:rsidR="00993F22" w:rsidRDefault="00993F22">
      <w:pPr>
        <w:pStyle w:val="ListParagraph"/>
        <w:numPr>
          <w:ilvl w:val="0"/>
          <w:numId w:val="90"/>
        </w:numPr>
        <w:spacing w:after="0" w:line="240" w:lineRule="auto"/>
        <w:ind w:left="357" w:hanging="357"/>
        <w:jc w:val="both"/>
        <w:rPr>
          <w:rFonts w:ascii="Arial" w:hAnsi="Arial" w:cs="Arial"/>
          <w:color w:val="000000"/>
          <w:sz w:val="20"/>
        </w:rPr>
      </w:pPr>
      <w:r>
        <w:rPr>
          <w:rFonts w:ascii="Arial" w:hAnsi="Arial" w:cs="Arial"/>
          <w:color w:val="000000"/>
          <w:sz w:val="20"/>
        </w:rPr>
        <w:t>the stage of the proceeding;</w:t>
      </w:r>
    </w:p>
    <w:p w14:paraId="66D40B65" w14:textId="5C8D8DF6" w:rsidR="00993F22" w:rsidRDefault="00993F22">
      <w:pPr>
        <w:pStyle w:val="ListParagraph"/>
        <w:numPr>
          <w:ilvl w:val="0"/>
          <w:numId w:val="90"/>
        </w:numPr>
        <w:spacing w:after="0" w:line="240" w:lineRule="auto"/>
        <w:ind w:left="357" w:hanging="357"/>
        <w:jc w:val="both"/>
        <w:rPr>
          <w:rFonts w:ascii="Arial" w:hAnsi="Arial" w:cs="Arial"/>
          <w:color w:val="000000"/>
          <w:sz w:val="20"/>
        </w:rPr>
      </w:pPr>
      <w:r>
        <w:rPr>
          <w:rFonts w:ascii="Arial" w:hAnsi="Arial" w:cs="Arial"/>
          <w:color w:val="000000"/>
          <w:sz w:val="20"/>
        </w:rPr>
        <w:t>whether the child is the subject of another proceeding in any other court;</w:t>
      </w:r>
    </w:p>
    <w:p w14:paraId="3F4293A1" w14:textId="3D195F49" w:rsidR="00993F22" w:rsidRDefault="00993F22">
      <w:pPr>
        <w:pStyle w:val="ListParagraph"/>
        <w:numPr>
          <w:ilvl w:val="0"/>
          <w:numId w:val="90"/>
        </w:numPr>
        <w:spacing w:after="0" w:line="240" w:lineRule="auto"/>
        <w:ind w:left="357" w:hanging="357"/>
        <w:jc w:val="both"/>
        <w:rPr>
          <w:rFonts w:ascii="Arial" w:hAnsi="Arial" w:cs="Arial"/>
          <w:color w:val="000000"/>
          <w:sz w:val="20"/>
        </w:rPr>
      </w:pPr>
      <w:r>
        <w:rPr>
          <w:rFonts w:ascii="Arial" w:hAnsi="Arial" w:cs="Arial"/>
          <w:color w:val="000000"/>
          <w:sz w:val="20"/>
        </w:rPr>
        <w:t>the availability of appropriate sentences in the other court if the contravention were proved</w:t>
      </w:r>
      <w:r w:rsidR="00A9011D">
        <w:rPr>
          <w:rFonts w:ascii="Arial" w:hAnsi="Arial" w:cs="Arial"/>
          <w:color w:val="000000"/>
          <w:sz w:val="20"/>
        </w:rPr>
        <w:t>;</w:t>
      </w:r>
    </w:p>
    <w:p w14:paraId="4EAF0DFE" w14:textId="7A6A8170" w:rsidR="00993F22" w:rsidRDefault="00993F22">
      <w:pPr>
        <w:pStyle w:val="ListParagraph"/>
        <w:numPr>
          <w:ilvl w:val="0"/>
          <w:numId w:val="90"/>
        </w:numPr>
        <w:spacing w:after="0" w:line="240" w:lineRule="auto"/>
        <w:ind w:left="357" w:hanging="357"/>
        <w:jc w:val="both"/>
        <w:rPr>
          <w:rFonts w:ascii="Arial" w:hAnsi="Arial" w:cs="Arial"/>
          <w:color w:val="000000"/>
          <w:sz w:val="20"/>
        </w:rPr>
      </w:pPr>
      <w:r>
        <w:rPr>
          <w:rFonts w:ascii="Arial" w:hAnsi="Arial" w:cs="Arial"/>
          <w:color w:val="000000"/>
          <w:sz w:val="20"/>
        </w:rPr>
        <w:t>whether the child prefers to be dealt with in the Children’s Court or any other court;</w:t>
      </w:r>
    </w:p>
    <w:p w14:paraId="5EE049BF" w14:textId="608D0A67" w:rsidR="00993F22" w:rsidRDefault="00993F22">
      <w:pPr>
        <w:pStyle w:val="ListParagraph"/>
        <w:numPr>
          <w:ilvl w:val="0"/>
          <w:numId w:val="90"/>
        </w:numPr>
        <w:spacing w:after="0" w:line="240" w:lineRule="auto"/>
        <w:ind w:left="357" w:hanging="357"/>
        <w:jc w:val="both"/>
        <w:rPr>
          <w:rFonts w:ascii="Arial" w:hAnsi="Arial" w:cs="Arial"/>
          <w:color w:val="000000"/>
          <w:sz w:val="20"/>
        </w:rPr>
      </w:pPr>
      <w:r>
        <w:rPr>
          <w:rFonts w:ascii="Arial" w:hAnsi="Arial" w:cs="Arial"/>
          <w:color w:val="000000"/>
          <w:sz w:val="20"/>
        </w:rPr>
        <w:t>any other matter that the Children’s Court considers relevant.</w:t>
      </w:r>
    </w:p>
    <w:p w14:paraId="4E07190B" w14:textId="1685156F" w:rsidR="00DD12EB" w:rsidRDefault="00993F22" w:rsidP="008961BC">
      <w:pPr>
        <w:jc w:val="both"/>
        <w:rPr>
          <w:rFonts w:ascii="Arial" w:hAnsi="Arial" w:cs="Arial"/>
          <w:color w:val="000000"/>
          <w:sz w:val="20"/>
        </w:rPr>
      </w:pPr>
      <w:r>
        <w:rPr>
          <w:rFonts w:ascii="Arial" w:hAnsi="Arial" w:cs="Arial"/>
          <w:color w:val="000000"/>
          <w:sz w:val="20"/>
        </w:rPr>
        <w:t>An order contravention proceeding must not be transferred on the sole ground that the sentence was imposed by another court.</w:t>
      </w:r>
    </w:p>
    <w:p w14:paraId="0C2EB63A" w14:textId="77777777" w:rsidR="00F91E2E" w:rsidRPr="000B268C" w:rsidRDefault="00F91E2E" w:rsidP="00F91E2E">
      <w:pPr>
        <w:jc w:val="both"/>
        <w:rPr>
          <w:rFonts w:ascii="Arial" w:hAnsi="Arial" w:cs="Arial"/>
          <w:color w:val="000000"/>
          <w:sz w:val="18"/>
          <w:szCs w:val="22"/>
        </w:rPr>
      </w:pPr>
    </w:p>
    <w:p w14:paraId="03DDA0EE" w14:textId="21193848" w:rsidR="00F820E5" w:rsidRDefault="00F820E5" w:rsidP="00F820E5">
      <w:pPr>
        <w:jc w:val="both"/>
        <w:rPr>
          <w:rFonts w:ascii="Arial" w:hAnsi="Arial" w:cs="Arial"/>
          <w:color w:val="000000"/>
          <w:sz w:val="20"/>
        </w:rPr>
      </w:pPr>
      <w:r>
        <w:rPr>
          <w:rFonts w:ascii="Arial" w:hAnsi="Arial" w:cs="Arial"/>
          <w:color w:val="000000"/>
          <w:sz w:val="20"/>
        </w:rPr>
        <w:t xml:space="preserve">Under s.314(7) YJA if the child does not consent to the Children’s Court hearing and determining such </w:t>
      </w:r>
      <w:r w:rsidR="000450E0">
        <w:rPr>
          <w:rFonts w:ascii="Arial" w:hAnsi="Arial" w:cs="Arial"/>
          <w:color w:val="000000"/>
          <w:sz w:val="20"/>
        </w:rPr>
        <w:t xml:space="preserve">an </w:t>
      </w:r>
      <w:r>
        <w:rPr>
          <w:rFonts w:ascii="Arial" w:hAnsi="Arial" w:cs="Arial"/>
          <w:color w:val="000000"/>
          <w:sz w:val="20"/>
        </w:rPr>
        <w:t xml:space="preserve">order contravention proceeding or the Children’s Court considers the proceeding should be transferred, the Children’s Court must discontinue the proceeding and order that it be transferred to the Magistrates’ Court or to the court that imposed the sentence, as the case may be, and in the meantime may– </w:t>
      </w:r>
    </w:p>
    <w:p w14:paraId="5073E924" w14:textId="6463A162" w:rsidR="00F820E5" w:rsidRDefault="00F820E5">
      <w:pPr>
        <w:pStyle w:val="ListParagraph"/>
        <w:numPr>
          <w:ilvl w:val="0"/>
          <w:numId w:val="93"/>
        </w:numPr>
        <w:spacing w:after="0" w:line="240" w:lineRule="auto"/>
        <w:ind w:left="357" w:hanging="357"/>
        <w:jc w:val="both"/>
        <w:rPr>
          <w:rFonts w:ascii="Arial" w:hAnsi="Arial" w:cs="Arial"/>
          <w:color w:val="000000"/>
          <w:sz w:val="20"/>
        </w:rPr>
      </w:pPr>
      <w:r>
        <w:rPr>
          <w:rFonts w:ascii="Arial" w:hAnsi="Arial" w:cs="Arial"/>
          <w:color w:val="000000"/>
          <w:sz w:val="20"/>
        </w:rPr>
        <w:t>permit the child to go at large;</w:t>
      </w:r>
    </w:p>
    <w:p w14:paraId="0DDABD11" w14:textId="72EFD48B" w:rsidR="00F820E5" w:rsidRDefault="00F820E5">
      <w:pPr>
        <w:pStyle w:val="ListParagraph"/>
        <w:numPr>
          <w:ilvl w:val="0"/>
          <w:numId w:val="93"/>
        </w:numPr>
        <w:spacing w:after="0" w:line="240" w:lineRule="auto"/>
        <w:ind w:left="357" w:hanging="357"/>
        <w:jc w:val="both"/>
        <w:rPr>
          <w:rFonts w:ascii="Arial" w:hAnsi="Arial" w:cs="Arial"/>
          <w:color w:val="000000"/>
          <w:sz w:val="20"/>
        </w:rPr>
      </w:pPr>
      <w:r>
        <w:rPr>
          <w:rFonts w:ascii="Arial" w:hAnsi="Arial" w:cs="Arial"/>
          <w:color w:val="000000"/>
          <w:sz w:val="20"/>
        </w:rPr>
        <w:t>grant the child bail; or</w:t>
      </w:r>
    </w:p>
    <w:p w14:paraId="71CA2A17" w14:textId="33BB21B3" w:rsidR="00F820E5" w:rsidRDefault="00F820E5">
      <w:pPr>
        <w:pStyle w:val="ListParagraph"/>
        <w:numPr>
          <w:ilvl w:val="0"/>
          <w:numId w:val="93"/>
        </w:numPr>
        <w:spacing w:after="0" w:line="240" w:lineRule="auto"/>
        <w:ind w:left="357" w:hanging="357"/>
        <w:jc w:val="both"/>
        <w:rPr>
          <w:rFonts w:ascii="Arial" w:hAnsi="Arial" w:cs="Arial"/>
          <w:color w:val="000000"/>
          <w:sz w:val="20"/>
        </w:rPr>
      </w:pPr>
      <w:r>
        <w:rPr>
          <w:rFonts w:ascii="Arial" w:hAnsi="Arial" w:cs="Arial"/>
          <w:color w:val="000000"/>
          <w:sz w:val="20"/>
        </w:rPr>
        <w:t xml:space="preserve">remand the child in custody in accordance with s.333 of the </w:t>
      </w:r>
      <w:r w:rsidRPr="00F820E5">
        <w:rPr>
          <w:rFonts w:ascii="Arial" w:hAnsi="Arial" w:cs="Arial"/>
          <w:i/>
          <w:iCs/>
          <w:color w:val="000000"/>
          <w:sz w:val="20"/>
        </w:rPr>
        <w:t>Criminal Procedure Act 2009</w:t>
      </w:r>
      <w:r>
        <w:rPr>
          <w:rFonts w:ascii="Arial" w:hAnsi="Arial" w:cs="Arial"/>
          <w:color w:val="000000"/>
          <w:sz w:val="20"/>
        </w:rPr>
        <w:t>.</w:t>
      </w:r>
    </w:p>
    <w:p w14:paraId="29462A9D" w14:textId="77777777" w:rsidR="00F820E5" w:rsidRPr="000B268C" w:rsidRDefault="00F820E5" w:rsidP="00F91E2E">
      <w:pPr>
        <w:jc w:val="both"/>
        <w:rPr>
          <w:rFonts w:ascii="Arial" w:hAnsi="Arial" w:cs="Arial"/>
          <w:color w:val="000000"/>
          <w:sz w:val="18"/>
          <w:szCs w:val="22"/>
        </w:rPr>
      </w:pPr>
    </w:p>
    <w:tbl>
      <w:tblPr>
        <w:tblStyle w:val="TableGrid"/>
        <w:tblW w:w="9128" w:type="dxa"/>
        <w:tblLook w:val="04A0" w:firstRow="1" w:lastRow="0" w:firstColumn="1" w:lastColumn="0" w:noHBand="0" w:noVBand="1"/>
      </w:tblPr>
      <w:tblGrid>
        <w:gridCol w:w="9128"/>
      </w:tblGrid>
      <w:tr w:rsidR="00F91E2E" w:rsidRPr="00BD4366" w14:paraId="7448D7DC" w14:textId="77777777" w:rsidTr="000A020A">
        <w:tc>
          <w:tcPr>
            <w:tcW w:w="9128" w:type="dxa"/>
            <w:shd w:val="clear" w:color="auto" w:fill="000000" w:themeFill="text1"/>
          </w:tcPr>
          <w:p w14:paraId="77117881" w14:textId="52C53A2B" w:rsidR="00F91E2E" w:rsidRPr="00BD4366" w:rsidRDefault="00F91E2E" w:rsidP="000A020A">
            <w:pPr>
              <w:jc w:val="center"/>
              <w:rPr>
                <w:rFonts w:ascii="Arial" w:hAnsi="Arial" w:cs="Arial"/>
                <w:b/>
                <w:bCs/>
                <w:sz w:val="20"/>
              </w:rPr>
            </w:pPr>
            <w:r w:rsidRPr="00BD4366">
              <w:rPr>
                <w:rFonts w:ascii="Arial" w:hAnsi="Arial" w:cs="Arial"/>
                <w:b/>
                <w:bCs/>
                <w:sz w:val="20"/>
              </w:rPr>
              <w:t xml:space="preserve">POWERS OF THE </w:t>
            </w:r>
            <w:r w:rsidR="005A36C5">
              <w:rPr>
                <w:rFonts w:ascii="Arial" w:hAnsi="Arial" w:cs="Arial"/>
                <w:b/>
                <w:bCs/>
                <w:sz w:val="20"/>
              </w:rPr>
              <w:t>CHILDREN’S COURT</w:t>
            </w:r>
            <w:r w:rsidRPr="00BD4366">
              <w:rPr>
                <w:rFonts w:ascii="Arial" w:hAnsi="Arial" w:cs="Arial"/>
                <w:b/>
                <w:bCs/>
                <w:sz w:val="20"/>
              </w:rPr>
              <w:t xml:space="preserve"> IF IT FINDS </w:t>
            </w:r>
            <w:r w:rsidR="000450E0">
              <w:rPr>
                <w:rFonts w:ascii="Arial" w:hAnsi="Arial" w:cs="Arial"/>
                <w:b/>
                <w:bCs/>
                <w:sz w:val="20"/>
              </w:rPr>
              <w:t>A GBO, CSO, PRO, YSSO OR YCO</w:t>
            </w:r>
            <w:r w:rsidR="000450E0" w:rsidRPr="00BD4366">
              <w:rPr>
                <w:rFonts w:ascii="Arial" w:hAnsi="Arial" w:cs="Arial"/>
                <w:b/>
                <w:bCs/>
                <w:sz w:val="20"/>
              </w:rPr>
              <w:t xml:space="preserve"> </w:t>
            </w:r>
            <w:r w:rsidRPr="00BD4366">
              <w:rPr>
                <w:rFonts w:ascii="Arial" w:hAnsi="Arial" w:cs="Arial"/>
                <w:b/>
                <w:bCs/>
                <w:sz w:val="20"/>
              </w:rPr>
              <w:t>CONTRAVENTION PROCEEDING PROVED</w:t>
            </w:r>
          </w:p>
        </w:tc>
      </w:tr>
    </w:tbl>
    <w:p w14:paraId="298DFB73" w14:textId="77777777" w:rsidR="00F91E2E" w:rsidRPr="000B268C" w:rsidRDefault="00F91E2E" w:rsidP="00F91E2E">
      <w:pPr>
        <w:jc w:val="both"/>
        <w:rPr>
          <w:rFonts w:ascii="Arial" w:hAnsi="Arial" w:cs="Arial"/>
          <w:color w:val="000000"/>
          <w:sz w:val="18"/>
          <w:szCs w:val="22"/>
        </w:rPr>
      </w:pPr>
    </w:p>
    <w:p w14:paraId="7F04AB8D" w14:textId="7CFEBFE1" w:rsidR="00565983" w:rsidRDefault="00565983" w:rsidP="00565983">
      <w:pPr>
        <w:jc w:val="both"/>
        <w:rPr>
          <w:rFonts w:ascii="Arial" w:hAnsi="Arial" w:cs="Arial"/>
          <w:color w:val="000000"/>
          <w:sz w:val="20"/>
        </w:rPr>
      </w:pPr>
      <w:r>
        <w:rPr>
          <w:rFonts w:ascii="Arial" w:hAnsi="Arial" w:cs="Arial"/>
          <w:color w:val="000000"/>
          <w:sz w:val="20"/>
        </w:rPr>
        <w:t>Under s.309</w:t>
      </w:r>
      <w:r w:rsidR="005F4EA5">
        <w:rPr>
          <w:rFonts w:ascii="Arial" w:hAnsi="Arial" w:cs="Arial"/>
          <w:color w:val="000000"/>
          <w:sz w:val="20"/>
        </w:rPr>
        <w:t>(1)</w:t>
      </w:r>
      <w:r>
        <w:rPr>
          <w:rFonts w:ascii="Arial" w:hAnsi="Arial" w:cs="Arial"/>
          <w:color w:val="000000"/>
          <w:sz w:val="20"/>
        </w:rPr>
        <w:t xml:space="preserve"> YJA, at the hearing of a contravention proceeding </w:t>
      </w:r>
      <w:r w:rsidR="005F4EA5">
        <w:rPr>
          <w:rFonts w:ascii="Arial" w:hAnsi="Arial" w:cs="Arial"/>
          <w:color w:val="000000"/>
          <w:sz w:val="20"/>
        </w:rPr>
        <w:t xml:space="preserve">initiated </w:t>
      </w:r>
      <w:r>
        <w:rPr>
          <w:rFonts w:ascii="Arial" w:hAnsi="Arial" w:cs="Arial"/>
          <w:color w:val="000000"/>
          <w:sz w:val="20"/>
        </w:rPr>
        <w:t>under ss.307 or 308, if the Children’s Court is satisfied that the child has contravened the order, the Court may–</w:t>
      </w:r>
    </w:p>
    <w:p w14:paraId="71364B5D" w14:textId="77777777" w:rsidR="00565983" w:rsidRPr="00E4443A" w:rsidRDefault="00565983">
      <w:pPr>
        <w:pStyle w:val="ListParagraph"/>
        <w:numPr>
          <w:ilvl w:val="0"/>
          <w:numId w:val="83"/>
        </w:numPr>
        <w:spacing w:after="0" w:line="240" w:lineRule="auto"/>
        <w:ind w:left="357" w:hanging="357"/>
        <w:jc w:val="both"/>
        <w:rPr>
          <w:rFonts w:ascii="Arial" w:hAnsi="Arial" w:cs="Arial"/>
          <w:sz w:val="20"/>
          <w:szCs w:val="20"/>
        </w:rPr>
      </w:pPr>
      <w:r w:rsidRPr="00E4443A">
        <w:rPr>
          <w:rFonts w:ascii="Arial" w:hAnsi="Arial" w:cs="Arial"/>
          <w:sz w:val="20"/>
          <w:szCs w:val="20"/>
        </w:rPr>
        <w:t>dismiss the application; or</w:t>
      </w:r>
    </w:p>
    <w:p w14:paraId="4AF61476" w14:textId="60A0B317" w:rsidR="00565983" w:rsidRDefault="00565983">
      <w:pPr>
        <w:pStyle w:val="ListParagraph"/>
        <w:numPr>
          <w:ilvl w:val="0"/>
          <w:numId w:val="83"/>
        </w:numPr>
        <w:spacing w:after="0" w:line="240" w:lineRule="auto"/>
        <w:ind w:left="357" w:hanging="357"/>
        <w:jc w:val="both"/>
        <w:rPr>
          <w:rFonts w:ascii="Arial" w:hAnsi="Arial" w:cs="Arial"/>
          <w:sz w:val="20"/>
          <w:szCs w:val="20"/>
        </w:rPr>
      </w:pPr>
      <w:r w:rsidRPr="00E4443A">
        <w:rPr>
          <w:rFonts w:ascii="Arial" w:hAnsi="Arial" w:cs="Arial"/>
          <w:sz w:val="20"/>
          <w:szCs w:val="20"/>
        </w:rPr>
        <w:t xml:space="preserve">vary the </w:t>
      </w:r>
      <w:r>
        <w:rPr>
          <w:rFonts w:ascii="Arial" w:hAnsi="Arial" w:cs="Arial"/>
          <w:sz w:val="20"/>
          <w:szCs w:val="20"/>
        </w:rPr>
        <w:t xml:space="preserve">contravened </w:t>
      </w:r>
      <w:r w:rsidRPr="00E4443A">
        <w:rPr>
          <w:rFonts w:ascii="Arial" w:hAnsi="Arial" w:cs="Arial"/>
          <w:sz w:val="20"/>
          <w:szCs w:val="20"/>
        </w:rPr>
        <w:t>order by–</w:t>
      </w:r>
    </w:p>
    <w:p w14:paraId="5D7BDF70" w14:textId="0775A2C8" w:rsidR="00565983" w:rsidRDefault="00565983">
      <w:pPr>
        <w:pStyle w:val="ListParagraph"/>
        <w:numPr>
          <w:ilvl w:val="0"/>
          <w:numId w:val="84"/>
        </w:numPr>
        <w:spacing w:after="0" w:line="240" w:lineRule="auto"/>
        <w:ind w:left="714" w:hanging="357"/>
        <w:jc w:val="both"/>
        <w:rPr>
          <w:rFonts w:ascii="Arial" w:hAnsi="Arial" w:cs="Arial"/>
          <w:color w:val="000000"/>
          <w:sz w:val="20"/>
        </w:rPr>
      </w:pPr>
      <w:r w:rsidRPr="00EC4B07">
        <w:rPr>
          <w:rFonts w:ascii="Arial" w:hAnsi="Arial" w:cs="Arial"/>
          <w:color w:val="000000"/>
          <w:sz w:val="20"/>
        </w:rPr>
        <w:lastRenderedPageBreak/>
        <w:t xml:space="preserve">varying a special condition, including </w:t>
      </w:r>
      <w:r>
        <w:rPr>
          <w:rFonts w:ascii="Arial" w:hAnsi="Arial" w:cs="Arial"/>
          <w:color w:val="000000"/>
          <w:sz w:val="20"/>
        </w:rPr>
        <w:t xml:space="preserve">by </w:t>
      </w:r>
      <w:r w:rsidRPr="00EC4B07">
        <w:rPr>
          <w:rFonts w:ascii="Arial" w:hAnsi="Arial" w:cs="Arial"/>
          <w:color w:val="000000"/>
          <w:sz w:val="20"/>
        </w:rPr>
        <w:t>suspending or revoking the condition;</w:t>
      </w:r>
    </w:p>
    <w:p w14:paraId="7437AD17" w14:textId="77777777" w:rsidR="00565983" w:rsidRDefault="00565983">
      <w:pPr>
        <w:pStyle w:val="ListParagraph"/>
        <w:numPr>
          <w:ilvl w:val="0"/>
          <w:numId w:val="84"/>
        </w:numPr>
        <w:spacing w:after="0" w:line="240" w:lineRule="auto"/>
        <w:ind w:left="714" w:hanging="357"/>
        <w:jc w:val="both"/>
        <w:rPr>
          <w:rFonts w:ascii="Arial" w:hAnsi="Arial" w:cs="Arial"/>
          <w:color w:val="000000"/>
          <w:sz w:val="20"/>
        </w:rPr>
      </w:pPr>
      <w:r>
        <w:rPr>
          <w:rFonts w:ascii="Arial" w:hAnsi="Arial" w:cs="Arial"/>
          <w:color w:val="000000"/>
          <w:sz w:val="20"/>
        </w:rPr>
        <w:t>attaching a permitted special condition;</w:t>
      </w:r>
    </w:p>
    <w:p w14:paraId="16F850A8" w14:textId="77777777" w:rsidR="00565983" w:rsidRPr="00EC4B07" w:rsidRDefault="00565983">
      <w:pPr>
        <w:pStyle w:val="ListParagraph"/>
        <w:numPr>
          <w:ilvl w:val="0"/>
          <w:numId w:val="84"/>
        </w:numPr>
        <w:spacing w:after="0" w:line="240" w:lineRule="auto"/>
        <w:ind w:left="714" w:hanging="357"/>
        <w:jc w:val="both"/>
        <w:rPr>
          <w:rFonts w:ascii="Arial" w:hAnsi="Arial" w:cs="Arial"/>
          <w:color w:val="000000"/>
          <w:sz w:val="20"/>
        </w:rPr>
      </w:pPr>
      <w:r>
        <w:rPr>
          <w:rFonts w:ascii="Arial" w:hAnsi="Arial" w:cs="Arial"/>
          <w:color w:val="000000"/>
          <w:sz w:val="20"/>
        </w:rPr>
        <w:t>if the order is a YSSO, ordering that the child be subject to judicial monitoring; or</w:t>
      </w:r>
    </w:p>
    <w:p w14:paraId="4F3AF5E7" w14:textId="00B04D77" w:rsidR="00565983" w:rsidRDefault="005F4EA5">
      <w:pPr>
        <w:pStyle w:val="ListParagraph"/>
        <w:numPr>
          <w:ilvl w:val="0"/>
          <w:numId w:val="83"/>
        </w:numPr>
        <w:spacing w:after="0" w:line="240" w:lineRule="auto"/>
        <w:ind w:left="357" w:hanging="357"/>
        <w:jc w:val="both"/>
        <w:rPr>
          <w:rFonts w:ascii="Arial" w:hAnsi="Arial" w:cs="Arial"/>
          <w:sz w:val="20"/>
          <w:szCs w:val="20"/>
        </w:rPr>
      </w:pPr>
      <w:r>
        <w:rPr>
          <w:rFonts w:ascii="Arial" w:hAnsi="Arial" w:cs="Arial"/>
          <w:sz w:val="20"/>
          <w:szCs w:val="20"/>
        </w:rPr>
        <w:t xml:space="preserve">subject to s.309(4), </w:t>
      </w:r>
      <w:r w:rsidR="00565983">
        <w:rPr>
          <w:rFonts w:ascii="Arial" w:hAnsi="Arial" w:cs="Arial"/>
          <w:sz w:val="20"/>
          <w:szCs w:val="20"/>
        </w:rPr>
        <w:t xml:space="preserve">revoke the contravened order and make any order in respect of the offence(s) which </w:t>
      </w:r>
      <w:r>
        <w:rPr>
          <w:rFonts w:ascii="Arial" w:hAnsi="Arial" w:cs="Arial"/>
          <w:sz w:val="20"/>
          <w:szCs w:val="20"/>
        </w:rPr>
        <w:t>it</w:t>
      </w:r>
      <w:r w:rsidR="00565983">
        <w:rPr>
          <w:rFonts w:ascii="Arial" w:hAnsi="Arial" w:cs="Arial"/>
          <w:sz w:val="20"/>
          <w:szCs w:val="20"/>
        </w:rPr>
        <w:t xml:space="preserve"> could have made if it had not made the contravened order; or</w:t>
      </w:r>
    </w:p>
    <w:p w14:paraId="3BD3DBA8" w14:textId="5369CAD9" w:rsidR="005F4EA5" w:rsidRPr="005F4EA5" w:rsidRDefault="005F4EA5">
      <w:pPr>
        <w:pStyle w:val="ListParagraph"/>
        <w:numPr>
          <w:ilvl w:val="0"/>
          <w:numId w:val="83"/>
        </w:numPr>
        <w:spacing w:after="0" w:line="240" w:lineRule="auto"/>
        <w:ind w:left="357" w:hanging="357"/>
        <w:jc w:val="both"/>
        <w:rPr>
          <w:rFonts w:ascii="Arial" w:hAnsi="Arial" w:cs="Arial"/>
          <w:sz w:val="20"/>
          <w:szCs w:val="20"/>
        </w:rPr>
      </w:pPr>
      <w:r>
        <w:rPr>
          <w:rFonts w:ascii="Arial" w:hAnsi="Arial" w:cs="Arial"/>
          <w:color w:val="000000"/>
          <w:sz w:val="20"/>
        </w:rPr>
        <w:t>subject to s.309(4), if the contravened has since expired–</w:t>
      </w:r>
    </w:p>
    <w:p w14:paraId="6BA3F130" w14:textId="231C7549" w:rsidR="005F4EA5" w:rsidRDefault="005F4EA5">
      <w:pPr>
        <w:pStyle w:val="ListParagraph"/>
        <w:numPr>
          <w:ilvl w:val="0"/>
          <w:numId w:val="85"/>
        </w:numPr>
        <w:spacing w:after="0" w:line="240" w:lineRule="auto"/>
        <w:ind w:left="714" w:hanging="357"/>
        <w:jc w:val="both"/>
        <w:rPr>
          <w:rFonts w:ascii="Arial" w:hAnsi="Arial" w:cs="Arial"/>
          <w:color w:val="000000"/>
          <w:sz w:val="20"/>
        </w:rPr>
      </w:pPr>
      <w:r>
        <w:rPr>
          <w:rFonts w:ascii="Arial" w:hAnsi="Arial" w:cs="Arial"/>
          <w:color w:val="000000"/>
          <w:sz w:val="20"/>
        </w:rPr>
        <w:t xml:space="preserve">make any order in respect of the offence(s) </w:t>
      </w:r>
      <w:r>
        <w:rPr>
          <w:rFonts w:ascii="Arial" w:hAnsi="Arial" w:cs="Arial"/>
          <w:sz w:val="20"/>
          <w:szCs w:val="20"/>
        </w:rPr>
        <w:t>which it could have made if it had not made the contravened order; or</w:t>
      </w:r>
    </w:p>
    <w:p w14:paraId="0B68BFC4" w14:textId="01AE124B" w:rsidR="005F4EA5" w:rsidRDefault="005F4EA5">
      <w:pPr>
        <w:pStyle w:val="ListParagraph"/>
        <w:numPr>
          <w:ilvl w:val="0"/>
          <w:numId w:val="85"/>
        </w:numPr>
        <w:spacing w:after="0" w:line="240" w:lineRule="auto"/>
        <w:ind w:left="714" w:hanging="357"/>
        <w:jc w:val="both"/>
        <w:rPr>
          <w:rFonts w:ascii="Arial" w:hAnsi="Arial" w:cs="Arial"/>
          <w:color w:val="000000"/>
          <w:sz w:val="20"/>
        </w:rPr>
      </w:pPr>
      <w:r>
        <w:rPr>
          <w:rFonts w:ascii="Arial" w:hAnsi="Arial" w:cs="Arial"/>
          <w:color w:val="000000"/>
          <w:sz w:val="20"/>
        </w:rPr>
        <w:t>dismiss the application.</w:t>
      </w:r>
    </w:p>
    <w:p w14:paraId="5739720C" w14:textId="6A074207" w:rsidR="005F4EA5" w:rsidRPr="00EC4B07" w:rsidRDefault="005F4EA5" w:rsidP="005F4EA5">
      <w:pPr>
        <w:spacing w:before="60"/>
        <w:jc w:val="both"/>
        <w:rPr>
          <w:rFonts w:ascii="Arial" w:hAnsi="Arial" w:cs="Arial"/>
          <w:sz w:val="20"/>
          <w:szCs w:val="20"/>
        </w:rPr>
      </w:pPr>
      <w:r w:rsidRPr="00EC4B07">
        <w:rPr>
          <w:rFonts w:ascii="Arial" w:hAnsi="Arial" w:cs="Arial"/>
          <w:sz w:val="20"/>
          <w:szCs w:val="20"/>
        </w:rPr>
        <w:t>However, under s.30</w:t>
      </w:r>
      <w:r>
        <w:rPr>
          <w:rFonts w:ascii="Arial" w:hAnsi="Arial" w:cs="Arial"/>
          <w:sz w:val="20"/>
          <w:szCs w:val="20"/>
        </w:rPr>
        <w:t>9</w:t>
      </w:r>
      <w:r w:rsidRPr="00EC4B07">
        <w:rPr>
          <w:rFonts w:ascii="Arial" w:hAnsi="Arial" w:cs="Arial"/>
          <w:sz w:val="20"/>
          <w:szCs w:val="20"/>
        </w:rPr>
        <w:t xml:space="preserve">(2) YJA the </w:t>
      </w:r>
      <w:r w:rsidR="00DB1391">
        <w:rPr>
          <w:rFonts w:ascii="Arial" w:hAnsi="Arial" w:cs="Arial"/>
          <w:sz w:val="20"/>
          <w:szCs w:val="20"/>
        </w:rPr>
        <w:t xml:space="preserve">Children’s </w:t>
      </w:r>
      <w:r w:rsidRPr="00EC4B07">
        <w:rPr>
          <w:rFonts w:ascii="Arial" w:hAnsi="Arial" w:cs="Arial"/>
          <w:sz w:val="20"/>
          <w:szCs w:val="20"/>
        </w:rPr>
        <w:t xml:space="preserve">Court must not extend the period of the </w:t>
      </w:r>
      <w:r>
        <w:rPr>
          <w:rFonts w:ascii="Arial" w:hAnsi="Arial" w:cs="Arial"/>
          <w:sz w:val="20"/>
          <w:szCs w:val="20"/>
        </w:rPr>
        <w:t xml:space="preserve">contravened </w:t>
      </w:r>
      <w:r w:rsidRPr="00EC4B07">
        <w:rPr>
          <w:rFonts w:ascii="Arial" w:hAnsi="Arial" w:cs="Arial"/>
          <w:sz w:val="20"/>
          <w:szCs w:val="20"/>
        </w:rPr>
        <w:t xml:space="preserve">order unless the </w:t>
      </w:r>
      <w:r>
        <w:rPr>
          <w:rFonts w:ascii="Arial" w:hAnsi="Arial" w:cs="Arial"/>
          <w:sz w:val="20"/>
          <w:szCs w:val="20"/>
        </w:rPr>
        <w:t xml:space="preserve">child has contravened a core condition of </w:t>
      </w:r>
      <w:r w:rsidRPr="00EC4B07">
        <w:rPr>
          <w:rFonts w:ascii="Arial" w:hAnsi="Arial" w:cs="Arial"/>
          <w:sz w:val="20"/>
          <w:szCs w:val="20"/>
        </w:rPr>
        <w:t xml:space="preserve">a CSO in which case the Court may extend the period of the </w:t>
      </w:r>
      <w:r>
        <w:rPr>
          <w:rFonts w:ascii="Arial" w:hAnsi="Arial" w:cs="Arial"/>
          <w:sz w:val="20"/>
          <w:szCs w:val="20"/>
        </w:rPr>
        <w:t>CSO</w:t>
      </w:r>
      <w:r w:rsidRPr="00EC4B07">
        <w:rPr>
          <w:rFonts w:ascii="Arial" w:hAnsi="Arial" w:cs="Arial"/>
          <w:sz w:val="20"/>
          <w:szCs w:val="20"/>
        </w:rPr>
        <w:t xml:space="preserve"> by up to 3 months but must not increase the number of hours of community service activities.</w:t>
      </w:r>
    </w:p>
    <w:p w14:paraId="6F898F4E" w14:textId="322AD125" w:rsidR="00DA4248" w:rsidRPr="00EC4B07" w:rsidRDefault="00DA4248" w:rsidP="00DA4248">
      <w:pPr>
        <w:spacing w:before="60"/>
        <w:jc w:val="both"/>
        <w:rPr>
          <w:rFonts w:ascii="Arial" w:hAnsi="Arial" w:cs="Arial"/>
          <w:sz w:val="20"/>
          <w:szCs w:val="20"/>
        </w:rPr>
      </w:pPr>
      <w:r w:rsidRPr="00EC4B07">
        <w:rPr>
          <w:rFonts w:ascii="Arial" w:hAnsi="Arial" w:cs="Arial"/>
          <w:sz w:val="20"/>
          <w:szCs w:val="20"/>
        </w:rPr>
        <w:t>Under s.30</w:t>
      </w:r>
      <w:r>
        <w:rPr>
          <w:rFonts w:ascii="Arial" w:hAnsi="Arial" w:cs="Arial"/>
          <w:sz w:val="20"/>
          <w:szCs w:val="20"/>
        </w:rPr>
        <w:t>9</w:t>
      </w:r>
      <w:r w:rsidRPr="00EC4B07">
        <w:rPr>
          <w:rFonts w:ascii="Arial" w:hAnsi="Arial" w:cs="Arial"/>
          <w:sz w:val="20"/>
          <w:szCs w:val="20"/>
        </w:rPr>
        <w:t xml:space="preserve">(4) YJA </w:t>
      </w:r>
      <w:r>
        <w:rPr>
          <w:rFonts w:ascii="Arial" w:hAnsi="Arial" w:cs="Arial"/>
          <w:sz w:val="20"/>
          <w:szCs w:val="20"/>
        </w:rPr>
        <w:t>the Ch</w:t>
      </w:r>
      <w:r w:rsidR="00DB1391">
        <w:rPr>
          <w:rFonts w:ascii="Arial" w:hAnsi="Arial" w:cs="Arial"/>
          <w:sz w:val="20"/>
          <w:szCs w:val="20"/>
        </w:rPr>
        <w:t>ildren’s Court</w:t>
      </w:r>
      <w:r>
        <w:rPr>
          <w:rFonts w:ascii="Arial" w:hAnsi="Arial" w:cs="Arial"/>
          <w:sz w:val="20"/>
          <w:szCs w:val="20"/>
        </w:rPr>
        <w:t xml:space="preserve"> may not impose a sentence that is higher in the sentencing hierarchy in s.240(1) YJA than the contravened order unless–</w:t>
      </w:r>
    </w:p>
    <w:p w14:paraId="0B4B99F3" w14:textId="3CE3627C" w:rsidR="00DA4248" w:rsidRDefault="00DA4248">
      <w:pPr>
        <w:pStyle w:val="ListParagraph"/>
        <w:numPr>
          <w:ilvl w:val="0"/>
          <w:numId w:val="87"/>
        </w:numPr>
        <w:spacing w:after="0" w:line="240" w:lineRule="auto"/>
        <w:ind w:left="357" w:hanging="357"/>
        <w:jc w:val="both"/>
        <w:rPr>
          <w:rFonts w:ascii="Arial" w:hAnsi="Arial" w:cs="Arial"/>
          <w:color w:val="000000"/>
          <w:sz w:val="20"/>
        </w:rPr>
      </w:pPr>
      <w:r>
        <w:rPr>
          <w:rFonts w:ascii="Arial" w:hAnsi="Arial" w:cs="Arial"/>
          <w:color w:val="000000"/>
          <w:sz w:val="20"/>
        </w:rPr>
        <w:t>during the term of the contravened order, the child co</w:t>
      </w:r>
      <w:r w:rsidR="00C0138B">
        <w:rPr>
          <w:rFonts w:ascii="Arial" w:hAnsi="Arial" w:cs="Arial"/>
          <w:color w:val="000000"/>
          <w:sz w:val="20"/>
        </w:rPr>
        <w:t>m</w:t>
      </w:r>
      <w:r>
        <w:rPr>
          <w:rFonts w:ascii="Arial" w:hAnsi="Arial" w:cs="Arial"/>
          <w:color w:val="000000"/>
          <w:sz w:val="20"/>
        </w:rPr>
        <w:t>mits an offence punishable on first conviction with imprisonment for a term of 5 years or more;</w:t>
      </w:r>
      <w:r w:rsidR="00C0138B">
        <w:rPr>
          <w:rFonts w:ascii="Arial" w:hAnsi="Arial" w:cs="Arial"/>
          <w:color w:val="000000"/>
          <w:sz w:val="20"/>
        </w:rPr>
        <w:t xml:space="preserve"> or</w:t>
      </w:r>
    </w:p>
    <w:p w14:paraId="5EB0CC1E" w14:textId="2FC92A09" w:rsidR="00DA4248" w:rsidRPr="00DA4248" w:rsidRDefault="00C0138B">
      <w:pPr>
        <w:pStyle w:val="ListParagraph"/>
        <w:numPr>
          <w:ilvl w:val="0"/>
          <w:numId w:val="87"/>
        </w:numPr>
        <w:spacing w:after="0" w:line="240" w:lineRule="auto"/>
        <w:ind w:left="357" w:hanging="357"/>
        <w:jc w:val="both"/>
        <w:rPr>
          <w:rFonts w:ascii="Arial" w:hAnsi="Arial" w:cs="Arial"/>
          <w:color w:val="000000"/>
          <w:sz w:val="20"/>
        </w:rPr>
      </w:pPr>
      <w:r>
        <w:rPr>
          <w:rFonts w:ascii="Arial" w:hAnsi="Arial" w:cs="Arial"/>
          <w:color w:val="000000"/>
          <w:sz w:val="20"/>
        </w:rPr>
        <w:t>the core conditions or special conditions of the contravened order, or the support and assistance offered to the child during the remaining term of the contravened order, cannot be varied in a way that would make the order suitable for the child.</w:t>
      </w:r>
    </w:p>
    <w:p w14:paraId="10CD9501" w14:textId="09139867" w:rsidR="005F4EA5" w:rsidRPr="00EC4B07" w:rsidRDefault="005F4EA5" w:rsidP="00DA4248">
      <w:pPr>
        <w:spacing w:before="60"/>
        <w:jc w:val="both"/>
        <w:rPr>
          <w:rFonts w:ascii="Arial" w:hAnsi="Arial" w:cs="Arial"/>
          <w:sz w:val="20"/>
          <w:szCs w:val="20"/>
        </w:rPr>
      </w:pPr>
      <w:r w:rsidRPr="00EC4B07">
        <w:rPr>
          <w:rFonts w:ascii="Arial" w:hAnsi="Arial" w:cs="Arial"/>
          <w:sz w:val="20"/>
          <w:szCs w:val="20"/>
        </w:rPr>
        <w:t>Under s.30</w:t>
      </w:r>
      <w:r>
        <w:rPr>
          <w:rFonts w:ascii="Arial" w:hAnsi="Arial" w:cs="Arial"/>
          <w:sz w:val="20"/>
          <w:szCs w:val="20"/>
        </w:rPr>
        <w:t>9</w:t>
      </w:r>
      <w:r w:rsidRPr="00EC4B07">
        <w:rPr>
          <w:rFonts w:ascii="Arial" w:hAnsi="Arial" w:cs="Arial"/>
          <w:sz w:val="20"/>
          <w:szCs w:val="20"/>
        </w:rPr>
        <w:t>(</w:t>
      </w:r>
      <w:r>
        <w:rPr>
          <w:rFonts w:ascii="Arial" w:hAnsi="Arial" w:cs="Arial"/>
          <w:sz w:val="20"/>
          <w:szCs w:val="20"/>
        </w:rPr>
        <w:t>3</w:t>
      </w:r>
      <w:r w:rsidRPr="00EC4B07">
        <w:rPr>
          <w:rFonts w:ascii="Arial" w:hAnsi="Arial" w:cs="Arial"/>
          <w:sz w:val="20"/>
          <w:szCs w:val="20"/>
        </w:rPr>
        <w:t xml:space="preserve">) YJA, in determining </w:t>
      </w:r>
      <w:r>
        <w:rPr>
          <w:rFonts w:ascii="Arial" w:hAnsi="Arial" w:cs="Arial"/>
          <w:sz w:val="20"/>
          <w:szCs w:val="20"/>
        </w:rPr>
        <w:t>what action to take under s.309(1)</w:t>
      </w:r>
      <w:r w:rsidRPr="00EC4B07">
        <w:rPr>
          <w:rFonts w:ascii="Arial" w:hAnsi="Arial" w:cs="Arial"/>
          <w:sz w:val="20"/>
          <w:szCs w:val="20"/>
        </w:rPr>
        <w:t xml:space="preserve">, the Children’s Court </w:t>
      </w:r>
      <w:r w:rsidRPr="005F4EA5">
        <w:rPr>
          <w:rFonts w:ascii="Arial" w:hAnsi="Arial" w:cs="Arial"/>
          <w:b/>
          <w:bCs/>
          <w:sz w:val="20"/>
          <w:szCs w:val="20"/>
        </w:rPr>
        <w:t>may</w:t>
      </w:r>
      <w:r w:rsidRPr="00EC4B07">
        <w:rPr>
          <w:rFonts w:ascii="Arial" w:hAnsi="Arial" w:cs="Arial"/>
          <w:sz w:val="20"/>
          <w:szCs w:val="20"/>
        </w:rPr>
        <w:t xml:space="preserve"> take into account–</w:t>
      </w:r>
    </w:p>
    <w:p w14:paraId="39D9EF60" w14:textId="4480A16F" w:rsidR="005F4EA5" w:rsidRDefault="005F4EA5">
      <w:pPr>
        <w:pStyle w:val="ListParagraph"/>
        <w:numPr>
          <w:ilvl w:val="0"/>
          <w:numId w:val="86"/>
        </w:numPr>
        <w:spacing w:after="0" w:line="240" w:lineRule="auto"/>
        <w:ind w:left="357" w:hanging="357"/>
        <w:jc w:val="both"/>
        <w:rPr>
          <w:rFonts w:ascii="Arial" w:hAnsi="Arial" w:cs="Arial"/>
          <w:color w:val="000000"/>
          <w:sz w:val="20"/>
        </w:rPr>
      </w:pPr>
      <w:r>
        <w:rPr>
          <w:rFonts w:ascii="Arial" w:hAnsi="Arial" w:cs="Arial"/>
          <w:color w:val="000000"/>
          <w:sz w:val="20"/>
        </w:rPr>
        <w:t xml:space="preserve">a </w:t>
      </w:r>
      <w:r w:rsidR="00DA4248">
        <w:rPr>
          <w:rFonts w:ascii="Arial" w:hAnsi="Arial" w:cs="Arial"/>
          <w:color w:val="000000"/>
          <w:sz w:val="20"/>
        </w:rPr>
        <w:t xml:space="preserve">contravention </w:t>
      </w:r>
      <w:r>
        <w:rPr>
          <w:rFonts w:ascii="Arial" w:hAnsi="Arial" w:cs="Arial"/>
          <w:color w:val="000000"/>
          <w:sz w:val="20"/>
        </w:rPr>
        <w:t>report;</w:t>
      </w:r>
    </w:p>
    <w:p w14:paraId="217EF16A" w14:textId="71DFED77" w:rsidR="005F4EA5" w:rsidRDefault="005F4EA5">
      <w:pPr>
        <w:pStyle w:val="ListParagraph"/>
        <w:numPr>
          <w:ilvl w:val="0"/>
          <w:numId w:val="86"/>
        </w:numPr>
        <w:spacing w:after="0" w:line="240" w:lineRule="auto"/>
        <w:ind w:left="357" w:hanging="357"/>
        <w:jc w:val="both"/>
        <w:rPr>
          <w:rFonts w:ascii="Arial" w:hAnsi="Arial" w:cs="Arial"/>
          <w:color w:val="000000"/>
          <w:sz w:val="20"/>
        </w:rPr>
      </w:pPr>
      <w:r>
        <w:rPr>
          <w:rFonts w:ascii="Arial" w:hAnsi="Arial" w:cs="Arial"/>
          <w:color w:val="000000"/>
          <w:sz w:val="20"/>
        </w:rPr>
        <w:t xml:space="preserve">the extent </w:t>
      </w:r>
      <w:r w:rsidR="00DA4248">
        <w:rPr>
          <w:rFonts w:ascii="Arial" w:hAnsi="Arial" w:cs="Arial"/>
          <w:color w:val="000000"/>
          <w:sz w:val="20"/>
        </w:rPr>
        <w:t xml:space="preserve">to </w:t>
      </w:r>
      <w:r w:rsidR="00A9011D">
        <w:rPr>
          <w:rFonts w:ascii="Arial" w:hAnsi="Arial" w:cs="Arial"/>
          <w:color w:val="000000"/>
          <w:sz w:val="20"/>
        </w:rPr>
        <w:t xml:space="preserve">which </w:t>
      </w:r>
      <w:r w:rsidR="00DA4248">
        <w:rPr>
          <w:rFonts w:ascii="Arial" w:hAnsi="Arial" w:cs="Arial"/>
          <w:color w:val="000000"/>
          <w:sz w:val="20"/>
        </w:rPr>
        <w:t>and the manner in which the child has complied</w:t>
      </w:r>
      <w:r>
        <w:rPr>
          <w:rFonts w:ascii="Arial" w:hAnsi="Arial" w:cs="Arial"/>
          <w:color w:val="000000"/>
          <w:sz w:val="20"/>
        </w:rPr>
        <w:t xml:space="preserve"> with the </w:t>
      </w:r>
      <w:r w:rsidR="00DA4248">
        <w:rPr>
          <w:rFonts w:ascii="Arial" w:hAnsi="Arial" w:cs="Arial"/>
          <w:color w:val="000000"/>
          <w:sz w:val="20"/>
        </w:rPr>
        <w:t xml:space="preserve">contravened </w:t>
      </w:r>
      <w:r>
        <w:rPr>
          <w:rFonts w:ascii="Arial" w:hAnsi="Arial" w:cs="Arial"/>
          <w:color w:val="000000"/>
          <w:sz w:val="20"/>
        </w:rPr>
        <w:t>order;</w:t>
      </w:r>
    </w:p>
    <w:p w14:paraId="323DC6C1" w14:textId="145CCAA6" w:rsidR="00DA4248" w:rsidRDefault="00DA4248">
      <w:pPr>
        <w:pStyle w:val="ListParagraph"/>
        <w:numPr>
          <w:ilvl w:val="0"/>
          <w:numId w:val="86"/>
        </w:numPr>
        <w:spacing w:after="0" w:line="240" w:lineRule="auto"/>
        <w:ind w:left="357" w:hanging="357"/>
        <w:jc w:val="both"/>
        <w:rPr>
          <w:rFonts w:ascii="Arial" w:hAnsi="Arial" w:cs="Arial"/>
          <w:color w:val="000000"/>
          <w:sz w:val="20"/>
        </w:rPr>
      </w:pPr>
      <w:r>
        <w:rPr>
          <w:rFonts w:ascii="Arial" w:hAnsi="Arial" w:cs="Arial"/>
          <w:color w:val="000000"/>
          <w:sz w:val="20"/>
        </w:rPr>
        <w:t>the fact that the contravened order was considered appropriate at the time of sentencing; and</w:t>
      </w:r>
    </w:p>
    <w:p w14:paraId="1E002AC7" w14:textId="70408FA8" w:rsidR="005F4EA5" w:rsidRDefault="005F4EA5">
      <w:pPr>
        <w:pStyle w:val="ListParagraph"/>
        <w:numPr>
          <w:ilvl w:val="0"/>
          <w:numId w:val="86"/>
        </w:numPr>
        <w:spacing w:after="0" w:line="240" w:lineRule="auto"/>
        <w:ind w:left="357" w:hanging="357"/>
        <w:jc w:val="both"/>
        <w:rPr>
          <w:rFonts w:ascii="Arial" w:hAnsi="Arial" w:cs="Arial"/>
          <w:color w:val="000000"/>
          <w:sz w:val="20"/>
        </w:rPr>
      </w:pPr>
      <w:r>
        <w:rPr>
          <w:rFonts w:ascii="Arial" w:hAnsi="Arial" w:cs="Arial"/>
          <w:color w:val="000000"/>
          <w:sz w:val="20"/>
        </w:rPr>
        <w:t xml:space="preserve">the </w:t>
      </w:r>
      <w:r w:rsidR="00DA4248">
        <w:rPr>
          <w:rFonts w:ascii="Arial" w:hAnsi="Arial" w:cs="Arial"/>
          <w:color w:val="000000"/>
          <w:sz w:val="20"/>
        </w:rPr>
        <w:t>period for which the order has been in force.</w:t>
      </w:r>
    </w:p>
    <w:p w14:paraId="3DCEA277" w14:textId="77777777" w:rsidR="00C0138B" w:rsidRPr="000B268C" w:rsidRDefault="00C0138B" w:rsidP="00C0138B">
      <w:pPr>
        <w:pStyle w:val="Heading3"/>
        <w:spacing w:line="240" w:lineRule="auto"/>
        <w:rPr>
          <w:rFonts w:ascii="Arial" w:hAnsi="Arial" w:cs="Arial"/>
          <w:color w:val="000000"/>
          <w:sz w:val="18"/>
          <w:szCs w:val="18"/>
        </w:rPr>
      </w:pPr>
    </w:p>
    <w:p w14:paraId="3B3B8B9E" w14:textId="5F9DD579" w:rsidR="00C0138B" w:rsidRDefault="00C0138B" w:rsidP="00C0138B">
      <w:pPr>
        <w:jc w:val="both"/>
        <w:rPr>
          <w:rFonts w:ascii="Arial" w:hAnsi="Arial" w:cs="Arial"/>
          <w:sz w:val="20"/>
          <w:szCs w:val="20"/>
        </w:rPr>
      </w:pPr>
      <w:r w:rsidRPr="00EC4B07">
        <w:rPr>
          <w:rFonts w:ascii="Arial" w:hAnsi="Arial" w:cs="Arial"/>
          <w:sz w:val="20"/>
          <w:szCs w:val="20"/>
        </w:rPr>
        <w:t>Under s.3</w:t>
      </w:r>
      <w:r>
        <w:rPr>
          <w:rFonts w:ascii="Arial" w:hAnsi="Arial" w:cs="Arial"/>
          <w:sz w:val="20"/>
          <w:szCs w:val="20"/>
        </w:rPr>
        <w:t>10</w:t>
      </w:r>
      <w:r w:rsidRPr="00EC4B07">
        <w:rPr>
          <w:rFonts w:ascii="Arial" w:hAnsi="Arial" w:cs="Arial"/>
          <w:sz w:val="20"/>
          <w:szCs w:val="20"/>
        </w:rPr>
        <w:t xml:space="preserve"> YJA a YSSO or YCO may be varied or revoked </w:t>
      </w:r>
      <w:r>
        <w:rPr>
          <w:rFonts w:ascii="Arial" w:hAnsi="Arial" w:cs="Arial"/>
          <w:sz w:val="20"/>
          <w:szCs w:val="20"/>
        </w:rPr>
        <w:t xml:space="preserve">for contravention </w:t>
      </w:r>
      <w:r w:rsidRPr="00EC4B07">
        <w:rPr>
          <w:rFonts w:ascii="Arial" w:hAnsi="Arial" w:cs="Arial"/>
          <w:sz w:val="20"/>
          <w:szCs w:val="20"/>
        </w:rPr>
        <w:t>under s.30</w:t>
      </w:r>
      <w:r>
        <w:rPr>
          <w:rFonts w:ascii="Arial" w:hAnsi="Arial" w:cs="Arial"/>
          <w:sz w:val="20"/>
          <w:szCs w:val="20"/>
        </w:rPr>
        <w:t>9</w:t>
      </w:r>
      <w:r w:rsidRPr="00EC4B07">
        <w:rPr>
          <w:rFonts w:ascii="Arial" w:hAnsi="Arial" w:cs="Arial"/>
          <w:sz w:val="20"/>
          <w:szCs w:val="20"/>
        </w:rPr>
        <w:t xml:space="preserve"> without the consent of the child and without a warning having been given to the child under s.295 YJA.</w:t>
      </w:r>
    </w:p>
    <w:p w14:paraId="2443FBB2" w14:textId="77777777" w:rsidR="00A9011D" w:rsidRPr="005C2371" w:rsidRDefault="00A9011D" w:rsidP="00A9011D">
      <w:pPr>
        <w:jc w:val="both"/>
        <w:rPr>
          <w:rFonts w:ascii="Arial" w:hAnsi="Arial" w:cs="Arial"/>
          <w:color w:val="000000"/>
          <w:sz w:val="20"/>
        </w:rPr>
      </w:pPr>
    </w:p>
    <w:tbl>
      <w:tblPr>
        <w:tblStyle w:val="TableGrid"/>
        <w:tblW w:w="9128" w:type="dxa"/>
        <w:tblLook w:val="04A0" w:firstRow="1" w:lastRow="0" w:firstColumn="1" w:lastColumn="0" w:noHBand="0" w:noVBand="1"/>
      </w:tblPr>
      <w:tblGrid>
        <w:gridCol w:w="9128"/>
      </w:tblGrid>
      <w:tr w:rsidR="00A9011D" w:rsidRPr="00BD4366" w14:paraId="3F6EC854" w14:textId="77777777" w:rsidTr="00826C41">
        <w:tc>
          <w:tcPr>
            <w:tcW w:w="9128" w:type="dxa"/>
            <w:shd w:val="clear" w:color="auto" w:fill="000000" w:themeFill="text1"/>
          </w:tcPr>
          <w:p w14:paraId="5F1B8FF6" w14:textId="572FA3F3" w:rsidR="00A9011D" w:rsidRPr="00BD4366" w:rsidRDefault="00A9011D" w:rsidP="00826C41">
            <w:pPr>
              <w:jc w:val="center"/>
              <w:rPr>
                <w:rFonts w:ascii="Arial" w:hAnsi="Arial" w:cs="Arial"/>
                <w:b/>
                <w:bCs/>
                <w:sz w:val="20"/>
              </w:rPr>
            </w:pPr>
            <w:r w:rsidRPr="00BD4366">
              <w:rPr>
                <w:rFonts w:ascii="Arial" w:hAnsi="Arial" w:cs="Arial"/>
                <w:b/>
                <w:bCs/>
                <w:sz w:val="20"/>
              </w:rPr>
              <w:t xml:space="preserve">POWERS OF THE </w:t>
            </w:r>
            <w:r>
              <w:rPr>
                <w:rFonts w:ascii="Arial" w:hAnsi="Arial" w:cs="Arial"/>
                <w:b/>
                <w:bCs/>
                <w:sz w:val="20"/>
              </w:rPr>
              <w:t xml:space="preserve">MAGISTRATES’ COURT, COUNTY COURT OR SUPREME COURT </w:t>
            </w:r>
            <w:r w:rsidRPr="00BD4366">
              <w:rPr>
                <w:rFonts w:ascii="Arial" w:hAnsi="Arial" w:cs="Arial"/>
                <w:b/>
                <w:bCs/>
                <w:sz w:val="20"/>
              </w:rPr>
              <w:t xml:space="preserve">IF IT FINDS </w:t>
            </w:r>
            <w:r w:rsidR="000450E0">
              <w:rPr>
                <w:rFonts w:ascii="Arial" w:hAnsi="Arial" w:cs="Arial"/>
                <w:b/>
                <w:bCs/>
                <w:sz w:val="20"/>
              </w:rPr>
              <w:t>A GBO, CSO, PRO, YSSO OR YCO</w:t>
            </w:r>
            <w:r w:rsidR="000450E0" w:rsidRPr="00BD4366">
              <w:rPr>
                <w:rFonts w:ascii="Arial" w:hAnsi="Arial" w:cs="Arial"/>
                <w:b/>
                <w:bCs/>
                <w:sz w:val="20"/>
              </w:rPr>
              <w:t xml:space="preserve"> </w:t>
            </w:r>
            <w:r w:rsidRPr="00BD4366">
              <w:rPr>
                <w:rFonts w:ascii="Arial" w:hAnsi="Arial" w:cs="Arial"/>
                <w:b/>
                <w:bCs/>
                <w:sz w:val="20"/>
              </w:rPr>
              <w:t>CONTRAVENTION PROCEEDING PROVED</w:t>
            </w:r>
          </w:p>
        </w:tc>
      </w:tr>
    </w:tbl>
    <w:p w14:paraId="180810F1" w14:textId="77777777" w:rsidR="00A9011D" w:rsidRPr="005C2371" w:rsidRDefault="00A9011D" w:rsidP="00A9011D">
      <w:pPr>
        <w:jc w:val="both"/>
        <w:rPr>
          <w:rFonts w:ascii="Arial" w:hAnsi="Arial" w:cs="Arial"/>
          <w:color w:val="000000"/>
          <w:sz w:val="20"/>
        </w:rPr>
      </w:pPr>
    </w:p>
    <w:p w14:paraId="43F93345" w14:textId="41F9F221" w:rsidR="004B245F" w:rsidRDefault="00F820E5" w:rsidP="00F820E5">
      <w:pPr>
        <w:jc w:val="both"/>
        <w:rPr>
          <w:rFonts w:ascii="Arial" w:hAnsi="Arial" w:cs="Arial"/>
          <w:color w:val="000000"/>
          <w:sz w:val="20"/>
        </w:rPr>
      </w:pPr>
      <w:r>
        <w:rPr>
          <w:rFonts w:ascii="Arial" w:hAnsi="Arial" w:cs="Arial"/>
          <w:color w:val="000000"/>
          <w:sz w:val="20"/>
        </w:rPr>
        <w:t xml:space="preserve">Under s.314(8) YJA if such </w:t>
      </w:r>
      <w:r w:rsidR="000450E0">
        <w:rPr>
          <w:rFonts w:ascii="Arial" w:hAnsi="Arial" w:cs="Arial"/>
          <w:color w:val="000000"/>
          <w:sz w:val="20"/>
        </w:rPr>
        <w:t xml:space="preserve">an </w:t>
      </w:r>
      <w:r>
        <w:rPr>
          <w:rFonts w:ascii="Arial" w:hAnsi="Arial" w:cs="Arial"/>
          <w:color w:val="000000"/>
          <w:sz w:val="20"/>
        </w:rPr>
        <w:t>order contravention proceeding is transferred to the Magistrates’ Court–</w:t>
      </w:r>
    </w:p>
    <w:p w14:paraId="48EF7DC2" w14:textId="059A2075" w:rsidR="004B245F" w:rsidRDefault="00F820E5">
      <w:pPr>
        <w:pStyle w:val="ListParagraph"/>
        <w:numPr>
          <w:ilvl w:val="0"/>
          <w:numId w:val="94"/>
        </w:numPr>
        <w:spacing w:after="0" w:line="240" w:lineRule="auto"/>
        <w:ind w:left="357" w:hanging="357"/>
        <w:jc w:val="both"/>
        <w:rPr>
          <w:rFonts w:ascii="Arial" w:hAnsi="Arial" w:cs="Arial"/>
          <w:color w:val="000000"/>
          <w:sz w:val="20"/>
        </w:rPr>
      </w:pPr>
      <w:r>
        <w:rPr>
          <w:rFonts w:ascii="Arial" w:hAnsi="Arial" w:cs="Arial"/>
          <w:color w:val="000000"/>
          <w:sz w:val="20"/>
        </w:rPr>
        <w:t>the Magistrates’ Court may sentence the child as if it had been satisfied of the child’s guilt of the offence for which the sentence was imposed; and</w:t>
      </w:r>
    </w:p>
    <w:p w14:paraId="025954F0" w14:textId="0B4C6018" w:rsidR="00F820E5" w:rsidRPr="00F820E5" w:rsidRDefault="00F820E5">
      <w:pPr>
        <w:pStyle w:val="ListParagraph"/>
        <w:numPr>
          <w:ilvl w:val="0"/>
          <w:numId w:val="94"/>
        </w:numPr>
        <w:spacing w:after="0" w:line="240" w:lineRule="auto"/>
        <w:ind w:left="357" w:hanging="357"/>
        <w:jc w:val="both"/>
        <w:rPr>
          <w:rFonts w:ascii="Arial" w:hAnsi="Arial" w:cs="Arial"/>
          <w:color w:val="000000"/>
          <w:sz w:val="20"/>
        </w:rPr>
      </w:pPr>
      <w:r>
        <w:rPr>
          <w:rFonts w:ascii="Arial" w:hAnsi="Arial" w:cs="Arial"/>
          <w:color w:val="000000"/>
          <w:sz w:val="20"/>
        </w:rPr>
        <w:t>for this purpose it has jurisdiction, whether or not it would otherwise have had jurisdiction to deal with this offence.</w:t>
      </w:r>
    </w:p>
    <w:p w14:paraId="06830F10" w14:textId="77777777" w:rsidR="004B245F" w:rsidRPr="000B268C" w:rsidRDefault="004B245F" w:rsidP="0079090C">
      <w:pPr>
        <w:jc w:val="both"/>
        <w:rPr>
          <w:rFonts w:ascii="Arial" w:hAnsi="Arial" w:cs="Arial"/>
          <w:color w:val="000000"/>
          <w:sz w:val="18"/>
          <w:szCs w:val="22"/>
        </w:rPr>
      </w:pPr>
    </w:p>
    <w:p w14:paraId="60A21FB6" w14:textId="405107BE" w:rsidR="0083634A" w:rsidRPr="0083634A" w:rsidRDefault="00F820E5" w:rsidP="0083634A">
      <w:pPr>
        <w:jc w:val="both"/>
        <w:rPr>
          <w:rFonts w:ascii="Arial" w:hAnsi="Arial" w:cs="Arial"/>
          <w:color w:val="000000"/>
          <w:sz w:val="20"/>
        </w:rPr>
      </w:pPr>
      <w:r>
        <w:rPr>
          <w:rFonts w:ascii="Arial" w:hAnsi="Arial" w:cs="Arial"/>
          <w:color w:val="000000"/>
          <w:sz w:val="20"/>
        </w:rPr>
        <w:t xml:space="preserve">Part 7.11 is silent as to the powers of the County Court or the Supreme Court </w:t>
      </w:r>
      <w:r w:rsidR="0083634A">
        <w:rPr>
          <w:rFonts w:ascii="Arial" w:hAnsi="Arial" w:cs="Arial"/>
          <w:color w:val="000000"/>
          <w:sz w:val="20"/>
        </w:rPr>
        <w:t xml:space="preserve">if it finds proved an order contravention proceeding transferred to it under s.314 YJA. However, s.241 YJA appears to confer the requisite power, permitting those courts to sentence </w:t>
      </w:r>
      <w:r w:rsidR="0083634A" w:rsidRPr="0083634A">
        <w:rPr>
          <w:rFonts w:ascii="Arial" w:hAnsi="Arial" w:cs="Arial"/>
          <w:color w:val="000000"/>
          <w:sz w:val="20"/>
          <w:lang w:val="en-US"/>
        </w:rPr>
        <w:t xml:space="preserve">a child under the YJA or the </w:t>
      </w:r>
      <w:r w:rsidR="0083634A" w:rsidRPr="0083634A">
        <w:rPr>
          <w:rFonts w:ascii="Arial" w:hAnsi="Arial" w:cs="Arial"/>
          <w:i/>
          <w:iCs/>
          <w:color w:val="000000"/>
          <w:sz w:val="20"/>
          <w:lang w:val="en-US"/>
        </w:rPr>
        <w:t>Sentencing Act 1991</w:t>
      </w:r>
      <w:r w:rsidR="0083634A" w:rsidRPr="0083634A">
        <w:rPr>
          <w:rFonts w:ascii="Arial" w:hAnsi="Arial" w:cs="Arial"/>
          <w:color w:val="000000"/>
          <w:sz w:val="20"/>
          <w:lang w:val="en-US"/>
        </w:rPr>
        <w:t xml:space="preserve">, save that any YJC order must be made in accordance with the </w:t>
      </w:r>
      <w:r w:rsidR="0083634A" w:rsidRPr="0083634A">
        <w:rPr>
          <w:rFonts w:ascii="Arial" w:hAnsi="Arial" w:cs="Arial"/>
          <w:i/>
          <w:iCs/>
          <w:color w:val="000000"/>
          <w:sz w:val="20"/>
          <w:lang w:val="en-US"/>
        </w:rPr>
        <w:t>Sentencing Act</w:t>
      </w:r>
      <w:r w:rsidR="0083634A" w:rsidRPr="0083634A">
        <w:rPr>
          <w:rFonts w:ascii="Arial" w:hAnsi="Arial" w:cs="Arial"/>
          <w:color w:val="000000"/>
          <w:sz w:val="20"/>
          <w:lang w:val="en-US"/>
        </w:rPr>
        <w:t xml:space="preserve">. Further in sentencing a child who is 16 or 17 at the time of commission of an indictable offence, the Supreme Court or the County Court must have regard to any requirement in the </w:t>
      </w:r>
      <w:r w:rsidR="0083634A" w:rsidRPr="0083634A">
        <w:rPr>
          <w:rFonts w:ascii="Arial" w:hAnsi="Arial" w:cs="Arial"/>
          <w:i/>
          <w:iCs/>
          <w:color w:val="000000"/>
          <w:sz w:val="20"/>
          <w:lang w:val="en-US"/>
        </w:rPr>
        <w:t xml:space="preserve">Sentencing Act </w:t>
      </w:r>
      <w:r w:rsidR="0083634A" w:rsidRPr="0083634A">
        <w:rPr>
          <w:rFonts w:ascii="Arial" w:hAnsi="Arial" w:cs="Arial"/>
          <w:color w:val="000000"/>
          <w:sz w:val="20"/>
          <w:lang w:val="en-US"/>
        </w:rPr>
        <w:t>that a specified minimum non</w:t>
      </w:r>
      <w:r w:rsidR="0083634A">
        <w:rPr>
          <w:rFonts w:ascii="Arial" w:hAnsi="Arial" w:cs="Arial"/>
          <w:color w:val="000000"/>
          <w:sz w:val="20"/>
          <w:lang w:val="en-US"/>
        </w:rPr>
        <w:noBreakHyphen/>
      </w:r>
      <w:r w:rsidR="0083634A" w:rsidRPr="0083634A">
        <w:rPr>
          <w:rFonts w:ascii="Arial" w:hAnsi="Arial" w:cs="Arial"/>
          <w:color w:val="000000"/>
          <w:sz w:val="20"/>
          <w:lang w:val="en-US"/>
        </w:rPr>
        <w:t>parole period of imprisonment be imposed had the offence been committed by an adult.</w:t>
      </w:r>
    </w:p>
    <w:p w14:paraId="0C318BF3" w14:textId="77777777" w:rsidR="000E191D" w:rsidRPr="00F51496" w:rsidRDefault="000E191D" w:rsidP="000E191D">
      <w:pPr>
        <w:jc w:val="both"/>
        <w:rPr>
          <w:rFonts w:ascii="Arial" w:hAnsi="Arial" w:cs="Arial"/>
          <w:bCs/>
          <w:color w:val="000000"/>
          <w:sz w:val="20"/>
        </w:rPr>
      </w:pPr>
    </w:p>
    <w:p w14:paraId="63D2A01F" w14:textId="5846856B" w:rsidR="000E191D" w:rsidRPr="00F51496" w:rsidRDefault="000E191D" w:rsidP="000E191D">
      <w:pPr>
        <w:pStyle w:val="Heading3"/>
        <w:keepNext/>
        <w:spacing w:after="120" w:line="240" w:lineRule="auto"/>
        <w:rPr>
          <w:rFonts w:ascii="Arial" w:hAnsi="Arial" w:cs="Arial"/>
          <w:b/>
          <w:bCs/>
          <w:color w:val="000000"/>
          <w:sz w:val="20"/>
        </w:rPr>
      </w:pPr>
      <w:bookmarkStart w:id="113" w:name="_7.1.6_Proceedings_for"/>
      <w:bookmarkEnd w:id="111"/>
      <w:bookmarkEnd w:id="113"/>
      <w:r w:rsidRPr="00F51496">
        <w:rPr>
          <w:rFonts w:ascii="Arial" w:hAnsi="Arial" w:cs="Arial"/>
          <w:b/>
          <w:bCs/>
          <w:color w:val="000000"/>
          <w:sz w:val="20"/>
        </w:rPr>
        <w:t>7.</w:t>
      </w:r>
      <w:r>
        <w:rPr>
          <w:rFonts w:ascii="Arial" w:hAnsi="Arial" w:cs="Arial"/>
          <w:b/>
          <w:bCs/>
          <w:color w:val="000000"/>
          <w:sz w:val="20"/>
        </w:rPr>
        <w:t>1.</w:t>
      </w:r>
      <w:r w:rsidR="004834D6">
        <w:rPr>
          <w:rFonts w:ascii="Arial" w:hAnsi="Arial" w:cs="Arial"/>
          <w:b/>
          <w:bCs/>
          <w:color w:val="000000"/>
          <w:sz w:val="20"/>
        </w:rPr>
        <w:t>7</w:t>
      </w:r>
      <w:r w:rsidRPr="00F51496">
        <w:rPr>
          <w:rFonts w:ascii="Arial" w:hAnsi="Arial" w:cs="Arial"/>
          <w:b/>
          <w:bCs/>
          <w:color w:val="000000"/>
          <w:sz w:val="20"/>
        </w:rPr>
        <w:tab/>
      </w:r>
      <w:r>
        <w:rPr>
          <w:rFonts w:ascii="Arial" w:hAnsi="Arial" w:cs="Arial"/>
          <w:b/>
          <w:bCs/>
          <w:color w:val="000000"/>
          <w:sz w:val="20"/>
        </w:rPr>
        <w:t xml:space="preserve">Proceedings for </w:t>
      </w:r>
      <w:r w:rsidR="00633E04">
        <w:rPr>
          <w:rFonts w:ascii="Arial" w:hAnsi="Arial" w:cs="Arial"/>
          <w:b/>
          <w:bCs/>
          <w:color w:val="000000"/>
          <w:sz w:val="20"/>
        </w:rPr>
        <w:t xml:space="preserve">instalment order or </w:t>
      </w:r>
      <w:r w:rsidR="004834D6">
        <w:rPr>
          <w:rFonts w:ascii="Arial" w:hAnsi="Arial" w:cs="Arial"/>
          <w:b/>
          <w:bCs/>
          <w:color w:val="000000"/>
          <w:sz w:val="20"/>
        </w:rPr>
        <w:t xml:space="preserve">time to pay </w:t>
      </w:r>
      <w:r>
        <w:rPr>
          <w:rFonts w:ascii="Arial" w:hAnsi="Arial" w:cs="Arial"/>
          <w:b/>
          <w:bCs/>
          <w:color w:val="000000"/>
          <w:sz w:val="20"/>
        </w:rPr>
        <w:t>orde</w:t>
      </w:r>
      <w:r w:rsidR="004834D6">
        <w:rPr>
          <w:rFonts w:ascii="Arial" w:hAnsi="Arial" w:cs="Arial"/>
          <w:b/>
          <w:bCs/>
          <w:color w:val="000000"/>
          <w:sz w:val="20"/>
        </w:rPr>
        <w:t>r or for default in payment</w:t>
      </w:r>
    </w:p>
    <w:p w14:paraId="0E135621" w14:textId="1CE0578F" w:rsidR="00235416" w:rsidRDefault="00235416" w:rsidP="00235416">
      <w:pPr>
        <w:jc w:val="both"/>
        <w:rPr>
          <w:rFonts w:ascii="Arial" w:hAnsi="Arial" w:cs="Arial"/>
          <w:color w:val="000000"/>
          <w:sz w:val="20"/>
        </w:rPr>
      </w:pPr>
      <w:r>
        <w:rPr>
          <w:rFonts w:ascii="Arial" w:hAnsi="Arial" w:cs="Arial"/>
          <w:color w:val="000000"/>
          <w:sz w:val="20"/>
        </w:rPr>
        <w:t>A proceeding for</w:t>
      </w:r>
      <w:r w:rsidR="00EE337E">
        <w:rPr>
          <w:rFonts w:ascii="Arial" w:hAnsi="Arial" w:cs="Arial"/>
          <w:color w:val="000000"/>
          <w:sz w:val="20"/>
        </w:rPr>
        <w:t xml:space="preserve"> </w:t>
      </w:r>
      <w:r>
        <w:rPr>
          <w:rFonts w:ascii="Arial" w:hAnsi="Arial" w:cs="Arial"/>
          <w:color w:val="000000"/>
          <w:sz w:val="20"/>
        </w:rPr>
        <w:t>a</w:t>
      </w:r>
      <w:r w:rsidR="00633E04">
        <w:rPr>
          <w:rFonts w:ascii="Arial" w:hAnsi="Arial" w:cs="Arial"/>
          <w:color w:val="000000"/>
          <w:sz w:val="20"/>
        </w:rPr>
        <w:t>n instalment order or a</w:t>
      </w:r>
      <w:r>
        <w:rPr>
          <w:rFonts w:ascii="Arial" w:hAnsi="Arial" w:cs="Arial"/>
          <w:color w:val="000000"/>
          <w:sz w:val="20"/>
        </w:rPr>
        <w:t xml:space="preserve"> time to pay or</w:t>
      </w:r>
      <w:r w:rsidR="00633E04">
        <w:rPr>
          <w:rFonts w:ascii="Arial" w:hAnsi="Arial" w:cs="Arial"/>
          <w:color w:val="000000"/>
          <w:sz w:val="20"/>
        </w:rPr>
        <w:t xml:space="preserve">der </w:t>
      </w:r>
      <w:r>
        <w:rPr>
          <w:rFonts w:ascii="Arial" w:hAnsi="Arial" w:cs="Arial"/>
          <w:color w:val="000000"/>
          <w:sz w:val="20"/>
        </w:rPr>
        <w:t xml:space="preserve">in relation to a fine or for default in payment is governed by </w:t>
      </w:r>
      <w:r w:rsidRPr="00235416">
        <w:rPr>
          <w:rFonts w:ascii="Arial" w:hAnsi="Arial" w:cs="Arial"/>
          <w:b/>
          <w:bCs/>
          <w:color w:val="000000"/>
          <w:sz w:val="20"/>
        </w:rPr>
        <w:t>ss.25</w:t>
      </w:r>
      <w:r w:rsidR="00633E04">
        <w:rPr>
          <w:rFonts w:ascii="Arial" w:hAnsi="Arial" w:cs="Arial"/>
          <w:b/>
          <w:bCs/>
          <w:color w:val="000000"/>
          <w:sz w:val="20"/>
        </w:rPr>
        <w:t>3</w:t>
      </w:r>
      <w:r w:rsidRPr="00235416">
        <w:rPr>
          <w:rFonts w:ascii="Arial" w:hAnsi="Arial" w:cs="Arial"/>
          <w:b/>
          <w:bCs/>
          <w:color w:val="000000"/>
          <w:sz w:val="20"/>
        </w:rPr>
        <w:t>-261 YJA</w:t>
      </w:r>
      <w:r>
        <w:rPr>
          <w:rFonts w:ascii="Arial" w:hAnsi="Arial" w:cs="Arial"/>
          <w:color w:val="000000"/>
          <w:sz w:val="20"/>
        </w:rPr>
        <w:t xml:space="preserve"> [cf. ss.</w:t>
      </w:r>
      <w:r w:rsidR="00EE337E">
        <w:rPr>
          <w:rFonts w:ascii="Arial" w:hAnsi="Arial" w:cs="Arial"/>
          <w:color w:val="000000"/>
          <w:sz w:val="20"/>
        </w:rPr>
        <w:t xml:space="preserve">376-379 </w:t>
      </w:r>
      <w:r w:rsidR="00013255">
        <w:rPr>
          <w:rFonts w:ascii="Arial" w:hAnsi="Arial" w:cs="Arial"/>
          <w:color w:val="000000"/>
          <w:sz w:val="20"/>
        </w:rPr>
        <w:t>CYFA</w:t>
      </w:r>
      <w:r>
        <w:rPr>
          <w:rFonts w:ascii="Arial" w:hAnsi="Arial" w:cs="Arial"/>
          <w:color w:val="000000"/>
          <w:sz w:val="20"/>
        </w:rPr>
        <w:t xml:space="preserve">]. </w:t>
      </w:r>
      <w:r w:rsidR="004E73C6">
        <w:rPr>
          <w:rFonts w:ascii="Arial" w:hAnsi="Arial" w:cs="Arial"/>
          <w:color w:val="000000"/>
          <w:sz w:val="20"/>
        </w:rPr>
        <w:t xml:space="preserve">Under the CYFA </w:t>
      </w:r>
      <w:r>
        <w:rPr>
          <w:rFonts w:ascii="Arial" w:hAnsi="Arial" w:cs="Arial"/>
          <w:color w:val="000000"/>
          <w:sz w:val="20"/>
        </w:rPr>
        <w:t xml:space="preserve">s.423 </w:t>
      </w:r>
      <w:r w:rsidR="004E73C6">
        <w:rPr>
          <w:rFonts w:ascii="Arial" w:hAnsi="Arial" w:cs="Arial"/>
          <w:color w:val="000000"/>
          <w:sz w:val="20"/>
        </w:rPr>
        <w:t>also</w:t>
      </w:r>
      <w:r>
        <w:rPr>
          <w:rFonts w:ascii="Arial" w:hAnsi="Arial" w:cs="Arial"/>
          <w:color w:val="000000"/>
          <w:sz w:val="20"/>
        </w:rPr>
        <w:t xml:space="preserve"> governed default in payment of a fine or of any instalment under an instalment order but </w:t>
      </w:r>
      <w:r w:rsidR="004E73C6">
        <w:rPr>
          <w:rFonts w:ascii="Arial" w:hAnsi="Arial" w:cs="Arial"/>
          <w:color w:val="000000"/>
          <w:sz w:val="20"/>
        </w:rPr>
        <w:t xml:space="preserve">under the YJA fine defaults are governed by </w:t>
      </w:r>
      <w:r w:rsidR="004E73C6" w:rsidRPr="00633E04">
        <w:rPr>
          <w:rFonts w:ascii="Arial" w:hAnsi="Arial" w:cs="Arial"/>
          <w:b/>
          <w:bCs/>
          <w:color w:val="000000"/>
          <w:sz w:val="20"/>
        </w:rPr>
        <w:t>ss.257-261 YJA</w:t>
      </w:r>
      <w:r w:rsidR="004E73C6">
        <w:rPr>
          <w:rFonts w:ascii="Arial" w:hAnsi="Arial" w:cs="Arial"/>
          <w:color w:val="000000"/>
          <w:sz w:val="20"/>
        </w:rPr>
        <w:t xml:space="preserve"> </w:t>
      </w:r>
      <w:r>
        <w:rPr>
          <w:rFonts w:ascii="Arial" w:hAnsi="Arial" w:cs="Arial"/>
          <w:color w:val="000000"/>
          <w:sz w:val="20"/>
        </w:rPr>
        <w:t xml:space="preserve">(summarised in </w:t>
      </w:r>
      <w:r w:rsidRPr="00F9096F">
        <w:rPr>
          <w:rFonts w:ascii="Arial" w:hAnsi="Arial" w:cs="Arial"/>
          <w:b/>
          <w:bCs/>
          <w:color w:val="000000"/>
          <w:sz w:val="20"/>
          <w:shd w:val="clear" w:color="auto" w:fill="C5E0B3" w:themeFill="accent6" w:themeFillTint="66"/>
        </w:rPr>
        <w:t>section 7.1.7</w:t>
      </w:r>
      <w:r>
        <w:rPr>
          <w:rFonts w:ascii="Arial" w:hAnsi="Arial" w:cs="Arial"/>
          <w:color w:val="000000"/>
          <w:sz w:val="20"/>
        </w:rPr>
        <w:t xml:space="preserve"> below). See</w:t>
      </w:r>
      <w:r w:rsidRPr="00242E91">
        <w:rPr>
          <w:rFonts w:ascii="Arial" w:hAnsi="Arial" w:cs="Arial"/>
          <w:color w:val="FFFFFF" w:themeColor="background1"/>
          <w:sz w:val="20"/>
        </w:rPr>
        <w:t> </w:t>
      </w:r>
      <w:r w:rsidRPr="009F75C8">
        <w:rPr>
          <w:rFonts w:ascii="Arial" w:hAnsi="Arial" w:cs="Arial"/>
          <w:color w:val="000000"/>
          <w:sz w:val="20"/>
        </w:rPr>
        <w:t>ss.87</w:t>
      </w:r>
      <w:r w:rsidR="00EE337E">
        <w:rPr>
          <w:rFonts w:ascii="Arial" w:hAnsi="Arial" w:cs="Arial"/>
          <w:color w:val="000000"/>
          <w:sz w:val="20"/>
        </w:rPr>
        <w:t>1</w:t>
      </w:r>
      <w:r w:rsidRPr="009F75C8">
        <w:rPr>
          <w:rFonts w:ascii="Arial" w:hAnsi="Arial" w:cs="Arial"/>
          <w:color w:val="000000"/>
          <w:sz w:val="20"/>
        </w:rPr>
        <w:t>-8</w:t>
      </w:r>
      <w:r w:rsidR="00EE337E">
        <w:rPr>
          <w:rFonts w:ascii="Arial" w:hAnsi="Arial" w:cs="Arial"/>
          <w:color w:val="000000"/>
          <w:sz w:val="20"/>
        </w:rPr>
        <w:t>7</w:t>
      </w:r>
      <w:r w:rsidR="004E73C6">
        <w:rPr>
          <w:rFonts w:ascii="Arial" w:hAnsi="Arial" w:cs="Arial"/>
          <w:color w:val="000000"/>
          <w:sz w:val="20"/>
        </w:rPr>
        <w:t>4</w:t>
      </w:r>
      <w:r w:rsidRPr="009F75C8">
        <w:rPr>
          <w:rFonts w:ascii="Arial" w:hAnsi="Arial" w:cs="Arial"/>
          <w:color w:val="000000"/>
          <w:sz w:val="20"/>
        </w:rPr>
        <w:t xml:space="preserve"> YJA for transitional provisions relating to </w:t>
      </w:r>
      <w:r>
        <w:rPr>
          <w:rFonts w:ascii="Arial" w:hAnsi="Arial" w:cs="Arial"/>
          <w:color w:val="000000"/>
          <w:sz w:val="20"/>
        </w:rPr>
        <w:t>proceedings</w:t>
      </w:r>
      <w:r w:rsidRPr="009F75C8">
        <w:rPr>
          <w:rFonts w:ascii="Arial" w:hAnsi="Arial" w:cs="Arial"/>
          <w:color w:val="000000"/>
          <w:sz w:val="20"/>
        </w:rPr>
        <w:t xml:space="preserve"> </w:t>
      </w:r>
      <w:r>
        <w:rPr>
          <w:rFonts w:ascii="Arial" w:hAnsi="Arial" w:cs="Arial"/>
          <w:color w:val="000000"/>
          <w:sz w:val="20"/>
        </w:rPr>
        <w:t xml:space="preserve">for </w:t>
      </w:r>
      <w:r w:rsidR="00013255">
        <w:rPr>
          <w:rFonts w:ascii="Arial" w:hAnsi="Arial" w:cs="Arial"/>
          <w:color w:val="000000"/>
          <w:sz w:val="20"/>
        </w:rPr>
        <w:t>“</w:t>
      </w:r>
      <w:r>
        <w:rPr>
          <w:rFonts w:ascii="Arial" w:hAnsi="Arial" w:cs="Arial"/>
          <w:color w:val="000000"/>
          <w:sz w:val="20"/>
        </w:rPr>
        <w:t>breach</w:t>
      </w:r>
      <w:r w:rsidR="00013255">
        <w:rPr>
          <w:rFonts w:ascii="Arial" w:hAnsi="Arial" w:cs="Arial"/>
          <w:color w:val="000000"/>
          <w:sz w:val="20"/>
        </w:rPr>
        <w:t>”</w:t>
      </w:r>
      <w:r w:rsidRPr="009F75C8">
        <w:rPr>
          <w:rFonts w:ascii="Arial" w:hAnsi="Arial" w:cs="Arial"/>
          <w:color w:val="000000"/>
          <w:sz w:val="20"/>
        </w:rPr>
        <w:t xml:space="preserve"> of a CYFA </w:t>
      </w:r>
      <w:r w:rsidR="004E73C6">
        <w:rPr>
          <w:rFonts w:ascii="Arial" w:hAnsi="Arial" w:cs="Arial"/>
          <w:color w:val="000000"/>
          <w:sz w:val="20"/>
        </w:rPr>
        <w:t>fine</w:t>
      </w:r>
      <w:r>
        <w:rPr>
          <w:rFonts w:ascii="Arial" w:hAnsi="Arial" w:cs="Arial"/>
          <w:color w:val="000000"/>
          <w:sz w:val="20"/>
        </w:rPr>
        <w:t>.</w:t>
      </w:r>
    </w:p>
    <w:p w14:paraId="16502874" w14:textId="77777777" w:rsidR="00013255" w:rsidRPr="005C2371" w:rsidRDefault="00013255" w:rsidP="00013255">
      <w:pPr>
        <w:jc w:val="both"/>
        <w:rPr>
          <w:rFonts w:ascii="Arial" w:hAnsi="Arial" w:cs="Arial"/>
          <w:color w:val="000000"/>
          <w:sz w:val="20"/>
        </w:rPr>
      </w:pPr>
    </w:p>
    <w:tbl>
      <w:tblPr>
        <w:tblStyle w:val="TableGrid"/>
        <w:tblW w:w="9128" w:type="dxa"/>
        <w:tblLook w:val="04A0" w:firstRow="1" w:lastRow="0" w:firstColumn="1" w:lastColumn="0" w:noHBand="0" w:noVBand="1"/>
      </w:tblPr>
      <w:tblGrid>
        <w:gridCol w:w="9128"/>
      </w:tblGrid>
      <w:tr w:rsidR="00013255" w:rsidRPr="00BD4366" w14:paraId="75C1926A" w14:textId="77777777" w:rsidTr="00826C41">
        <w:tc>
          <w:tcPr>
            <w:tcW w:w="9128" w:type="dxa"/>
            <w:shd w:val="clear" w:color="auto" w:fill="000000" w:themeFill="text1"/>
          </w:tcPr>
          <w:p w14:paraId="1C2C97A0" w14:textId="5DA804FC" w:rsidR="00013255" w:rsidRPr="00BD4366" w:rsidRDefault="00013255" w:rsidP="00826C41">
            <w:pPr>
              <w:jc w:val="center"/>
              <w:rPr>
                <w:rFonts w:ascii="Arial" w:hAnsi="Arial" w:cs="Arial"/>
                <w:b/>
                <w:bCs/>
                <w:sz w:val="20"/>
              </w:rPr>
            </w:pPr>
            <w:r w:rsidRPr="00BD4366">
              <w:rPr>
                <w:rFonts w:ascii="Arial" w:hAnsi="Arial" w:cs="Arial"/>
                <w:b/>
                <w:bCs/>
                <w:sz w:val="20"/>
              </w:rPr>
              <w:t>P</w:t>
            </w:r>
            <w:r>
              <w:rPr>
                <w:rFonts w:ascii="Arial" w:hAnsi="Arial" w:cs="Arial"/>
                <w:b/>
                <w:bCs/>
                <w:sz w:val="20"/>
              </w:rPr>
              <w:t xml:space="preserve">ROCEEDING FOR </w:t>
            </w:r>
            <w:r w:rsidR="00633E04">
              <w:rPr>
                <w:rFonts w:ascii="Arial" w:hAnsi="Arial" w:cs="Arial"/>
                <w:b/>
                <w:bCs/>
                <w:sz w:val="20"/>
              </w:rPr>
              <w:t xml:space="preserve">INSTALMENT ORDER OR </w:t>
            </w:r>
            <w:r>
              <w:rPr>
                <w:rFonts w:ascii="Arial" w:hAnsi="Arial" w:cs="Arial"/>
                <w:b/>
                <w:bCs/>
                <w:sz w:val="20"/>
              </w:rPr>
              <w:t>TIME TO PAY ORDER</w:t>
            </w:r>
          </w:p>
        </w:tc>
      </w:tr>
    </w:tbl>
    <w:p w14:paraId="1E1ADCAE" w14:textId="77777777" w:rsidR="00013255" w:rsidRPr="005C2371" w:rsidRDefault="00013255" w:rsidP="00013255">
      <w:pPr>
        <w:jc w:val="both"/>
        <w:rPr>
          <w:rFonts w:ascii="Arial" w:hAnsi="Arial" w:cs="Arial"/>
          <w:color w:val="000000"/>
          <w:sz w:val="20"/>
        </w:rPr>
      </w:pPr>
    </w:p>
    <w:p w14:paraId="58DCAD48" w14:textId="735986E8" w:rsidR="00013255" w:rsidRDefault="00633E04">
      <w:pPr>
        <w:jc w:val="both"/>
        <w:rPr>
          <w:rFonts w:ascii="Arial" w:hAnsi="Arial" w:cs="Arial"/>
          <w:color w:val="000000"/>
          <w:sz w:val="20"/>
        </w:rPr>
      </w:pPr>
      <w:r>
        <w:rPr>
          <w:rFonts w:ascii="Arial" w:hAnsi="Arial" w:cs="Arial"/>
          <w:color w:val="000000"/>
          <w:sz w:val="20"/>
        </w:rPr>
        <w:t xml:space="preserve">Under s.253 YJA if the </w:t>
      </w:r>
      <w:r w:rsidR="0006615F">
        <w:rPr>
          <w:rFonts w:ascii="Arial" w:hAnsi="Arial" w:cs="Arial"/>
          <w:color w:val="000000"/>
          <w:sz w:val="20"/>
        </w:rPr>
        <w:t>ChCV</w:t>
      </w:r>
      <w:r>
        <w:rPr>
          <w:rFonts w:ascii="Arial" w:hAnsi="Arial" w:cs="Arial"/>
          <w:color w:val="000000"/>
          <w:sz w:val="20"/>
        </w:rPr>
        <w:t xml:space="preserve"> imposes a fine on a child, at the time of imposing the fine, the Court–</w:t>
      </w:r>
    </w:p>
    <w:p w14:paraId="3923325F" w14:textId="6D711FA7" w:rsidR="00013255" w:rsidRDefault="00633E04">
      <w:pPr>
        <w:pStyle w:val="ListParagraph"/>
        <w:numPr>
          <w:ilvl w:val="0"/>
          <w:numId w:val="96"/>
        </w:numPr>
        <w:ind w:left="357" w:hanging="357"/>
        <w:jc w:val="both"/>
        <w:rPr>
          <w:rFonts w:ascii="Arial" w:hAnsi="Arial" w:cs="Arial"/>
          <w:color w:val="000000"/>
          <w:sz w:val="20"/>
        </w:rPr>
      </w:pPr>
      <w:r>
        <w:rPr>
          <w:rFonts w:ascii="Arial" w:hAnsi="Arial" w:cs="Arial"/>
          <w:color w:val="000000"/>
          <w:sz w:val="20"/>
        </w:rPr>
        <w:t>must make an instalment order if the child requests it; or</w:t>
      </w:r>
    </w:p>
    <w:p w14:paraId="2F96D8B0" w14:textId="3F36671E" w:rsidR="00633E04" w:rsidRDefault="00633E04">
      <w:pPr>
        <w:pStyle w:val="ListParagraph"/>
        <w:numPr>
          <w:ilvl w:val="0"/>
          <w:numId w:val="96"/>
        </w:numPr>
        <w:ind w:left="357" w:hanging="357"/>
        <w:jc w:val="both"/>
        <w:rPr>
          <w:rFonts w:ascii="Arial" w:hAnsi="Arial" w:cs="Arial"/>
          <w:color w:val="000000"/>
          <w:sz w:val="20"/>
        </w:rPr>
      </w:pPr>
      <w:r>
        <w:rPr>
          <w:rFonts w:ascii="Arial" w:hAnsi="Arial" w:cs="Arial"/>
          <w:color w:val="000000"/>
          <w:sz w:val="20"/>
        </w:rPr>
        <w:t>in any other case, may make an instalment order if the Court considers it appropriate to do so.</w:t>
      </w:r>
    </w:p>
    <w:p w14:paraId="419C7BA9" w14:textId="14D235BA" w:rsidR="00633E04" w:rsidRDefault="00633E04" w:rsidP="00633E04">
      <w:pPr>
        <w:jc w:val="both"/>
        <w:rPr>
          <w:rFonts w:ascii="Arial" w:hAnsi="Arial" w:cs="Arial"/>
          <w:color w:val="000000"/>
          <w:sz w:val="20"/>
        </w:rPr>
      </w:pPr>
      <w:r>
        <w:rPr>
          <w:rFonts w:ascii="Arial" w:hAnsi="Arial" w:cs="Arial"/>
          <w:color w:val="000000"/>
          <w:sz w:val="20"/>
        </w:rPr>
        <w:t xml:space="preserve">Under s.254 YJA if the </w:t>
      </w:r>
      <w:r w:rsidR="0006615F">
        <w:rPr>
          <w:rFonts w:ascii="Arial" w:hAnsi="Arial" w:cs="Arial"/>
          <w:color w:val="000000"/>
          <w:sz w:val="20"/>
        </w:rPr>
        <w:t>ChCV</w:t>
      </w:r>
      <w:r>
        <w:rPr>
          <w:rFonts w:ascii="Arial" w:hAnsi="Arial" w:cs="Arial"/>
          <w:color w:val="000000"/>
          <w:sz w:val="20"/>
        </w:rPr>
        <w:t xml:space="preserve"> does not make an instalment order, it may make a time to pay order at the time of imposing a fine on a child.</w:t>
      </w:r>
    </w:p>
    <w:p w14:paraId="6202C6CB" w14:textId="2E6B5F29" w:rsidR="00633E04" w:rsidRDefault="0006615F" w:rsidP="00633E04">
      <w:pPr>
        <w:jc w:val="both"/>
        <w:rPr>
          <w:rFonts w:ascii="Arial" w:hAnsi="Arial" w:cs="Arial"/>
          <w:color w:val="000000"/>
          <w:sz w:val="20"/>
        </w:rPr>
      </w:pPr>
      <w:r>
        <w:rPr>
          <w:rFonts w:ascii="Arial" w:hAnsi="Arial" w:cs="Arial"/>
          <w:color w:val="000000"/>
          <w:sz w:val="20"/>
        </w:rPr>
        <w:lastRenderedPageBreak/>
        <w:t>Under ss.255-256 YJA the ChCV may make a time to pay order, an instalment order or an order varying an instalment order upon application by the child made before the commencement of a default in payment hearing.</w:t>
      </w:r>
    </w:p>
    <w:p w14:paraId="0423B034" w14:textId="77777777" w:rsidR="0006615F" w:rsidRPr="005C2371" w:rsidRDefault="0006615F" w:rsidP="0006615F">
      <w:pPr>
        <w:jc w:val="both"/>
        <w:rPr>
          <w:rFonts w:ascii="Arial" w:hAnsi="Arial" w:cs="Arial"/>
          <w:color w:val="000000"/>
          <w:sz w:val="20"/>
        </w:rPr>
      </w:pPr>
    </w:p>
    <w:tbl>
      <w:tblPr>
        <w:tblStyle w:val="TableGrid"/>
        <w:tblW w:w="9128" w:type="dxa"/>
        <w:tblLook w:val="04A0" w:firstRow="1" w:lastRow="0" w:firstColumn="1" w:lastColumn="0" w:noHBand="0" w:noVBand="1"/>
      </w:tblPr>
      <w:tblGrid>
        <w:gridCol w:w="9128"/>
      </w:tblGrid>
      <w:tr w:rsidR="0006615F" w:rsidRPr="00BD4366" w14:paraId="64CB829A" w14:textId="77777777" w:rsidTr="00826C41">
        <w:tc>
          <w:tcPr>
            <w:tcW w:w="9128" w:type="dxa"/>
            <w:shd w:val="clear" w:color="auto" w:fill="000000" w:themeFill="text1"/>
          </w:tcPr>
          <w:p w14:paraId="682B6B98" w14:textId="06CCFEDF" w:rsidR="0006615F" w:rsidRPr="00BD4366" w:rsidRDefault="0006615F" w:rsidP="00826C41">
            <w:pPr>
              <w:jc w:val="center"/>
              <w:rPr>
                <w:rFonts w:ascii="Arial" w:hAnsi="Arial" w:cs="Arial"/>
                <w:b/>
                <w:bCs/>
                <w:sz w:val="20"/>
              </w:rPr>
            </w:pPr>
            <w:r w:rsidRPr="00BD4366">
              <w:rPr>
                <w:rFonts w:ascii="Arial" w:hAnsi="Arial" w:cs="Arial"/>
                <w:b/>
                <w:bCs/>
                <w:sz w:val="20"/>
              </w:rPr>
              <w:t>P</w:t>
            </w:r>
            <w:r>
              <w:rPr>
                <w:rFonts w:ascii="Arial" w:hAnsi="Arial" w:cs="Arial"/>
                <w:b/>
                <w:bCs/>
                <w:sz w:val="20"/>
              </w:rPr>
              <w:t>ROCEEDING FOR DEFAULT IN PAYMENT OF A FINE OR INSTALMENT ORDER</w:t>
            </w:r>
          </w:p>
        </w:tc>
      </w:tr>
    </w:tbl>
    <w:p w14:paraId="2FF9784E" w14:textId="77777777" w:rsidR="00B47474" w:rsidRPr="005C2371" w:rsidRDefault="00B47474" w:rsidP="00B47474">
      <w:pPr>
        <w:jc w:val="both"/>
        <w:rPr>
          <w:rFonts w:ascii="Arial" w:hAnsi="Arial" w:cs="Arial"/>
          <w:color w:val="000000"/>
          <w:sz w:val="20"/>
        </w:rPr>
      </w:pPr>
    </w:p>
    <w:p w14:paraId="108927B9" w14:textId="14640F34" w:rsidR="00B47474" w:rsidRDefault="00B47474" w:rsidP="00B47474">
      <w:pPr>
        <w:jc w:val="both"/>
        <w:rPr>
          <w:rFonts w:ascii="Arial" w:hAnsi="Arial" w:cs="Arial"/>
          <w:color w:val="000000"/>
          <w:sz w:val="20"/>
        </w:rPr>
      </w:pPr>
      <w:r>
        <w:rPr>
          <w:rFonts w:ascii="Arial" w:hAnsi="Arial" w:cs="Arial"/>
          <w:color w:val="000000"/>
          <w:sz w:val="20"/>
        </w:rPr>
        <w:t xml:space="preserve">The starting point for a proceeding for default in payment of a fine or instalment order </w:t>
      </w:r>
      <w:r w:rsidR="0044138C">
        <w:rPr>
          <w:rFonts w:ascii="Arial" w:hAnsi="Arial" w:cs="Arial"/>
          <w:color w:val="000000"/>
          <w:sz w:val="20"/>
        </w:rPr>
        <w:t xml:space="preserve">imposed on a child </w:t>
      </w:r>
      <w:r>
        <w:rPr>
          <w:rFonts w:ascii="Arial" w:hAnsi="Arial" w:cs="Arial"/>
          <w:color w:val="000000"/>
          <w:sz w:val="20"/>
        </w:rPr>
        <w:t>is the Children’s Court.</w:t>
      </w:r>
    </w:p>
    <w:p w14:paraId="49D29DB8" w14:textId="77777777" w:rsidR="00B47474" w:rsidRPr="005C2371" w:rsidRDefault="00B47474" w:rsidP="0006615F">
      <w:pPr>
        <w:jc w:val="both"/>
        <w:rPr>
          <w:rFonts w:ascii="Arial" w:hAnsi="Arial" w:cs="Arial"/>
          <w:color w:val="000000"/>
          <w:sz w:val="18"/>
          <w:szCs w:val="22"/>
        </w:rPr>
      </w:pPr>
    </w:p>
    <w:p w14:paraId="5A513B5B" w14:textId="4206599A" w:rsidR="00633E04" w:rsidRPr="00633E04" w:rsidRDefault="0087641A" w:rsidP="0087641A">
      <w:pPr>
        <w:jc w:val="both"/>
        <w:rPr>
          <w:rFonts w:ascii="Arial" w:hAnsi="Arial" w:cs="Arial"/>
          <w:color w:val="000000"/>
          <w:sz w:val="20"/>
        </w:rPr>
      </w:pPr>
      <w:r>
        <w:rPr>
          <w:rFonts w:ascii="Arial" w:hAnsi="Arial" w:cs="Arial"/>
          <w:color w:val="000000"/>
          <w:sz w:val="20"/>
        </w:rPr>
        <w:t>Under ss.257(1)-(2) YJA if it appears that for a period of more than 1 month a child defaults in the payment of a fine or any instalment under an instalment order, the Court may direct that the child be served with a notice to appear before the Court for the matter to be heard. If the Children’s Court is satisfied that the child is in default, it may–</w:t>
      </w:r>
    </w:p>
    <w:p w14:paraId="79EA137B" w14:textId="0DE9A0F7" w:rsidR="004E73C6" w:rsidRDefault="0087641A">
      <w:pPr>
        <w:pStyle w:val="ListParagraph"/>
        <w:numPr>
          <w:ilvl w:val="0"/>
          <w:numId w:val="97"/>
        </w:numPr>
        <w:spacing w:after="0" w:line="240" w:lineRule="auto"/>
        <w:ind w:left="357" w:hanging="357"/>
        <w:jc w:val="both"/>
        <w:rPr>
          <w:rFonts w:ascii="Arial" w:hAnsi="Arial" w:cs="Arial"/>
          <w:color w:val="000000"/>
          <w:sz w:val="20"/>
        </w:rPr>
      </w:pPr>
      <w:r>
        <w:rPr>
          <w:rFonts w:ascii="Arial" w:hAnsi="Arial" w:cs="Arial"/>
          <w:color w:val="000000"/>
          <w:sz w:val="20"/>
        </w:rPr>
        <w:t>determine that payment of the unpaid amount not be enforced;</w:t>
      </w:r>
    </w:p>
    <w:p w14:paraId="26442DC3" w14:textId="2541A032" w:rsidR="0087641A" w:rsidRDefault="0087641A">
      <w:pPr>
        <w:pStyle w:val="ListParagraph"/>
        <w:numPr>
          <w:ilvl w:val="0"/>
          <w:numId w:val="97"/>
        </w:numPr>
        <w:spacing w:after="0" w:line="240" w:lineRule="auto"/>
        <w:ind w:left="357" w:hanging="357"/>
        <w:jc w:val="both"/>
        <w:rPr>
          <w:rFonts w:ascii="Arial" w:hAnsi="Arial" w:cs="Arial"/>
          <w:color w:val="000000"/>
          <w:sz w:val="20"/>
        </w:rPr>
      </w:pPr>
      <w:r>
        <w:rPr>
          <w:rFonts w:ascii="Arial" w:hAnsi="Arial" w:cs="Arial"/>
          <w:color w:val="000000"/>
          <w:sz w:val="20"/>
        </w:rPr>
        <w:t>adjourn the hearing for up to 6 months on any terms it thinks fit;</w:t>
      </w:r>
    </w:p>
    <w:p w14:paraId="05BB02FE" w14:textId="1771902A" w:rsidR="0087641A" w:rsidRDefault="0087641A">
      <w:pPr>
        <w:pStyle w:val="ListParagraph"/>
        <w:numPr>
          <w:ilvl w:val="0"/>
          <w:numId w:val="97"/>
        </w:numPr>
        <w:spacing w:after="0" w:line="240" w:lineRule="auto"/>
        <w:ind w:left="357" w:hanging="357"/>
        <w:jc w:val="both"/>
        <w:rPr>
          <w:rFonts w:ascii="Arial" w:hAnsi="Arial" w:cs="Arial"/>
          <w:color w:val="000000"/>
          <w:sz w:val="20"/>
        </w:rPr>
      </w:pPr>
      <w:r>
        <w:rPr>
          <w:rFonts w:ascii="Arial" w:hAnsi="Arial" w:cs="Arial"/>
          <w:color w:val="000000"/>
          <w:sz w:val="20"/>
        </w:rPr>
        <w:t>order that the fine be varied;</w:t>
      </w:r>
    </w:p>
    <w:p w14:paraId="75E949AD" w14:textId="743BA0AB" w:rsidR="0087641A" w:rsidRDefault="0087641A">
      <w:pPr>
        <w:pStyle w:val="ListParagraph"/>
        <w:numPr>
          <w:ilvl w:val="0"/>
          <w:numId w:val="97"/>
        </w:numPr>
        <w:spacing w:after="0" w:line="240" w:lineRule="auto"/>
        <w:ind w:left="357" w:hanging="357"/>
        <w:jc w:val="both"/>
        <w:rPr>
          <w:rFonts w:ascii="Arial" w:hAnsi="Arial" w:cs="Arial"/>
          <w:color w:val="000000"/>
          <w:sz w:val="20"/>
        </w:rPr>
      </w:pPr>
      <w:r>
        <w:rPr>
          <w:rFonts w:ascii="Arial" w:hAnsi="Arial" w:cs="Arial"/>
          <w:color w:val="000000"/>
          <w:sz w:val="20"/>
        </w:rPr>
        <w:t>if the default is in payment of an instalment, order that the instalment order be varied;</w:t>
      </w:r>
    </w:p>
    <w:p w14:paraId="3F4CA737" w14:textId="4036BD6D" w:rsidR="0087641A" w:rsidRDefault="0087641A">
      <w:pPr>
        <w:pStyle w:val="ListParagraph"/>
        <w:numPr>
          <w:ilvl w:val="0"/>
          <w:numId w:val="97"/>
        </w:numPr>
        <w:spacing w:after="0" w:line="240" w:lineRule="auto"/>
        <w:ind w:left="357" w:hanging="357"/>
        <w:jc w:val="both"/>
        <w:rPr>
          <w:rFonts w:ascii="Arial" w:hAnsi="Arial" w:cs="Arial"/>
          <w:color w:val="000000"/>
          <w:sz w:val="20"/>
        </w:rPr>
      </w:pPr>
      <w:r>
        <w:rPr>
          <w:rFonts w:ascii="Arial" w:hAnsi="Arial" w:cs="Arial"/>
          <w:color w:val="000000"/>
          <w:sz w:val="20"/>
        </w:rPr>
        <w:t>order that the fine then unpaid be levied by a warrant to seize property; or</w:t>
      </w:r>
    </w:p>
    <w:p w14:paraId="5F51026A" w14:textId="6EB166AF" w:rsidR="0087641A" w:rsidRPr="0087641A" w:rsidRDefault="0087641A">
      <w:pPr>
        <w:pStyle w:val="ListParagraph"/>
        <w:numPr>
          <w:ilvl w:val="0"/>
          <w:numId w:val="97"/>
        </w:numPr>
        <w:spacing w:after="0" w:line="240" w:lineRule="auto"/>
        <w:ind w:left="357" w:hanging="357"/>
        <w:jc w:val="both"/>
        <w:rPr>
          <w:rFonts w:ascii="Arial" w:hAnsi="Arial" w:cs="Arial"/>
          <w:color w:val="000000"/>
          <w:sz w:val="20"/>
        </w:rPr>
      </w:pPr>
      <w:r>
        <w:rPr>
          <w:rFonts w:ascii="Arial" w:hAnsi="Arial" w:cs="Arial"/>
          <w:color w:val="000000"/>
          <w:sz w:val="20"/>
        </w:rPr>
        <w:t xml:space="preserve">make a community service order for a number of hours determined in accordance with s.258 YJA; in this connection s.260 </w:t>
      </w:r>
      <w:r w:rsidRPr="0087641A">
        <w:rPr>
          <w:rFonts w:ascii="Arial" w:hAnsi="Arial" w:cs="Arial"/>
          <w:color w:val="000000"/>
          <w:sz w:val="20"/>
        </w:rPr>
        <w:t>requires a reduction of the number of hours of community service activities if the child subsequently pays a portion of the fine.</w:t>
      </w:r>
    </w:p>
    <w:p w14:paraId="21D588ED" w14:textId="77777777" w:rsidR="0087641A" w:rsidRPr="005C2371" w:rsidRDefault="0087641A" w:rsidP="0087641A">
      <w:pPr>
        <w:jc w:val="both"/>
        <w:rPr>
          <w:rFonts w:ascii="Arial" w:hAnsi="Arial" w:cs="Arial"/>
          <w:color w:val="000000"/>
          <w:sz w:val="18"/>
          <w:szCs w:val="22"/>
        </w:rPr>
      </w:pPr>
    </w:p>
    <w:p w14:paraId="6FC5B8DD" w14:textId="0F51E794" w:rsidR="0087641A" w:rsidRDefault="0087641A" w:rsidP="0087641A">
      <w:pPr>
        <w:jc w:val="both"/>
        <w:rPr>
          <w:rFonts w:ascii="Arial" w:hAnsi="Arial" w:cs="Arial"/>
          <w:color w:val="000000"/>
          <w:sz w:val="20"/>
        </w:rPr>
      </w:pPr>
      <w:r>
        <w:rPr>
          <w:rFonts w:ascii="Arial" w:hAnsi="Arial" w:cs="Arial"/>
          <w:color w:val="000000"/>
          <w:sz w:val="20"/>
        </w:rPr>
        <w:t>Under s.261(1) YJA the Children’s Court may direct that a child be served with a notice to appear under s.257(1)–</w:t>
      </w:r>
      <w:bookmarkStart w:id="114" w:name="_7.2_General_powers"/>
      <w:bookmarkStart w:id="115" w:name="_Hlk536093363"/>
      <w:bookmarkEnd w:id="114"/>
    </w:p>
    <w:p w14:paraId="008DF69C" w14:textId="171661C7" w:rsidR="0087641A" w:rsidRDefault="0087641A">
      <w:pPr>
        <w:pStyle w:val="ListParagraph"/>
        <w:numPr>
          <w:ilvl w:val="0"/>
          <w:numId w:val="98"/>
        </w:numPr>
        <w:spacing w:after="0" w:line="240" w:lineRule="auto"/>
        <w:ind w:left="357" w:hanging="357"/>
        <w:jc w:val="both"/>
        <w:rPr>
          <w:rFonts w:ascii="Arial" w:hAnsi="Arial" w:cs="Arial"/>
          <w:color w:val="000000"/>
          <w:sz w:val="20"/>
        </w:rPr>
      </w:pPr>
      <w:r w:rsidRPr="00977548">
        <w:rPr>
          <w:rFonts w:ascii="Arial" w:hAnsi="Arial" w:cs="Arial"/>
          <w:color w:val="000000"/>
          <w:sz w:val="20"/>
        </w:rPr>
        <w:t xml:space="preserve">whether the </w:t>
      </w:r>
      <w:r w:rsidR="00B47474">
        <w:rPr>
          <w:rFonts w:ascii="Arial" w:hAnsi="Arial" w:cs="Arial"/>
          <w:color w:val="000000"/>
          <w:sz w:val="20"/>
        </w:rPr>
        <w:t xml:space="preserve">fine or instalment order </w:t>
      </w:r>
      <w:r w:rsidRPr="00977548">
        <w:rPr>
          <w:rFonts w:ascii="Arial" w:hAnsi="Arial" w:cs="Arial"/>
          <w:color w:val="000000"/>
          <w:sz w:val="20"/>
        </w:rPr>
        <w:t>was imposed by the Children’s Court, the County Court or the Supreme Court, on appeal or otherwise; and</w:t>
      </w:r>
    </w:p>
    <w:p w14:paraId="613A8122" w14:textId="77777777" w:rsidR="0087641A" w:rsidRDefault="0087641A">
      <w:pPr>
        <w:pStyle w:val="ListParagraph"/>
        <w:numPr>
          <w:ilvl w:val="0"/>
          <w:numId w:val="98"/>
        </w:numPr>
        <w:spacing w:after="0" w:line="240" w:lineRule="auto"/>
        <w:ind w:left="357" w:hanging="357"/>
        <w:jc w:val="both"/>
        <w:rPr>
          <w:rFonts w:ascii="Arial" w:hAnsi="Arial" w:cs="Arial"/>
          <w:color w:val="000000"/>
          <w:sz w:val="20"/>
        </w:rPr>
      </w:pPr>
      <w:r w:rsidRPr="00977548">
        <w:rPr>
          <w:rFonts w:ascii="Arial" w:hAnsi="Arial" w:cs="Arial"/>
          <w:color w:val="000000"/>
          <w:sz w:val="20"/>
        </w:rPr>
        <w:t>whether the child is 19 years of age or over.</w:t>
      </w:r>
    </w:p>
    <w:p w14:paraId="3B836B65" w14:textId="77777777" w:rsidR="0087641A" w:rsidRPr="005C2371" w:rsidRDefault="0087641A" w:rsidP="0087641A">
      <w:pPr>
        <w:jc w:val="both"/>
        <w:rPr>
          <w:rFonts w:ascii="Arial" w:hAnsi="Arial" w:cs="Arial"/>
          <w:color w:val="000000"/>
          <w:sz w:val="18"/>
          <w:szCs w:val="22"/>
        </w:rPr>
      </w:pPr>
    </w:p>
    <w:p w14:paraId="68090FE7" w14:textId="4AF5B859" w:rsidR="00D72EA6" w:rsidRDefault="00B47474" w:rsidP="00D72EA6">
      <w:pPr>
        <w:jc w:val="both"/>
        <w:rPr>
          <w:rFonts w:ascii="Arial" w:hAnsi="Arial" w:cs="Arial"/>
          <w:color w:val="000000"/>
          <w:sz w:val="20"/>
        </w:rPr>
      </w:pPr>
      <w:r>
        <w:rPr>
          <w:rFonts w:ascii="Arial" w:hAnsi="Arial" w:cs="Arial"/>
          <w:color w:val="000000"/>
          <w:sz w:val="20"/>
        </w:rPr>
        <w:t>Sections 261(2)-(</w:t>
      </w:r>
      <w:r w:rsidR="00D72EA6">
        <w:rPr>
          <w:rFonts w:ascii="Arial" w:hAnsi="Arial" w:cs="Arial"/>
          <w:color w:val="000000"/>
          <w:sz w:val="20"/>
        </w:rPr>
        <w:t>7</w:t>
      </w:r>
      <w:r>
        <w:rPr>
          <w:rFonts w:ascii="Arial" w:hAnsi="Arial" w:cs="Arial"/>
          <w:color w:val="000000"/>
          <w:sz w:val="20"/>
        </w:rPr>
        <w:t>) YJA – which are in substantially similar terms to ss.314(2)-(</w:t>
      </w:r>
      <w:r w:rsidR="00D72EA6">
        <w:rPr>
          <w:rFonts w:ascii="Arial" w:hAnsi="Arial" w:cs="Arial"/>
          <w:color w:val="000000"/>
          <w:sz w:val="20"/>
        </w:rPr>
        <w:t>7</w:t>
      </w:r>
      <w:r>
        <w:rPr>
          <w:rFonts w:ascii="Arial" w:hAnsi="Arial" w:cs="Arial"/>
          <w:color w:val="000000"/>
          <w:sz w:val="20"/>
        </w:rPr>
        <w:t xml:space="preserve">) applicable to contravention proceedings for the other community-based sentencing orders (as to which see </w:t>
      </w:r>
      <w:r w:rsidRPr="00B47474">
        <w:rPr>
          <w:rFonts w:ascii="Arial" w:hAnsi="Arial" w:cs="Arial"/>
          <w:b/>
          <w:bCs/>
          <w:color w:val="000000"/>
          <w:sz w:val="20"/>
          <w:shd w:val="clear" w:color="auto" w:fill="C5E0B3" w:themeFill="accent6" w:themeFillTint="66"/>
        </w:rPr>
        <w:t>section 7.1.6</w:t>
      </w:r>
      <w:r>
        <w:rPr>
          <w:rFonts w:ascii="Arial" w:hAnsi="Arial" w:cs="Arial"/>
          <w:color w:val="000000"/>
          <w:sz w:val="20"/>
        </w:rPr>
        <w:t xml:space="preserve"> above) – </w:t>
      </w:r>
      <w:r w:rsidR="00D72EA6">
        <w:rPr>
          <w:rFonts w:ascii="Arial" w:hAnsi="Arial" w:cs="Arial"/>
          <w:color w:val="000000"/>
          <w:sz w:val="20"/>
        </w:rPr>
        <w:t xml:space="preserve">govern </w:t>
      </w:r>
      <w:r w:rsidRPr="00D72EA6">
        <w:rPr>
          <w:rFonts w:ascii="Arial" w:hAnsi="Arial" w:cs="Arial"/>
          <w:color w:val="000000"/>
          <w:sz w:val="20"/>
        </w:rPr>
        <w:t>the court in which a fine default proceeding initiated by a s.261(1) notice will be heard</w:t>
      </w:r>
      <w:r w:rsidR="00D72EA6">
        <w:rPr>
          <w:rFonts w:ascii="Arial" w:hAnsi="Arial" w:cs="Arial"/>
          <w:color w:val="000000"/>
          <w:sz w:val="20"/>
        </w:rPr>
        <w:t>.</w:t>
      </w:r>
    </w:p>
    <w:p w14:paraId="115A1BF3" w14:textId="716FC5ED" w:rsidR="00D72EA6" w:rsidRPr="00D72EA6" w:rsidRDefault="00D72EA6" w:rsidP="00D72EA6">
      <w:pPr>
        <w:spacing w:before="60"/>
        <w:jc w:val="both"/>
        <w:rPr>
          <w:rFonts w:ascii="Arial" w:hAnsi="Arial" w:cs="Arial"/>
          <w:color w:val="000000"/>
          <w:sz w:val="20"/>
        </w:rPr>
      </w:pPr>
      <w:r>
        <w:rPr>
          <w:rFonts w:ascii="Arial" w:hAnsi="Arial" w:cs="Arial"/>
          <w:color w:val="000000"/>
          <w:sz w:val="20"/>
        </w:rPr>
        <w:t>Section 261(8) YJA – in substantially similar terms to s.314(8) – provides that if a fine default proceeding is transferred to the Magistrates’ Court and is found proved–</w:t>
      </w:r>
    </w:p>
    <w:p w14:paraId="23A9F48A" w14:textId="661309D3" w:rsidR="00D72EA6" w:rsidRDefault="00D72EA6">
      <w:pPr>
        <w:pStyle w:val="ListParagraph"/>
        <w:numPr>
          <w:ilvl w:val="0"/>
          <w:numId w:val="99"/>
        </w:numPr>
        <w:spacing w:after="0" w:line="240" w:lineRule="auto"/>
        <w:ind w:left="357" w:hanging="357"/>
        <w:jc w:val="both"/>
        <w:rPr>
          <w:rFonts w:ascii="Arial" w:hAnsi="Arial" w:cs="Arial"/>
          <w:color w:val="000000"/>
          <w:sz w:val="20"/>
        </w:rPr>
      </w:pPr>
      <w:r>
        <w:rPr>
          <w:rFonts w:ascii="Arial" w:hAnsi="Arial" w:cs="Arial"/>
          <w:color w:val="000000"/>
          <w:sz w:val="20"/>
        </w:rPr>
        <w:t>the Magistrates’ Court may sentence the child as if it had been satisfied of the child’s guilt of the offence for which the fine or instalment order was imposed; and</w:t>
      </w:r>
    </w:p>
    <w:p w14:paraId="4A171F15" w14:textId="77777777" w:rsidR="00D72EA6" w:rsidRPr="00F820E5" w:rsidRDefault="00D72EA6">
      <w:pPr>
        <w:pStyle w:val="ListParagraph"/>
        <w:numPr>
          <w:ilvl w:val="0"/>
          <w:numId w:val="99"/>
        </w:numPr>
        <w:spacing w:after="0" w:line="240" w:lineRule="auto"/>
        <w:ind w:left="357" w:hanging="357"/>
        <w:jc w:val="both"/>
        <w:rPr>
          <w:rFonts w:ascii="Arial" w:hAnsi="Arial" w:cs="Arial"/>
          <w:color w:val="000000"/>
          <w:sz w:val="20"/>
        </w:rPr>
      </w:pPr>
      <w:r>
        <w:rPr>
          <w:rFonts w:ascii="Arial" w:hAnsi="Arial" w:cs="Arial"/>
          <w:color w:val="000000"/>
          <w:sz w:val="20"/>
        </w:rPr>
        <w:t>for this purpose it has jurisdiction, whether or not it would otherwise have had jurisdiction to deal with this offence.</w:t>
      </w:r>
    </w:p>
    <w:p w14:paraId="634F3793" w14:textId="7E8DD04E" w:rsidR="00D72EA6" w:rsidRDefault="00D72EA6" w:rsidP="00D72EA6">
      <w:pPr>
        <w:spacing w:before="60"/>
        <w:jc w:val="both"/>
        <w:rPr>
          <w:rFonts w:ascii="Arial" w:hAnsi="Arial" w:cs="Arial"/>
          <w:color w:val="000000"/>
          <w:sz w:val="20"/>
          <w:lang w:val="en-US"/>
        </w:rPr>
      </w:pPr>
      <w:r>
        <w:rPr>
          <w:rFonts w:ascii="Arial" w:hAnsi="Arial" w:cs="Arial"/>
          <w:color w:val="000000"/>
          <w:sz w:val="20"/>
        </w:rPr>
        <w:t xml:space="preserve">Section 261 is silent as to the powers of the County Court or the Supreme Court if it finds proved a fine default proceeding transferred to it under s.261 YJA. However, s.241 YJA appears to confer the requisite power, permitting those courts to sentence </w:t>
      </w:r>
      <w:r w:rsidRPr="0083634A">
        <w:rPr>
          <w:rFonts w:ascii="Arial" w:hAnsi="Arial" w:cs="Arial"/>
          <w:color w:val="000000"/>
          <w:sz w:val="20"/>
          <w:lang w:val="en-US"/>
        </w:rPr>
        <w:t xml:space="preserve">a child under the YJA or the </w:t>
      </w:r>
      <w:r w:rsidRPr="0083634A">
        <w:rPr>
          <w:rFonts w:ascii="Arial" w:hAnsi="Arial" w:cs="Arial"/>
          <w:i/>
          <w:iCs/>
          <w:color w:val="000000"/>
          <w:sz w:val="20"/>
          <w:lang w:val="en-US"/>
        </w:rPr>
        <w:t>Sentencing Act 1991</w:t>
      </w:r>
      <w:r>
        <w:rPr>
          <w:rFonts w:ascii="Arial" w:hAnsi="Arial" w:cs="Arial"/>
          <w:color w:val="000000"/>
          <w:sz w:val="20"/>
          <w:lang w:val="en-US"/>
        </w:rPr>
        <w:t>.</w:t>
      </w:r>
    </w:p>
    <w:p w14:paraId="3D8B51E7" w14:textId="77777777" w:rsidR="009C209D" w:rsidRDefault="009C209D" w:rsidP="009C209D">
      <w:pPr>
        <w:jc w:val="both"/>
        <w:rPr>
          <w:rFonts w:ascii="Arial" w:hAnsi="Arial" w:cs="Arial"/>
          <w:color w:val="000000"/>
          <w:sz w:val="20"/>
        </w:rPr>
      </w:pPr>
    </w:p>
    <w:p w14:paraId="3319C238" w14:textId="42583938" w:rsidR="00BA5BE3" w:rsidRPr="00F51496" w:rsidRDefault="00BA5BE3" w:rsidP="00BA5BE3">
      <w:pPr>
        <w:pStyle w:val="Heading2"/>
        <w:keepNext/>
        <w:tabs>
          <w:tab w:val="left" w:pos="567"/>
        </w:tabs>
        <w:spacing w:line="240" w:lineRule="auto"/>
        <w:rPr>
          <w:rFonts w:ascii="Arial" w:hAnsi="Arial" w:cs="Arial"/>
          <w:b/>
          <w:bCs/>
          <w:color w:val="000000"/>
        </w:rPr>
      </w:pPr>
      <w:r w:rsidRPr="00F51496">
        <w:rPr>
          <w:rFonts w:ascii="Arial" w:hAnsi="Arial" w:cs="Arial"/>
          <w:b/>
          <w:bCs/>
          <w:color w:val="000000"/>
        </w:rPr>
        <w:t>7.</w:t>
      </w:r>
      <w:r>
        <w:rPr>
          <w:rFonts w:ascii="Arial" w:hAnsi="Arial" w:cs="Arial"/>
          <w:b/>
          <w:bCs/>
          <w:color w:val="000000"/>
        </w:rPr>
        <w:t>2</w:t>
      </w:r>
      <w:r w:rsidRPr="00F51496">
        <w:rPr>
          <w:rFonts w:ascii="Arial" w:hAnsi="Arial" w:cs="Arial"/>
          <w:b/>
          <w:bCs/>
          <w:color w:val="000000"/>
        </w:rPr>
        <w:tab/>
      </w:r>
      <w:r w:rsidR="00CC378C">
        <w:rPr>
          <w:rFonts w:ascii="Arial" w:hAnsi="Arial" w:cs="Arial"/>
          <w:b/>
          <w:bCs/>
          <w:color w:val="000000"/>
        </w:rPr>
        <w:t>General p</w:t>
      </w:r>
      <w:r>
        <w:rPr>
          <w:rFonts w:ascii="Arial" w:hAnsi="Arial" w:cs="Arial"/>
          <w:b/>
          <w:bCs/>
          <w:color w:val="000000"/>
        </w:rPr>
        <w:t>owers of arrest</w:t>
      </w:r>
    </w:p>
    <w:p w14:paraId="7E3CAD64" w14:textId="77777777" w:rsidR="00D159F0" w:rsidRPr="00483BF3" w:rsidRDefault="00D159F0" w:rsidP="00680768">
      <w:pPr>
        <w:keepNext/>
        <w:keepLines/>
        <w:shd w:val="clear" w:color="auto" w:fill="FFFFFF"/>
        <w:jc w:val="both"/>
        <w:rPr>
          <w:rFonts w:ascii="Arial" w:hAnsi="Arial" w:cs="Arial"/>
          <w:color w:val="141412"/>
          <w:sz w:val="20"/>
          <w:szCs w:val="20"/>
        </w:rPr>
      </w:pPr>
    </w:p>
    <w:p w14:paraId="78D4C75E" w14:textId="24FE6067" w:rsidR="00D159F0" w:rsidRPr="00483BF3" w:rsidRDefault="00D159F0" w:rsidP="00D159F0">
      <w:pPr>
        <w:shd w:val="clear" w:color="auto" w:fill="FFFFFF"/>
        <w:jc w:val="both"/>
        <w:rPr>
          <w:rFonts w:ascii="Arial" w:hAnsi="Arial" w:cs="Arial"/>
          <w:color w:val="141412"/>
          <w:sz w:val="20"/>
          <w:szCs w:val="20"/>
        </w:rPr>
      </w:pPr>
      <w:r w:rsidRPr="00483BF3">
        <w:rPr>
          <w:rFonts w:ascii="Arial" w:hAnsi="Arial" w:cs="Arial"/>
          <w:color w:val="141412"/>
          <w:sz w:val="20"/>
          <w:szCs w:val="20"/>
        </w:rPr>
        <w:t xml:space="preserve">An excellent legal analysis of </w:t>
      </w:r>
      <w:r w:rsidR="00CC378C">
        <w:rPr>
          <w:rFonts w:ascii="Arial" w:hAnsi="Arial" w:cs="Arial"/>
          <w:color w:val="141412"/>
          <w:sz w:val="20"/>
          <w:szCs w:val="20"/>
        </w:rPr>
        <w:t xml:space="preserve">general </w:t>
      </w:r>
      <w:r>
        <w:rPr>
          <w:rFonts w:ascii="Arial" w:hAnsi="Arial" w:cs="Arial"/>
          <w:color w:val="141412"/>
          <w:sz w:val="20"/>
          <w:szCs w:val="20"/>
        </w:rPr>
        <w:t>Victoria</w:t>
      </w:r>
      <w:r w:rsidR="00980206">
        <w:rPr>
          <w:rFonts w:ascii="Arial" w:hAnsi="Arial" w:cs="Arial"/>
          <w:color w:val="141412"/>
          <w:sz w:val="20"/>
          <w:szCs w:val="20"/>
        </w:rPr>
        <w:t>n</w:t>
      </w:r>
      <w:r>
        <w:rPr>
          <w:rFonts w:ascii="Arial" w:hAnsi="Arial" w:cs="Arial"/>
          <w:color w:val="141412"/>
          <w:sz w:val="20"/>
          <w:szCs w:val="20"/>
        </w:rPr>
        <w:t xml:space="preserve"> </w:t>
      </w:r>
      <w:r w:rsidRPr="00483BF3">
        <w:rPr>
          <w:rFonts w:ascii="Arial" w:hAnsi="Arial" w:cs="Arial"/>
          <w:color w:val="141412"/>
          <w:sz w:val="20"/>
          <w:szCs w:val="20"/>
        </w:rPr>
        <w:t xml:space="preserve">powers </w:t>
      </w:r>
      <w:r>
        <w:rPr>
          <w:rFonts w:ascii="Arial" w:hAnsi="Arial" w:cs="Arial"/>
          <w:color w:val="141412"/>
          <w:sz w:val="20"/>
          <w:szCs w:val="20"/>
        </w:rPr>
        <w:t xml:space="preserve">of arrest </w:t>
      </w:r>
      <w:r w:rsidRPr="00483BF3">
        <w:rPr>
          <w:rFonts w:ascii="Arial" w:hAnsi="Arial" w:cs="Arial"/>
          <w:color w:val="141412"/>
          <w:sz w:val="20"/>
          <w:szCs w:val="20"/>
        </w:rPr>
        <w:t>is contained in chapter 8.1</w:t>
      </w:r>
      <w:r>
        <w:rPr>
          <w:rFonts w:ascii="Arial" w:hAnsi="Arial" w:cs="Arial"/>
          <w:color w:val="141412"/>
          <w:sz w:val="20"/>
          <w:szCs w:val="20"/>
        </w:rPr>
        <w:t>4</w:t>
      </w:r>
      <w:r w:rsidRPr="00483BF3">
        <w:rPr>
          <w:rFonts w:ascii="Arial" w:hAnsi="Arial" w:cs="Arial"/>
          <w:color w:val="141412"/>
          <w:sz w:val="20"/>
          <w:szCs w:val="20"/>
        </w:rPr>
        <w:t xml:space="preserve"> of the Judicial College’s eManual under the heading </w:t>
      </w:r>
      <w:r w:rsidRPr="00483BF3">
        <w:rPr>
          <w:rFonts w:ascii="Arial" w:hAnsi="Arial" w:cs="Arial"/>
          <w:b/>
          <w:bCs/>
          <w:color w:val="141412"/>
          <w:sz w:val="20"/>
          <w:szCs w:val="20"/>
        </w:rPr>
        <w:t>“</w:t>
      </w:r>
      <w:r w:rsidRPr="00483BF3">
        <w:rPr>
          <w:rFonts w:ascii="Arial" w:hAnsi="Arial" w:cs="Arial"/>
          <w:b/>
          <w:bCs/>
          <w:sz w:val="20"/>
          <w:szCs w:val="20"/>
        </w:rPr>
        <w:t>8.1</w:t>
      </w:r>
      <w:r>
        <w:rPr>
          <w:rFonts w:ascii="Arial" w:hAnsi="Arial" w:cs="Arial"/>
          <w:b/>
          <w:bCs/>
          <w:sz w:val="20"/>
          <w:szCs w:val="20"/>
        </w:rPr>
        <w:t>4</w:t>
      </w:r>
      <w:r w:rsidRPr="00483BF3">
        <w:rPr>
          <w:rFonts w:ascii="Arial" w:hAnsi="Arial" w:cs="Arial"/>
          <w:b/>
          <w:bCs/>
          <w:sz w:val="20"/>
          <w:szCs w:val="20"/>
        </w:rPr>
        <w:t xml:space="preserve"> – Powers </w:t>
      </w:r>
      <w:r>
        <w:rPr>
          <w:rFonts w:ascii="Arial" w:hAnsi="Arial" w:cs="Arial"/>
          <w:b/>
          <w:bCs/>
          <w:sz w:val="20"/>
          <w:szCs w:val="20"/>
        </w:rPr>
        <w:t>of arrest</w:t>
      </w:r>
      <w:r w:rsidRPr="00483BF3">
        <w:rPr>
          <w:rFonts w:ascii="Arial" w:hAnsi="Arial" w:cs="Arial"/>
          <w:b/>
          <w:bCs/>
          <w:sz w:val="20"/>
          <w:szCs w:val="20"/>
        </w:rPr>
        <w:t>”</w:t>
      </w:r>
      <w:r w:rsidRPr="00483BF3">
        <w:rPr>
          <w:rFonts w:ascii="Arial" w:hAnsi="Arial" w:cs="Arial"/>
          <w:sz w:val="20"/>
          <w:szCs w:val="20"/>
        </w:rPr>
        <w:t xml:space="preserve"> </w:t>
      </w:r>
      <w:r w:rsidR="00AD2B45">
        <w:rPr>
          <w:rFonts w:ascii="Arial" w:hAnsi="Arial" w:cs="Arial"/>
          <w:sz w:val="20"/>
          <w:szCs w:val="20"/>
        </w:rPr>
        <w:t>dated</w:t>
      </w:r>
      <w:r w:rsidRPr="00483BF3">
        <w:rPr>
          <w:rFonts w:ascii="Arial" w:hAnsi="Arial" w:cs="Arial"/>
          <w:sz w:val="20"/>
          <w:szCs w:val="20"/>
        </w:rPr>
        <w:t xml:space="preserve"> </w:t>
      </w:r>
      <w:r>
        <w:rPr>
          <w:rFonts w:ascii="Arial" w:hAnsi="Arial" w:cs="Arial"/>
          <w:sz w:val="20"/>
          <w:szCs w:val="20"/>
        </w:rPr>
        <w:t>7</w:t>
      </w:r>
      <w:r w:rsidR="009D3A6D">
        <w:rPr>
          <w:rFonts w:ascii="Arial" w:hAnsi="Arial" w:cs="Arial"/>
          <w:sz w:val="20"/>
          <w:szCs w:val="20"/>
        </w:rPr>
        <w:t xml:space="preserve"> </w:t>
      </w:r>
      <w:r w:rsidR="000D4E00">
        <w:rPr>
          <w:rFonts w:ascii="Arial" w:hAnsi="Arial" w:cs="Arial"/>
          <w:sz w:val="20"/>
          <w:szCs w:val="20"/>
        </w:rPr>
        <w:t>August</w:t>
      </w:r>
      <w:r w:rsidRPr="00483BF3">
        <w:rPr>
          <w:rFonts w:ascii="Arial" w:hAnsi="Arial" w:cs="Arial"/>
          <w:sz w:val="20"/>
          <w:szCs w:val="20"/>
        </w:rPr>
        <w:t xml:space="preserve"> 20</w:t>
      </w:r>
      <w:r w:rsidR="000D4E00">
        <w:rPr>
          <w:rFonts w:ascii="Arial" w:hAnsi="Arial" w:cs="Arial"/>
          <w:sz w:val="20"/>
          <w:szCs w:val="20"/>
        </w:rPr>
        <w:t>25</w:t>
      </w:r>
      <w:r w:rsidRPr="00483BF3">
        <w:rPr>
          <w:rFonts w:ascii="Arial" w:hAnsi="Arial" w:cs="Arial"/>
          <w:sz w:val="20"/>
          <w:szCs w:val="20"/>
        </w:rPr>
        <w:t xml:space="preserve">. </w:t>
      </w:r>
      <w:r>
        <w:rPr>
          <w:rFonts w:ascii="Arial" w:hAnsi="Arial" w:cs="Arial"/>
          <w:sz w:val="20"/>
          <w:szCs w:val="20"/>
        </w:rPr>
        <w:t>In thi</w:t>
      </w:r>
      <w:r w:rsidR="00AD2B45">
        <w:rPr>
          <w:rFonts w:ascii="Arial" w:hAnsi="Arial" w:cs="Arial"/>
          <w:sz w:val="20"/>
          <w:szCs w:val="20"/>
        </w:rPr>
        <w:t>s</w:t>
      </w:r>
      <w:r>
        <w:rPr>
          <w:rFonts w:ascii="Arial" w:hAnsi="Arial" w:cs="Arial"/>
          <w:sz w:val="20"/>
          <w:szCs w:val="20"/>
        </w:rPr>
        <w:t xml:space="preserve"> material</w:t>
      </w:r>
      <w:r w:rsidR="00980206">
        <w:rPr>
          <w:rFonts w:ascii="Arial" w:hAnsi="Arial" w:cs="Arial"/>
          <w:sz w:val="20"/>
          <w:szCs w:val="20"/>
        </w:rPr>
        <w:t xml:space="preserve"> –</w:t>
      </w:r>
      <w:r w:rsidR="006E5F8F">
        <w:rPr>
          <w:rFonts w:ascii="Arial" w:hAnsi="Arial" w:cs="Arial"/>
          <w:sz w:val="20"/>
          <w:szCs w:val="20"/>
        </w:rPr>
        <w:t xml:space="preserve"> which</w:t>
      </w:r>
      <w:r w:rsidR="00980206">
        <w:rPr>
          <w:rFonts w:ascii="Arial" w:hAnsi="Arial" w:cs="Arial"/>
          <w:sz w:val="20"/>
          <w:szCs w:val="20"/>
        </w:rPr>
        <w:t xml:space="preserve"> </w:t>
      </w:r>
      <w:r w:rsidR="006E5F8F">
        <w:rPr>
          <w:rFonts w:ascii="Arial" w:hAnsi="Arial" w:cs="Arial"/>
          <w:sz w:val="20"/>
          <w:szCs w:val="20"/>
        </w:rPr>
        <w:t>is set out below</w:t>
      </w:r>
      <w:r w:rsidR="00980206">
        <w:rPr>
          <w:rFonts w:ascii="Arial" w:hAnsi="Arial" w:cs="Arial"/>
          <w:sz w:val="20"/>
          <w:szCs w:val="20"/>
        </w:rPr>
        <w:t xml:space="preserve"> –</w:t>
      </w:r>
      <w:r>
        <w:rPr>
          <w:rFonts w:ascii="Arial" w:hAnsi="Arial" w:cs="Arial"/>
          <w:sz w:val="20"/>
          <w:szCs w:val="20"/>
        </w:rPr>
        <w:t xml:space="preserve"> all</w:t>
      </w:r>
      <w:r w:rsidR="00980206">
        <w:rPr>
          <w:rFonts w:ascii="Arial" w:hAnsi="Arial" w:cs="Arial"/>
          <w:sz w:val="20"/>
          <w:szCs w:val="20"/>
        </w:rPr>
        <w:t xml:space="preserve"> </w:t>
      </w:r>
      <w:r>
        <w:rPr>
          <w:rFonts w:ascii="Arial" w:hAnsi="Arial" w:cs="Arial"/>
          <w:sz w:val="20"/>
          <w:szCs w:val="20"/>
        </w:rPr>
        <w:t xml:space="preserve">statutory references are to the </w:t>
      </w:r>
      <w:r w:rsidRPr="00D159F0">
        <w:rPr>
          <w:rFonts w:ascii="Arial" w:hAnsi="Arial" w:cs="Arial"/>
          <w:i/>
          <w:iCs/>
          <w:sz w:val="20"/>
          <w:szCs w:val="20"/>
        </w:rPr>
        <w:t>Crimes Act 1958</w:t>
      </w:r>
      <w:r>
        <w:rPr>
          <w:rFonts w:ascii="Arial" w:hAnsi="Arial" w:cs="Arial"/>
          <w:sz w:val="20"/>
          <w:szCs w:val="20"/>
        </w:rPr>
        <w:t xml:space="preserve"> Vic [as amended]</w:t>
      </w:r>
      <w:r w:rsidR="006E5F8F">
        <w:rPr>
          <w:rFonts w:ascii="Arial" w:hAnsi="Arial" w:cs="Arial"/>
          <w:sz w:val="20"/>
          <w:szCs w:val="20"/>
        </w:rPr>
        <w:t xml:space="preserve"> unless otherwise </w:t>
      </w:r>
      <w:r w:rsidR="000D4E00">
        <w:rPr>
          <w:rFonts w:ascii="Arial" w:hAnsi="Arial" w:cs="Arial"/>
          <w:sz w:val="20"/>
          <w:szCs w:val="20"/>
        </w:rPr>
        <w:t>st</w:t>
      </w:r>
      <w:r w:rsidR="006E5F8F">
        <w:rPr>
          <w:rFonts w:ascii="Arial" w:hAnsi="Arial" w:cs="Arial"/>
          <w:sz w:val="20"/>
          <w:szCs w:val="20"/>
        </w:rPr>
        <w:t>ated.</w:t>
      </w:r>
    </w:p>
    <w:p w14:paraId="15F14CAC" w14:textId="77777777" w:rsidR="008D3C05" w:rsidRPr="00483BF3" w:rsidRDefault="008D3C05" w:rsidP="008D3C05">
      <w:pPr>
        <w:shd w:val="clear" w:color="auto" w:fill="FFFFFF"/>
        <w:jc w:val="both"/>
        <w:rPr>
          <w:rFonts w:ascii="Arial" w:hAnsi="Arial" w:cs="Arial"/>
          <w:color w:val="141412"/>
          <w:sz w:val="20"/>
          <w:szCs w:val="20"/>
        </w:rPr>
      </w:pPr>
    </w:p>
    <w:p w14:paraId="65172F22" w14:textId="77777777" w:rsidR="00D159F0" w:rsidRPr="000438D8" w:rsidRDefault="00D159F0" w:rsidP="00E83147">
      <w:pPr>
        <w:shd w:val="clear" w:color="auto" w:fill="FFFFFF"/>
        <w:ind w:firstLine="284"/>
        <w:jc w:val="both"/>
        <w:rPr>
          <w:rFonts w:ascii="Arial" w:hAnsi="Arial" w:cs="Arial"/>
          <w:color w:val="141412"/>
          <w:sz w:val="20"/>
          <w:szCs w:val="20"/>
          <w:u w:val="single"/>
        </w:rPr>
      </w:pPr>
      <w:r w:rsidRPr="000438D8">
        <w:rPr>
          <w:rFonts w:ascii="Arial" w:hAnsi="Arial" w:cs="Arial"/>
          <w:b/>
          <w:bCs/>
          <w:color w:val="141412"/>
          <w:sz w:val="20"/>
          <w:szCs w:val="20"/>
          <w:u w:val="single"/>
        </w:rPr>
        <w:t>Introduction</w:t>
      </w:r>
    </w:p>
    <w:bookmarkEnd w:id="115"/>
    <w:p w14:paraId="45782496" w14:textId="77777777" w:rsidR="00BA5BE3" w:rsidRPr="005D78D5" w:rsidRDefault="00BA5BE3" w:rsidP="00591749">
      <w:pPr>
        <w:pStyle w:val="Subheading1Char"/>
        <w:keepNext w:val="0"/>
        <w:keepLines w:val="0"/>
        <w:widowControl w:val="0"/>
        <w:numPr>
          <w:ilvl w:val="0"/>
          <w:numId w:val="45"/>
        </w:numPr>
        <w:spacing w:before="120" w:after="120"/>
        <w:ind w:left="714" w:hanging="357"/>
        <w:jc w:val="both"/>
        <w:rPr>
          <w:b w:val="0"/>
          <w:sz w:val="20"/>
          <w:szCs w:val="20"/>
        </w:rPr>
      </w:pPr>
      <w:r w:rsidRPr="005D78D5">
        <w:rPr>
          <w:b w:val="0"/>
          <w:sz w:val="20"/>
          <w:szCs w:val="20"/>
        </w:rPr>
        <w:t>A person is arrested when police make it plain to him or her that he or she is not free to leave (</w:t>
      </w:r>
      <w:r w:rsidRPr="005D78D5">
        <w:rPr>
          <w:b w:val="0"/>
          <w:i/>
          <w:sz w:val="20"/>
          <w:szCs w:val="20"/>
        </w:rPr>
        <w:t>R v Lavery</w:t>
      </w:r>
      <w:r w:rsidRPr="005D78D5">
        <w:rPr>
          <w:b w:val="0"/>
          <w:sz w:val="20"/>
          <w:szCs w:val="20"/>
        </w:rPr>
        <w:t xml:space="preserve"> (1978) 19 SASR 515). </w:t>
      </w:r>
    </w:p>
    <w:p w14:paraId="2D206449" w14:textId="77777777" w:rsidR="00BA5BE3" w:rsidRPr="005D78D5" w:rsidRDefault="00BA5BE3" w:rsidP="00591749">
      <w:pPr>
        <w:pStyle w:val="Subheading1Char"/>
        <w:keepNext w:val="0"/>
        <w:keepLines w:val="0"/>
        <w:widowControl w:val="0"/>
        <w:numPr>
          <w:ilvl w:val="0"/>
          <w:numId w:val="45"/>
        </w:numPr>
        <w:spacing w:before="120" w:after="120"/>
        <w:ind w:left="714" w:hanging="357"/>
        <w:jc w:val="both"/>
        <w:rPr>
          <w:b w:val="0"/>
          <w:sz w:val="20"/>
          <w:szCs w:val="20"/>
        </w:rPr>
      </w:pPr>
      <w:r w:rsidRPr="005D78D5">
        <w:rPr>
          <w:b w:val="0"/>
          <w:sz w:val="20"/>
          <w:szCs w:val="20"/>
        </w:rPr>
        <w:t xml:space="preserve">The </w:t>
      </w:r>
      <w:r w:rsidRPr="005D78D5">
        <w:rPr>
          <w:b w:val="0"/>
          <w:i/>
          <w:sz w:val="20"/>
          <w:szCs w:val="20"/>
        </w:rPr>
        <w:t xml:space="preserve">Crimes </w:t>
      </w:r>
      <w:r w:rsidRPr="008102AC">
        <w:rPr>
          <w:b w:val="0"/>
          <w:i/>
          <w:sz w:val="20"/>
          <w:szCs w:val="20"/>
        </w:rPr>
        <w:t>Act 1958</w:t>
      </w:r>
      <w:r w:rsidRPr="005D78D5">
        <w:rPr>
          <w:b w:val="0"/>
          <w:sz w:val="20"/>
          <w:szCs w:val="20"/>
        </w:rPr>
        <w:t xml:space="preserve"> contains several provisions empowering police officers to make arrests in various circumstances. </w:t>
      </w:r>
    </w:p>
    <w:p w14:paraId="4EB41D89" w14:textId="77777777" w:rsidR="00BA5BE3" w:rsidRPr="005D78D5" w:rsidRDefault="00BA5BE3" w:rsidP="00591749">
      <w:pPr>
        <w:pStyle w:val="Subheading1Char"/>
        <w:keepNext w:val="0"/>
        <w:keepLines w:val="0"/>
        <w:widowControl w:val="0"/>
        <w:numPr>
          <w:ilvl w:val="0"/>
          <w:numId w:val="45"/>
        </w:numPr>
        <w:spacing w:before="120" w:after="120"/>
        <w:ind w:left="714" w:hanging="357"/>
        <w:jc w:val="both"/>
        <w:rPr>
          <w:b w:val="0"/>
          <w:sz w:val="20"/>
          <w:szCs w:val="20"/>
        </w:rPr>
      </w:pPr>
      <w:r w:rsidRPr="005D78D5">
        <w:rPr>
          <w:b w:val="0"/>
          <w:sz w:val="20"/>
          <w:szCs w:val="20"/>
        </w:rPr>
        <w:t xml:space="preserve">In addition, other legislation provides additional bases for arrests without warrant (see, e.g. </w:t>
      </w:r>
      <w:r w:rsidRPr="005D78D5">
        <w:rPr>
          <w:b w:val="0"/>
          <w:i/>
          <w:sz w:val="20"/>
          <w:szCs w:val="20"/>
        </w:rPr>
        <w:t xml:space="preserve">Bail Act 1977 </w:t>
      </w:r>
      <w:r w:rsidRPr="005D78D5">
        <w:rPr>
          <w:b w:val="0"/>
          <w:sz w:val="20"/>
          <w:szCs w:val="20"/>
        </w:rPr>
        <w:t>s</w:t>
      </w:r>
      <w:r w:rsidR="00F85202">
        <w:rPr>
          <w:b w:val="0"/>
          <w:sz w:val="20"/>
          <w:szCs w:val="20"/>
        </w:rPr>
        <w:t>.</w:t>
      </w:r>
      <w:r w:rsidRPr="005D78D5">
        <w:rPr>
          <w:b w:val="0"/>
          <w:sz w:val="20"/>
          <w:szCs w:val="20"/>
        </w:rPr>
        <w:t>24). These other bases for arrest without warrant are beyond the scope of this commentary.</w:t>
      </w:r>
    </w:p>
    <w:p w14:paraId="6EDDE284" w14:textId="77777777" w:rsidR="00BA5BE3" w:rsidRPr="005D78D5" w:rsidRDefault="00BA5BE3" w:rsidP="00591749">
      <w:pPr>
        <w:pStyle w:val="Subheading1Char"/>
        <w:keepNext w:val="0"/>
        <w:keepLines w:val="0"/>
        <w:widowControl w:val="0"/>
        <w:numPr>
          <w:ilvl w:val="0"/>
          <w:numId w:val="45"/>
        </w:numPr>
        <w:spacing w:before="120" w:after="120"/>
        <w:ind w:left="714" w:hanging="357"/>
        <w:jc w:val="both"/>
        <w:rPr>
          <w:b w:val="0"/>
          <w:sz w:val="20"/>
          <w:szCs w:val="20"/>
        </w:rPr>
      </w:pPr>
      <w:r w:rsidRPr="005D78D5">
        <w:rPr>
          <w:b w:val="0"/>
          <w:sz w:val="20"/>
          <w:szCs w:val="20"/>
        </w:rPr>
        <w:t>While powers of arrest are now governed by statute in Victoria, the common law still dictates the requirements of a lawful arrest (</w:t>
      </w:r>
      <w:r w:rsidRPr="005D78D5">
        <w:rPr>
          <w:b w:val="0"/>
          <w:i/>
          <w:sz w:val="20"/>
          <w:szCs w:val="20"/>
        </w:rPr>
        <w:t>Slaveski v State of Victoria &amp; Ors</w:t>
      </w:r>
      <w:r w:rsidRPr="005D78D5">
        <w:rPr>
          <w:b w:val="0"/>
          <w:sz w:val="20"/>
          <w:szCs w:val="20"/>
        </w:rPr>
        <w:t xml:space="preserve"> [2010] VSC 441; </w:t>
      </w:r>
      <w:r w:rsidRPr="005D78D5">
        <w:rPr>
          <w:b w:val="0"/>
          <w:i/>
          <w:sz w:val="20"/>
          <w:szCs w:val="20"/>
        </w:rPr>
        <w:t>Crimes (Powers of Arrest) Act 1972</w:t>
      </w:r>
      <w:r w:rsidRPr="005D78D5">
        <w:rPr>
          <w:b w:val="0"/>
          <w:sz w:val="20"/>
          <w:szCs w:val="20"/>
        </w:rPr>
        <w:t>).</w:t>
      </w:r>
    </w:p>
    <w:p w14:paraId="5147C24F" w14:textId="77777777" w:rsidR="00BA5BE3" w:rsidRPr="008D3C05" w:rsidRDefault="00BA5BE3" w:rsidP="009D6BC7">
      <w:pPr>
        <w:spacing w:before="120"/>
        <w:ind w:left="284"/>
        <w:rPr>
          <w:rFonts w:ascii="Arial" w:hAnsi="Arial" w:cs="Arial"/>
          <w:b/>
          <w:sz w:val="20"/>
          <w:szCs w:val="20"/>
          <w:u w:val="single"/>
        </w:rPr>
      </w:pPr>
      <w:r w:rsidRPr="008D3C05">
        <w:rPr>
          <w:rFonts w:ascii="Arial" w:hAnsi="Arial" w:cs="Arial"/>
          <w:b/>
          <w:sz w:val="20"/>
          <w:szCs w:val="20"/>
          <w:u w:val="single"/>
        </w:rPr>
        <w:lastRenderedPageBreak/>
        <w:t>To Which Crimes are Police powers of Arrest Available as a Defence?</w:t>
      </w:r>
    </w:p>
    <w:p w14:paraId="48F64151" w14:textId="77777777" w:rsidR="00BA5BE3" w:rsidRPr="005D78D5" w:rsidRDefault="00BA5BE3" w:rsidP="00591749">
      <w:pPr>
        <w:numPr>
          <w:ilvl w:val="0"/>
          <w:numId w:val="47"/>
        </w:numPr>
        <w:spacing w:before="120"/>
        <w:ind w:left="714" w:hanging="357"/>
        <w:jc w:val="both"/>
        <w:rPr>
          <w:rFonts w:ascii="Arial" w:hAnsi="Arial" w:cs="Arial"/>
          <w:sz w:val="20"/>
          <w:szCs w:val="20"/>
        </w:rPr>
      </w:pPr>
      <w:r w:rsidRPr="005D78D5">
        <w:rPr>
          <w:rFonts w:ascii="Arial" w:hAnsi="Arial" w:cs="Arial"/>
          <w:sz w:val="20"/>
          <w:szCs w:val="20"/>
        </w:rPr>
        <w:t xml:space="preserve">Police powers of arrest provide a lawful excuse for what would otherwise be an unlawful application of force. The defence is therefore most likely to arise in relation to offences </w:t>
      </w:r>
      <w:r w:rsidR="00D136D2">
        <w:rPr>
          <w:rFonts w:ascii="Arial" w:hAnsi="Arial" w:cs="Arial"/>
          <w:sz w:val="20"/>
          <w:szCs w:val="20"/>
        </w:rPr>
        <w:t>like</w:t>
      </w:r>
      <w:r w:rsidRPr="005D78D5">
        <w:rPr>
          <w:rFonts w:ascii="Arial" w:hAnsi="Arial" w:cs="Arial"/>
          <w:sz w:val="20"/>
          <w:szCs w:val="20"/>
        </w:rPr>
        <w:t>:</w:t>
      </w:r>
    </w:p>
    <w:p w14:paraId="2A349A7E" w14:textId="77777777" w:rsidR="00BA5BE3" w:rsidRPr="005D78D5" w:rsidRDefault="00BA5BE3" w:rsidP="00591749">
      <w:pPr>
        <w:numPr>
          <w:ilvl w:val="1"/>
          <w:numId w:val="47"/>
        </w:numPr>
        <w:spacing w:before="60" w:after="60"/>
        <w:ind w:left="1077" w:hanging="357"/>
        <w:rPr>
          <w:rFonts w:ascii="Arial" w:hAnsi="Arial" w:cs="Arial"/>
          <w:sz w:val="20"/>
          <w:szCs w:val="20"/>
        </w:rPr>
      </w:pPr>
      <w:r w:rsidRPr="005D78D5">
        <w:rPr>
          <w:rFonts w:ascii="Arial" w:hAnsi="Arial" w:cs="Arial"/>
          <w:sz w:val="20"/>
          <w:szCs w:val="20"/>
        </w:rPr>
        <w:t>assault (</w:t>
      </w:r>
      <w:r w:rsidRPr="005D78D5">
        <w:rPr>
          <w:rFonts w:ascii="Arial" w:hAnsi="Arial" w:cs="Arial"/>
          <w:i/>
          <w:sz w:val="20"/>
          <w:szCs w:val="20"/>
        </w:rPr>
        <w:t>Slaveski v State of Victoria &amp; Ors</w:t>
      </w:r>
      <w:r w:rsidRPr="005D78D5">
        <w:rPr>
          <w:rFonts w:ascii="Arial" w:hAnsi="Arial" w:cs="Arial"/>
          <w:sz w:val="20"/>
          <w:szCs w:val="20"/>
        </w:rPr>
        <w:t xml:space="preserve"> [2010] VSC 441); and</w:t>
      </w:r>
    </w:p>
    <w:p w14:paraId="3F1793FD" w14:textId="77777777" w:rsidR="00BA5BE3" w:rsidRPr="005D78D5" w:rsidRDefault="00BA5BE3" w:rsidP="00591749">
      <w:pPr>
        <w:numPr>
          <w:ilvl w:val="1"/>
          <w:numId w:val="47"/>
        </w:numPr>
        <w:spacing w:before="60"/>
        <w:ind w:left="1077" w:hanging="357"/>
        <w:rPr>
          <w:rFonts w:ascii="Arial" w:hAnsi="Arial" w:cs="Arial"/>
          <w:sz w:val="20"/>
          <w:szCs w:val="20"/>
        </w:rPr>
      </w:pPr>
      <w:r w:rsidRPr="005D78D5">
        <w:rPr>
          <w:rFonts w:ascii="Arial" w:hAnsi="Arial" w:cs="Arial"/>
          <w:sz w:val="20"/>
          <w:szCs w:val="20"/>
        </w:rPr>
        <w:t xml:space="preserve">false Imprisonment </w:t>
      </w:r>
      <w:r w:rsidRPr="005D78D5">
        <w:rPr>
          <w:rFonts w:ascii="Arial" w:hAnsi="Arial" w:cs="Arial"/>
          <w:sz w:val="20"/>
          <w:szCs w:val="20"/>
          <w:lang w:val="en"/>
        </w:rPr>
        <w:t>(</w:t>
      </w:r>
      <w:r w:rsidRPr="005D78D5">
        <w:rPr>
          <w:rFonts w:ascii="Arial" w:hAnsi="Arial" w:cs="Arial"/>
          <w:i/>
          <w:sz w:val="20"/>
          <w:szCs w:val="20"/>
          <w:lang w:val="en"/>
        </w:rPr>
        <w:t>Biddle v State of Victoria &amp; Ors</w:t>
      </w:r>
      <w:r w:rsidRPr="005D78D5">
        <w:rPr>
          <w:rFonts w:ascii="Arial" w:hAnsi="Arial" w:cs="Arial"/>
          <w:sz w:val="20"/>
          <w:szCs w:val="20"/>
          <w:lang w:val="en"/>
        </w:rPr>
        <w:t xml:space="preserve"> [2015] VSC 275).</w:t>
      </w:r>
    </w:p>
    <w:p w14:paraId="62304C89" w14:textId="10095992" w:rsidR="00267590" w:rsidRPr="005D78D5" w:rsidRDefault="00267590" w:rsidP="00591749">
      <w:pPr>
        <w:numPr>
          <w:ilvl w:val="0"/>
          <w:numId w:val="47"/>
        </w:numPr>
        <w:spacing w:before="120"/>
        <w:ind w:left="714" w:hanging="357"/>
        <w:jc w:val="both"/>
        <w:rPr>
          <w:rFonts w:ascii="Arial" w:hAnsi="Arial" w:cs="Arial"/>
          <w:sz w:val="20"/>
          <w:szCs w:val="20"/>
        </w:rPr>
      </w:pPr>
      <w:r>
        <w:rPr>
          <w:rFonts w:ascii="Arial" w:hAnsi="Arial" w:cs="Arial"/>
          <w:sz w:val="20"/>
          <w:szCs w:val="20"/>
        </w:rPr>
        <w:t xml:space="preserve">Police powers of arrest are also relevant to </w:t>
      </w:r>
      <w:r w:rsidR="002D47DB">
        <w:rPr>
          <w:rFonts w:ascii="Arial" w:hAnsi="Arial" w:cs="Arial"/>
          <w:sz w:val="20"/>
          <w:szCs w:val="20"/>
        </w:rPr>
        <w:t>the issue of self-defence, where the issue arises as to whether the police were acting unlawfully in attempting to arrest the accused (</w:t>
      </w:r>
      <w:r w:rsidR="002D47DB" w:rsidRPr="002D47DB">
        <w:rPr>
          <w:rFonts w:ascii="Arial" w:hAnsi="Arial" w:cs="Arial"/>
          <w:i/>
          <w:iCs/>
          <w:sz w:val="20"/>
          <w:szCs w:val="20"/>
        </w:rPr>
        <w:t>James v The King</w:t>
      </w:r>
      <w:r w:rsidR="002D47DB">
        <w:rPr>
          <w:rFonts w:ascii="Arial" w:hAnsi="Arial" w:cs="Arial"/>
          <w:sz w:val="20"/>
          <w:szCs w:val="20"/>
        </w:rPr>
        <w:t xml:space="preserve"> [2025] VSCA 140).</w:t>
      </w:r>
    </w:p>
    <w:p w14:paraId="06951DF1" w14:textId="77777777" w:rsidR="00BA5BE3" w:rsidRPr="008D3C05" w:rsidRDefault="00BA5BE3" w:rsidP="00ED119B">
      <w:pPr>
        <w:pStyle w:val="Subheading1Char"/>
        <w:keepNext w:val="0"/>
        <w:keepLines w:val="0"/>
        <w:widowControl w:val="0"/>
        <w:spacing w:before="180" w:after="120"/>
        <w:ind w:left="284"/>
        <w:rPr>
          <w:sz w:val="20"/>
          <w:szCs w:val="20"/>
          <w:u w:val="single"/>
        </w:rPr>
      </w:pPr>
      <w:r w:rsidRPr="008D3C05">
        <w:rPr>
          <w:sz w:val="20"/>
          <w:szCs w:val="20"/>
          <w:u w:val="single"/>
        </w:rPr>
        <w:t>General powers of arrest without warrant (s</w:t>
      </w:r>
      <w:r w:rsidR="00F85202">
        <w:rPr>
          <w:sz w:val="20"/>
          <w:szCs w:val="20"/>
          <w:u w:val="single"/>
        </w:rPr>
        <w:t>.</w:t>
      </w:r>
      <w:r w:rsidRPr="008D3C05">
        <w:rPr>
          <w:sz w:val="20"/>
          <w:szCs w:val="20"/>
          <w:u w:val="single"/>
        </w:rPr>
        <w:t>458)</w:t>
      </w:r>
    </w:p>
    <w:p w14:paraId="21AA4F8A" w14:textId="77777777" w:rsidR="00BA5BE3" w:rsidRPr="005D78D5" w:rsidRDefault="00BA5BE3" w:rsidP="00591749">
      <w:pPr>
        <w:pStyle w:val="Subheading1Char"/>
        <w:keepNext w:val="0"/>
        <w:keepLines w:val="0"/>
        <w:widowControl w:val="0"/>
        <w:numPr>
          <w:ilvl w:val="0"/>
          <w:numId w:val="47"/>
        </w:numPr>
        <w:spacing w:before="120" w:after="120"/>
        <w:ind w:left="714" w:hanging="357"/>
        <w:jc w:val="both"/>
        <w:rPr>
          <w:b w:val="0"/>
          <w:sz w:val="20"/>
          <w:szCs w:val="20"/>
        </w:rPr>
      </w:pPr>
      <w:r w:rsidRPr="005D78D5">
        <w:rPr>
          <w:b w:val="0"/>
          <w:sz w:val="20"/>
          <w:szCs w:val="20"/>
        </w:rPr>
        <w:t xml:space="preserve"> Section 458</w:t>
      </w:r>
      <w:r w:rsidR="008D3C05">
        <w:rPr>
          <w:b w:val="0"/>
          <w:sz w:val="20"/>
          <w:szCs w:val="20"/>
        </w:rPr>
        <w:t>(1)</w:t>
      </w:r>
      <w:r w:rsidRPr="005D78D5">
        <w:rPr>
          <w:b w:val="0"/>
          <w:sz w:val="20"/>
          <w:szCs w:val="20"/>
        </w:rPr>
        <w:t xml:space="preserve"> provides three situations in which any person (including a police officer) may arrest a person without a warrant.</w:t>
      </w:r>
    </w:p>
    <w:p w14:paraId="1DBA2253" w14:textId="77777777" w:rsidR="003C0CE9" w:rsidRPr="00F51496" w:rsidRDefault="007D2412" w:rsidP="003C0CE9">
      <w:pPr>
        <w:ind w:left="357"/>
        <w:jc w:val="center"/>
        <w:rPr>
          <w:rFonts w:ascii="Arial" w:hAnsi="Arial" w:cs="Arial"/>
          <w:bCs/>
          <w:color w:val="000000"/>
          <w:sz w:val="20"/>
        </w:rPr>
      </w:pPr>
      <w:r w:rsidRPr="003F0317">
        <w:rPr>
          <w:rFonts w:ascii="Arial" w:hAnsi="Arial" w:cs="Arial"/>
          <w:b/>
          <w:bCs/>
          <w:sz w:val="20"/>
          <w:bdr w:val="single" w:sz="4" w:space="0" w:color="auto"/>
          <w:shd w:val="clear" w:color="auto" w:fill="000000"/>
        </w:rPr>
        <w:t>Person arrested found</w:t>
      </w:r>
      <w:r w:rsidR="00BA5BE3" w:rsidRPr="003F0317">
        <w:rPr>
          <w:rFonts w:ascii="Arial" w:hAnsi="Arial" w:cs="Arial"/>
          <w:b/>
          <w:bCs/>
          <w:sz w:val="20"/>
          <w:bdr w:val="single" w:sz="4" w:space="0" w:color="auto"/>
          <w:shd w:val="clear" w:color="auto" w:fill="000000"/>
        </w:rPr>
        <w:t xml:space="preserve"> committing an offence (s</w:t>
      </w:r>
      <w:r w:rsidR="00F85202" w:rsidRPr="003F0317">
        <w:rPr>
          <w:rFonts w:ascii="Arial" w:hAnsi="Arial" w:cs="Arial"/>
          <w:b/>
          <w:bCs/>
          <w:sz w:val="20"/>
          <w:bdr w:val="single" w:sz="4" w:space="0" w:color="auto"/>
          <w:shd w:val="clear" w:color="auto" w:fill="000000"/>
        </w:rPr>
        <w:t>.</w:t>
      </w:r>
      <w:r w:rsidR="00BA5BE3" w:rsidRPr="003F0317">
        <w:rPr>
          <w:rFonts w:ascii="Arial" w:hAnsi="Arial" w:cs="Arial"/>
          <w:b/>
          <w:bCs/>
          <w:sz w:val="20"/>
          <w:bdr w:val="single" w:sz="4" w:space="0" w:color="auto"/>
          <w:shd w:val="clear" w:color="auto" w:fill="000000"/>
        </w:rPr>
        <w:t>458(1)(a))</w:t>
      </w:r>
    </w:p>
    <w:p w14:paraId="08C37EAE" w14:textId="77777777" w:rsidR="00BA5BE3" w:rsidRPr="005D78D5" w:rsidRDefault="00BA5BE3" w:rsidP="00591749">
      <w:pPr>
        <w:pStyle w:val="Subheading1Char"/>
        <w:keepNext w:val="0"/>
        <w:keepLines w:val="0"/>
        <w:widowControl w:val="0"/>
        <w:numPr>
          <w:ilvl w:val="0"/>
          <w:numId w:val="47"/>
        </w:numPr>
        <w:spacing w:before="120" w:after="0"/>
        <w:ind w:left="714" w:hanging="357"/>
        <w:rPr>
          <w:sz w:val="20"/>
          <w:szCs w:val="20"/>
        </w:rPr>
      </w:pPr>
      <w:r w:rsidRPr="005D78D5">
        <w:rPr>
          <w:b w:val="0"/>
          <w:sz w:val="20"/>
          <w:szCs w:val="20"/>
        </w:rPr>
        <w:t>Th</w:t>
      </w:r>
      <w:r w:rsidR="00F85202">
        <w:rPr>
          <w:b w:val="0"/>
          <w:sz w:val="20"/>
          <w:szCs w:val="20"/>
        </w:rPr>
        <w:t>is</w:t>
      </w:r>
      <w:r w:rsidRPr="005D78D5">
        <w:rPr>
          <w:b w:val="0"/>
          <w:sz w:val="20"/>
          <w:szCs w:val="20"/>
        </w:rPr>
        <w:t xml:space="preserve"> </w:t>
      </w:r>
      <w:r w:rsidR="00B11BDC">
        <w:rPr>
          <w:b w:val="0"/>
          <w:sz w:val="20"/>
          <w:szCs w:val="20"/>
        </w:rPr>
        <w:t xml:space="preserve">first </w:t>
      </w:r>
      <w:r w:rsidRPr="005D78D5">
        <w:rPr>
          <w:b w:val="0"/>
          <w:sz w:val="20"/>
          <w:szCs w:val="20"/>
        </w:rPr>
        <w:t xml:space="preserve">situation applies where: </w:t>
      </w:r>
    </w:p>
    <w:p w14:paraId="4EDF9959" w14:textId="77777777" w:rsidR="00F85202" w:rsidRPr="00F85202" w:rsidRDefault="00BA5BE3" w:rsidP="00591749">
      <w:pPr>
        <w:widowControl w:val="0"/>
        <w:numPr>
          <w:ilvl w:val="1"/>
          <w:numId w:val="47"/>
        </w:numPr>
        <w:spacing w:before="60" w:after="60"/>
        <w:ind w:left="1077" w:hanging="357"/>
        <w:jc w:val="both"/>
        <w:rPr>
          <w:rFonts w:ascii="Arial" w:hAnsi="Arial" w:cs="Arial"/>
          <w:bCs/>
          <w:sz w:val="20"/>
          <w:szCs w:val="20"/>
        </w:rPr>
      </w:pPr>
      <w:r w:rsidRPr="00F85202">
        <w:rPr>
          <w:rFonts w:ascii="Arial" w:hAnsi="Arial" w:cs="Arial"/>
          <w:bCs/>
          <w:sz w:val="20"/>
          <w:szCs w:val="20"/>
        </w:rPr>
        <w:t xml:space="preserve">a person (including a police officer) found the other person committing an indictable or summary offence; </w:t>
      </w:r>
      <w:r w:rsidR="00F85202" w:rsidRPr="00F85202">
        <w:rPr>
          <w:rFonts w:ascii="Arial" w:hAnsi="Arial" w:cs="Arial"/>
          <w:bCs/>
          <w:sz w:val="20"/>
          <w:szCs w:val="20"/>
        </w:rPr>
        <w:t>or</w:t>
      </w:r>
    </w:p>
    <w:p w14:paraId="730AD7C0" w14:textId="77777777" w:rsidR="00F85202" w:rsidRPr="00F85202" w:rsidRDefault="00F85202" w:rsidP="0083634A">
      <w:pPr>
        <w:numPr>
          <w:ilvl w:val="1"/>
          <w:numId w:val="47"/>
        </w:numPr>
        <w:spacing w:before="60" w:after="60"/>
        <w:ind w:left="1077" w:hanging="357"/>
        <w:jc w:val="both"/>
        <w:rPr>
          <w:rFonts w:ascii="Arial" w:hAnsi="Arial" w:cs="Arial"/>
          <w:bCs/>
          <w:sz w:val="20"/>
          <w:szCs w:val="20"/>
        </w:rPr>
      </w:pPr>
      <w:r w:rsidRPr="00F85202">
        <w:rPr>
          <w:rFonts w:ascii="Arial" w:hAnsi="Arial" w:cs="Arial"/>
          <w:bCs/>
          <w:sz w:val="20"/>
          <w:szCs w:val="20"/>
        </w:rPr>
        <w:t>a person (including a police officer) believed on reasonable grounds that apprehension was necessary for one or more of the prescribed reasons</w:t>
      </w:r>
      <w:r>
        <w:rPr>
          <w:rFonts w:ascii="Arial" w:hAnsi="Arial" w:cs="Arial"/>
          <w:bCs/>
          <w:sz w:val="20"/>
          <w:szCs w:val="20"/>
        </w:rPr>
        <w:t>.</w:t>
      </w:r>
    </w:p>
    <w:p w14:paraId="0203DA96" w14:textId="77777777" w:rsidR="00BA5BE3" w:rsidRPr="005D78D5" w:rsidRDefault="00BA5BE3" w:rsidP="00591749">
      <w:pPr>
        <w:pStyle w:val="Subheading1Char"/>
        <w:keepNext w:val="0"/>
        <w:keepLines w:val="0"/>
        <w:widowControl w:val="0"/>
        <w:numPr>
          <w:ilvl w:val="0"/>
          <w:numId w:val="47"/>
        </w:numPr>
        <w:spacing w:before="180" w:after="120"/>
        <w:ind w:left="714" w:hanging="357"/>
        <w:jc w:val="both"/>
        <w:rPr>
          <w:b w:val="0"/>
          <w:sz w:val="20"/>
          <w:szCs w:val="20"/>
        </w:rPr>
      </w:pPr>
      <w:r w:rsidRPr="005D78D5">
        <w:rPr>
          <w:b w:val="0"/>
          <w:sz w:val="20"/>
          <w:szCs w:val="20"/>
        </w:rPr>
        <w:t>A person (including a police officer) finds a person committing an offence including when a person (including a police officer) finds a person</w:t>
      </w:r>
      <w:r w:rsidR="00F85202">
        <w:rPr>
          <w:b w:val="0"/>
          <w:sz w:val="20"/>
          <w:szCs w:val="20"/>
        </w:rPr>
        <w:t xml:space="preserve"> </w:t>
      </w:r>
      <w:r w:rsidR="00F85202" w:rsidRPr="005D78D5">
        <w:rPr>
          <w:b w:val="0"/>
          <w:sz w:val="20"/>
          <w:szCs w:val="20"/>
          <w:lang w:val="en"/>
        </w:rPr>
        <w:t>doing any act or so behaving or conducting himself or in such circumstances that the person finding him believes on reasonable grounds that the person so found is guilty of an offence (s</w:t>
      </w:r>
      <w:r w:rsidR="00F85202">
        <w:rPr>
          <w:b w:val="0"/>
          <w:sz w:val="20"/>
          <w:szCs w:val="20"/>
          <w:lang w:val="en"/>
        </w:rPr>
        <w:t>.</w:t>
      </w:r>
      <w:r w:rsidR="00F85202" w:rsidRPr="005D78D5">
        <w:rPr>
          <w:b w:val="0"/>
          <w:sz w:val="20"/>
          <w:szCs w:val="20"/>
          <w:lang w:val="en"/>
        </w:rPr>
        <w:t>462).</w:t>
      </w:r>
    </w:p>
    <w:p w14:paraId="63425F20" w14:textId="77777777" w:rsidR="00603010" w:rsidRPr="005D78D5" w:rsidRDefault="00BA5BE3" w:rsidP="00591749">
      <w:pPr>
        <w:pStyle w:val="Subheading1Char"/>
        <w:keepNext w:val="0"/>
        <w:keepLines w:val="0"/>
        <w:numPr>
          <w:ilvl w:val="0"/>
          <w:numId w:val="47"/>
        </w:numPr>
        <w:spacing w:before="180" w:after="120"/>
        <w:ind w:left="714" w:hanging="357"/>
        <w:jc w:val="both"/>
        <w:rPr>
          <w:b w:val="0"/>
          <w:sz w:val="20"/>
          <w:szCs w:val="20"/>
        </w:rPr>
      </w:pPr>
      <w:r w:rsidRPr="005D78D5">
        <w:rPr>
          <w:b w:val="0"/>
          <w:sz w:val="20"/>
          <w:szCs w:val="20"/>
          <w:lang w:val="en"/>
        </w:rPr>
        <w:t>“Finds committing” is intended to be given an extended meaning to encompass circumstances beyond actually finding an offender engaged in the relevant act</w:t>
      </w:r>
      <w:bookmarkStart w:id="116" w:name="_Hlk4400656"/>
      <w:r w:rsidRPr="005D78D5">
        <w:rPr>
          <w:b w:val="0"/>
          <w:sz w:val="20"/>
          <w:szCs w:val="20"/>
          <w:lang w:val="en"/>
        </w:rPr>
        <w:t xml:space="preserve"> (</w:t>
      </w:r>
      <w:r w:rsidRPr="005D78D5">
        <w:rPr>
          <w:b w:val="0"/>
          <w:i/>
          <w:sz w:val="20"/>
          <w:szCs w:val="20"/>
          <w:lang w:val="en"/>
        </w:rPr>
        <w:t xml:space="preserve">De Moor v Davies </w:t>
      </w:r>
      <w:r w:rsidRPr="005D78D5">
        <w:rPr>
          <w:b w:val="0"/>
          <w:sz w:val="20"/>
          <w:szCs w:val="20"/>
          <w:lang w:val="en"/>
        </w:rPr>
        <w:t>[1999] VSC 416).</w:t>
      </w:r>
      <w:bookmarkEnd w:id="116"/>
    </w:p>
    <w:p w14:paraId="44A4E77D" w14:textId="77777777" w:rsidR="00BA5BE3" w:rsidRPr="005D78D5" w:rsidRDefault="00BA5BE3" w:rsidP="00591749">
      <w:pPr>
        <w:pStyle w:val="Subheading1Char"/>
        <w:keepNext w:val="0"/>
        <w:keepLines w:val="0"/>
        <w:numPr>
          <w:ilvl w:val="0"/>
          <w:numId w:val="47"/>
        </w:numPr>
        <w:spacing w:before="120" w:after="0"/>
        <w:ind w:left="714" w:hanging="357"/>
        <w:jc w:val="both"/>
        <w:rPr>
          <w:sz w:val="20"/>
          <w:szCs w:val="20"/>
        </w:rPr>
      </w:pPr>
      <w:r w:rsidRPr="005D78D5">
        <w:rPr>
          <w:b w:val="0"/>
          <w:sz w:val="20"/>
          <w:szCs w:val="20"/>
          <w:lang w:val="en"/>
        </w:rPr>
        <w:t xml:space="preserve">Section 462 extends the point of discovery of the commission of the offence to encompass: </w:t>
      </w:r>
    </w:p>
    <w:p w14:paraId="055189EB" w14:textId="77777777" w:rsidR="00B11BDC" w:rsidRPr="00B11BDC" w:rsidRDefault="00BA5BE3" w:rsidP="00591749">
      <w:pPr>
        <w:widowControl w:val="0"/>
        <w:numPr>
          <w:ilvl w:val="1"/>
          <w:numId w:val="47"/>
        </w:numPr>
        <w:spacing w:before="60" w:after="60"/>
        <w:ind w:left="1077" w:hanging="357"/>
        <w:jc w:val="both"/>
        <w:rPr>
          <w:rFonts w:ascii="Arial" w:hAnsi="Arial" w:cs="Arial"/>
          <w:bCs/>
          <w:sz w:val="20"/>
          <w:szCs w:val="20"/>
        </w:rPr>
      </w:pPr>
      <w:r w:rsidRPr="00B11BDC">
        <w:rPr>
          <w:rFonts w:ascii="Arial" w:hAnsi="Arial" w:cs="Arial"/>
          <w:bCs/>
          <w:sz w:val="20"/>
          <w:szCs w:val="20"/>
          <w:lang w:val="en"/>
        </w:rPr>
        <w:t>the actual perpetration of the offence;</w:t>
      </w:r>
    </w:p>
    <w:p w14:paraId="2424B83E" w14:textId="77777777" w:rsidR="00B11BDC" w:rsidRPr="00B11BDC" w:rsidRDefault="00BA5BE3" w:rsidP="00591749">
      <w:pPr>
        <w:widowControl w:val="0"/>
        <w:numPr>
          <w:ilvl w:val="1"/>
          <w:numId w:val="47"/>
        </w:numPr>
        <w:spacing w:before="60" w:after="60"/>
        <w:ind w:left="1077" w:hanging="357"/>
        <w:jc w:val="both"/>
        <w:rPr>
          <w:rFonts w:ascii="Arial" w:hAnsi="Arial" w:cs="Arial"/>
          <w:bCs/>
          <w:sz w:val="20"/>
          <w:szCs w:val="20"/>
        </w:rPr>
      </w:pPr>
      <w:r w:rsidRPr="00B11BDC">
        <w:rPr>
          <w:rFonts w:ascii="Arial" w:hAnsi="Arial" w:cs="Arial"/>
          <w:bCs/>
          <w:sz w:val="20"/>
          <w:szCs w:val="20"/>
          <w:lang w:val="en"/>
        </w:rPr>
        <w:t>finding a person behaving or conducting him or herself so as to create a reasonable belief of guilt; or</w:t>
      </w:r>
    </w:p>
    <w:p w14:paraId="2FBCDB05" w14:textId="77777777" w:rsidR="00B11BDC" w:rsidRPr="00B11BDC" w:rsidRDefault="00BA5BE3" w:rsidP="00591749">
      <w:pPr>
        <w:widowControl w:val="0"/>
        <w:numPr>
          <w:ilvl w:val="1"/>
          <w:numId w:val="47"/>
        </w:numPr>
        <w:spacing w:before="60" w:after="60"/>
        <w:ind w:left="1077" w:hanging="357"/>
        <w:jc w:val="both"/>
        <w:rPr>
          <w:rFonts w:ascii="Arial" w:hAnsi="Arial" w:cs="Arial"/>
          <w:bCs/>
          <w:sz w:val="20"/>
          <w:szCs w:val="20"/>
        </w:rPr>
      </w:pPr>
      <w:r w:rsidRPr="00B11BDC">
        <w:rPr>
          <w:rFonts w:ascii="Arial" w:hAnsi="Arial" w:cs="Arial"/>
          <w:bCs/>
          <w:sz w:val="20"/>
          <w:szCs w:val="20"/>
          <w:lang w:val="en"/>
        </w:rPr>
        <w:t>finding a person in such circumstances so as to create a reasonable belief of guilt (</w:t>
      </w:r>
      <w:r w:rsidRPr="00B11BDC">
        <w:rPr>
          <w:rFonts w:ascii="Arial" w:hAnsi="Arial" w:cs="Arial"/>
          <w:bCs/>
          <w:i/>
          <w:sz w:val="20"/>
          <w:szCs w:val="20"/>
          <w:lang w:val="en"/>
        </w:rPr>
        <w:t>De</w:t>
      </w:r>
      <w:r w:rsidR="00D136D2">
        <w:rPr>
          <w:rFonts w:ascii="Arial" w:hAnsi="Arial" w:cs="Arial"/>
          <w:bCs/>
          <w:i/>
          <w:sz w:val="20"/>
          <w:szCs w:val="20"/>
          <w:lang w:val="en"/>
        </w:rPr>
        <w:t> </w:t>
      </w:r>
      <w:r w:rsidRPr="00B11BDC">
        <w:rPr>
          <w:rFonts w:ascii="Arial" w:hAnsi="Arial" w:cs="Arial"/>
          <w:bCs/>
          <w:i/>
          <w:sz w:val="20"/>
          <w:szCs w:val="20"/>
          <w:lang w:val="en"/>
        </w:rPr>
        <w:t xml:space="preserve">Moor v Davies </w:t>
      </w:r>
      <w:r w:rsidRPr="00B11BDC">
        <w:rPr>
          <w:rFonts w:ascii="Arial" w:hAnsi="Arial" w:cs="Arial"/>
          <w:bCs/>
          <w:sz w:val="20"/>
          <w:szCs w:val="20"/>
          <w:lang w:val="en"/>
        </w:rPr>
        <w:t xml:space="preserve">[1999] VSC 416; </w:t>
      </w:r>
      <w:r w:rsidRPr="00B11BDC">
        <w:rPr>
          <w:rFonts w:ascii="Arial" w:hAnsi="Arial" w:cs="Arial"/>
          <w:bCs/>
          <w:i/>
          <w:sz w:val="20"/>
          <w:szCs w:val="20"/>
          <w:lang w:val="en"/>
        </w:rPr>
        <w:t>Lynch v Hargrave</w:t>
      </w:r>
      <w:r w:rsidRPr="00B11BDC">
        <w:rPr>
          <w:rFonts w:ascii="Arial" w:hAnsi="Arial" w:cs="Arial"/>
          <w:bCs/>
          <w:sz w:val="20"/>
          <w:szCs w:val="20"/>
          <w:lang w:val="en"/>
        </w:rPr>
        <w:t xml:space="preserve"> [1971] VR 99; </w:t>
      </w:r>
      <w:r w:rsidRPr="00B11BDC">
        <w:rPr>
          <w:rFonts w:ascii="Arial" w:hAnsi="Arial" w:cs="Arial"/>
          <w:bCs/>
          <w:i/>
          <w:sz w:val="20"/>
          <w:szCs w:val="20"/>
          <w:lang w:val="en"/>
        </w:rPr>
        <w:t xml:space="preserve">Lunt v Bramley </w:t>
      </w:r>
      <w:r w:rsidRPr="00B11BDC">
        <w:rPr>
          <w:rFonts w:ascii="Arial" w:hAnsi="Arial" w:cs="Arial"/>
          <w:bCs/>
          <w:sz w:val="20"/>
          <w:szCs w:val="20"/>
          <w:lang w:val="en"/>
        </w:rPr>
        <w:t>[1959] VR 313).</w:t>
      </w:r>
    </w:p>
    <w:p w14:paraId="7B2B2701" w14:textId="77777777" w:rsidR="00BA5BE3" w:rsidRPr="005D78D5" w:rsidRDefault="00BA5BE3" w:rsidP="00591749">
      <w:pPr>
        <w:pStyle w:val="Subheading1Char"/>
        <w:keepNext w:val="0"/>
        <w:keepLines w:val="0"/>
        <w:widowControl w:val="0"/>
        <w:numPr>
          <w:ilvl w:val="0"/>
          <w:numId w:val="47"/>
        </w:numPr>
        <w:spacing w:before="180" w:after="60"/>
        <w:ind w:left="714" w:hanging="357"/>
        <w:rPr>
          <w:b w:val="0"/>
          <w:sz w:val="20"/>
          <w:szCs w:val="20"/>
        </w:rPr>
      </w:pPr>
      <w:r w:rsidRPr="005D78D5">
        <w:rPr>
          <w:b w:val="0"/>
          <w:sz w:val="20"/>
          <w:szCs w:val="20"/>
        </w:rPr>
        <w:t>The prescribed reasons are:</w:t>
      </w:r>
    </w:p>
    <w:p w14:paraId="4184498C" w14:textId="77777777" w:rsidR="00BA5BE3" w:rsidRDefault="00BA5BE3" w:rsidP="00591749">
      <w:pPr>
        <w:widowControl w:val="0"/>
        <w:numPr>
          <w:ilvl w:val="0"/>
          <w:numId w:val="7"/>
        </w:numPr>
        <w:autoSpaceDE w:val="0"/>
        <w:autoSpaceDN w:val="0"/>
        <w:adjustRightInd w:val="0"/>
        <w:spacing w:before="60"/>
        <w:ind w:left="1140"/>
        <w:rPr>
          <w:rFonts w:ascii="Arial" w:hAnsi="Arial" w:cs="Arial"/>
          <w:sz w:val="20"/>
          <w:szCs w:val="20"/>
        </w:rPr>
      </w:pPr>
      <w:r w:rsidRPr="005D78D5">
        <w:rPr>
          <w:rFonts w:ascii="Arial" w:hAnsi="Arial" w:cs="Arial"/>
          <w:sz w:val="20"/>
          <w:szCs w:val="20"/>
        </w:rPr>
        <w:t>to ensure the attendance of the offender before a court of competent jurisdiction;</w:t>
      </w:r>
    </w:p>
    <w:p w14:paraId="0B066730" w14:textId="77777777" w:rsidR="00BA5BE3" w:rsidRPr="005D78D5" w:rsidRDefault="00BA5BE3" w:rsidP="00D136D2">
      <w:pPr>
        <w:widowControl w:val="0"/>
        <w:autoSpaceDE w:val="0"/>
        <w:autoSpaceDN w:val="0"/>
        <w:adjustRightInd w:val="0"/>
        <w:spacing w:before="60"/>
        <w:ind w:left="1134" w:hanging="414"/>
        <w:rPr>
          <w:rFonts w:ascii="Arial" w:hAnsi="Arial" w:cs="Arial"/>
          <w:sz w:val="20"/>
          <w:szCs w:val="20"/>
        </w:rPr>
      </w:pPr>
      <w:r w:rsidRPr="005D78D5">
        <w:rPr>
          <w:rFonts w:ascii="Arial" w:hAnsi="Arial" w:cs="Arial"/>
          <w:sz w:val="20"/>
          <w:szCs w:val="20"/>
        </w:rPr>
        <w:t>(ii)</w:t>
      </w:r>
      <w:r w:rsidR="00D136D2">
        <w:rPr>
          <w:rFonts w:ascii="Arial" w:hAnsi="Arial" w:cs="Arial"/>
          <w:sz w:val="20"/>
          <w:szCs w:val="20"/>
        </w:rPr>
        <w:tab/>
      </w:r>
      <w:r w:rsidRPr="005D78D5">
        <w:rPr>
          <w:rFonts w:ascii="Arial" w:hAnsi="Arial" w:cs="Arial"/>
          <w:sz w:val="20"/>
          <w:szCs w:val="20"/>
        </w:rPr>
        <w:t>to preserve public order;</w:t>
      </w:r>
    </w:p>
    <w:p w14:paraId="0FB1626C" w14:textId="77777777" w:rsidR="00BA5BE3" w:rsidRPr="005D78D5" w:rsidRDefault="00BA5BE3" w:rsidP="009D6BC7">
      <w:pPr>
        <w:autoSpaceDE w:val="0"/>
        <w:autoSpaceDN w:val="0"/>
        <w:adjustRightInd w:val="0"/>
        <w:spacing w:before="60"/>
        <w:ind w:left="1134" w:hanging="414"/>
        <w:rPr>
          <w:rFonts w:ascii="Arial" w:hAnsi="Arial" w:cs="Arial"/>
          <w:sz w:val="20"/>
          <w:szCs w:val="20"/>
        </w:rPr>
      </w:pPr>
      <w:r w:rsidRPr="005D78D5">
        <w:rPr>
          <w:rFonts w:ascii="Arial" w:hAnsi="Arial" w:cs="Arial"/>
          <w:sz w:val="20"/>
          <w:szCs w:val="20"/>
        </w:rPr>
        <w:t>(iii)</w:t>
      </w:r>
      <w:r w:rsidR="00D136D2">
        <w:rPr>
          <w:rFonts w:ascii="Arial" w:hAnsi="Arial" w:cs="Arial"/>
          <w:sz w:val="20"/>
          <w:szCs w:val="20"/>
        </w:rPr>
        <w:tab/>
      </w:r>
      <w:r w:rsidRPr="005D78D5">
        <w:rPr>
          <w:rFonts w:ascii="Arial" w:hAnsi="Arial" w:cs="Arial"/>
          <w:sz w:val="20"/>
          <w:szCs w:val="20"/>
        </w:rPr>
        <w:t>to prevent the continuation or repetition of the offence or the commission of a further offence; or</w:t>
      </w:r>
    </w:p>
    <w:p w14:paraId="231995BD" w14:textId="77777777" w:rsidR="00BA5BE3" w:rsidRPr="005D78D5" w:rsidRDefault="00BA5BE3" w:rsidP="00D136D2">
      <w:pPr>
        <w:widowControl w:val="0"/>
        <w:autoSpaceDE w:val="0"/>
        <w:autoSpaceDN w:val="0"/>
        <w:adjustRightInd w:val="0"/>
        <w:spacing w:before="60"/>
        <w:ind w:left="1134" w:hanging="414"/>
        <w:rPr>
          <w:rFonts w:ascii="Arial" w:hAnsi="Arial" w:cs="Arial"/>
          <w:sz w:val="20"/>
          <w:szCs w:val="20"/>
        </w:rPr>
      </w:pPr>
      <w:r w:rsidRPr="005D78D5">
        <w:rPr>
          <w:rFonts w:ascii="Arial" w:hAnsi="Arial" w:cs="Arial"/>
          <w:sz w:val="20"/>
          <w:szCs w:val="20"/>
        </w:rPr>
        <w:t>(iv)</w:t>
      </w:r>
      <w:r w:rsidR="00D136D2">
        <w:rPr>
          <w:rFonts w:ascii="Arial" w:hAnsi="Arial" w:cs="Arial"/>
          <w:sz w:val="20"/>
          <w:szCs w:val="20"/>
        </w:rPr>
        <w:tab/>
      </w:r>
      <w:r w:rsidRPr="005D78D5">
        <w:rPr>
          <w:rFonts w:ascii="Arial" w:hAnsi="Arial" w:cs="Arial"/>
          <w:sz w:val="20"/>
          <w:szCs w:val="20"/>
        </w:rPr>
        <w:t>for the safety or welfare of members of the public or of the offender.</w:t>
      </w:r>
    </w:p>
    <w:p w14:paraId="7A49FCC3" w14:textId="77777777" w:rsidR="00393B2B" w:rsidRPr="007D2412" w:rsidRDefault="00393B2B" w:rsidP="00393B2B">
      <w:pPr>
        <w:shd w:val="clear" w:color="auto" w:fill="FFFFFF"/>
        <w:ind w:left="357"/>
        <w:jc w:val="both"/>
        <w:rPr>
          <w:rFonts w:ascii="Arial" w:hAnsi="Arial" w:cs="Arial"/>
          <w:color w:val="141412"/>
          <w:sz w:val="12"/>
          <w:szCs w:val="12"/>
        </w:rPr>
      </w:pPr>
    </w:p>
    <w:p w14:paraId="27923899" w14:textId="77777777" w:rsidR="003C0CE9" w:rsidRPr="00F51496" w:rsidRDefault="00E537EE" w:rsidP="00393B2B">
      <w:pPr>
        <w:ind w:left="357"/>
        <w:jc w:val="center"/>
        <w:rPr>
          <w:rFonts w:ascii="Arial" w:hAnsi="Arial" w:cs="Arial"/>
          <w:bCs/>
          <w:color w:val="000000"/>
          <w:sz w:val="20"/>
        </w:rPr>
      </w:pPr>
      <w:r w:rsidRPr="003F0317">
        <w:rPr>
          <w:rFonts w:ascii="Arial" w:hAnsi="Arial" w:cs="Arial"/>
          <w:b/>
          <w:bCs/>
          <w:sz w:val="20"/>
          <w:bdr w:val="single" w:sz="4" w:space="0" w:color="auto"/>
          <w:shd w:val="clear" w:color="auto" w:fill="000000"/>
        </w:rPr>
        <w:t>Person arresting was</w:t>
      </w:r>
      <w:r w:rsidR="00D136D2" w:rsidRPr="003F0317">
        <w:rPr>
          <w:rFonts w:ascii="Arial" w:hAnsi="Arial" w:cs="Arial"/>
          <w:b/>
          <w:bCs/>
          <w:sz w:val="20"/>
          <w:bdr w:val="single" w:sz="4" w:space="0" w:color="auto"/>
          <w:shd w:val="clear" w:color="auto" w:fill="000000"/>
        </w:rPr>
        <w:t xml:space="preserve"> instructed by an authorised police officer (s.458(1)(b))</w:t>
      </w:r>
    </w:p>
    <w:p w14:paraId="2F91FD41" w14:textId="77777777" w:rsidR="00BA5BE3" w:rsidRPr="005D78D5" w:rsidRDefault="00BA5BE3" w:rsidP="00591749">
      <w:pPr>
        <w:pStyle w:val="Subheading1Char"/>
        <w:keepNext w:val="0"/>
        <w:keepLines w:val="0"/>
        <w:numPr>
          <w:ilvl w:val="0"/>
          <w:numId w:val="47"/>
        </w:numPr>
        <w:spacing w:before="120" w:after="0"/>
        <w:ind w:left="714" w:hanging="357"/>
        <w:jc w:val="both"/>
        <w:rPr>
          <w:b w:val="0"/>
          <w:sz w:val="20"/>
          <w:szCs w:val="20"/>
        </w:rPr>
      </w:pPr>
      <w:r w:rsidRPr="005D78D5">
        <w:rPr>
          <w:b w:val="0"/>
          <w:sz w:val="20"/>
          <w:szCs w:val="20"/>
        </w:rPr>
        <w:t>The second situation under s</w:t>
      </w:r>
      <w:r w:rsidR="00D136D2">
        <w:rPr>
          <w:b w:val="0"/>
          <w:sz w:val="20"/>
          <w:szCs w:val="20"/>
        </w:rPr>
        <w:t>.</w:t>
      </w:r>
      <w:r w:rsidRPr="005D78D5">
        <w:rPr>
          <w:b w:val="0"/>
          <w:sz w:val="20"/>
          <w:szCs w:val="20"/>
        </w:rPr>
        <w:t>458 applies where a person (including a police officer) was instructed to apprehend a person by a police officer who had the power to apprehend that person.</w:t>
      </w:r>
    </w:p>
    <w:p w14:paraId="0EAD7EE2" w14:textId="77777777" w:rsidR="007D2412" w:rsidRPr="007D2412" w:rsidRDefault="007D2412" w:rsidP="00393B2B">
      <w:pPr>
        <w:shd w:val="clear" w:color="auto" w:fill="FFFFFF"/>
        <w:ind w:left="357"/>
        <w:jc w:val="both"/>
        <w:rPr>
          <w:rFonts w:ascii="Arial" w:hAnsi="Arial" w:cs="Arial"/>
          <w:color w:val="141412"/>
          <w:sz w:val="12"/>
          <w:szCs w:val="12"/>
        </w:rPr>
      </w:pPr>
    </w:p>
    <w:p w14:paraId="30E95688" w14:textId="77777777" w:rsidR="003C0CE9" w:rsidRPr="00F51496" w:rsidRDefault="007D2412" w:rsidP="00393B2B">
      <w:pPr>
        <w:ind w:left="357"/>
        <w:jc w:val="center"/>
        <w:rPr>
          <w:rFonts w:ascii="Arial" w:hAnsi="Arial" w:cs="Arial"/>
          <w:bCs/>
          <w:color w:val="000000"/>
          <w:sz w:val="20"/>
        </w:rPr>
      </w:pPr>
      <w:r w:rsidRPr="003F0317">
        <w:rPr>
          <w:rFonts w:ascii="Arial" w:hAnsi="Arial" w:cs="Arial"/>
          <w:b/>
          <w:bCs/>
          <w:sz w:val="20"/>
          <w:bdr w:val="single" w:sz="4" w:space="0" w:color="auto"/>
          <w:shd w:val="clear" w:color="auto" w:fill="000000"/>
        </w:rPr>
        <w:t>Person arrested escaping from custody or evading arrest (s.458(1)(c))</w:t>
      </w:r>
    </w:p>
    <w:p w14:paraId="02A95C41" w14:textId="712DAF04" w:rsidR="00BA5BE3" w:rsidRPr="005D78D5" w:rsidRDefault="00BA5BE3" w:rsidP="00591749">
      <w:pPr>
        <w:pStyle w:val="Subheading1Char"/>
        <w:keepNext w:val="0"/>
        <w:keepLines w:val="0"/>
        <w:numPr>
          <w:ilvl w:val="0"/>
          <w:numId w:val="47"/>
        </w:numPr>
        <w:spacing w:before="120" w:after="0"/>
        <w:ind w:left="714" w:hanging="357"/>
        <w:rPr>
          <w:b w:val="0"/>
          <w:sz w:val="20"/>
          <w:szCs w:val="20"/>
        </w:rPr>
      </w:pPr>
      <w:r w:rsidRPr="005D78D5">
        <w:rPr>
          <w:b w:val="0"/>
          <w:sz w:val="20"/>
          <w:szCs w:val="20"/>
        </w:rPr>
        <w:t>The third situation under s</w:t>
      </w:r>
      <w:r w:rsidR="004F5FA7">
        <w:rPr>
          <w:b w:val="0"/>
          <w:sz w:val="20"/>
          <w:szCs w:val="20"/>
        </w:rPr>
        <w:t>.</w:t>
      </w:r>
      <w:r w:rsidRPr="005D78D5">
        <w:rPr>
          <w:b w:val="0"/>
          <w:sz w:val="20"/>
          <w:szCs w:val="20"/>
        </w:rPr>
        <w:t>458 applies where a person (including a police officer) believed on reasonable grounds that the other person was:</w:t>
      </w:r>
    </w:p>
    <w:p w14:paraId="3644C99C" w14:textId="77777777" w:rsidR="007D2412" w:rsidRPr="007D2412" w:rsidRDefault="00BA5BE3" w:rsidP="00591749">
      <w:pPr>
        <w:widowControl w:val="0"/>
        <w:numPr>
          <w:ilvl w:val="1"/>
          <w:numId w:val="47"/>
        </w:numPr>
        <w:spacing w:before="60" w:after="60"/>
        <w:ind w:left="1077" w:hanging="357"/>
        <w:jc w:val="both"/>
        <w:rPr>
          <w:rFonts w:ascii="Arial" w:hAnsi="Arial" w:cs="Arial"/>
          <w:bCs/>
          <w:sz w:val="20"/>
          <w:szCs w:val="20"/>
        </w:rPr>
      </w:pPr>
      <w:r w:rsidRPr="007D2412">
        <w:rPr>
          <w:rFonts w:ascii="Arial" w:hAnsi="Arial" w:cs="Arial"/>
          <w:bCs/>
          <w:sz w:val="20"/>
          <w:szCs w:val="20"/>
        </w:rPr>
        <w:t>escaping from legal custody; or</w:t>
      </w:r>
    </w:p>
    <w:p w14:paraId="07F72EA8" w14:textId="77777777" w:rsidR="007D2412" w:rsidRPr="007D2412" w:rsidRDefault="00BA5BE3" w:rsidP="00591749">
      <w:pPr>
        <w:widowControl w:val="0"/>
        <w:numPr>
          <w:ilvl w:val="1"/>
          <w:numId w:val="47"/>
        </w:numPr>
        <w:spacing w:before="60" w:after="60"/>
        <w:ind w:left="1077" w:hanging="357"/>
        <w:jc w:val="both"/>
        <w:rPr>
          <w:rFonts w:ascii="Arial" w:hAnsi="Arial" w:cs="Arial"/>
          <w:bCs/>
          <w:sz w:val="20"/>
          <w:szCs w:val="20"/>
        </w:rPr>
      </w:pPr>
      <w:r w:rsidRPr="007D2412">
        <w:rPr>
          <w:rFonts w:ascii="Arial" w:hAnsi="Arial" w:cs="Arial"/>
          <w:bCs/>
          <w:sz w:val="20"/>
          <w:szCs w:val="20"/>
        </w:rPr>
        <w:t>aiding and abetting another person to escape from legal custody; or</w:t>
      </w:r>
    </w:p>
    <w:p w14:paraId="30C5AA5D" w14:textId="77777777" w:rsidR="007D2412" w:rsidRPr="007D2412" w:rsidRDefault="00BA5BE3" w:rsidP="00591749">
      <w:pPr>
        <w:widowControl w:val="0"/>
        <w:numPr>
          <w:ilvl w:val="1"/>
          <w:numId w:val="47"/>
        </w:numPr>
        <w:spacing w:before="60"/>
        <w:ind w:left="1077" w:hanging="357"/>
        <w:jc w:val="both"/>
        <w:rPr>
          <w:rFonts w:ascii="Arial" w:hAnsi="Arial" w:cs="Arial"/>
          <w:bCs/>
          <w:sz w:val="20"/>
          <w:szCs w:val="20"/>
        </w:rPr>
      </w:pPr>
      <w:r w:rsidRPr="007D2412">
        <w:rPr>
          <w:rFonts w:ascii="Arial" w:hAnsi="Arial" w:cs="Arial"/>
          <w:bCs/>
          <w:sz w:val="20"/>
          <w:szCs w:val="20"/>
        </w:rPr>
        <w:t>avoiding apprehension by some person with authority to apprehend the person.</w:t>
      </w:r>
    </w:p>
    <w:p w14:paraId="2A2588A1" w14:textId="77777777" w:rsidR="007D2412" w:rsidRPr="007D2412" w:rsidRDefault="007D2412" w:rsidP="007D2412">
      <w:pPr>
        <w:shd w:val="clear" w:color="auto" w:fill="FFFFFF"/>
        <w:ind w:left="284"/>
        <w:jc w:val="both"/>
        <w:rPr>
          <w:rFonts w:ascii="Arial" w:hAnsi="Arial" w:cs="Arial"/>
          <w:color w:val="141412"/>
          <w:sz w:val="12"/>
          <w:szCs w:val="12"/>
        </w:rPr>
      </w:pPr>
    </w:p>
    <w:p w14:paraId="7CF74FF7" w14:textId="77777777" w:rsidR="003C0CE9" w:rsidRPr="00F51496" w:rsidRDefault="007D2412" w:rsidP="003C0CE9">
      <w:pPr>
        <w:ind w:left="357"/>
        <w:jc w:val="center"/>
        <w:rPr>
          <w:rFonts w:ascii="Arial" w:hAnsi="Arial" w:cs="Arial"/>
          <w:bCs/>
          <w:color w:val="000000"/>
          <w:sz w:val="20"/>
        </w:rPr>
      </w:pPr>
      <w:r w:rsidRPr="003F0317">
        <w:rPr>
          <w:rFonts w:ascii="Arial" w:hAnsi="Arial" w:cs="Arial"/>
          <w:b/>
          <w:bCs/>
          <w:sz w:val="20"/>
          <w:bdr w:val="single" w:sz="4" w:space="0" w:color="auto"/>
          <w:shd w:val="clear" w:color="auto" w:fill="000000"/>
        </w:rPr>
        <w:t>Duration of arrest under s.458 (s.458(3))</w:t>
      </w:r>
    </w:p>
    <w:p w14:paraId="36C3C1E0" w14:textId="77777777" w:rsidR="00BA5BE3" w:rsidRPr="005D78D5" w:rsidRDefault="00BA5BE3" w:rsidP="00591749">
      <w:pPr>
        <w:pStyle w:val="Subheading1Char"/>
        <w:keepNext w:val="0"/>
        <w:keepLines w:val="0"/>
        <w:widowControl w:val="0"/>
        <w:numPr>
          <w:ilvl w:val="0"/>
          <w:numId w:val="47"/>
        </w:numPr>
        <w:spacing w:before="120" w:after="0"/>
        <w:ind w:left="714" w:hanging="357"/>
        <w:jc w:val="both"/>
        <w:rPr>
          <w:b w:val="0"/>
          <w:sz w:val="20"/>
          <w:szCs w:val="20"/>
        </w:rPr>
      </w:pPr>
      <w:r w:rsidRPr="005D78D5">
        <w:rPr>
          <w:b w:val="0"/>
          <w:sz w:val="20"/>
          <w:szCs w:val="20"/>
        </w:rPr>
        <w:t>A person who has been apprehended under s458 may only be held as long as the reason for their apprehension continues. If the reason ceases to exist, the arrested person must be released.</w:t>
      </w:r>
    </w:p>
    <w:p w14:paraId="0EF16DB1" w14:textId="77777777" w:rsidR="007D2412" w:rsidRPr="008D3C05" w:rsidRDefault="007D2412" w:rsidP="00ED119B">
      <w:pPr>
        <w:pStyle w:val="Subheading1Char"/>
        <w:keepNext w:val="0"/>
        <w:keepLines w:val="0"/>
        <w:widowControl w:val="0"/>
        <w:spacing w:before="180" w:after="120"/>
        <w:ind w:left="284"/>
        <w:jc w:val="both"/>
        <w:rPr>
          <w:sz w:val="20"/>
          <w:szCs w:val="20"/>
          <w:u w:val="single"/>
        </w:rPr>
      </w:pPr>
      <w:r>
        <w:rPr>
          <w:sz w:val="20"/>
          <w:szCs w:val="20"/>
          <w:u w:val="single"/>
        </w:rPr>
        <w:lastRenderedPageBreak/>
        <w:t>Police specific</w:t>
      </w:r>
      <w:r w:rsidRPr="008D3C05">
        <w:rPr>
          <w:sz w:val="20"/>
          <w:szCs w:val="20"/>
          <w:u w:val="single"/>
        </w:rPr>
        <w:t xml:space="preserve"> powers of arrest without warrant (s</w:t>
      </w:r>
      <w:r>
        <w:rPr>
          <w:sz w:val="20"/>
          <w:szCs w:val="20"/>
          <w:u w:val="single"/>
        </w:rPr>
        <w:t>.</w:t>
      </w:r>
      <w:r w:rsidRPr="008D3C05">
        <w:rPr>
          <w:sz w:val="20"/>
          <w:szCs w:val="20"/>
          <w:u w:val="single"/>
        </w:rPr>
        <w:t>45</w:t>
      </w:r>
      <w:r>
        <w:rPr>
          <w:sz w:val="20"/>
          <w:szCs w:val="20"/>
          <w:u w:val="single"/>
        </w:rPr>
        <w:t>9</w:t>
      </w:r>
      <w:r w:rsidRPr="008D3C05">
        <w:rPr>
          <w:sz w:val="20"/>
          <w:szCs w:val="20"/>
          <w:u w:val="single"/>
        </w:rPr>
        <w:t>)</w:t>
      </w:r>
    </w:p>
    <w:p w14:paraId="5F09E56F" w14:textId="38C319C6" w:rsidR="00BA5BE3" w:rsidRDefault="00BA5BE3" w:rsidP="00591749">
      <w:pPr>
        <w:widowControl w:val="0"/>
        <w:numPr>
          <w:ilvl w:val="0"/>
          <w:numId w:val="47"/>
        </w:numPr>
        <w:autoSpaceDE w:val="0"/>
        <w:autoSpaceDN w:val="0"/>
        <w:adjustRightInd w:val="0"/>
        <w:spacing w:before="120"/>
        <w:ind w:left="714" w:hanging="357"/>
        <w:jc w:val="both"/>
        <w:rPr>
          <w:rFonts w:ascii="Arial" w:hAnsi="Arial" w:cs="Arial"/>
          <w:sz w:val="20"/>
          <w:szCs w:val="20"/>
        </w:rPr>
      </w:pPr>
      <w:r w:rsidRPr="005D78D5">
        <w:rPr>
          <w:rFonts w:ascii="Arial" w:hAnsi="Arial" w:cs="Arial"/>
          <w:sz w:val="20"/>
          <w:szCs w:val="20"/>
        </w:rPr>
        <w:t xml:space="preserve">Section 459 provides powers that only apply to police or </w:t>
      </w:r>
      <w:r w:rsidR="00266AE3">
        <w:rPr>
          <w:rFonts w:ascii="Arial" w:hAnsi="Arial" w:cs="Arial"/>
          <w:sz w:val="20"/>
          <w:szCs w:val="20"/>
        </w:rPr>
        <w:t>p</w:t>
      </w:r>
      <w:r w:rsidRPr="005D78D5">
        <w:rPr>
          <w:rFonts w:ascii="Arial" w:hAnsi="Arial" w:cs="Arial"/>
          <w:sz w:val="20"/>
          <w:szCs w:val="20"/>
        </w:rPr>
        <w:t>rotective services officer</w:t>
      </w:r>
      <w:r w:rsidR="004F5FA7">
        <w:rPr>
          <w:rFonts w:ascii="Arial" w:hAnsi="Arial" w:cs="Arial"/>
          <w:sz w:val="20"/>
          <w:szCs w:val="20"/>
        </w:rPr>
        <w:t>s.</w:t>
      </w:r>
      <w:r w:rsidRPr="005D78D5">
        <w:rPr>
          <w:rFonts w:ascii="Arial" w:hAnsi="Arial" w:cs="Arial"/>
          <w:sz w:val="20"/>
          <w:szCs w:val="20"/>
        </w:rPr>
        <w:t xml:space="preserve"> Under section 459 a person is lawfully arrested if </w:t>
      </w:r>
      <w:r w:rsidR="00266AE3">
        <w:rPr>
          <w:rFonts w:ascii="Arial" w:hAnsi="Arial" w:cs="Arial"/>
          <w:sz w:val="20"/>
          <w:szCs w:val="20"/>
        </w:rPr>
        <w:t xml:space="preserve">a police officer </w:t>
      </w:r>
      <w:r w:rsidR="004F5FA7">
        <w:rPr>
          <w:rFonts w:ascii="Arial" w:hAnsi="Arial" w:cs="Arial"/>
          <w:sz w:val="20"/>
          <w:szCs w:val="20"/>
        </w:rPr>
        <w:t xml:space="preserve">or </w:t>
      </w:r>
      <w:r w:rsidR="00266AE3">
        <w:rPr>
          <w:rFonts w:ascii="Arial" w:hAnsi="Arial" w:cs="Arial"/>
          <w:sz w:val="20"/>
          <w:szCs w:val="20"/>
        </w:rPr>
        <w:t>protect</w:t>
      </w:r>
      <w:r w:rsidR="004F5FA7">
        <w:rPr>
          <w:rFonts w:ascii="Arial" w:hAnsi="Arial" w:cs="Arial"/>
          <w:sz w:val="20"/>
          <w:szCs w:val="20"/>
        </w:rPr>
        <w:t>ive</w:t>
      </w:r>
      <w:r w:rsidR="00266AE3">
        <w:rPr>
          <w:rFonts w:ascii="Arial" w:hAnsi="Arial" w:cs="Arial"/>
          <w:sz w:val="20"/>
          <w:szCs w:val="20"/>
        </w:rPr>
        <w:t xml:space="preserve"> services officer believes on reasonable grounds that the person has committed</w:t>
      </w:r>
      <w:r w:rsidR="00235652">
        <w:rPr>
          <w:rFonts w:ascii="Arial" w:hAnsi="Arial" w:cs="Arial"/>
          <w:color w:val="000000"/>
          <w:sz w:val="20"/>
        </w:rPr>
        <w:t>–</w:t>
      </w:r>
    </w:p>
    <w:p w14:paraId="19B3ADC4" w14:textId="77777777" w:rsidR="00266AE3" w:rsidRPr="00266AE3" w:rsidRDefault="00266AE3" w:rsidP="00591749">
      <w:pPr>
        <w:widowControl w:val="0"/>
        <w:numPr>
          <w:ilvl w:val="1"/>
          <w:numId w:val="47"/>
        </w:numPr>
        <w:spacing w:before="60" w:after="60"/>
        <w:ind w:left="1077" w:hanging="357"/>
        <w:jc w:val="both"/>
        <w:rPr>
          <w:rFonts w:ascii="Arial" w:hAnsi="Arial" w:cs="Arial"/>
          <w:bCs/>
          <w:sz w:val="20"/>
          <w:szCs w:val="20"/>
        </w:rPr>
      </w:pPr>
      <w:r w:rsidRPr="005D78D5">
        <w:rPr>
          <w:rFonts w:ascii="Arial" w:hAnsi="Arial" w:cs="Arial"/>
          <w:sz w:val="20"/>
          <w:szCs w:val="20"/>
        </w:rPr>
        <w:t>an indictable offence in Victoria; or</w:t>
      </w:r>
    </w:p>
    <w:p w14:paraId="1D1DF4E6" w14:textId="77777777" w:rsidR="00266AE3" w:rsidRPr="007D2412" w:rsidRDefault="00266AE3" w:rsidP="00591749">
      <w:pPr>
        <w:widowControl w:val="0"/>
        <w:numPr>
          <w:ilvl w:val="1"/>
          <w:numId w:val="47"/>
        </w:numPr>
        <w:spacing w:before="60" w:after="60"/>
        <w:ind w:left="1077" w:hanging="357"/>
        <w:jc w:val="both"/>
        <w:rPr>
          <w:rFonts w:ascii="Arial" w:hAnsi="Arial" w:cs="Arial"/>
          <w:bCs/>
          <w:sz w:val="20"/>
          <w:szCs w:val="20"/>
        </w:rPr>
      </w:pPr>
      <w:r w:rsidRPr="005D78D5">
        <w:rPr>
          <w:rFonts w:ascii="Arial" w:hAnsi="Arial" w:cs="Arial"/>
          <w:sz w:val="20"/>
          <w:szCs w:val="20"/>
        </w:rPr>
        <w:t>an offence elsewhere which would be an indictable offence in Victoria.</w:t>
      </w:r>
    </w:p>
    <w:p w14:paraId="2148D3FA" w14:textId="77777777" w:rsidR="00BA5BE3" w:rsidRPr="005D78D5" w:rsidRDefault="00BA5BE3" w:rsidP="00591749">
      <w:pPr>
        <w:widowControl w:val="0"/>
        <w:numPr>
          <w:ilvl w:val="0"/>
          <w:numId w:val="47"/>
        </w:numPr>
        <w:autoSpaceDE w:val="0"/>
        <w:autoSpaceDN w:val="0"/>
        <w:adjustRightInd w:val="0"/>
        <w:spacing w:before="120" w:after="120"/>
        <w:ind w:left="714" w:hanging="357"/>
        <w:jc w:val="both"/>
        <w:rPr>
          <w:rFonts w:ascii="Arial" w:hAnsi="Arial" w:cs="Arial"/>
          <w:sz w:val="20"/>
          <w:szCs w:val="20"/>
        </w:rPr>
      </w:pPr>
      <w:r w:rsidRPr="005D78D5">
        <w:rPr>
          <w:rFonts w:ascii="Arial" w:hAnsi="Arial" w:cs="Arial"/>
          <w:sz w:val="20"/>
          <w:szCs w:val="20"/>
        </w:rPr>
        <w:t>A protective services officer exercising this power must hand the person into the custody of a police officer as soon as practicable (s</w:t>
      </w:r>
      <w:r w:rsidR="00266AE3">
        <w:rPr>
          <w:rFonts w:ascii="Arial" w:hAnsi="Arial" w:cs="Arial"/>
          <w:sz w:val="20"/>
          <w:szCs w:val="20"/>
        </w:rPr>
        <w:t>.</w:t>
      </w:r>
      <w:r w:rsidRPr="005D78D5">
        <w:rPr>
          <w:rFonts w:ascii="Arial" w:hAnsi="Arial" w:cs="Arial"/>
          <w:sz w:val="20"/>
          <w:szCs w:val="20"/>
        </w:rPr>
        <w:t>459(2)).</w:t>
      </w:r>
    </w:p>
    <w:p w14:paraId="01F8EF0C" w14:textId="77777777" w:rsidR="00BA5BE3" w:rsidRPr="005D78D5" w:rsidRDefault="00BA5BE3" w:rsidP="00591749">
      <w:pPr>
        <w:widowControl w:val="0"/>
        <w:numPr>
          <w:ilvl w:val="0"/>
          <w:numId w:val="47"/>
        </w:numPr>
        <w:autoSpaceDE w:val="0"/>
        <w:autoSpaceDN w:val="0"/>
        <w:adjustRightInd w:val="0"/>
        <w:spacing w:before="120" w:after="120"/>
        <w:ind w:left="714" w:hanging="357"/>
        <w:jc w:val="both"/>
        <w:rPr>
          <w:rFonts w:ascii="Arial" w:hAnsi="Arial" w:cs="Arial"/>
          <w:sz w:val="20"/>
          <w:szCs w:val="20"/>
        </w:rPr>
      </w:pPr>
      <w:r w:rsidRPr="005D78D5">
        <w:rPr>
          <w:rFonts w:ascii="Arial" w:hAnsi="Arial" w:cs="Arial"/>
          <w:sz w:val="20"/>
          <w:szCs w:val="20"/>
        </w:rPr>
        <w:t xml:space="preserve">A protective services officer can only exercise this power in relation to a person who is at or in the vicinity of a “designated place” as defined in the </w:t>
      </w:r>
      <w:r w:rsidRPr="005D78D5">
        <w:rPr>
          <w:rFonts w:ascii="Arial" w:hAnsi="Arial" w:cs="Arial"/>
          <w:i/>
          <w:sz w:val="20"/>
          <w:szCs w:val="20"/>
        </w:rPr>
        <w:t xml:space="preserve">Victoria Police Act 2013 </w:t>
      </w:r>
      <w:r w:rsidRPr="005D78D5">
        <w:rPr>
          <w:rFonts w:ascii="Arial" w:hAnsi="Arial" w:cs="Arial"/>
          <w:sz w:val="20"/>
          <w:szCs w:val="20"/>
        </w:rPr>
        <w:t>(s</w:t>
      </w:r>
      <w:r w:rsidR="00266AE3">
        <w:rPr>
          <w:rFonts w:ascii="Arial" w:hAnsi="Arial" w:cs="Arial"/>
          <w:sz w:val="20"/>
          <w:szCs w:val="20"/>
        </w:rPr>
        <w:t>.</w:t>
      </w:r>
      <w:r w:rsidRPr="005D78D5">
        <w:rPr>
          <w:rFonts w:ascii="Arial" w:hAnsi="Arial" w:cs="Arial"/>
          <w:sz w:val="20"/>
          <w:szCs w:val="20"/>
        </w:rPr>
        <w:t>459(3)).</w:t>
      </w:r>
    </w:p>
    <w:p w14:paraId="45F74EF0" w14:textId="77777777" w:rsidR="00BA5BE3" w:rsidRPr="005D78D5" w:rsidRDefault="00BA5BE3" w:rsidP="00591749">
      <w:pPr>
        <w:widowControl w:val="0"/>
        <w:numPr>
          <w:ilvl w:val="0"/>
          <w:numId w:val="47"/>
        </w:numPr>
        <w:autoSpaceDE w:val="0"/>
        <w:autoSpaceDN w:val="0"/>
        <w:adjustRightInd w:val="0"/>
        <w:spacing w:before="120" w:after="120"/>
        <w:ind w:left="714" w:hanging="357"/>
        <w:jc w:val="both"/>
        <w:rPr>
          <w:rFonts w:ascii="Arial" w:hAnsi="Arial" w:cs="Arial"/>
          <w:sz w:val="20"/>
          <w:szCs w:val="20"/>
        </w:rPr>
      </w:pPr>
      <w:r w:rsidRPr="005D78D5">
        <w:rPr>
          <w:rFonts w:ascii="Arial" w:hAnsi="Arial" w:cs="Arial"/>
          <w:sz w:val="20"/>
          <w:szCs w:val="20"/>
        </w:rPr>
        <w:t xml:space="preserve"> Where an arrest is made under a belief held on reasonable grounds, the apprehension does not cease to be lawful if it later turns out the person arrested did not commit the offence alleged against him (s</w:t>
      </w:r>
      <w:r w:rsidR="00266AE3">
        <w:rPr>
          <w:rFonts w:ascii="Arial" w:hAnsi="Arial" w:cs="Arial"/>
          <w:sz w:val="20"/>
          <w:szCs w:val="20"/>
        </w:rPr>
        <w:t>.</w:t>
      </w:r>
      <w:r w:rsidRPr="005D78D5">
        <w:rPr>
          <w:rFonts w:ascii="Arial" w:hAnsi="Arial" w:cs="Arial"/>
          <w:sz w:val="20"/>
          <w:szCs w:val="20"/>
        </w:rPr>
        <w:t xml:space="preserve">461). </w:t>
      </w:r>
    </w:p>
    <w:p w14:paraId="43B62560" w14:textId="77777777" w:rsidR="004F5FA7" w:rsidRPr="00F51496" w:rsidRDefault="004F5FA7" w:rsidP="004F5FA7">
      <w:pPr>
        <w:ind w:left="357"/>
        <w:jc w:val="center"/>
        <w:rPr>
          <w:rFonts w:ascii="Arial" w:hAnsi="Arial" w:cs="Arial"/>
          <w:bCs/>
          <w:color w:val="000000"/>
          <w:sz w:val="20"/>
        </w:rPr>
      </w:pPr>
      <w:bookmarkStart w:id="117" w:name="_Hlk7427971"/>
      <w:r w:rsidRPr="003F0317">
        <w:rPr>
          <w:rFonts w:ascii="Arial" w:hAnsi="Arial" w:cs="Arial"/>
          <w:b/>
          <w:bCs/>
          <w:sz w:val="20"/>
          <w:bdr w:val="single" w:sz="4" w:space="0" w:color="auto"/>
          <w:shd w:val="clear" w:color="auto" w:fill="000000"/>
        </w:rPr>
        <w:t>Reasonable grounds</w:t>
      </w:r>
    </w:p>
    <w:p w14:paraId="3DC4A300" w14:textId="7F34C4E1" w:rsidR="004F5FA7" w:rsidRPr="005D78D5" w:rsidRDefault="004F5FA7" w:rsidP="00591749">
      <w:pPr>
        <w:widowControl w:val="0"/>
        <w:numPr>
          <w:ilvl w:val="0"/>
          <w:numId w:val="47"/>
        </w:numPr>
        <w:spacing w:before="120" w:after="120"/>
        <w:ind w:left="714" w:hanging="357"/>
        <w:jc w:val="both"/>
        <w:rPr>
          <w:rFonts w:ascii="Arial" w:hAnsi="Arial" w:cs="Arial"/>
          <w:sz w:val="20"/>
          <w:szCs w:val="20"/>
        </w:rPr>
      </w:pPr>
      <w:r w:rsidRPr="005D78D5">
        <w:rPr>
          <w:rFonts w:ascii="Arial" w:hAnsi="Arial" w:cs="Arial"/>
          <w:b/>
          <w:sz w:val="20"/>
          <w:szCs w:val="20"/>
        </w:rPr>
        <w:t>“</w:t>
      </w:r>
      <w:r w:rsidRPr="005D78D5">
        <w:rPr>
          <w:rFonts w:ascii="Arial" w:hAnsi="Arial" w:cs="Arial"/>
          <w:sz w:val="20"/>
          <w:szCs w:val="20"/>
        </w:rPr>
        <w:t xml:space="preserve">Reasonable grounds” requires the existence of facts which are sufficient to induce that state of mind (e.g. belief, suspicion) in a reasonable </w:t>
      </w:r>
      <w:bookmarkStart w:id="118" w:name="_Hlk536626266"/>
      <w:r w:rsidRPr="005D78D5">
        <w:rPr>
          <w:rFonts w:ascii="Arial" w:hAnsi="Arial" w:cs="Arial"/>
          <w:sz w:val="20"/>
          <w:szCs w:val="20"/>
        </w:rPr>
        <w:t>person (</w:t>
      </w:r>
      <w:bookmarkStart w:id="119" w:name="_Hlk536624954"/>
      <w:r w:rsidRPr="005D78D5">
        <w:rPr>
          <w:rFonts w:ascii="Arial" w:hAnsi="Arial" w:cs="Arial"/>
          <w:i/>
          <w:sz w:val="20"/>
          <w:szCs w:val="20"/>
        </w:rPr>
        <w:t>George v Rockett</w:t>
      </w:r>
      <w:r w:rsidRPr="005D78D5">
        <w:rPr>
          <w:rFonts w:ascii="Arial" w:hAnsi="Arial" w:cs="Arial"/>
          <w:sz w:val="20"/>
          <w:szCs w:val="20"/>
        </w:rPr>
        <w:t xml:space="preserve"> (1990) 170 CLR 104; </w:t>
      </w:r>
      <w:r w:rsidRPr="005D78D5">
        <w:rPr>
          <w:rFonts w:ascii="Arial" w:hAnsi="Arial" w:cs="Arial"/>
          <w:i/>
          <w:sz w:val="20"/>
          <w:szCs w:val="20"/>
        </w:rPr>
        <w:t xml:space="preserve">Walsh v Loughnan </w:t>
      </w:r>
      <w:r w:rsidRPr="005D78D5">
        <w:rPr>
          <w:rFonts w:ascii="Arial" w:hAnsi="Arial" w:cs="Arial"/>
          <w:sz w:val="20"/>
          <w:szCs w:val="20"/>
        </w:rPr>
        <w:t>[1991] 2 VR 351</w:t>
      </w:r>
      <w:r>
        <w:rPr>
          <w:rFonts w:ascii="Arial" w:hAnsi="Arial" w:cs="Arial"/>
          <w:sz w:val="20"/>
          <w:szCs w:val="20"/>
        </w:rPr>
        <w:t xml:space="preserve">; </w:t>
      </w:r>
      <w:r w:rsidRPr="004F5FA7">
        <w:rPr>
          <w:rFonts w:ascii="Arial" w:hAnsi="Arial" w:cs="Arial"/>
          <w:i/>
          <w:iCs/>
          <w:sz w:val="20"/>
          <w:szCs w:val="20"/>
        </w:rPr>
        <w:t>James v The King</w:t>
      </w:r>
      <w:r>
        <w:rPr>
          <w:rFonts w:ascii="Arial" w:hAnsi="Arial" w:cs="Arial"/>
          <w:sz w:val="20"/>
          <w:szCs w:val="20"/>
        </w:rPr>
        <w:t xml:space="preserve"> [2025] VSCA 140, [107]</w:t>
      </w:r>
      <w:r w:rsidRPr="005D78D5">
        <w:rPr>
          <w:rFonts w:ascii="Arial" w:hAnsi="Arial" w:cs="Arial"/>
          <w:sz w:val="20"/>
          <w:szCs w:val="20"/>
        </w:rPr>
        <w:t xml:space="preserve">). </w:t>
      </w:r>
    </w:p>
    <w:bookmarkEnd w:id="118"/>
    <w:bookmarkEnd w:id="119"/>
    <w:p w14:paraId="3BAE09A6" w14:textId="77777777" w:rsidR="004F5FA7" w:rsidRPr="005D78D5" w:rsidRDefault="004F5FA7" w:rsidP="00591749">
      <w:pPr>
        <w:widowControl w:val="0"/>
        <w:numPr>
          <w:ilvl w:val="0"/>
          <w:numId w:val="47"/>
        </w:numPr>
        <w:spacing w:before="120" w:after="120"/>
        <w:ind w:left="714" w:hanging="357"/>
        <w:jc w:val="both"/>
        <w:rPr>
          <w:rFonts w:ascii="Arial" w:hAnsi="Arial" w:cs="Arial"/>
          <w:sz w:val="20"/>
          <w:szCs w:val="20"/>
        </w:rPr>
      </w:pPr>
      <w:r w:rsidRPr="005D78D5">
        <w:rPr>
          <w:rFonts w:ascii="Arial" w:hAnsi="Arial" w:cs="Arial"/>
          <w:sz w:val="20"/>
          <w:szCs w:val="20"/>
        </w:rPr>
        <w:t>A person (including a police officer) must believe that the person being arrested has committed an indictable offence and this belief must be based on facts that would induce that state of mind in a reasonable person (</w:t>
      </w:r>
      <w:r w:rsidRPr="005D78D5">
        <w:rPr>
          <w:rFonts w:ascii="Arial" w:hAnsi="Arial" w:cs="Arial"/>
          <w:i/>
          <w:sz w:val="20"/>
          <w:szCs w:val="20"/>
        </w:rPr>
        <w:t>Slaveski v State of Victoria &amp; Ors</w:t>
      </w:r>
      <w:r w:rsidRPr="005D78D5">
        <w:rPr>
          <w:rFonts w:ascii="Arial" w:hAnsi="Arial" w:cs="Arial"/>
          <w:sz w:val="20"/>
          <w:szCs w:val="20"/>
        </w:rPr>
        <w:t xml:space="preserve"> [2010] VSC 441).</w:t>
      </w:r>
    </w:p>
    <w:p w14:paraId="3B9C3424" w14:textId="77777777" w:rsidR="003C0CE9" w:rsidRPr="00F51496" w:rsidRDefault="00266AE3" w:rsidP="00242E91">
      <w:pPr>
        <w:ind w:left="357"/>
        <w:jc w:val="center"/>
        <w:rPr>
          <w:rFonts w:ascii="Arial" w:hAnsi="Arial" w:cs="Arial"/>
          <w:bCs/>
          <w:color w:val="000000"/>
          <w:sz w:val="20"/>
        </w:rPr>
      </w:pPr>
      <w:r w:rsidRPr="003F0317">
        <w:rPr>
          <w:rFonts w:ascii="Arial" w:hAnsi="Arial" w:cs="Arial"/>
          <w:b/>
          <w:bCs/>
          <w:sz w:val="20"/>
          <w:bdr w:val="single" w:sz="4" w:space="0" w:color="auto"/>
          <w:shd w:val="clear" w:color="auto" w:fill="000000"/>
        </w:rPr>
        <w:t>Belief</w:t>
      </w:r>
      <w:r w:rsidR="00E537EE" w:rsidRPr="003F0317">
        <w:rPr>
          <w:rFonts w:ascii="Arial" w:hAnsi="Arial" w:cs="Arial"/>
          <w:b/>
          <w:bCs/>
          <w:sz w:val="20"/>
          <w:bdr w:val="single" w:sz="4" w:space="0" w:color="auto"/>
          <w:shd w:val="clear" w:color="auto" w:fill="000000"/>
        </w:rPr>
        <w:t xml:space="preserve"> distinguished from suspicion</w:t>
      </w:r>
    </w:p>
    <w:p w14:paraId="72892995" w14:textId="38BDD5A4" w:rsidR="00BA5BE3" w:rsidRPr="005D78D5" w:rsidRDefault="00BA5BE3" w:rsidP="00591749">
      <w:pPr>
        <w:widowControl w:val="0"/>
        <w:numPr>
          <w:ilvl w:val="0"/>
          <w:numId w:val="47"/>
        </w:numPr>
        <w:spacing w:before="120" w:after="120"/>
        <w:ind w:left="714" w:hanging="357"/>
        <w:jc w:val="both"/>
        <w:rPr>
          <w:rFonts w:ascii="Arial" w:hAnsi="Arial" w:cs="Arial"/>
          <w:sz w:val="20"/>
          <w:szCs w:val="20"/>
        </w:rPr>
      </w:pPr>
      <w:r w:rsidRPr="005D78D5">
        <w:rPr>
          <w:rFonts w:ascii="Arial" w:hAnsi="Arial" w:cs="Arial"/>
          <w:sz w:val="20"/>
          <w:szCs w:val="20"/>
        </w:rPr>
        <w:t>Belief has been distinguished from suspicion (</w:t>
      </w:r>
      <w:r w:rsidRPr="005D78D5">
        <w:rPr>
          <w:rFonts w:ascii="Arial" w:hAnsi="Arial" w:cs="Arial"/>
          <w:i/>
          <w:sz w:val="20"/>
          <w:szCs w:val="20"/>
        </w:rPr>
        <w:t>George v Rockett</w:t>
      </w:r>
      <w:r w:rsidRPr="005D78D5">
        <w:rPr>
          <w:rFonts w:ascii="Arial" w:hAnsi="Arial" w:cs="Arial"/>
          <w:sz w:val="20"/>
          <w:szCs w:val="20"/>
        </w:rPr>
        <w:t xml:space="preserve"> (1990) 170 CLR 104). The facts grounding a suspicion may be insufficient to ground a belief (</w:t>
      </w:r>
      <w:bookmarkStart w:id="120" w:name="_Hlk7423734"/>
      <w:r w:rsidRPr="005D78D5">
        <w:rPr>
          <w:rFonts w:ascii="Arial" w:hAnsi="Arial" w:cs="Arial"/>
          <w:i/>
          <w:sz w:val="20"/>
          <w:szCs w:val="20"/>
        </w:rPr>
        <w:t xml:space="preserve">Walsh v Loughnan </w:t>
      </w:r>
      <w:r w:rsidR="00661912">
        <w:rPr>
          <w:rFonts w:ascii="Arial" w:hAnsi="Arial" w:cs="Arial"/>
          <w:sz w:val="20"/>
          <w:szCs w:val="20"/>
        </w:rPr>
        <w:t>[</w:t>
      </w:r>
      <w:r w:rsidRPr="005D78D5">
        <w:rPr>
          <w:rFonts w:ascii="Arial" w:hAnsi="Arial" w:cs="Arial"/>
          <w:sz w:val="20"/>
          <w:szCs w:val="20"/>
        </w:rPr>
        <w:t>1991</w:t>
      </w:r>
      <w:r w:rsidR="00661912">
        <w:rPr>
          <w:rFonts w:ascii="Arial" w:hAnsi="Arial" w:cs="Arial"/>
          <w:sz w:val="20"/>
          <w:szCs w:val="20"/>
        </w:rPr>
        <w:t>]</w:t>
      </w:r>
      <w:r w:rsidRPr="005D78D5">
        <w:rPr>
          <w:rFonts w:ascii="Arial" w:hAnsi="Arial" w:cs="Arial"/>
          <w:sz w:val="20"/>
          <w:szCs w:val="20"/>
        </w:rPr>
        <w:t xml:space="preserve"> 2</w:t>
      </w:r>
      <w:r w:rsidR="00266AE3">
        <w:rPr>
          <w:rFonts w:ascii="Arial" w:hAnsi="Arial" w:cs="Arial"/>
          <w:sz w:val="20"/>
          <w:szCs w:val="20"/>
        </w:rPr>
        <w:t> </w:t>
      </w:r>
      <w:r w:rsidRPr="005D78D5">
        <w:rPr>
          <w:rFonts w:ascii="Arial" w:hAnsi="Arial" w:cs="Arial"/>
          <w:sz w:val="20"/>
          <w:szCs w:val="20"/>
        </w:rPr>
        <w:t>VR 351</w:t>
      </w:r>
      <w:bookmarkEnd w:id="120"/>
      <w:r w:rsidRPr="005D78D5">
        <w:rPr>
          <w:rFonts w:ascii="Arial" w:hAnsi="Arial" w:cs="Arial"/>
          <w:sz w:val="20"/>
          <w:szCs w:val="20"/>
        </w:rPr>
        <w:t xml:space="preserve">). </w:t>
      </w:r>
    </w:p>
    <w:p w14:paraId="130D3789" w14:textId="5C34D6DC" w:rsidR="00BA5BE3" w:rsidRPr="005D78D5" w:rsidRDefault="00BA5BE3" w:rsidP="00591749">
      <w:pPr>
        <w:widowControl w:val="0"/>
        <w:numPr>
          <w:ilvl w:val="0"/>
          <w:numId w:val="47"/>
        </w:numPr>
        <w:spacing w:before="120" w:after="120"/>
        <w:ind w:left="714" w:hanging="357"/>
        <w:jc w:val="both"/>
        <w:rPr>
          <w:rFonts w:ascii="Arial" w:hAnsi="Arial" w:cs="Arial"/>
          <w:sz w:val="20"/>
          <w:szCs w:val="20"/>
        </w:rPr>
      </w:pPr>
      <w:r w:rsidRPr="005D78D5">
        <w:rPr>
          <w:rFonts w:ascii="Arial" w:hAnsi="Arial" w:cs="Arial"/>
          <w:sz w:val="20"/>
          <w:szCs w:val="20"/>
        </w:rPr>
        <w:t>Belief is a more certain state of mind than suspicion and involves an inclination of the mind towards assenting to, rather than rejecting, a proposition (</w:t>
      </w:r>
      <w:r w:rsidRPr="005D78D5">
        <w:rPr>
          <w:rFonts w:ascii="Arial" w:hAnsi="Arial" w:cs="Arial"/>
          <w:i/>
          <w:sz w:val="20"/>
          <w:szCs w:val="20"/>
        </w:rPr>
        <w:t>George v Rockett</w:t>
      </w:r>
      <w:r w:rsidRPr="005D78D5">
        <w:rPr>
          <w:rFonts w:ascii="Arial" w:hAnsi="Arial" w:cs="Arial"/>
          <w:sz w:val="20"/>
          <w:szCs w:val="20"/>
        </w:rPr>
        <w:t xml:space="preserve"> (1990) 170 CLR 104</w:t>
      </w:r>
      <w:r w:rsidR="00661912">
        <w:rPr>
          <w:rFonts w:ascii="Arial" w:hAnsi="Arial" w:cs="Arial"/>
          <w:sz w:val="20"/>
          <w:szCs w:val="20"/>
        </w:rPr>
        <w:t xml:space="preserve">; </w:t>
      </w:r>
      <w:r w:rsidR="00661912" w:rsidRPr="004F5FA7">
        <w:rPr>
          <w:rFonts w:ascii="Arial" w:hAnsi="Arial" w:cs="Arial"/>
          <w:i/>
          <w:iCs/>
          <w:sz w:val="20"/>
          <w:szCs w:val="20"/>
        </w:rPr>
        <w:t>James v The King</w:t>
      </w:r>
      <w:r w:rsidR="00661912">
        <w:rPr>
          <w:rFonts w:ascii="Arial" w:hAnsi="Arial" w:cs="Arial"/>
          <w:sz w:val="20"/>
          <w:szCs w:val="20"/>
        </w:rPr>
        <w:t xml:space="preserve"> [2025] VSCA 140, [107]</w:t>
      </w:r>
      <w:r w:rsidRPr="005D78D5">
        <w:rPr>
          <w:rFonts w:ascii="Arial" w:hAnsi="Arial" w:cs="Arial"/>
          <w:sz w:val="20"/>
          <w:szCs w:val="20"/>
        </w:rPr>
        <w:t xml:space="preserve">). </w:t>
      </w:r>
    </w:p>
    <w:p w14:paraId="7D1846BA" w14:textId="5B37A786" w:rsidR="00BA5BE3" w:rsidRPr="005D78D5" w:rsidRDefault="00BA5BE3" w:rsidP="00591749">
      <w:pPr>
        <w:widowControl w:val="0"/>
        <w:numPr>
          <w:ilvl w:val="0"/>
          <w:numId w:val="47"/>
        </w:numPr>
        <w:spacing w:before="120" w:after="120"/>
        <w:ind w:left="714" w:hanging="357"/>
        <w:jc w:val="both"/>
        <w:rPr>
          <w:rFonts w:ascii="Arial" w:hAnsi="Arial" w:cs="Arial"/>
          <w:sz w:val="20"/>
          <w:szCs w:val="20"/>
        </w:rPr>
      </w:pPr>
      <w:r w:rsidRPr="005D78D5">
        <w:rPr>
          <w:rFonts w:ascii="Arial" w:hAnsi="Arial" w:cs="Arial"/>
          <w:sz w:val="20"/>
          <w:szCs w:val="20"/>
        </w:rPr>
        <w:t xml:space="preserve"> Suspicion is a positive feeling of actual apprehension of mistrust, amounting to a slight opinion, but without sufficient evidence. Suspicion is not enough to justify an arrest without warrant (</w:t>
      </w:r>
      <w:r w:rsidRPr="005D78D5">
        <w:rPr>
          <w:rFonts w:ascii="Arial" w:hAnsi="Arial" w:cs="Arial"/>
          <w:i/>
          <w:sz w:val="20"/>
          <w:szCs w:val="20"/>
        </w:rPr>
        <w:t>Slaveski v State of Victoria &amp; Ors</w:t>
      </w:r>
      <w:r w:rsidRPr="005D78D5">
        <w:rPr>
          <w:rFonts w:ascii="Arial" w:hAnsi="Arial" w:cs="Arial"/>
          <w:sz w:val="20"/>
          <w:szCs w:val="20"/>
        </w:rPr>
        <w:t xml:space="preserve"> [2010] VSC 441).</w:t>
      </w:r>
    </w:p>
    <w:bookmarkEnd w:id="117"/>
    <w:p w14:paraId="275E441C" w14:textId="0122B565" w:rsidR="00BA5BE3" w:rsidRPr="005D78D5" w:rsidRDefault="00BA5BE3" w:rsidP="00591749">
      <w:pPr>
        <w:widowControl w:val="0"/>
        <w:numPr>
          <w:ilvl w:val="0"/>
          <w:numId w:val="47"/>
        </w:numPr>
        <w:spacing w:before="120" w:after="120"/>
        <w:ind w:left="714" w:hanging="357"/>
        <w:jc w:val="both"/>
        <w:rPr>
          <w:rFonts w:ascii="Arial" w:hAnsi="Arial" w:cs="Arial"/>
          <w:sz w:val="20"/>
          <w:szCs w:val="20"/>
        </w:rPr>
      </w:pPr>
      <w:r w:rsidRPr="005D78D5">
        <w:rPr>
          <w:rFonts w:ascii="Arial" w:hAnsi="Arial" w:cs="Arial"/>
          <w:sz w:val="20"/>
          <w:szCs w:val="20"/>
        </w:rPr>
        <w:t xml:space="preserve">The information upon which the arrester forms their belief depends on all of the circumstances that prevailed at the relevant time, including what the arrester saw, heard or did. </w:t>
      </w:r>
    </w:p>
    <w:p w14:paraId="6667A76F" w14:textId="14896B9F" w:rsidR="00BA5BE3" w:rsidRDefault="00661912" w:rsidP="00591749">
      <w:pPr>
        <w:numPr>
          <w:ilvl w:val="0"/>
          <w:numId w:val="47"/>
        </w:numPr>
        <w:spacing w:before="120" w:after="120"/>
        <w:ind w:left="714" w:hanging="357"/>
        <w:jc w:val="both"/>
        <w:rPr>
          <w:rFonts w:ascii="Arial" w:hAnsi="Arial" w:cs="Arial"/>
          <w:sz w:val="20"/>
          <w:szCs w:val="20"/>
        </w:rPr>
      </w:pPr>
      <w:r>
        <w:rPr>
          <w:rFonts w:ascii="Arial" w:hAnsi="Arial" w:cs="Arial"/>
          <w:sz w:val="20"/>
          <w:szCs w:val="20"/>
        </w:rPr>
        <w:t>The</w:t>
      </w:r>
      <w:r w:rsidR="00BA5BE3" w:rsidRPr="005D78D5">
        <w:rPr>
          <w:rFonts w:ascii="Arial" w:hAnsi="Arial" w:cs="Arial"/>
          <w:sz w:val="20"/>
          <w:szCs w:val="20"/>
        </w:rPr>
        <w:t xml:space="preserve"> person (including a police officer) must have believed that a particular indictable offence occurred, and not simply any indictable offence generally (</w:t>
      </w:r>
      <w:r w:rsidR="00BA5BE3" w:rsidRPr="005D78D5">
        <w:rPr>
          <w:rFonts w:ascii="Arial" w:hAnsi="Arial" w:cs="Arial"/>
          <w:i/>
          <w:iCs/>
          <w:sz w:val="20"/>
          <w:szCs w:val="20"/>
        </w:rPr>
        <w:t>R v Vollmer</w:t>
      </w:r>
      <w:r w:rsidR="00BA5BE3" w:rsidRPr="005D78D5">
        <w:rPr>
          <w:rFonts w:ascii="Arial" w:hAnsi="Arial" w:cs="Arial"/>
          <w:sz w:val="20"/>
          <w:szCs w:val="20"/>
        </w:rPr>
        <w:t xml:space="preserve"> [1996] 1 VR 95</w:t>
      </w:r>
      <w:r>
        <w:rPr>
          <w:rFonts w:ascii="Arial" w:hAnsi="Arial" w:cs="Arial"/>
          <w:sz w:val="20"/>
          <w:szCs w:val="20"/>
        </w:rPr>
        <w:t xml:space="preserve">; </w:t>
      </w:r>
      <w:r w:rsidRPr="00661912">
        <w:rPr>
          <w:rFonts w:ascii="Arial" w:hAnsi="Arial" w:cs="Arial"/>
          <w:i/>
          <w:iCs/>
          <w:sz w:val="20"/>
          <w:szCs w:val="20"/>
        </w:rPr>
        <w:t>James v The King</w:t>
      </w:r>
      <w:r>
        <w:rPr>
          <w:rFonts w:ascii="Arial" w:hAnsi="Arial" w:cs="Arial"/>
          <w:sz w:val="20"/>
          <w:szCs w:val="20"/>
        </w:rPr>
        <w:t xml:space="preserve"> [2025] VSCA 140, [107], [126]</w:t>
      </w:r>
      <w:r w:rsidR="00BA5BE3" w:rsidRPr="005D78D5">
        <w:rPr>
          <w:rFonts w:ascii="Arial" w:hAnsi="Arial" w:cs="Arial"/>
          <w:sz w:val="20"/>
          <w:szCs w:val="20"/>
        </w:rPr>
        <w:t>).</w:t>
      </w:r>
    </w:p>
    <w:p w14:paraId="4B886C7F" w14:textId="6F8D22C1" w:rsidR="00661912" w:rsidRPr="005D78D5" w:rsidRDefault="00661912" w:rsidP="00591749">
      <w:pPr>
        <w:widowControl w:val="0"/>
        <w:numPr>
          <w:ilvl w:val="0"/>
          <w:numId w:val="47"/>
        </w:numPr>
        <w:spacing w:before="120" w:after="120"/>
        <w:ind w:left="714" w:hanging="357"/>
        <w:jc w:val="both"/>
        <w:rPr>
          <w:rFonts w:ascii="Arial" w:hAnsi="Arial" w:cs="Arial"/>
          <w:sz w:val="20"/>
          <w:szCs w:val="20"/>
        </w:rPr>
      </w:pPr>
      <w:r>
        <w:rPr>
          <w:rFonts w:ascii="Arial" w:hAnsi="Arial" w:cs="Arial"/>
          <w:sz w:val="20"/>
          <w:szCs w:val="20"/>
        </w:rPr>
        <w:t>While the primary focus of arrest powers is the person’s subjective belief, it is possible for an arrest to be valid where the person has a lawful basis for the arrest, but mistakenly relies on an unlawful basis (</w:t>
      </w:r>
      <w:r w:rsidRPr="00661912">
        <w:rPr>
          <w:rFonts w:ascii="Arial" w:hAnsi="Arial" w:cs="Arial"/>
          <w:i/>
          <w:iCs/>
          <w:sz w:val="20"/>
          <w:szCs w:val="20"/>
        </w:rPr>
        <w:t>James v The King</w:t>
      </w:r>
      <w:r>
        <w:rPr>
          <w:rFonts w:ascii="Arial" w:hAnsi="Arial" w:cs="Arial"/>
          <w:sz w:val="20"/>
          <w:szCs w:val="20"/>
        </w:rPr>
        <w:t xml:space="preserve"> [2025] VSCA 140, [116]; </w:t>
      </w:r>
      <w:r w:rsidRPr="00661912">
        <w:rPr>
          <w:rFonts w:ascii="Arial" w:hAnsi="Arial" w:cs="Arial"/>
          <w:i/>
          <w:iCs/>
          <w:sz w:val="20"/>
          <w:szCs w:val="20"/>
        </w:rPr>
        <w:t>Warke v Daire</w:t>
      </w:r>
      <w:r>
        <w:rPr>
          <w:rFonts w:ascii="Arial" w:hAnsi="Arial" w:cs="Arial"/>
          <w:sz w:val="20"/>
          <w:szCs w:val="20"/>
        </w:rPr>
        <w:t xml:space="preserve"> [1983] 32 SASR 321; </w:t>
      </w:r>
      <w:r w:rsidRPr="00661912">
        <w:rPr>
          <w:rFonts w:ascii="Arial" w:hAnsi="Arial" w:cs="Arial"/>
          <w:i/>
          <w:iCs/>
          <w:sz w:val="20"/>
          <w:szCs w:val="20"/>
        </w:rPr>
        <w:t>Kershaw v The King</w:t>
      </w:r>
      <w:r>
        <w:rPr>
          <w:rFonts w:ascii="Arial" w:hAnsi="Arial" w:cs="Arial"/>
          <w:sz w:val="20"/>
          <w:szCs w:val="20"/>
        </w:rPr>
        <w:t xml:space="preserve"> [2024] NSWCCA 27, [78]-[80]).</w:t>
      </w:r>
    </w:p>
    <w:p w14:paraId="4515551E" w14:textId="77777777" w:rsidR="003C0CE9" w:rsidRPr="00F51496" w:rsidRDefault="00E537EE" w:rsidP="00167526">
      <w:pPr>
        <w:ind w:left="357"/>
        <w:jc w:val="center"/>
        <w:rPr>
          <w:rFonts w:ascii="Arial" w:hAnsi="Arial" w:cs="Arial"/>
          <w:bCs/>
          <w:color w:val="000000"/>
          <w:sz w:val="20"/>
        </w:rPr>
      </w:pPr>
      <w:r w:rsidRPr="003F0317">
        <w:rPr>
          <w:rFonts w:ascii="Arial" w:hAnsi="Arial" w:cs="Arial"/>
          <w:b/>
          <w:bCs/>
          <w:sz w:val="20"/>
          <w:bdr w:val="single" w:sz="4" w:space="0" w:color="auto"/>
          <w:shd w:val="clear" w:color="auto" w:fill="000000"/>
        </w:rPr>
        <w:t>Use of force</w:t>
      </w:r>
    </w:p>
    <w:p w14:paraId="5E6F3278" w14:textId="77777777" w:rsidR="007A0A58" w:rsidRDefault="00BA5BE3" w:rsidP="00591749">
      <w:pPr>
        <w:pStyle w:val="Subheading1Char"/>
        <w:keepNext w:val="0"/>
        <w:keepLines w:val="0"/>
        <w:numPr>
          <w:ilvl w:val="0"/>
          <w:numId w:val="47"/>
        </w:numPr>
        <w:spacing w:before="120" w:after="120"/>
        <w:ind w:left="714" w:hanging="357"/>
        <w:jc w:val="both"/>
        <w:rPr>
          <w:b w:val="0"/>
          <w:sz w:val="20"/>
          <w:szCs w:val="20"/>
        </w:rPr>
      </w:pPr>
      <w:r w:rsidRPr="005D78D5">
        <w:rPr>
          <w:b w:val="0"/>
          <w:sz w:val="20"/>
          <w:szCs w:val="20"/>
        </w:rPr>
        <w:t>Section 462A authorises a person to use force to effect or assist in effecting the lawful arrest of a person committing or suspected of committing an offence</w:t>
      </w:r>
      <w:r w:rsidR="00E537EE">
        <w:rPr>
          <w:b w:val="0"/>
          <w:sz w:val="20"/>
          <w:szCs w:val="20"/>
        </w:rPr>
        <w:t>.</w:t>
      </w:r>
    </w:p>
    <w:p w14:paraId="6AF005E0" w14:textId="29B94744" w:rsidR="00BA5BE3" w:rsidRPr="00E537EE" w:rsidRDefault="00BA5BE3" w:rsidP="00591749">
      <w:pPr>
        <w:pStyle w:val="Subheading1Char"/>
        <w:keepNext w:val="0"/>
        <w:keepLines w:val="0"/>
        <w:widowControl w:val="0"/>
        <w:numPr>
          <w:ilvl w:val="0"/>
          <w:numId w:val="47"/>
        </w:numPr>
        <w:spacing w:before="120" w:after="120"/>
        <w:ind w:left="714" w:hanging="357"/>
        <w:jc w:val="both"/>
        <w:rPr>
          <w:b w:val="0"/>
          <w:sz w:val="20"/>
          <w:szCs w:val="20"/>
        </w:rPr>
      </w:pPr>
      <w:r w:rsidRPr="00E537EE">
        <w:rPr>
          <w:b w:val="0"/>
          <w:sz w:val="20"/>
          <w:szCs w:val="20"/>
        </w:rPr>
        <w:t xml:space="preserve">The force used must not be disproportionate to the objective </w:t>
      </w:r>
      <w:r w:rsidR="00E537EE">
        <w:rPr>
          <w:b w:val="0"/>
          <w:sz w:val="20"/>
          <w:szCs w:val="20"/>
        </w:rPr>
        <w:t>that</w:t>
      </w:r>
      <w:r w:rsidRPr="00E537EE">
        <w:rPr>
          <w:b w:val="0"/>
          <w:sz w:val="20"/>
          <w:szCs w:val="20"/>
        </w:rPr>
        <w:t xml:space="preserve"> the person believed on reasonable grounds to be necessary</w:t>
      </w:r>
      <w:r w:rsidR="00F66D57">
        <w:rPr>
          <w:b w:val="0"/>
          <w:sz w:val="20"/>
          <w:szCs w:val="20"/>
        </w:rPr>
        <w:t xml:space="preserve"> (s.462A).</w:t>
      </w:r>
    </w:p>
    <w:p w14:paraId="151E4BE1" w14:textId="3741020E" w:rsidR="00BA5BE3" w:rsidRPr="005D78D5" w:rsidRDefault="00BA5BE3" w:rsidP="00591749">
      <w:pPr>
        <w:numPr>
          <w:ilvl w:val="0"/>
          <w:numId w:val="47"/>
        </w:numPr>
        <w:spacing w:before="120" w:after="120"/>
        <w:ind w:left="714" w:hanging="357"/>
        <w:jc w:val="both"/>
        <w:rPr>
          <w:rFonts w:ascii="Arial" w:hAnsi="Arial" w:cs="Arial"/>
          <w:bCs/>
          <w:sz w:val="20"/>
          <w:szCs w:val="20"/>
        </w:rPr>
      </w:pPr>
      <w:r w:rsidRPr="005D78D5">
        <w:rPr>
          <w:rFonts w:ascii="Arial" w:hAnsi="Arial" w:cs="Arial"/>
          <w:sz w:val="20"/>
          <w:szCs w:val="20"/>
        </w:rPr>
        <w:t xml:space="preserve">Section 462A of the </w:t>
      </w:r>
      <w:r w:rsidRPr="005D78D5">
        <w:rPr>
          <w:rFonts w:ascii="Arial" w:hAnsi="Arial" w:cs="Arial"/>
          <w:i/>
          <w:sz w:val="20"/>
          <w:szCs w:val="20"/>
        </w:rPr>
        <w:t>Crimes Ac</w:t>
      </w:r>
      <w:r w:rsidR="008102AC">
        <w:rPr>
          <w:rFonts w:ascii="Arial" w:hAnsi="Arial" w:cs="Arial"/>
          <w:i/>
          <w:sz w:val="20"/>
          <w:szCs w:val="20"/>
        </w:rPr>
        <w:t>t 1958</w:t>
      </w:r>
      <w:r w:rsidRPr="005D78D5">
        <w:rPr>
          <w:rFonts w:ascii="Arial" w:hAnsi="Arial" w:cs="Arial"/>
          <w:sz w:val="20"/>
          <w:szCs w:val="20"/>
        </w:rPr>
        <w:t xml:space="preserve"> does not confer a power of arrest, it merely provides that proportionate force may be used to effect an arrest. The lawful power of arrest must be derived from either s</w:t>
      </w:r>
      <w:r w:rsidR="00E537EE">
        <w:rPr>
          <w:rFonts w:ascii="Arial" w:hAnsi="Arial" w:cs="Arial"/>
          <w:sz w:val="20"/>
          <w:szCs w:val="20"/>
        </w:rPr>
        <w:t>.</w:t>
      </w:r>
      <w:r w:rsidRPr="005D78D5">
        <w:rPr>
          <w:rFonts w:ascii="Arial" w:hAnsi="Arial" w:cs="Arial"/>
          <w:sz w:val="20"/>
          <w:szCs w:val="20"/>
        </w:rPr>
        <w:t>458 or s</w:t>
      </w:r>
      <w:r w:rsidR="00E537EE">
        <w:rPr>
          <w:rFonts w:ascii="Arial" w:hAnsi="Arial" w:cs="Arial"/>
          <w:sz w:val="20"/>
          <w:szCs w:val="20"/>
        </w:rPr>
        <w:t>.</w:t>
      </w:r>
      <w:r w:rsidRPr="005D78D5">
        <w:rPr>
          <w:rFonts w:ascii="Arial" w:hAnsi="Arial" w:cs="Arial"/>
          <w:sz w:val="20"/>
          <w:szCs w:val="20"/>
        </w:rPr>
        <w:t xml:space="preserve">459 </w:t>
      </w:r>
      <w:r w:rsidRPr="005D78D5">
        <w:rPr>
          <w:rFonts w:ascii="Arial" w:hAnsi="Arial" w:cs="Arial"/>
          <w:bCs/>
          <w:sz w:val="20"/>
          <w:szCs w:val="20"/>
        </w:rPr>
        <w:t>(</w:t>
      </w:r>
      <w:r w:rsidRPr="005D78D5">
        <w:rPr>
          <w:rFonts w:ascii="Arial" w:hAnsi="Arial" w:cs="Arial"/>
          <w:bCs/>
          <w:i/>
          <w:sz w:val="20"/>
          <w:szCs w:val="20"/>
        </w:rPr>
        <w:t>Slaveski v State of Victoria &amp; Ors</w:t>
      </w:r>
      <w:r w:rsidRPr="005D78D5">
        <w:rPr>
          <w:rFonts w:ascii="Arial" w:hAnsi="Arial" w:cs="Arial"/>
          <w:bCs/>
          <w:sz w:val="20"/>
          <w:szCs w:val="20"/>
        </w:rPr>
        <w:t xml:space="preserve"> [2010] VSC 441).</w:t>
      </w:r>
    </w:p>
    <w:p w14:paraId="4651A0A0" w14:textId="77777777" w:rsidR="00BA5BE3" w:rsidRPr="005D78D5" w:rsidRDefault="00BA5BE3" w:rsidP="00591749">
      <w:pPr>
        <w:widowControl w:val="0"/>
        <w:numPr>
          <w:ilvl w:val="0"/>
          <w:numId w:val="47"/>
        </w:numPr>
        <w:spacing w:before="120" w:after="120"/>
        <w:ind w:left="714" w:hanging="357"/>
        <w:jc w:val="both"/>
        <w:rPr>
          <w:rFonts w:ascii="Arial" w:hAnsi="Arial" w:cs="Arial"/>
          <w:bCs/>
          <w:sz w:val="20"/>
          <w:szCs w:val="20"/>
        </w:rPr>
      </w:pPr>
      <w:r w:rsidRPr="005D78D5">
        <w:rPr>
          <w:rFonts w:ascii="Arial" w:hAnsi="Arial" w:cs="Arial"/>
          <w:bCs/>
          <w:sz w:val="20"/>
          <w:szCs w:val="20"/>
        </w:rPr>
        <w:t>T</w:t>
      </w:r>
      <w:r w:rsidRPr="005D78D5">
        <w:rPr>
          <w:rFonts w:ascii="Arial" w:hAnsi="Arial" w:cs="Arial"/>
          <w:sz w:val="20"/>
          <w:szCs w:val="20"/>
        </w:rPr>
        <w:t>he right to use force is a corollary of the right to effect an arrest, as without such a right, a power of arrest would be ineffective (</w:t>
      </w:r>
      <w:r w:rsidRPr="005D78D5">
        <w:rPr>
          <w:rFonts w:ascii="Arial" w:hAnsi="Arial" w:cs="Arial"/>
          <w:i/>
          <w:sz w:val="20"/>
          <w:szCs w:val="20"/>
        </w:rPr>
        <w:t>R v Turner</w:t>
      </w:r>
      <w:r w:rsidRPr="005D78D5">
        <w:rPr>
          <w:rFonts w:ascii="Arial" w:hAnsi="Arial" w:cs="Arial"/>
          <w:sz w:val="20"/>
          <w:szCs w:val="20"/>
        </w:rPr>
        <w:t xml:space="preserve"> [1962] VR 30).</w:t>
      </w:r>
    </w:p>
    <w:p w14:paraId="448BE235" w14:textId="77777777" w:rsidR="00BA5BE3" w:rsidRPr="005D78D5" w:rsidRDefault="00BA5BE3" w:rsidP="00591749">
      <w:pPr>
        <w:widowControl w:val="0"/>
        <w:numPr>
          <w:ilvl w:val="0"/>
          <w:numId w:val="47"/>
        </w:numPr>
        <w:spacing w:before="120" w:after="120"/>
        <w:ind w:left="714" w:hanging="357"/>
        <w:jc w:val="both"/>
        <w:rPr>
          <w:rFonts w:ascii="Arial" w:hAnsi="Arial" w:cs="Arial"/>
          <w:bCs/>
          <w:sz w:val="20"/>
          <w:szCs w:val="20"/>
        </w:rPr>
      </w:pPr>
      <w:bookmarkStart w:id="121" w:name="_Hlk5004873"/>
      <w:r w:rsidRPr="005D78D5">
        <w:rPr>
          <w:rFonts w:ascii="Arial" w:hAnsi="Arial" w:cs="Arial"/>
          <w:bCs/>
          <w:sz w:val="20"/>
          <w:szCs w:val="20"/>
        </w:rPr>
        <w:t xml:space="preserve">The right to use force only authorises using the amount of force reasonably necessary to carry out the arrest. The force must not be disproportionate </w:t>
      </w:r>
      <w:bookmarkEnd w:id="121"/>
      <w:r w:rsidRPr="005D78D5">
        <w:rPr>
          <w:rFonts w:ascii="Arial" w:hAnsi="Arial" w:cs="Arial"/>
          <w:bCs/>
          <w:sz w:val="20"/>
          <w:szCs w:val="20"/>
        </w:rPr>
        <w:t>to the “evil to be prevented” (</w:t>
      </w:r>
      <w:r w:rsidRPr="005D78D5">
        <w:rPr>
          <w:rFonts w:ascii="Arial" w:hAnsi="Arial" w:cs="Arial"/>
          <w:bCs/>
          <w:i/>
          <w:sz w:val="20"/>
          <w:szCs w:val="20"/>
        </w:rPr>
        <w:t>R v Turner</w:t>
      </w:r>
      <w:r w:rsidRPr="005D78D5">
        <w:rPr>
          <w:rFonts w:ascii="Arial" w:hAnsi="Arial" w:cs="Arial"/>
          <w:bCs/>
          <w:sz w:val="20"/>
          <w:szCs w:val="20"/>
        </w:rPr>
        <w:t xml:space="preserve"> [1962] VR 30).</w:t>
      </w:r>
    </w:p>
    <w:p w14:paraId="24A98BAC" w14:textId="77777777" w:rsidR="00FA752D" w:rsidRDefault="00BA5BE3" w:rsidP="00591749">
      <w:pPr>
        <w:widowControl w:val="0"/>
        <w:numPr>
          <w:ilvl w:val="0"/>
          <w:numId w:val="47"/>
        </w:numPr>
        <w:spacing w:before="120" w:after="120"/>
        <w:ind w:left="714" w:hanging="357"/>
        <w:jc w:val="both"/>
        <w:rPr>
          <w:rFonts w:ascii="Arial" w:hAnsi="Arial" w:cs="Arial"/>
          <w:bCs/>
          <w:sz w:val="20"/>
          <w:szCs w:val="20"/>
        </w:rPr>
      </w:pPr>
      <w:r w:rsidRPr="005D78D5">
        <w:rPr>
          <w:rFonts w:ascii="Arial" w:hAnsi="Arial" w:cs="Arial"/>
          <w:bCs/>
          <w:sz w:val="20"/>
          <w:szCs w:val="20"/>
        </w:rPr>
        <w:lastRenderedPageBreak/>
        <w:t>The level of force that is reasonable is to be determined objectively.</w:t>
      </w:r>
    </w:p>
    <w:p w14:paraId="4571DB0D" w14:textId="12F00F50" w:rsidR="00BA5BE3" w:rsidRPr="005D78D5" w:rsidRDefault="00FA752D" w:rsidP="00591749">
      <w:pPr>
        <w:widowControl w:val="0"/>
        <w:numPr>
          <w:ilvl w:val="0"/>
          <w:numId w:val="47"/>
        </w:numPr>
        <w:spacing w:before="120" w:after="120"/>
        <w:ind w:left="714" w:hanging="357"/>
        <w:jc w:val="both"/>
        <w:rPr>
          <w:rFonts w:ascii="Arial" w:hAnsi="Arial" w:cs="Arial"/>
          <w:bCs/>
          <w:sz w:val="20"/>
          <w:szCs w:val="20"/>
        </w:rPr>
      </w:pPr>
      <w:r>
        <w:rPr>
          <w:rFonts w:ascii="Arial" w:hAnsi="Arial" w:cs="Arial"/>
          <w:bCs/>
          <w:sz w:val="20"/>
          <w:szCs w:val="20"/>
        </w:rPr>
        <w:t>Use of force beyond that permitted by s.462A will take the police outside the scope of their duty, which may be relevant where a person is charged with offences against a police officer ‘on duty’ (</w:t>
      </w:r>
      <w:r w:rsidRPr="00FA752D">
        <w:rPr>
          <w:rFonts w:ascii="Arial" w:hAnsi="Arial" w:cs="Arial"/>
          <w:bCs/>
          <w:i/>
          <w:iCs/>
          <w:sz w:val="20"/>
          <w:szCs w:val="20"/>
        </w:rPr>
        <w:t>James v The King</w:t>
      </w:r>
      <w:r>
        <w:rPr>
          <w:rFonts w:ascii="Arial" w:hAnsi="Arial" w:cs="Arial"/>
          <w:bCs/>
          <w:sz w:val="20"/>
          <w:szCs w:val="20"/>
        </w:rPr>
        <w:t xml:space="preserve"> [2025] VSCA 140, [160]).</w:t>
      </w:r>
    </w:p>
    <w:p w14:paraId="3BED6CB9" w14:textId="77777777" w:rsidR="00BA5BE3" w:rsidRPr="00ED119B" w:rsidRDefault="00BA5BE3" w:rsidP="00ED119B">
      <w:pPr>
        <w:widowControl w:val="0"/>
        <w:spacing w:before="120" w:after="120"/>
        <w:ind w:left="284"/>
        <w:rPr>
          <w:rFonts w:ascii="Arial" w:hAnsi="Arial" w:cs="Arial"/>
          <w:b/>
          <w:sz w:val="20"/>
          <w:szCs w:val="20"/>
          <w:u w:val="single"/>
        </w:rPr>
      </w:pPr>
      <w:r w:rsidRPr="00ED119B">
        <w:rPr>
          <w:rFonts w:ascii="Arial" w:hAnsi="Arial" w:cs="Arial"/>
          <w:b/>
          <w:sz w:val="20"/>
          <w:szCs w:val="20"/>
          <w:u w:val="single"/>
        </w:rPr>
        <w:t>Arrest with Warrant</w:t>
      </w:r>
    </w:p>
    <w:p w14:paraId="1E70B75F" w14:textId="77777777" w:rsidR="00BA5BE3" w:rsidRPr="005D78D5" w:rsidRDefault="00BA5BE3" w:rsidP="00591749">
      <w:pPr>
        <w:widowControl w:val="0"/>
        <w:numPr>
          <w:ilvl w:val="0"/>
          <w:numId w:val="47"/>
        </w:numPr>
        <w:spacing w:before="120" w:after="120"/>
        <w:ind w:left="714" w:hanging="357"/>
        <w:jc w:val="both"/>
        <w:rPr>
          <w:rFonts w:ascii="Arial" w:hAnsi="Arial" w:cs="Arial"/>
          <w:bCs/>
          <w:sz w:val="20"/>
          <w:szCs w:val="20"/>
        </w:rPr>
      </w:pPr>
      <w:r w:rsidRPr="005D78D5">
        <w:rPr>
          <w:rFonts w:ascii="Arial" w:hAnsi="Arial" w:cs="Arial"/>
          <w:bCs/>
          <w:sz w:val="20"/>
          <w:szCs w:val="20"/>
        </w:rPr>
        <w:t xml:space="preserve">In addition to the various bases for arrest without warrant, Victorian law provides a range of bases for a court to issue a warrant to arrest (see, e.g., </w:t>
      </w:r>
      <w:r w:rsidRPr="005D78D5">
        <w:rPr>
          <w:rFonts w:ascii="Arial" w:hAnsi="Arial" w:cs="Arial"/>
          <w:bCs/>
          <w:i/>
          <w:sz w:val="20"/>
          <w:szCs w:val="20"/>
        </w:rPr>
        <w:t xml:space="preserve">Criminal Procedure Act 2009 </w:t>
      </w:r>
      <w:r w:rsidRPr="005D78D5">
        <w:rPr>
          <w:rFonts w:ascii="Arial" w:hAnsi="Arial" w:cs="Arial"/>
          <w:bCs/>
          <w:sz w:val="20"/>
          <w:szCs w:val="20"/>
        </w:rPr>
        <w:t>s</w:t>
      </w:r>
      <w:r w:rsidR="00ED119B">
        <w:rPr>
          <w:rFonts w:ascii="Arial" w:hAnsi="Arial" w:cs="Arial"/>
          <w:bCs/>
          <w:sz w:val="20"/>
          <w:szCs w:val="20"/>
        </w:rPr>
        <w:t>.</w:t>
      </w:r>
      <w:r w:rsidRPr="005D78D5">
        <w:rPr>
          <w:rFonts w:ascii="Arial" w:hAnsi="Arial" w:cs="Arial"/>
          <w:bCs/>
          <w:sz w:val="20"/>
          <w:szCs w:val="20"/>
        </w:rPr>
        <w:t xml:space="preserve">12; </w:t>
      </w:r>
      <w:r w:rsidRPr="005D78D5">
        <w:rPr>
          <w:rFonts w:ascii="Arial" w:hAnsi="Arial" w:cs="Arial"/>
          <w:bCs/>
          <w:i/>
          <w:sz w:val="20"/>
          <w:szCs w:val="20"/>
        </w:rPr>
        <w:t xml:space="preserve">Evidence Act 2008 </w:t>
      </w:r>
      <w:r w:rsidRPr="005D78D5">
        <w:rPr>
          <w:rFonts w:ascii="Arial" w:hAnsi="Arial" w:cs="Arial"/>
          <w:bCs/>
          <w:sz w:val="20"/>
          <w:szCs w:val="20"/>
        </w:rPr>
        <w:t>s</w:t>
      </w:r>
      <w:r w:rsidR="00ED119B">
        <w:rPr>
          <w:rFonts w:ascii="Arial" w:hAnsi="Arial" w:cs="Arial"/>
          <w:bCs/>
          <w:sz w:val="20"/>
          <w:szCs w:val="20"/>
        </w:rPr>
        <w:t>.</w:t>
      </w:r>
      <w:r w:rsidRPr="005D78D5">
        <w:rPr>
          <w:rFonts w:ascii="Arial" w:hAnsi="Arial" w:cs="Arial"/>
          <w:bCs/>
          <w:sz w:val="20"/>
          <w:szCs w:val="20"/>
        </w:rPr>
        <w:t xml:space="preserve">194). </w:t>
      </w:r>
    </w:p>
    <w:p w14:paraId="653779E5" w14:textId="77777777" w:rsidR="00BA5BE3" w:rsidRPr="005D78D5" w:rsidRDefault="00BA5BE3" w:rsidP="00591749">
      <w:pPr>
        <w:widowControl w:val="0"/>
        <w:numPr>
          <w:ilvl w:val="0"/>
          <w:numId w:val="47"/>
        </w:numPr>
        <w:spacing w:before="120" w:after="120"/>
        <w:ind w:left="714" w:hanging="357"/>
        <w:jc w:val="both"/>
        <w:rPr>
          <w:rFonts w:ascii="Arial" w:hAnsi="Arial" w:cs="Arial"/>
          <w:bCs/>
          <w:sz w:val="20"/>
          <w:szCs w:val="20"/>
        </w:rPr>
      </w:pPr>
      <w:r w:rsidRPr="005D78D5">
        <w:rPr>
          <w:rFonts w:ascii="Arial" w:hAnsi="Arial" w:cs="Arial"/>
          <w:bCs/>
          <w:sz w:val="20"/>
          <w:szCs w:val="20"/>
        </w:rPr>
        <w:t>Where there is an arrest with warrant, the person must comply with any conditions on the warrant, along with the common law elements of lawful arrest described below.</w:t>
      </w:r>
    </w:p>
    <w:p w14:paraId="1C4C43D9" w14:textId="77777777" w:rsidR="00BA5BE3" w:rsidRPr="00ED119B" w:rsidRDefault="00BA5BE3" w:rsidP="00ED119B">
      <w:pPr>
        <w:widowControl w:val="0"/>
        <w:spacing w:before="120" w:after="120"/>
        <w:ind w:left="284"/>
        <w:jc w:val="both"/>
        <w:rPr>
          <w:rFonts w:ascii="Arial" w:hAnsi="Arial" w:cs="Arial"/>
          <w:b/>
          <w:sz w:val="20"/>
          <w:szCs w:val="20"/>
          <w:u w:val="single"/>
        </w:rPr>
      </w:pPr>
      <w:r w:rsidRPr="00ED119B">
        <w:rPr>
          <w:rFonts w:ascii="Arial" w:hAnsi="Arial" w:cs="Arial"/>
          <w:b/>
          <w:sz w:val="20"/>
          <w:szCs w:val="20"/>
          <w:u w:val="single"/>
        </w:rPr>
        <w:t>Common Law Elements of Lawful Arrest</w:t>
      </w:r>
    </w:p>
    <w:p w14:paraId="34D3A6C3" w14:textId="77777777" w:rsidR="00BA5BE3" w:rsidRPr="005D78D5" w:rsidRDefault="00BA5BE3" w:rsidP="00591749">
      <w:pPr>
        <w:widowControl w:val="0"/>
        <w:numPr>
          <w:ilvl w:val="0"/>
          <w:numId w:val="47"/>
        </w:numPr>
        <w:spacing w:before="120" w:after="120"/>
        <w:ind w:left="714" w:hanging="357"/>
        <w:jc w:val="both"/>
        <w:rPr>
          <w:rFonts w:ascii="Arial" w:hAnsi="Arial" w:cs="Arial"/>
          <w:bCs/>
          <w:sz w:val="20"/>
          <w:szCs w:val="20"/>
        </w:rPr>
      </w:pPr>
      <w:r w:rsidRPr="005D78D5">
        <w:rPr>
          <w:rFonts w:ascii="Arial" w:hAnsi="Arial" w:cs="Arial"/>
          <w:sz w:val="20"/>
          <w:szCs w:val="20"/>
        </w:rPr>
        <w:t xml:space="preserve">While the powers of arrest are largely governed by statute, the common law still dictates the process of a lawful arrest </w:t>
      </w:r>
      <w:bookmarkStart w:id="122" w:name="_Hlk536624263"/>
      <w:r w:rsidRPr="005D78D5">
        <w:rPr>
          <w:rFonts w:ascii="Arial" w:hAnsi="Arial" w:cs="Arial"/>
          <w:sz w:val="20"/>
          <w:szCs w:val="20"/>
        </w:rPr>
        <w:t>(</w:t>
      </w:r>
      <w:bookmarkStart w:id="123" w:name="_Hlk5006208"/>
      <w:r w:rsidRPr="005D78D5">
        <w:rPr>
          <w:rFonts w:ascii="Arial" w:hAnsi="Arial" w:cs="Arial"/>
          <w:i/>
          <w:sz w:val="20"/>
          <w:szCs w:val="20"/>
        </w:rPr>
        <w:t>Slaveski v State of Victoria &amp; Ors</w:t>
      </w:r>
      <w:r w:rsidRPr="005D78D5">
        <w:rPr>
          <w:rFonts w:ascii="Arial" w:hAnsi="Arial" w:cs="Arial"/>
          <w:sz w:val="20"/>
          <w:szCs w:val="20"/>
        </w:rPr>
        <w:t xml:space="preserve"> [2010] VSC 441). </w:t>
      </w:r>
      <w:bookmarkEnd w:id="122"/>
    </w:p>
    <w:bookmarkEnd w:id="123"/>
    <w:p w14:paraId="36B152E5" w14:textId="77777777" w:rsidR="00BA5BE3" w:rsidRPr="005D78D5" w:rsidRDefault="00BA5BE3" w:rsidP="00591749">
      <w:pPr>
        <w:widowControl w:val="0"/>
        <w:numPr>
          <w:ilvl w:val="0"/>
          <w:numId w:val="47"/>
        </w:numPr>
        <w:spacing w:before="120"/>
        <w:ind w:left="714" w:hanging="357"/>
        <w:jc w:val="both"/>
        <w:rPr>
          <w:rFonts w:ascii="Arial" w:hAnsi="Arial" w:cs="Arial"/>
          <w:bCs/>
          <w:sz w:val="20"/>
          <w:szCs w:val="20"/>
        </w:rPr>
      </w:pPr>
      <w:r w:rsidRPr="005D78D5">
        <w:rPr>
          <w:rFonts w:ascii="Arial" w:hAnsi="Arial" w:cs="Arial"/>
          <w:sz w:val="20"/>
          <w:szCs w:val="20"/>
        </w:rPr>
        <w:t>These procedural requirements are:</w:t>
      </w:r>
      <w:r w:rsidRPr="005D78D5" w:rsidDel="00B06042">
        <w:rPr>
          <w:rFonts w:ascii="Arial" w:hAnsi="Arial" w:cs="Arial"/>
          <w:sz w:val="20"/>
          <w:szCs w:val="20"/>
        </w:rPr>
        <w:t xml:space="preserve"> </w:t>
      </w:r>
    </w:p>
    <w:p w14:paraId="4BC5DCAE" w14:textId="77777777" w:rsidR="00ED119B" w:rsidRPr="007D2412" w:rsidRDefault="00ED119B" w:rsidP="00591749">
      <w:pPr>
        <w:widowControl w:val="0"/>
        <w:numPr>
          <w:ilvl w:val="1"/>
          <w:numId w:val="47"/>
        </w:numPr>
        <w:spacing w:before="60" w:after="60"/>
        <w:ind w:left="1077" w:hanging="357"/>
        <w:jc w:val="both"/>
        <w:rPr>
          <w:rFonts w:ascii="Arial" w:hAnsi="Arial" w:cs="Arial"/>
          <w:bCs/>
          <w:sz w:val="20"/>
          <w:szCs w:val="20"/>
        </w:rPr>
      </w:pPr>
      <w:r>
        <w:rPr>
          <w:rFonts w:ascii="Arial" w:hAnsi="Arial" w:cs="Arial"/>
          <w:color w:val="000000"/>
          <w:sz w:val="20"/>
          <w:szCs w:val="20"/>
        </w:rPr>
        <w:t>T</w:t>
      </w:r>
      <w:r w:rsidR="00BA5BE3" w:rsidRPr="005D78D5">
        <w:rPr>
          <w:rFonts w:ascii="Arial" w:hAnsi="Arial" w:cs="Arial"/>
          <w:color w:val="000000"/>
          <w:sz w:val="20"/>
          <w:szCs w:val="20"/>
        </w:rPr>
        <w:t>he other person was deprived of his or her liberty;</w:t>
      </w:r>
    </w:p>
    <w:p w14:paraId="00AFCF9D" w14:textId="77777777" w:rsidR="00ED119B" w:rsidRPr="007D2412" w:rsidRDefault="00BA5BE3" w:rsidP="00591749">
      <w:pPr>
        <w:widowControl w:val="0"/>
        <w:numPr>
          <w:ilvl w:val="1"/>
          <w:numId w:val="47"/>
        </w:numPr>
        <w:spacing w:before="60" w:after="60"/>
        <w:ind w:left="1077" w:hanging="357"/>
        <w:jc w:val="both"/>
        <w:rPr>
          <w:rFonts w:ascii="Arial" w:hAnsi="Arial" w:cs="Arial"/>
          <w:bCs/>
          <w:sz w:val="20"/>
          <w:szCs w:val="20"/>
        </w:rPr>
      </w:pPr>
      <w:r w:rsidRPr="005D78D5">
        <w:rPr>
          <w:rFonts w:ascii="Arial" w:hAnsi="Arial" w:cs="Arial"/>
          <w:color w:val="000000"/>
          <w:sz w:val="20"/>
          <w:szCs w:val="20"/>
          <w:lang w:val="en"/>
        </w:rPr>
        <w:t xml:space="preserve">The </w:t>
      </w:r>
      <w:r w:rsidR="00ED119B">
        <w:rPr>
          <w:rFonts w:ascii="Arial" w:hAnsi="Arial" w:cs="Arial"/>
          <w:color w:val="000000"/>
          <w:sz w:val="20"/>
          <w:szCs w:val="20"/>
          <w:lang w:val="en"/>
        </w:rPr>
        <w:t>arrester</w:t>
      </w:r>
      <w:r w:rsidRPr="005D78D5">
        <w:rPr>
          <w:rFonts w:ascii="Arial" w:hAnsi="Arial" w:cs="Arial"/>
          <w:color w:val="000000"/>
          <w:sz w:val="20"/>
          <w:szCs w:val="20"/>
          <w:lang w:val="en"/>
        </w:rPr>
        <w:t xml:space="preserve"> informed the other person that he or she was under arrest; and</w:t>
      </w:r>
    </w:p>
    <w:p w14:paraId="73BC69B0" w14:textId="77777777" w:rsidR="00ED119B" w:rsidRPr="007D2412" w:rsidRDefault="00BA5BE3" w:rsidP="00591749">
      <w:pPr>
        <w:widowControl w:val="0"/>
        <w:numPr>
          <w:ilvl w:val="1"/>
          <w:numId w:val="47"/>
        </w:numPr>
        <w:spacing w:before="60" w:after="60"/>
        <w:ind w:left="1077" w:hanging="357"/>
        <w:jc w:val="both"/>
        <w:rPr>
          <w:rFonts w:ascii="Arial" w:hAnsi="Arial" w:cs="Arial"/>
          <w:bCs/>
          <w:sz w:val="20"/>
          <w:szCs w:val="20"/>
        </w:rPr>
      </w:pPr>
      <w:r w:rsidRPr="005D78D5">
        <w:rPr>
          <w:rFonts w:ascii="Arial" w:hAnsi="Arial" w:cs="Arial"/>
          <w:color w:val="000000"/>
          <w:sz w:val="20"/>
          <w:szCs w:val="20"/>
        </w:rPr>
        <w:t xml:space="preserve">The </w:t>
      </w:r>
      <w:r w:rsidR="00ED119B">
        <w:rPr>
          <w:rFonts w:ascii="Arial" w:hAnsi="Arial" w:cs="Arial"/>
          <w:color w:val="000000"/>
          <w:sz w:val="20"/>
          <w:szCs w:val="20"/>
        </w:rPr>
        <w:t>arrester</w:t>
      </w:r>
      <w:r w:rsidRPr="005D78D5">
        <w:rPr>
          <w:rFonts w:ascii="Arial" w:hAnsi="Arial" w:cs="Arial"/>
          <w:color w:val="000000"/>
          <w:sz w:val="20"/>
          <w:szCs w:val="20"/>
        </w:rPr>
        <w:t xml:space="preserve"> informed the other person of the reason for the arrest.</w:t>
      </w:r>
    </w:p>
    <w:p w14:paraId="1E2F72DC" w14:textId="77777777" w:rsidR="00BA5BE3" w:rsidRPr="00ED119B" w:rsidRDefault="00BA5BE3" w:rsidP="00ED119B">
      <w:pPr>
        <w:widowControl w:val="0"/>
        <w:spacing w:before="120" w:after="120"/>
        <w:ind w:left="284"/>
        <w:jc w:val="both"/>
        <w:rPr>
          <w:rFonts w:ascii="Arial" w:hAnsi="Arial" w:cs="Arial"/>
          <w:b/>
          <w:sz w:val="20"/>
          <w:szCs w:val="20"/>
          <w:u w:val="single"/>
        </w:rPr>
      </w:pPr>
      <w:r w:rsidRPr="00ED119B">
        <w:rPr>
          <w:rFonts w:ascii="Arial" w:hAnsi="Arial" w:cs="Arial"/>
          <w:b/>
          <w:sz w:val="20"/>
          <w:szCs w:val="20"/>
          <w:u w:val="single"/>
        </w:rPr>
        <w:t>Deprivation of Liberty</w:t>
      </w:r>
    </w:p>
    <w:p w14:paraId="1D5632EC" w14:textId="1E883DC4" w:rsidR="00BA5BE3" w:rsidRPr="005D78D5" w:rsidRDefault="00BA5BE3" w:rsidP="00591749">
      <w:pPr>
        <w:widowControl w:val="0"/>
        <w:numPr>
          <w:ilvl w:val="0"/>
          <w:numId w:val="47"/>
        </w:numPr>
        <w:spacing w:before="120" w:after="120"/>
        <w:ind w:left="714" w:hanging="357"/>
        <w:jc w:val="both"/>
        <w:rPr>
          <w:rFonts w:ascii="Arial" w:hAnsi="Arial" w:cs="Arial"/>
          <w:bCs/>
          <w:sz w:val="20"/>
          <w:szCs w:val="20"/>
        </w:rPr>
      </w:pPr>
      <w:r w:rsidRPr="005D78D5">
        <w:rPr>
          <w:rFonts w:ascii="Arial" w:hAnsi="Arial" w:cs="Arial"/>
          <w:sz w:val="20"/>
          <w:szCs w:val="20"/>
        </w:rPr>
        <w:t>There is no requirement that the other person be seized or subjected to physical force. There may be an arrest by mere words (</w:t>
      </w:r>
      <w:r w:rsidRPr="005D78D5">
        <w:rPr>
          <w:rFonts w:ascii="Arial" w:hAnsi="Arial" w:cs="Arial"/>
          <w:i/>
          <w:sz w:val="20"/>
          <w:szCs w:val="20"/>
        </w:rPr>
        <w:t xml:space="preserve">Alderson v Booth </w:t>
      </w:r>
      <w:r w:rsidRPr="005D78D5">
        <w:rPr>
          <w:rFonts w:ascii="Arial" w:hAnsi="Arial" w:cs="Arial"/>
          <w:sz w:val="20"/>
          <w:szCs w:val="20"/>
        </w:rPr>
        <w:t>[1969] 2 QB 216).</w:t>
      </w:r>
    </w:p>
    <w:p w14:paraId="0EEC48C7" w14:textId="77777777" w:rsidR="00BA5BE3" w:rsidRPr="005D78D5" w:rsidRDefault="00BA5BE3" w:rsidP="00591749">
      <w:pPr>
        <w:widowControl w:val="0"/>
        <w:numPr>
          <w:ilvl w:val="0"/>
          <w:numId w:val="47"/>
        </w:numPr>
        <w:spacing w:before="120" w:after="120"/>
        <w:ind w:left="714" w:hanging="357"/>
        <w:jc w:val="both"/>
        <w:rPr>
          <w:rFonts w:ascii="Arial" w:hAnsi="Arial" w:cs="Arial"/>
          <w:bCs/>
          <w:sz w:val="20"/>
          <w:szCs w:val="20"/>
          <w:lang w:val="en"/>
        </w:rPr>
      </w:pPr>
      <w:bookmarkStart w:id="124" w:name="_Hlk5006482"/>
      <w:r w:rsidRPr="005D78D5">
        <w:rPr>
          <w:rFonts w:ascii="Arial" w:hAnsi="Arial" w:cs="Arial"/>
          <w:bCs/>
          <w:sz w:val="20"/>
          <w:szCs w:val="20"/>
          <w:lang w:val="en"/>
        </w:rPr>
        <w:t>There will be a sufficient deprivation of liberty if the other person submits to the arrester’s control after the arrester has indicated his or her intention to effect the arrest (</w:t>
      </w:r>
      <w:r w:rsidRPr="005D78D5">
        <w:rPr>
          <w:rFonts w:ascii="Arial" w:hAnsi="Arial" w:cs="Arial"/>
          <w:bCs/>
          <w:i/>
          <w:sz w:val="20"/>
          <w:szCs w:val="20"/>
          <w:lang w:val="en"/>
        </w:rPr>
        <w:t>Slaveski v State of Victoria &amp; Ors</w:t>
      </w:r>
      <w:r w:rsidRPr="005D78D5">
        <w:rPr>
          <w:rFonts w:ascii="Arial" w:hAnsi="Arial" w:cs="Arial"/>
          <w:bCs/>
          <w:sz w:val="20"/>
          <w:szCs w:val="20"/>
          <w:lang w:val="en"/>
        </w:rPr>
        <w:t xml:space="preserve"> [2010] VSC 441). </w:t>
      </w:r>
    </w:p>
    <w:p w14:paraId="19B0A0E2" w14:textId="77777777" w:rsidR="00BA5BE3" w:rsidRPr="005D78D5" w:rsidRDefault="00BA5BE3" w:rsidP="00591749">
      <w:pPr>
        <w:numPr>
          <w:ilvl w:val="0"/>
          <w:numId w:val="47"/>
        </w:numPr>
        <w:spacing w:before="120" w:after="120"/>
        <w:ind w:left="714" w:hanging="357"/>
        <w:jc w:val="both"/>
        <w:rPr>
          <w:rFonts w:ascii="Arial" w:hAnsi="Arial" w:cs="Arial"/>
          <w:bCs/>
          <w:sz w:val="20"/>
          <w:szCs w:val="20"/>
        </w:rPr>
      </w:pPr>
      <w:r w:rsidRPr="005D78D5">
        <w:rPr>
          <w:rFonts w:ascii="Arial" w:hAnsi="Arial" w:cs="Arial"/>
          <w:sz w:val="20"/>
          <w:szCs w:val="20"/>
        </w:rPr>
        <w:t>If the other person does not comply, the deprivation of liberty must be formalised by the accused touching the other person (</w:t>
      </w:r>
      <w:r w:rsidRPr="005D78D5">
        <w:rPr>
          <w:rFonts w:ascii="Arial" w:hAnsi="Arial" w:cs="Arial"/>
          <w:i/>
          <w:iCs/>
          <w:sz w:val="20"/>
          <w:szCs w:val="20"/>
        </w:rPr>
        <w:t xml:space="preserve">Sandon v Jervis </w:t>
      </w:r>
      <w:r w:rsidRPr="005D78D5">
        <w:rPr>
          <w:rFonts w:ascii="Arial" w:hAnsi="Arial" w:cs="Arial"/>
          <w:sz w:val="20"/>
          <w:szCs w:val="20"/>
        </w:rPr>
        <w:t>(1859) 120 ER 760).</w:t>
      </w:r>
    </w:p>
    <w:bookmarkEnd w:id="124"/>
    <w:p w14:paraId="2818C67C" w14:textId="77777777" w:rsidR="00BA5BE3" w:rsidRPr="00ED119B" w:rsidRDefault="00BA5BE3" w:rsidP="00ED119B">
      <w:pPr>
        <w:pStyle w:val="Subheading1Char"/>
        <w:keepNext w:val="0"/>
        <w:keepLines w:val="0"/>
        <w:widowControl w:val="0"/>
        <w:spacing w:before="120" w:after="120"/>
        <w:ind w:left="284"/>
        <w:jc w:val="both"/>
        <w:rPr>
          <w:sz w:val="20"/>
          <w:szCs w:val="20"/>
          <w:u w:val="single"/>
        </w:rPr>
      </w:pPr>
      <w:r w:rsidRPr="00ED119B">
        <w:rPr>
          <w:sz w:val="20"/>
          <w:szCs w:val="20"/>
          <w:u w:val="single"/>
        </w:rPr>
        <w:t>Communication of arrest</w:t>
      </w:r>
    </w:p>
    <w:p w14:paraId="5983485B" w14:textId="77777777" w:rsidR="00BA5BE3" w:rsidRPr="005D78D5" w:rsidRDefault="00BA5BE3" w:rsidP="00591749">
      <w:pPr>
        <w:pStyle w:val="Subheading1Char"/>
        <w:keepNext w:val="0"/>
        <w:keepLines w:val="0"/>
        <w:widowControl w:val="0"/>
        <w:numPr>
          <w:ilvl w:val="0"/>
          <w:numId w:val="47"/>
        </w:numPr>
        <w:spacing w:before="120" w:after="120"/>
        <w:ind w:left="714" w:hanging="357"/>
        <w:jc w:val="both"/>
        <w:rPr>
          <w:b w:val="0"/>
          <w:sz w:val="20"/>
          <w:szCs w:val="20"/>
        </w:rPr>
      </w:pPr>
      <w:bookmarkStart w:id="125" w:name="_Hlk5007692"/>
      <w:r w:rsidRPr="005D78D5">
        <w:rPr>
          <w:b w:val="0"/>
          <w:sz w:val="20"/>
          <w:szCs w:val="20"/>
        </w:rPr>
        <w:t>A person (including a police officer) must do everything that a reasonable person in the circumstances would do to inform the person being arrested that they are under arrest (</w:t>
      </w:r>
      <w:r w:rsidRPr="005D78D5">
        <w:rPr>
          <w:rFonts w:eastAsia="Calibri"/>
          <w:b w:val="0"/>
          <w:bCs w:val="0"/>
          <w:i/>
          <w:iCs/>
          <w:sz w:val="20"/>
          <w:szCs w:val="20"/>
          <w:lang w:eastAsia="en-AU"/>
        </w:rPr>
        <w:t>R v Stafford</w:t>
      </w:r>
      <w:r w:rsidRPr="005D78D5">
        <w:rPr>
          <w:rFonts w:eastAsia="Calibri"/>
          <w:b w:val="0"/>
          <w:bCs w:val="0"/>
          <w:sz w:val="20"/>
          <w:szCs w:val="20"/>
          <w:lang w:eastAsia="en-AU"/>
        </w:rPr>
        <w:t xml:space="preserve"> (1976) 13 SASR 392; </w:t>
      </w:r>
      <w:r w:rsidRPr="005D78D5">
        <w:rPr>
          <w:rFonts w:eastAsia="Calibri"/>
          <w:b w:val="0"/>
          <w:bCs w:val="0"/>
          <w:i/>
          <w:iCs/>
          <w:sz w:val="20"/>
          <w:szCs w:val="20"/>
          <w:lang w:eastAsia="en-AU"/>
        </w:rPr>
        <w:t>Hull v Nuske</w:t>
      </w:r>
      <w:r w:rsidRPr="005D78D5">
        <w:rPr>
          <w:rFonts w:eastAsia="Calibri"/>
          <w:b w:val="0"/>
          <w:bCs w:val="0"/>
          <w:sz w:val="20"/>
          <w:szCs w:val="20"/>
          <w:lang w:eastAsia="en-AU"/>
        </w:rPr>
        <w:t xml:space="preserve"> (1974) 8 SASR 587).</w:t>
      </w:r>
    </w:p>
    <w:p w14:paraId="1C7BA593" w14:textId="77777777" w:rsidR="00BA5BE3" w:rsidRPr="005D78D5" w:rsidRDefault="00BA5BE3" w:rsidP="00591749">
      <w:pPr>
        <w:pStyle w:val="Subheading1Char"/>
        <w:keepNext w:val="0"/>
        <w:keepLines w:val="0"/>
        <w:widowControl w:val="0"/>
        <w:numPr>
          <w:ilvl w:val="0"/>
          <w:numId w:val="47"/>
        </w:numPr>
        <w:spacing w:before="120" w:after="120"/>
        <w:ind w:left="714" w:hanging="357"/>
        <w:jc w:val="both"/>
        <w:rPr>
          <w:b w:val="0"/>
          <w:sz w:val="20"/>
          <w:szCs w:val="20"/>
        </w:rPr>
      </w:pPr>
      <w:r w:rsidRPr="005D78D5">
        <w:rPr>
          <w:rFonts w:eastAsia="Calibri"/>
          <w:b w:val="0"/>
          <w:bCs w:val="0"/>
          <w:sz w:val="20"/>
          <w:szCs w:val="20"/>
          <w:lang w:eastAsia="en-AU"/>
        </w:rPr>
        <w:t xml:space="preserve">The person being arrested must comprehend that they are acting under compulsion and not voluntarily </w:t>
      </w:r>
      <w:r w:rsidRPr="005D78D5">
        <w:rPr>
          <w:b w:val="0"/>
          <w:sz w:val="20"/>
          <w:szCs w:val="20"/>
        </w:rPr>
        <w:t>(</w:t>
      </w:r>
      <w:r w:rsidRPr="005D78D5">
        <w:rPr>
          <w:b w:val="0"/>
          <w:i/>
          <w:sz w:val="20"/>
          <w:szCs w:val="20"/>
        </w:rPr>
        <w:t xml:space="preserve">Alderson v Booth </w:t>
      </w:r>
      <w:r w:rsidRPr="005D78D5">
        <w:rPr>
          <w:b w:val="0"/>
          <w:sz w:val="20"/>
          <w:szCs w:val="20"/>
        </w:rPr>
        <w:t xml:space="preserve">[1969] 2 QB 216; </w:t>
      </w:r>
      <w:r w:rsidRPr="005D78D5">
        <w:rPr>
          <w:b w:val="0"/>
          <w:i/>
          <w:sz w:val="20"/>
          <w:szCs w:val="20"/>
        </w:rPr>
        <w:t xml:space="preserve">R v O ’Donoghue </w:t>
      </w:r>
      <w:r w:rsidRPr="005D78D5">
        <w:rPr>
          <w:b w:val="0"/>
          <w:sz w:val="20"/>
          <w:szCs w:val="20"/>
        </w:rPr>
        <w:t xml:space="preserve">(1988) 34 A Crim R 397). </w:t>
      </w:r>
    </w:p>
    <w:p w14:paraId="4E8BBC10" w14:textId="77777777" w:rsidR="00BA5BE3" w:rsidRPr="005D78D5" w:rsidRDefault="00BA5BE3" w:rsidP="00591749">
      <w:pPr>
        <w:pStyle w:val="Subheading1Char"/>
        <w:keepNext w:val="0"/>
        <w:keepLines w:val="0"/>
        <w:widowControl w:val="0"/>
        <w:numPr>
          <w:ilvl w:val="0"/>
          <w:numId w:val="47"/>
        </w:numPr>
        <w:spacing w:before="120" w:after="120"/>
        <w:ind w:left="714" w:hanging="357"/>
        <w:jc w:val="both"/>
        <w:rPr>
          <w:b w:val="0"/>
          <w:sz w:val="20"/>
          <w:szCs w:val="20"/>
        </w:rPr>
      </w:pPr>
      <w:r w:rsidRPr="005D78D5">
        <w:rPr>
          <w:b w:val="0"/>
          <w:sz w:val="20"/>
          <w:szCs w:val="20"/>
        </w:rPr>
        <w:t>The question of whether it was clear to the person being arrested that they were under compulsion is a question of fact dependant on the circumstances of the case (</w:t>
      </w:r>
      <w:r w:rsidRPr="005D78D5">
        <w:rPr>
          <w:b w:val="0"/>
          <w:i/>
          <w:sz w:val="20"/>
          <w:szCs w:val="20"/>
        </w:rPr>
        <w:t xml:space="preserve">R v Inwood </w:t>
      </w:r>
      <w:r w:rsidRPr="005D78D5">
        <w:rPr>
          <w:rStyle w:val="citation"/>
          <w:b w:val="0"/>
          <w:sz w:val="20"/>
          <w:szCs w:val="20"/>
          <w:lang w:val="en"/>
        </w:rPr>
        <w:t xml:space="preserve">[1973] 2 All ER 645). </w:t>
      </w:r>
    </w:p>
    <w:bookmarkEnd w:id="125"/>
    <w:p w14:paraId="61BA8C79" w14:textId="77777777" w:rsidR="00BA5BE3" w:rsidRPr="00ED119B" w:rsidRDefault="00BA5BE3" w:rsidP="00ED119B">
      <w:pPr>
        <w:pStyle w:val="Subheading1Char"/>
        <w:keepNext w:val="0"/>
        <w:keepLines w:val="0"/>
        <w:widowControl w:val="0"/>
        <w:spacing w:before="120" w:after="120"/>
        <w:ind w:left="284"/>
        <w:rPr>
          <w:sz w:val="20"/>
          <w:szCs w:val="20"/>
          <w:u w:val="single"/>
        </w:rPr>
      </w:pPr>
      <w:r w:rsidRPr="00ED119B">
        <w:rPr>
          <w:sz w:val="20"/>
          <w:szCs w:val="20"/>
          <w:u w:val="single"/>
        </w:rPr>
        <w:t>Communication of reason for arrest</w:t>
      </w:r>
    </w:p>
    <w:p w14:paraId="4CABF5EB" w14:textId="6BB6498A" w:rsidR="00BA5BE3" w:rsidRPr="005D78D5" w:rsidRDefault="00BA5BE3" w:rsidP="00591749">
      <w:pPr>
        <w:pStyle w:val="Subheading1Char"/>
        <w:keepNext w:val="0"/>
        <w:keepLines w:val="0"/>
        <w:widowControl w:val="0"/>
        <w:numPr>
          <w:ilvl w:val="0"/>
          <w:numId w:val="47"/>
        </w:numPr>
        <w:spacing w:before="120" w:after="120"/>
        <w:ind w:left="714" w:hanging="357"/>
        <w:jc w:val="both"/>
        <w:rPr>
          <w:i/>
          <w:sz w:val="20"/>
          <w:szCs w:val="20"/>
        </w:rPr>
      </w:pPr>
      <w:r w:rsidRPr="005D78D5">
        <w:rPr>
          <w:b w:val="0"/>
          <w:sz w:val="20"/>
          <w:szCs w:val="20"/>
        </w:rPr>
        <w:t>A person (including a police officer) must inform the person being arrested, at the time of the arrest, of the offence or facts constituting an offence, for which they are being arrested (</w:t>
      </w:r>
      <w:bookmarkStart w:id="126" w:name="_Hlk536690416"/>
      <w:r w:rsidRPr="005D78D5">
        <w:rPr>
          <w:b w:val="0"/>
          <w:i/>
          <w:sz w:val="20"/>
          <w:szCs w:val="20"/>
        </w:rPr>
        <w:t xml:space="preserve">Christie v Leachinsky </w:t>
      </w:r>
      <w:r w:rsidRPr="005D78D5">
        <w:rPr>
          <w:b w:val="0"/>
          <w:sz w:val="20"/>
          <w:szCs w:val="20"/>
        </w:rPr>
        <w:t>[1947] AC 573</w:t>
      </w:r>
      <w:bookmarkEnd w:id="126"/>
      <w:r w:rsidRPr="005D78D5">
        <w:rPr>
          <w:b w:val="0"/>
          <w:sz w:val="20"/>
          <w:szCs w:val="20"/>
        </w:rPr>
        <w:t xml:space="preserve">; </w:t>
      </w:r>
      <w:r w:rsidRPr="005D78D5">
        <w:rPr>
          <w:b w:val="0"/>
          <w:i/>
          <w:sz w:val="20"/>
          <w:szCs w:val="20"/>
        </w:rPr>
        <w:t xml:space="preserve">Adams v Kennedy </w:t>
      </w:r>
      <w:r w:rsidRPr="005D78D5">
        <w:rPr>
          <w:b w:val="0"/>
          <w:sz w:val="20"/>
          <w:szCs w:val="20"/>
        </w:rPr>
        <w:t xml:space="preserve">(2000) 49 NSWLR 78; </w:t>
      </w:r>
      <w:r w:rsidRPr="005D78D5">
        <w:rPr>
          <w:b w:val="0"/>
          <w:i/>
          <w:sz w:val="20"/>
          <w:szCs w:val="20"/>
        </w:rPr>
        <w:t xml:space="preserve">R v Tipping </w:t>
      </w:r>
      <w:r w:rsidRPr="005D78D5">
        <w:rPr>
          <w:b w:val="0"/>
          <w:sz w:val="20"/>
          <w:szCs w:val="20"/>
        </w:rPr>
        <w:t>[2019] SASCFC 41).</w:t>
      </w:r>
    </w:p>
    <w:p w14:paraId="7C060ACA" w14:textId="77777777" w:rsidR="00BA5BE3" w:rsidRPr="005D78D5" w:rsidRDefault="00BA5BE3" w:rsidP="00591749">
      <w:pPr>
        <w:pStyle w:val="Subheading1Char"/>
        <w:keepNext w:val="0"/>
        <w:keepLines w:val="0"/>
        <w:numPr>
          <w:ilvl w:val="0"/>
          <w:numId w:val="47"/>
        </w:numPr>
        <w:spacing w:before="120" w:after="120"/>
        <w:ind w:left="714" w:hanging="357"/>
        <w:jc w:val="both"/>
        <w:rPr>
          <w:b w:val="0"/>
          <w:sz w:val="20"/>
          <w:szCs w:val="20"/>
        </w:rPr>
      </w:pPr>
      <w:r w:rsidRPr="005D78D5">
        <w:rPr>
          <w:b w:val="0"/>
          <w:sz w:val="20"/>
          <w:szCs w:val="20"/>
        </w:rPr>
        <w:t>The reason given must be the true reason. A person cannot keep the reason for arrest to himself or herself, or give a reason which is not the true reason (</w:t>
      </w:r>
      <w:r w:rsidRPr="005D78D5">
        <w:rPr>
          <w:b w:val="0"/>
          <w:i/>
          <w:sz w:val="20"/>
          <w:szCs w:val="20"/>
        </w:rPr>
        <w:t xml:space="preserve">Christie v Leachinsky </w:t>
      </w:r>
      <w:r w:rsidRPr="005D78D5">
        <w:rPr>
          <w:b w:val="0"/>
          <w:sz w:val="20"/>
          <w:szCs w:val="20"/>
        </w:rPr>
        <w:t>[1947] AC 573).</w:t>
      </w:r>
    </w:p>
    <w:p w14:paraId="0ED8E018" w14:textId="4B301BF5" w:rsidR="00BA5BE3" w:rsidRPr="005D78D5" w:rsidRDefault="00BA5BE3" w:rsidP="00591749">
      <w:pPr>
        <w:pStyle w:val="Subheading1Char"/>
        <w:keepNext w:val="0"/>
        <w:keepLines w:val="0"/>
        <w:widowControl w:val="0"/>
        <w:numPr>
          <w:ilvl w:val="0"/>
          <w:numId w:val="47"/>
        </w:numPr>
        <w:spacing w:before="120" w:after="120"/>
        <w:ind w:left="714" w:hanging="357"/>
        <w:jc w:val="both"/>
        <w:rPr>
          <w:i/>
          <w:sz w:val="20"/>
          <w:szCs w:val="20"/>
        </w:rPr>
      </w:pPr>
      <w:r w:rsidRPr="005D78D5">
        <w:rPr>
          <w:b w:val="0"/>
          <w:sz w:val="20"/>
          <w:szCs w:val="20"/>
        </w:rPr>
        <w:t xml:space="preserve"> An arrest for the mere purpose of questioning is unlawful (</w:t>
      </w:r>
      <w:r w:rsidRPr="005D78D5">
        <w:rPr>
          <w:b w:val="0"/>
          <w:i/>
          <w:sz w:val="20"/>
          <w:szCs w:val="20"/>
        </w:rPr>
        <w:t xml:space="preserve">Bales v Parmenter </w:t>
      </w:r>
      <w:r w:rsidRPr="005D78D5">
        <w:rPr>
          <w:b w:val="0"/>
          <w:sz w:val="20"/>
          <w:szCs w:val="20"/>
        </w:rPr>
        <w:t>(1935) SR (NSW) 182).</w:t>
      </w:r>
    </w:p>
    <w:p w14:paraId="3119C42C" w14:textId="77777777" w:rsidR="00BA5BE3" w:rsidRPr="005D78D5" w:rsidRDefault="00BA5BE3" w:rsidP="00591749">
      <w:pPr>
        <w:pStyle w:val="Subheading1Char"/>
        <w:keepNext w:val="0"/>
        <w:keepLines w:val="0"/>
        <w:widowControl w:val="0"/>
        <w:numPr>
          <w:ilvl w:val="0"/>
          <w:numId w:val="47"/>
        </w:numPr>
        <w:spacing w:before="120" w:after="120"/>
        <w:ind w:left="714" w:hanging="357"/>
        <w:jc w:val="both"/>
        <w:rPr>
          <w:i/>
          <w:sz w:val="20"/>
          <w:szCs w:val="20"/>
        </w:rPr>
      </w:pPr>
      <w:r w:rsidRPr="005D78D5">
        <w:rPr>
          <w:b w:val="0"/>
          <w:sz w:val="20"/>
          <w:szCs w:val="20"/>
        </w:rPr>
        <w:t xml:space="preserve">The reason for arrest does not need to be communicated using technical or precise language </w:t>
      </w:r>
      <w:bookmarkStart w:id="127" w:name="_Hlk536690708"/>
      <w:r w:rsidRPr="005D78D5">
        <w:rPr>
          <w:b w:val="0"/>
          <w:sz w:val="20"/>
          <w:szCs w:val="20"/>
        </w:rPr>
        <w:t>(</w:t>
      </w:r>
      <w:r w:rsidRPr="005D78D5">
        <w:rPr>
          <w:b w:val="0"/>
          <w:i/>
          <w:sz w:val="20"/>
          <w:szCs w:val="20"/>
        </w:rPr>
        <w:t xml:space="preserve">Christie v Leachinsky </w:t>
      </w:r>
      <w:r w:rsidRPr="005D78D5">
        <w:rPr>
          <w:b w:val="0"/>
          <w:sz w:val="20"/>
          <w:szCs w:val="20"/>
        </w:rPr>
        <w:t xml:space="preserve">[1947] AC 573). </w:t>
      </w:r>
      <w:bookmarkEnd w:id="127"/>
    </w:p>
    <w:p w14:paraId="4487A274" w14:textId="77777777" w:rsidR="00BA5BE3" w:rsidRPr="005D78D5" w:rsidRDefault="00BA5BE3" w:rsidP="00591749">
      <w:pPr>
        <w:numPr>
          <w:ilvl w:val="0"/>
          <w:numId w:val="47"/>
        </w:numPr>
        <w:spacing w:before="120"/>
        <w:ind w:left="714" w:hanging="357"/>
        <w:jc w:val="both"/>
        <w:rPr>
          <w:rFonts w:ascii="Arial" w:hAnsi="Arial" w:cs="Arial"/>
          <w:sz w:val="20"/>
          <w:szCs w:val="20"/>
        </w:rPr>
      </w:pPr>
      <w:bookmarkStart w:id="128" w:name="_Hlk7426748"/>
      <w:r w:rsidRPr="005D78D5">
        <w:rPr>
          <w:rFonts w:ascii="Arial" w:hAnsi="Arial" w:cs="Arial"/>
          <w:sz w:val="20"/>
          <w:szCs w:val="20"/>
        </w:rPr>
        <w:t>In certain circumstances, the accused will be excused from immediately informing the person being arrested, for example:</w:t>
      </w:r>
    </w:p>
    <w:p w14:paraId="22700725" w14:textId="77777777" w:rsidR="00BA5BE3" w:rsidRPr="005D78D5" w:rsidRDefault="00BA5BE3" w:rsidP="00591749">
      <w:pPr>
        <w:widowControl w:val="0"/>
        <w:numPr>
          <w:ilvl w:val="0"/>
          <w:numId w:val="46"/>
        </w:numPr>
        <w:spacing w:before="60"/>
        <w:ind w:left="1077" w:hanging="357"/>
        <w:jc w:val="both"/>
        <w:rPr>
          <w:rFonts w:ascii="Arial" w:hAnsi="Arial" w:cs="Arial"/>
          <w:sz w:val="20"/>
          <w:szCs w:val="20"/>
        </w:rPr>
      </w:pPr>
      <w:r w:rsidRPr="005D78D5">
        <w:rPr>
          <w:rFonts w:ascii="Arial" w:hAnsi="Arial" w:cs="Arial"/>
          <w:sz w:val="20"/>
          <w:szCs w:val="20"/>
        </w:rPr>
        <w:t xml:space="preserve">if the other person resists arrest or absconds </w:t>
      </w:r>
      <w:bookmarkStart w:id="129" w:name="_Hlk536693349"/>
      <w:r w:rsidRPr="005D78D5">
        <w:rPr>
          <w:rFonts w:ascii="Arial" w:hAnsi="Arial" w:cs="Arial"/>
          <w:sz w:val="20"/>
          <w:szCs w:val="20"/>
        </w:rPr>
        <w:t>(</w:t>
      </w:r>
      <w:r w:rsidRPr="005D78D5">
        <w:rPr>
          <w:rFonts w:ascii="Arial" w:hAnsi="Arial" w:cs="Arial"/>
          <w:bCs/>
          <w:i/>
          <w:sz w:val="20"/>
          <w:szCs w:val="20"/>
        </w:rPr>
        <w:t>Christie v Leachinsky</w:t>
      </w:r>
      <w:r w:rsidRPr="005D78D5">
        <w:rPr>
          <w:rFonts w:ascii="Arial" w:hAnsi="Arial" w:cs="Arial"/>
          <w:bCs/>
          <w:sz w:val="20"/>
          <w:szCs w:val="20"/>
        </w:rPr>
        <w:t xml:space="preserve"> [1947] AC 573)</w:t>
      </w:r>
      <w:bookmarkEnd w:id="129"/>
      <w:r w:rsidRPr="005D78D5">
        <w:rPr>
          <w:rFonts w:ascii="Arial" w:hAnsi="Arial" w:cs="Arial"/>
          <w:sz w:val="20"/>
          <w:szCs w:val="20"/>
        </w:rPr>
        <w:t xml:space="preserve">; </w:t>
      </w:r>
    </w:p>
    <w:p w14:paraId="3ECEE976" w14:textId="77777777" w:rsidR="00BA5BE3" w:rsidRPr="005D78D5" w:rsidRDefault="00BA5BE3" w:rsidP="00591749">
      <w:pPr>
        <w:widowControl w:val="0"/>
        <w:numPr>
          <w:ilvl w:val="0"/>
          <w:numId w:val="46"/>
        </w:numPr>
        <w:spacing w:before="60"/>
        <w:ind w:left="1077" w:hanging="357"/>
        <w:jc w:val="both"/>
        <w:rPr>
          <w:rFonts w:ascii="Arial" w:hAnsi="Arial" w:cs="Arial"/>
          <w:sz w:val="20"/>
          <w:szCs w:val="20"/>
        </w:rPr>
      </w:pPr>
      <w:r w:rsidRPr="005D78D5">
        <w:rPr>
          <w:rFonts w:ascii="Arial" w:hAnsi="Arial" w:cs="Arial"/>
          <w:sz w:val="20"/>
          <w:szCs w:val="20"/>
        </w:rPr>
        <w:t>if the circumstances of the arrest are such that the offence or reason for arrest is apparent to the other person (</w:t>
      </w:r>
      <w:r w:rsidRPr="005D78D5">
        <w:rPr>
          <w:rFonts w:ascii="Arial" w:hAnsi="Arial" w:cs="Arial"/>
          <w:i/>
          <w:sz w:val="20"/>
          <w:szCs w:val="20"/>
        </w:rPr>
        <w:t>Christie v Leachinsky</w:t>
      </w:r>
      <w:r w:rsidRPr="005D78D5">
        <w:rPr>
          <w:rFonts w:ascii="Arial" w:hAnsi="Arial" w:cs="Arial"/>
          <w:sz w:val="20"/>
          <w:szCs w:val="20"/>
        </w:rPr>
        <w:t xml:space="preserve"> [1947] AC 573); or </w:t>
      </w:r>
    </w:p>
    <w:p w14:paraId="22DF3799" w14:textId="77777777" w:rsidR="00BA5BE3" w:rsidRPr="005D78D5" w:rsidRDefault="00BA5BE3" w:rsidP="00591749">
      <w:pPr>
        <w:numPr>
          <w:ilvl w:val="0"/>
          <w:numId w:val="46"/>
        </w:numPr>
        <w:spacing w:before="60"/>
        <w:ind w:left="1077" w:hanging="357"/>
        <w:jc w:val="both"/>
        <w:rPr>
          <w:rFonts w:ascii="Arial" w:hAnsi="Arial" w:cs="Arial"/>
          <w:sz w:val="20"/>
          <w:szCs w:val="20"/>
        </w:rPr>
      </w:pPr>
      <w:r w:rsidRPr="005D78D5">
        <w:rPr>
          <w:rFonts w:ascii="Arial" w:hAnsi="Arial" w:cs="Arial"/>
          <w:sz w:val="20"/>
          <w:szCs w:val="20"/>
        </w:rPr>
        <w:lastRenderedPageBreak/>
        <w:t>if the other person is unable to understand the reason because of disability, intoxication or lack of English language skills, as long as the accused does all that a reasonable person would do in such circumstances (</w:t>
      </w:r>
      <w:r w:rsidRPr="005D78D5">
        <w:rPr>
          <w:rFonts w:ascii="Arial" w:hAnsi="Arial" w:cs="Arial"/>
          <w:i/>
          <w:iCs/>
          <w:sz w:val="20"/>
          <w:szCs w:val="20"/>
        </w:rPr>
        <w:t xml:space="preserve">Tims v John Lewis &amp; Co Ltd </w:t>
      </w:r>
      <w:r w:rsidRPr="005D78D5">
        <w:rPr>
          <w:rFonts w:ascii="Arial" w:hAnsi="Arial" w:cs="Arial"/>
          <w:sz w:val="20"/>
          <w:szCs w:val="20"/>
        </w:rPr>
        <w:t xml:space="preserve">[1952] AC 676). </w:t>
      </w:r>
    </w:p>
    <w:p w14:paraId="6864B95A" w14:textId="77777777" w:rsidR="00BA5BE3" w:rsidRPr="005D78D5" w:rsidRDefault="00BA5BE3" w:rsidP="00591749">
      <w:pPr>
        <w:pStyle w:val="Subheading1Char"/>
        <w:keepNext w:val="0"/>
        <w:keepLines w:val="0"/>
        <w:widowControl w:val="0"/>
        <w:numPr>
          <w:ilvl w:val="0"/>
          <w:numId w:val="47"/>
        </w:numPr>
        <w:spacing w:before="120" w:after="120"/>
        <w:ind w:left="714" w:hanging="357"/>
        <w:jc w:val="both"/>
        <w:rPr>
          <w:b w:val="0"/>
          <w:sz w:val="20"/>
          <w:szCs w:val="20"/>
        </w:rPr>
      </w:pPr>
      <w:r w:rsidRPr="005D78D5">
        <w:rPr>
          <w:b w:val="0"/>
          <w:sz w:val="20"/>
          <w:szCs w:val="20"/>
        </w:rPr>
        <w:t>In these circumstances, a person (including a police officer) must inform person being arrested of the reason for the arrest at the earliest reasonable opportunity (</w:t>
      </w:r>
      <w:r w:rsidRPr="005D78D5">
        <w:rPr>
          <w:b w:val="0"/>
          <w:i/>
          <w:sz w:val="20"/>
          <w:szCs w:val="20"/>
        </w:rPr>
        <w:t>Christie v Leachinsky</w:t>
      </w:r>
      <w:r w:rsidRPr="005D78D5">
        <w:rPr>
          <w:b w:val="0"/>
          <w:sz w:val="20"/>
          <w:szCs w:val="20"/>
        </w:rPr>
        <w:t xml:space="preserve"> [1947] AC 573).</w:t>
      </w:r>
      <w:bookmarkEnd w:id="128"/>
    </w:p>
    <w:p w14:paraId="7B27AA8D" w14:textId="77777777" w:rsidR="00BA5BE3" w:rsidRPr="005D78D5" w:rsidRDefault="00BA5BE3" w:rsidP="00591749">
      <w:pPr>
        <w:pStyle w:val="Subheading1Char"/>
        <w:keepNext w:val="0"/>
        <w:keepLines w:val="0"/>
        <w:widowControl w:val="0"/>
        <w:numPr>
          <w:ilvl w:val="0"/>
          <w:numId w:val="47"/>
        </w:numPr>
        <w:spacing w:before="120" w:after="0"/>
        <w:ind w:left="714" w:hanging="357"/>
        <w:jc w:val="both"/>
        <w:rPr>
          <w:b w:val="0"/>
          <w:sz w:val="20"/>
          <w:szCs w:val="20"/>
        </w:rPr>
      </w:pPr>
      <w:r w:rsidRPr="005D78D5">
        <w:rPr>
          <w:b w:val="0"/>
          <w:sz w:val="20"/>
          <w:szCs w:val="20"/>
        </w:rPr>
        <w:t>In assessing the second exception described above, the focus must be on the circumstances of the arrest itself, rather than the subjective knowledge of the arrested person. The prosecution must show that, in the circumstance, the other person must have known the reason for the arrest (</w:t>
      </w:r>
      <w:r w:rsidRPr="005D78D5">
        <w:rPr>
          <w:b w:val="0"/>
          <w:i/>
          <w:sz w:val="20"/>
          <w:szCs w:val="20"/>
        </w:rPr>
        <w:t xml:space="preserve">State of NSW v Delly </w:t>
      </w:r>
      <w:r w:rsidRPr="005D78D5">
        <w:rPr>
          <w:b w:val="0"/>
          <w:sz w:val="20"/>
          <w:szCs w:val="20"/>
        </w:rPr>
        <w:t>(2007) 70 NSWLR 125).</w:t>
      </w:r>
    </w:p>
    <w:p w14:paraId="32C80DC0" w14:textId="77777777" w:rsidR="00F5327B" w:rsidRDefault="00F5327B" w:rsidP="00F5327B">
      <w:pPr>
        <w:jc w:val="both"/>
        <w:rPr>
          <w:rFonts w:ascii="Arial" w:hAnsi="Arial" w:cs="Arial"/>
          <w:sz w:val="20"/>
        </w:rPr>
      </w:pPr>
    </w:p>
    <w:p w14:paraId="3FC43E37" w14:textId="2330ECC4" w:rsidR="00F5327B" w:rsidRDefault="00F5327B" w:rsidP="00F5327B">
      <w:pPr>
        <w:jc w:val="both"/>
        <w:rPr>
          <w:rFonts w:ascii="Arial" w:hAnsi="Arial" w:cs="Arial"/>
          <w:sz w:val="20"/>
        </w:rPr>
      </w:pPr>
      <w:r>
        <w:rPr>
          <w:rFonts w:ascii="Arial" w:hAnsi="Arial" w:cs="Arial"/>
          <w:sz w:val="20"/>
        </w:rPr>
        <w:t xml:space="preserve">In </w:t>
      </w:r>
      <w:r w:rsidRPr="0067468B">
        <w:rPr>
          <w:rFonts w:ascii="Arial" w:hAnsi="Arial" w:cs="Arial"/>
          <w:i/>
          <w:iCs/>
          <w:sz w:val="20"/>
        </w:rPr>
        <w:t>Slaveski v Victoria</w:t>
      </w:r>
      <w:r>
        <w:rPr>
          <w:rFonts w:ascii="Arial" w:hAnsi="Arial" w:cs="Arial"/>
          <w:sz w:val="20"/>
        </w:rPr>
        <w:t xml:space="preserve"> [2010] VSC 441 the plaintiff – who was assisted by his wife as a McKenzie friend for the first part of the 115-day trial and as a litigation guardian and lay advocate for the remaining part – had sued the State of Victoria and 23 current or former members of Victoria Police seeking damages for assault and battery, false imprisonment, malicious prosecution, defamation, trespass to land, trespass to goods, conversion, detinue and conversion arising from 13 incidents that occurred between September 2000 and May 2007. He was successful in obtaining an award of damages of $28,300 in respect of 6 findings of trespass by police arising from an incident on 13 December 2005 in which Kyrou J found that </w:t>
      </w:r>
      <w:r w:rsidRPr="00EE6EDF">
        <w:rPr>
          <w:rFonts w:ascii="Arial" w:hAnsi="Arial" w:cs="Arial"/>
          <w:sz w:val="20"/>
          <w:szCs w:val="20"/>
        </w:rPr>
        <w:t xml:space="preserve">seven detectives had remained at </w:t>
      </w:r>
      <w:r>
        <w:rPr>
          <w:rFonts w:ascii="Arial" w:hAnsi="Arial" w:cs="Arial"/>
          <w:sz w:val="20"/>
          <w:szCs w:val="20"/>
        </w:rPr>
        <w:t>Mr Slaveski’s</w:t>
      </w:r>
      <w:r w:rsidRPr="00EE6EDF">
        <w:rPr>
          <w:rFonts w:ascii="Arial" w:hAnsi="Arial" w:cs="Arial"/>
          <w:sz w:val="20"/>
          <w:szCs w:val="20"/>
        </w:rPr>
        <w:t xml:space="preserve"> shop for 30 minutes longer than was reasonably necessary to execute </w:t>
      </w:r>
      <w:r>
        <w:rPr>
          <w:rFonts w:ascii="Arial" w:hAnsi="Arial" w:cs="Arial"/>
          <w:sz w:val="20"/>
          <w:szCs w:val="20"/>
        </w:rPr>
        <w:t>a</w:t>
      </w:r>
      <w:r w:rsidRPr="00EE6EDF">
        <w:rPr>
          <w:rFonts w:ascii="Arial" w:hAnsi="Arial" w:cs="Arial"/>
          <w:sz w:val="20"/>
          <w:szCs w:val="20"/>
        </w:rPr>
        <w:t xml:space="preserve"> search warrant. </w:t>
      </w:r>
      <w:r>
        <w:rPr>
          <w:rFonts w:ascii="Arial" w:hAnsi="Arial" w:cs="Arial"/>
          <w:sz w:val="20"/>
          <w:szCs w:val="20"/>
        </w:rPr>
        <w:t xml:space="preserve">During that period they did </w:t>
      </w:r>
      <w:r w:rsidRPr="00EE6EDF">
        <w:rPr>
          <w:rFonts w:ascii="Arial" w:hAnsi="Arial" w:cs="Arial"/>
          <w:sz w:val="20"/>
          <w:szCs w:val="20"/>
        </w:rPr>
        <w:t>not have any lawful authority to be in the shop and therefore committed trespasses to land</w:t>
      </w:r>
      <w:r>
        <w:rPr>
          <w:rFonts w:ascii="Arial" w:hAnsi="Arial" w:cs="Arial"/>
          <w:sz w:val="20"/>
        </w:rPr>
        <w:t>. All other claims were dismissed. In the 45-page Part 2 of his 655-page judgment, his Honour discussed and analysed various aspects of</w:t>
      </w:r>
      <w:r w:rsidRPr="00F5327B">
        <w:rPr>
          <w:rFonts w:ascii="Arial" w:hAnsi="Arial" w:cs="Arial"/>
          <w:b/>
          <w:bCs/>
          <w:sz w:val="20"/>
        </w:rPr>
        <w:t xml:space="preserve"> Police Powers </w:t>
      </w:r>
      <w:r w:rsidR="00765717" w:rsidRPr="00765717">
        <w:rPr>
          <w:rFonts w:ascii="Arial" w:hAnsi="Arial" w:cs="Arial"/>
          <w:sz w:val="20"/>
        </w:rPr>
        <w:t>(including Powers of Arrest)</w:t>
      </w:r>
      <w:r w:rsidR="00765717">
        <w:rPr>
          <w:rFonts w:ascii="Arial" w:hAnsi="Arial" w:cs="Arial"/>
          <w:b/>
          <w:bCs/>
          <w:sz w:val="20"/>
        </w:rPr>
        <w:t xml:space="preserve"> </w:t>
      </w:r>
      <w:r w:rsidR="00765717">
        <w:rPr>
          <w:rFonts w:ascii="Arial" w:hAnsi="Arial" w:cs="Arial"/>
          <w:sz w:val="20"/>
        </w:rPr>
        <w:t xml:space="preserve">at [89]-[220] </w:t>
      </w:r>
      <w:r>
        <w:rPr>
          <w:rFonts w:ascii="Arial" w:hAnsi="Arial" w:cs="Arial"/>
          <w:sz w:val="20"/>
        </w:rPr>
        <w:t>under the</w:t>
      </w:r>
      <w:r w:rsidR="00765717">
        <w:rPr>
          <w:rFonts w:ascii="Arial" w:hAnsi="Arial" w:cs="Arial"/>
          <w:sz w:val="20"/>
        </w:rPr>
        <w:t>se</w:t>
      </w:r>
      <w:r>
        <w:rPr>
          <w:rFonts w:ascii="Arial" w:hAnsi="Arial" w:cs="Arial"/>
          <w:sz w:val="20"/>
        </w:rPr>
        <w:t xml:space="preserve"> headings</w:t>
      </w:r>
      <w:r w:rsidR="00765717">
        <w:rPr>
          <w:rFonts w:ascii="Arial" w:hAnsi="Arial" w:cs="Arial"/>
          <w:sz w:val="20"/>
        </w:rPr>
        <w:t xml:space="preserve"> and page references</w:t>
      </w:r>
      <w:r>
        <w:rPr>
          <w:rFonts w:ascii="Arial" w:hAnsi="Arial" w:cs="Arial"/>
          <w:sz w:val="20"/>
        </w:rPr>
        <w:t>:</w:t>
      </w:r>
    </w:p>
    <w:p w14:paraId="6D7F6D84" w14:textId="1A87B5D9" w:rsidR="00AD2B45" w:rsidRDefault="00AD2B45" w:rsidP="00AD2B45">
      <w:pPr>
        <w:spacing w:before="60"/>
        <w:jc w:val="both"/>
        <w:rPr>
          <w:rFonts w:ascii="Arial" w:hAnsi="Arial" w:cs="Arial"/>
          <w:b/>
          <w:bCs/>
          <w:sz w:val="20"/>
        </w:rPr>
      </w:pPr>
      <w:r w:rsidRPr="00AD2B45">
        <w:rPr>
          <w:rFonts w:ascii="Arial" w:hAnsi="Arial" w:cs="Arial"/>
          <w:b/>
          <w:bCs/>
          <w:sz w:val="20"/>
        </w:rPr>
        <w:t>PART 2 – POLICE POWERS</w:t>
      </w:r>
      <w:r>
        <w:rPr>
          <w:rFonts w:ascii="Arial" w:hAnsi="Arial" w:cs="Arial"/>
          <w:b/>
          <w:bCs/>
          <w:sz w:val="20"/>
        </w:rPr>
        <w:t xml:space="preserve"> [pages 32-74]</w:t>
      </w:r>
    </w:p>
    <w:p w14:paraId="44B8B2B2" w14:textId="1F52E6C0" w:rsidR="00AD2B45" w:rsidRDefault="00AD2B45">
      <w:pPr>
        <w:pStyle w:val="ListParagraph"/>
        <w:numPr>
          <w:ilvl w:val="0"/>
          <w:numId w:val="95"/>
        </w:numPr>
        <w:spacing w:before="60" w:after="0" w:line="240" w:lineRule="auto"/>
        <w:ind w:left="357" w:hanging="357"/>
        <w:jc w:val="both"/>
        <w:rPr>
          <w:rFonts w:ascii="Arial" w:hAnsi="Arial" w:cs="Arial"/>
          <w:b/>
          <w:bCs/>
          <w:sz w:val="20"/>
        </w:rPr>
      </w:pPr>
      <w:r>
        <w:rPr>
          <w:rFonts w:ascii="Arial" w:hAnsi="Arial" w:cs="Arial"/>
          <w:b/>
          <w:bCs/>
          <w:sz w:val="20"/>
        </w:rPr>
        <w:t>Arrest without warrant [pages 33-46]</w:t>
      </w:r>
    </w:p>
    <w:p w14:paraId="0558C299" w14:textId="77777777" w:rsidR="00AD2B45" w:rsidRDefault="00AD2B45" w:rsidP="00AD2B45">
      <w:pPr>
        <w:ind w:left="357"/>
        <w:jc w:val="both"/>
        <w:rPr>
          <w:rFonts w:ascii="Arial" w:hAnsi="Arial" w:cs="Arial"/>
          <w:sz w:val="20"/>
        </w:rPr>
      </w:pPr>
      <w:r w:rsidRPr="008F100D">
        <w:rPr>
          <w:rFonts w:ascii="Arial" w:hAnsi="Arial" w:cs="Arial"/>
          <w:sz w:val="20"/>
        </w:rPr>
        <w:t>Power of arrest conferred by s 459 of the Crimes Ac</w:t>
      </w:r>
      <w:r>
        <w:rPr>
          <w:rFonts w:ascii="Arial" w:hAnsi="Arial" w:cs="Arial"/>
          <w:sz w:val="20"/>
        </w:rPr>
        <w:t>t</w:t>
      </w:r>
    </w:p>
    <w:p w14:paraId="033AE0B3" w14:textId="1CDA23D6" w:rsidR="00AD2B45" w:rsidRDefault="00AD2B45" w:rsidP="00AD2B45">
      <w:pPr>
        <w:ind w:left="357"/>
        <w:jc w:val="both"/>
        <w:rPr>
          <w:rFonts w:ascii="Arial" w:hAnsi="Arial" w:cs="Arial"/>
          <w:sz w:val="20"/>
        </w:rPr>
      </w:pPr>
      <w:r>
        <w:rPr>
          <w:rFonts w:ascii="Arial" w:hAnsi="Arial" w:cs="Arial"/>
          <w:sz w:val="20"/>
        </w:rPr>
        <w:t>Common law requirements for arres</w:t>
      </w:r>
      <w:r w:rsidRPr="008F100D">
        <w:rPr>
          <w:rFonts w:ascii="Arial" w:hAnsi="Arial" w:cs="Arial"/>
          <w:sz w:val="20"/>
        </w:rPr>
        <w:t>t</w:t>
      </w:r>
    </w:p>
    <w:p w14:paraId="7F829370" w14:textId="673BC445" w:rsidR="00AD2B45" w:rsidRPr="00AD2B45" w:rsidRDefault="00AD2B45" w:rsidP="00AD2B45">
      <w:pPr>
        <w:ind w:left="720"/>
        <w:jc w:val="both"/>
        <w:rPr>
          <w:rFonts w:ascii="Arial" w:hAnsi="Arial" w:cs="Arial"/>
          <w:sz w:val="18"/>
          <w:szCs w:val="22"/>
        </w:rPr>
      </w:pPr>
      <w:r w:rsidRPr="00AD2B45">
        <w:rPr>
          <w:rFonts w:ascii="Arial" w:hAnsi="Arial" w:cs="Arial"/>
          <w:sz w:val="18"/>
          <w:szCs w:val="22"/>
        </w:rPr>
        <w:t>Deprivation of liberty</w:t>
      </w:r>
    </w:p>
    <w:p w14:paraId="506DA6A5" w14:textId="0F62B316" w:rsidR="00AD2B45" w:rsidRPr="00AD2B45" w:rsidRDefault="00AD2B45" w:rsidP="00AD2B45">
      <w:pPr>
        <w:ind w:left="720"/>
        <w:jc w:val="both"/>
        <w:rPr>
          <w:rFonts w:ascii="Arial" w:hAnsi="Arial" w:cs="Arial"/>
          <w:sz w:val="18"/>
          <w:szCs w:val="22"/>
        </w:rPr>
      </w:pPr>
      <w:r w:rsidRPr="00AD2B45">
        <w:rPr>
          <w:rFonts w:ascii="Arial" w:hAnsi="Arial" w:cs="Arial"/>
          <w:sz w:val="18"/>
          <w:szCs w:val="22"/>
        </w:rPr>
        <w:t>Communication of arrest</w:t>
      </w:r>
    </w:p>
    <w:p w14:paraId="519022B1" w14:textId="4DFF8547" w:rsidR="00AD2B45" w:rsidRPr="00AD2B45" w:rsidRDefault="00AD2B45" w:rsidP="00AD2B45">
      <w:pPr>
        <w:ind w:left="720"/>
        <w:jc w:val="both"/>
        <w:rPr>
          <w:rFonts w:ascii="Arial" w:hAnsi="Arial" w:cs="Arial"/>
          <w:sz w:val="18"/>
          <w:szCs w:val="22"/>
        </w:rPr>
      </w:pPr>
      <w:r w:rsidRPr="00AD2B45">
        <w:rPr>
          <w:rFonts w:ascii="Arial" w:hAnsi="Arial" w:cs="Arial"/>
          <w:sz w:val="18"/>
          <w:szCs w:val="22"/>
        </w:rPr>
        <w:t>Communication of the reason for the arrest</w:t>
      </w:r>
    </w:p>
    <w:p w14:paraId="386B3345" w14:textId="13B0565E" w:rsidR="00AD2B45" w:rsidRDefault="00AD2B45" w:rsidP="00AD2B45">
      <w:pPr>
        <w:ind w:left="357"/>
        <w:jc w:val="both"/>
        <w:rPr>
          <w:rFonts w:ascii="Arial" w:hAnsi="Arial" w:cs="Arial"/>
          <w:sz w:val="20"/>
        </w:rPr>
      </w:pPr>
      <w:r>
        <w:rPr>
          <w:rFonts w:ascii="Arial" w:hAnsi="Arial" w:cs="Arial"/>
          <w:sz w:val="20"/>
        </w:rPr>
        <w:t>Use of force</w:t>
      </w:r>
    </w:p>
    <w:p w14:paraId="039AC300" w14:textId="1A49F38B" w:rsidR="00AD2B45" w:rsidRDefault="00AD2B45" w:rsidP="00AD2B45">
      <w:pPr>
        <w:ind w:left="357"/>
        <w:jc w:val="both"/>
        <w:rPr>
          <w:rFonts w:ascii="Arial" w:hAnsi="Arial" w:cs="Arial"/>
          <w:sz w:val="20"/>
        </w:rPr>
      </w:pPr>
      <w:r>
        <w:rPr>
          <w:rFonts w:ascii="Arial" w:hAnsi="Arial" w:cs="Arial"/>
          <w:sz w:val="20"/>
        </w:rPr>
        <w:t>Use of handcuffs</w:t>
      </w:r>
    </w:p>
    <w:p w14:paraId="7DC0B9E0" w14:textId="5241774E" w:rsidR="00D5675C" w:rsidRDefault="00D5675C" w:rsidP="00AD2B45">
      <w:pPr>
        <w:ind w:left="357"/>
        <w:jc w:val="both"/>
        <w:rPr>
          <w:rFonts w:ascii="Arial" w:hAnsi="Arial" w:cs="Arial"/>
          <w:sz w:val="20"/>
        </w:rPr>
      </w:pPr>
      <w:r>
        <w:rPr>
          <w:rFonts w:ascii="Arial" w:hAnsi="Arial" w:cs="Arial"/>
          <w:sz w:val="20"/>
        </w:rPr>
        <w:t>Detention of arrested person in custody</w:t>
      </w:r>
    </w:p>
    <w:p w14:paraId="4A25A7BF" w14:textId="0E1B3F7B" w:rsidR="00D5675C" w:rsidRDefault="00D5675C" w:rsidP="00AD2B45">
      <w:pPr>
        <w:ind w:left="357"/>
        <w:jc w:val="both"/>
        <w:rPr>
          <w:rFonts w:ascii="Arial" w:hAnsi="Arial" w:cs="Arial"/>
          <w:sz w:val="20"/>
        </w:rPr>
      </w:pPr>
      <w:r>
        <w:rPr>
          <w:rFonts w:ascii="Arial" w:hAnsi="Arial" w:cs="Arial"/>
          <w:sz w:val="20"/>
        </w:rPr>
        <w:t>A lawful arrest is not vitiated by subsequent unlawful conduct by the arrester</w:t>
      </w:r>
    </w:p>
    <w:p w14:paraId="04500CC8" w14:textId="4217DFAD" w:rsidR="00D5675C" w:rsidRDefault="00D5675C">
      <w:pPr>
        <w:pStyle w:val="ListParagraph"/>
        <w:numPr>
          <w:ilvl w:val="0"/>
          <w:numId w:val="95"/>
        </w:numPr>
        <w:spacing w:before="60" w:after="0" w:line="240" w:lineRule="auto"/>
        <w:ind w:left="357" w:hanging="357"/>
        <w:jc w:val="both"/>
        <w:rPr>
          <w:rFonts w:ascii="Arial" w:hAnsi="Arial" w:cs="Arial"/>
          <w:b/>
          <w:bCs/>
          <w:sz w:val="20"/>
        </w:rPr>
      </w:pPr>
      <w:r>
        <w:rPr>
          <w:rFonts w:ascii="Arial" w:hAnsi="Arial" w:cs="Arial"/>
          <w:b/>
          <w:bCs/>
          <w:sz w:val="20"/>
        </w:rPr>
        <w:t>Entry onto premises to effect arrest [page 46]</w:t>
      </w:r>
    </w:p>
    <w:p w14:paraId="43D43444" w14:textId="63D92C8A" w:rsidR="00D5675C" w:rsidRDefault="00D5675C">
      <w:pPr>
        <w:pStyle w:val="ListParagraph"/>
        <w:numPr>
          <w:ilvl w:val="0"/>
          <w:numId w:val="95"/>
        </w:numPr>
        <w:spacing w:before="60" w:after="0" w:line="240" w:lineRule="auto"/>
        <w:ind w:left="357" w:hanging="357"/>
        <w:contextualSpacing w:val="0"/>
        <w:jc w:val="both"/>
        <w:rPr>
          <w:rFonts w:ascii="Arial" w:hAnsi="Arial" w:cs="Arial"/>
          <w:b/>
          <w:bCs/>
          <w:sz w:val="20"/>
        </w:rPr>
      </w:pPr>
      <w:r>
        <w:rPr>
          <w:rFonts w:ascii="Arial" w:hAnsi="Arial" w:cs="Arial"/>
          <w:b/>
          <w:bCs/>
          <w:sz w:val="20"/>
        </w:rPr>
        <w:t>Search of property pursuant to warrant [pages 47-66]</w:t>
      </w:r>
    </w:p>
    <w:p w14:paraId="0DBD947C" w14:textId="1F0D82A4" w:rsidR="00D5675C" w:rsidRDefault="00D5675C" w:rsidP="00D5675C">
      <w:pPr>
        <w:ind w:left="357"/>
        <w:jc w:val="both"/>
        <w:rPr>
          <w:rFonts w:ascii="Arial" w:hAnsi="Arial" w:cs="Arial"/>
          <w:sz w:val="20"/>
        </w:rPr>
      </w:pPr>
      <w:r>
        <w:rPr>
          <w:rFonts w:ascii="Arial" w:hAnsi="Arial" w:cs="Arial"/>
          <w:sz w:val="20"/>
        </w:rPr>
        <w:t>Common law background</w:t>
      </w:r>
    </w:p>
    <w:p w14:paraId="00B039AE" w14:textId="19355987" w:rsidR="00D5675C" w:rsidRDefault="00D5675C" w:rsidP="00D5675C">
      <w:pPr>
        <w:ind w:left="357"/>
        <w:jc w:val="both"/>
        <w:rPr>
          <w:rFonts w:ascii="Arial" w:hAnsi="Arial" w:cs="Arial"/>
          <w:sz w:val="20"/>
        </w:rPr>
      </w:pPr>
      <w:r>
        <w:rPr>
          <w:rFonts w:ascii="Arial" w:hAnsi="Arial" w:cs="Arial"/>
          <w:sz w:val="20"/>
        </w:rPr>
        <w:t>Crimes Act, Magistrates’ Court Act and relevant regulations</w:t>
      </w:r>
    </w:p>
    <w:p w14:paraId="70B7D7D1" w14:textId="30E0BB1A" w:rsidR="00D5675C" w:rsidRDefault="00D5675C" w:rsidP="00063F65">
      <w:pPr>
        <w:ind w:left="357"/>
        <w:jc w:val="both"/>
        <w:rPr>
          <w:rFonts w:ascii="Arial" w:hAnsi="Arial" w:cs="Arial"/>
          <w:sz w:val="20"/>
        </w:rPr>
      </w:pPr>
      <w:r>
        <w:rPr>
          <w:rFonts w:ascii="Arial" w:hAnsi="Arial" w:cs="Arial"/>
          <w:sz w:val="20"/>
        </w:rPr>
        <w:t>Execution of search warrant</w:t>
      </w:r>
    </w:p>
    <w:p w14:paraId="1D9DC735" w14:textId="53644CCA" w:rsidR="00D5675C" w:rsidRDefault="00D5675C" w:rsidP="00D5675C">
      <w:pPr>
        <w:ind w:left="720"/>
        <w:jc w:val="both"/>
        <w:rPr>
          <w:rFonts w:ascii="Arial" w:hAnsi="Arial" w:cs="Arial"/>
          <w:sz w:val="18"/>
          <w:szCs w:val="22"/>
        </w:rPr>
      </w:pPr>
      <w:r>
        <w:rPr>
          <w:rFonts w:ascii="Arial" w:hAnsi="Arial" w:cs="Arial"/>
          <w:sz w:val="18"/>
          <w:szCs w:val="22"/>
        </w:rPr>
        <w:t>Belief on reasonable grounds required to seize items under warrant</w:t>
      </w:r>
    </w:p>
    <w:p w14:paraId="1B3DBF7C" w14:textId="56F39403" w:rsidR="00D5675C" w:rsidRDefault="00D5675C" w:rsidP="00D5675C">
      <w:pPr>
        <w:ind w:left="720"/>
        <w:jc w:val="both"/>
        <w:rPr>
          <w:rFonts w:ascii="Arial" w:hAnsi="Arial" w:cs="Arial"/>
          <w:sz w:val="18"/>
          <w:szCs w:val="22"/>
        </w:rPr>
      </w:pPr>
      <w:r>
        <w:rPr>
          <w:rFonts w:ascii="Arial" w:hAnsi="Arial" w:cs="Arial"/>
          <w:sz w:val="18"/>
          <w:szCs w:val="22"/>
        </w:rPr>
        <w:t>Obligation to act reasonably in executing search warrant</w:t>
      </w:r>
    </w:p>
    <w:p w14:paraId="13F61ED4" w14:textId="2D54608E" w:rsidR="00D5675C" w:rsidRPr="00AD2B45" w:rsidRDefault="00D5675C" w:rsidP="00D5675C">
      <w:pPr>
        <w:ind w:left="720"/>
        <w:jc w:val="both"/>
        <w:rPr>
          <w:rFonts w:ascii="Arial" w:hAnsi="Arial" w:cs="Arial"/>
          <w:sz w:val="18"/>
          <w:szCs w:val="22"/>
        </w:rPr>
      </w:pPr>
      <w:r>
        <w:rPr>
          <w:rFonts w:ascii="Arial" w:hAnsi="Arial" w:cs="Arial"/>
          <w:sz w:val="18"/>
          <w:szCs w:val="22"/>
        </w:rPr>
        <w:t>Factors affecting reasonableness of a search</w:t>
      </w:r>
    </w:p>
    <w:p w14:paraId="3AFFC187" w14:textId="15E0362E" w:rsidR="00D5675C" w:rsidRDefault="00D5675C" w:rsidP="00D5675C">
      <w:pPr>
        <w:ind w:left="357"/>
        <w:jc w:val="both"/>
        <w:rPr>
          <w:rFonts w:ascii="Arial" w:hAnsi="Arial" w:cs="Arial"/>
          <w:sz w:val="20"/>
        </w:rPr>
      </w:pPr>
      <w:r>
        <w:rPr>
          <w:rFonts w:ascii="Arial" w:hAnsi="Arial" w:cs="Arial"/>
          <w:sz w:val="20"/>
        </w:rPr>
        <w:t>Photographing and filming the execution of a search warrant</w:t>
      </w:r>
    </w:p>
    <w:p w14:paraId="5BBB5DCD" w14:textId="57E711BD" w:rsidR="00D5675C" w:rsidRDefault="00D5675C" w:rsidP="00D5675C">
      <w:pPr>
        <w:ind w:left="357"/>
        <w:jc w:val="both"/>
        <w:rPr>
          <w:rFonts w:ascii="Arial" w:hAnsi="Arial" w:cs="Arial"/>
          <w:sz w:val="20"/>
        </w:rPr>
      </w:pPr>
      <w:r>
        <w:rPr>
          <w:rFonts w:ascii="Arial" w:hAnsi="Arial" w:cs="Arial"/>
          <w:sz w:val="20"/>
        </w:rPr>
        <w:t>Duty to carry seized items before Magistrates’ Court</w:t>
      </w:r>
    </w:p>
    <w:p w14:paraId="466923F6" w14:textId="339794F9" w:rsidR="00D5675C" w:rsidRDefault="00D5675C">
      <w:pPr>
        <w:pStyle w:val="ListParagraph"/>
        <w:numPr>
          <w:ilvl w:val="0"/>
          <w:numId w:val="95"/>
        </w:numPr>
        <w:spacing w:before="60" w:after="0" w:line="240" w:lineRule="auto"/>
        <w:ind w:left="357" w:hanging="357"/>
        <w:contextualSpacing w:val="0"/>
        <w:jc w:val="both"/>
        <w:rPr>
          <w:rFonts w:ascii="Arial" w:hAnsi="Arial" w:cs="Arial"/>
          <w:b/>
          <w:bCs/>
          <w:sz w:val="20"/>
        </w:rPr>
      </w:pPr>
      <w:r>
        <w:rPr>
          <w:rFonts w:ascii="Arial" w:hAnsi="Arial" w:cs="Arial"/>
          <w:b/>
          <w:bCs/>
          <w:sz w:val="20"/>
        </w:rPr>
        <w:t>Relevant provisions of the Victoria Police Manual [pages 67-74]</w:t>
      </w:r>
    </w:p>
    <w:p w14:paraId="44685814" w14:textId="0C10B0E5" w:rsidR="00D5675C" w:rsidRDefault="00D5675C" w:rsidP="00D5675C">
      <w:pPr>
        <w:ind w:left="357"/>
        <w:jc w:val="both"/>
        <w:rPr>
          <w:rFonts w:ascii="Arial" w:hAnsi="Arial" w:cs="Arial"/>
          <w:sz w:val="20"/>
        </w:rPr>
      </w:pPr>
      <w:r>
        <w:rPr>
          <w:rFonts w:ascii="Arial" w:hAnsi="Arial" w:cs="Arial"/>
          <w:sz w:val="20"/>
        </w:rPr>
        <w:t>Legal status of the Victoria Police Manual</w:t>
      </w:r>
    </w:p>
    <w:p w14:paraId="10DA35ED" w14:textId="5A0780B0" w:rsidR="00D5675C" w:rsidRDefault="00D5675C" w:rsidP="00D5675C">
      <w:pPr>
        <w:ind w:left="357"/>
        <w:jc w:val="both"/>
        <w:rPr>
          <w:rFonts w:ascii="Arial" w:hAnsi="Arial" w:cs="Arial"/>
          <w:sz w:val="20"/>
        </w:rPr>
      </w:pPr>
      <w:r>
        <w:rPr>
          <w:rFonts w:ascii="Arial" w:hAnsi="Arial" w:cs="Arial"/>
          <w:sz w:val="20"/>
        </w:rPr>
        <w:t>Conducting and reporting investigations</w:t>
      </w:r>
    </w:p>
    <w:p w14:paraId="0529CE9F" w14:textId="777A4531" w:rsidR="00D5675C" w:rsidRDefault="00D5675C" w:rsidP="00D5675C">
      <w:pPr>
        <w:ind w:left="357"/>
        <w:jc w:val="both"/>
        <w:rPr>
          <w:rFonts w:ascii="Arial" w:hAnsi="Arial" w:cs="Arial"/>
          <w:sz w:val="20"/>
        </w:rPr>
      </w:pPr>
      <w:r>
        <w:rPr>
          <w:rFonts w:ascii="Arial" w:hAnsi="Arial" w:cs="Arial"/>
          <w:sz w:val="20"/>
        </w:rPr>
        <w:t>Police identification</w:t>
      </w:r>
    </w:p>
    <w:p w14:paraId="04C2C514" w14:textId="49902B0E" w:rsidR="00D5675C" w:rsidRDefault="00D5675C" w:rsidP="00D5675C">
      <w:pPr>
        <w:ind w:left="357"/>
        <w:jc w:val="both"/>
        <w:rPr>
          <w:rFonts w:ascii="Arial" w:hAnsi="Arial" w:cs="Arial"/>
          <w:sz w:val="20"/>
        </w:rPr>
      </w:pPr>
      <w:r>
        <w:rPr>
          <w:rFonts w:ascii="Arial" w:hAnsi="Arial" w:cs="Arial"/>
          <w:sz w:val="20"/>
        </w:rPr>
        <w:t>Effecting arrest</w:t>
      </w:r>
    </w:p>
    <w:p w14:paraId="07B6FB7B" w14:textId="1F813296" w:rsidR="00D5675C" w:rsidRDefault="00D5675C" w:rsidP="00D5675C">
      <w:pPr>
        <w:ind w:left="357"/>
        <w:jc w:val="both"/>
        <w:rPr>
          <w:rFonts w:ascii="Arial" w:hAnsi="Arial" w:cs="Arial"/>
          <w:sz w:val="20"/>
        </w:rPr>
      </w:pPr>
      <w:r>
        <w:rPr>
          <w:rFonts w:ascii="Arial" w:hAnsi="Arial" w:cs="Arial"/>
          <w:sz w:val="20"/>
        </w:rPr>
        <w:t>Use of handcuffs</w:t>
      </w:r>
    </w:p>
    <w:p w14:paraId="1BA2BB09" w14:textId="21E73A05" w:rsidR="00D5675C" w:rsidRDefault="00D5675C" w:rsidP="00D5675C">
      <w:pPr>
        <w:ind w:left="357"/>
        <w:jc w:val="both"/>
        <w:rPr>
          <w:rFonts w:ascii="Arial" w:hAnsi="Arial" w:cs="Arial"/>
          <w:sz w:val="20"/>
        </w:rPr>
      </w:pPr>
      <w:r>
        <w:rPr>
          <w:rFonts w:ascii="Arial" w:hAnsi="Arial" w:cs="Arial"/>
          <w:sz w:val="20"/>
        </w:rPr>
        <w:t>Execution of search warrant</w:t>
      </w:r>
    </w:p>
    <w:p w14:paraId="0914F84B" w14:textId="4E00CEF8" w:rsidR="00D5675C" w:rsidRDefault="00D5675C" w:rsidP="00D5675C">
      <w:pPr>
        <w:ind w:left="357"/>
        <w:jc w:val="both"/>
        <w:rPr>
          <w:rFonts w:ascii="Arial" w:hAnsi="Arial" w:cs="Arial"/>
          <w:sz w:val="20"/>
        </w:rPr>
      </w:pPr>
      <w:r>
        <w:rPr>
          <w:rFonts w:ascii="Arial" w:hAnsi="Arial" w:cs="Arial"/>
          <w:sz w:val="20"/>
        </w:rPr>
        <w:t>Non involvement in private civil disputes</w:t>
      </w:r>
    </w:p>
    <w:p w14:paraId="6FF8C957" w14:textId="4D85D891" w:rsidR="00D5675C" w:rsidRDefault="00D5675C" w:rsidP="00D5675C">
      <w:pPr>
        <w:ind w:left="357"/>
        <w:jc w:val="both"/>
        <w:rPr>
          <w:rFonts w:ascii="Arial" w:hAnsi="Arial" w:cs="Arial"/>
          <w:sz w:val="20"/>
        </w:rPr>
      </w:pPr>
      <w:r>
        <w:rPr>
          <w:rFonts w:ascii="Arial" w:hAnsi="Arial" w:cs="Arial"/>
          <w:sz w:val="20"/>
        </w:rPr>
        <w:t>Conflict of interest</w:t>
      </w:r>
    </w:p>
    <w:p w14:paraId="7084669F" w14:textId="4C3BDA47" w:rsidR="00D5675C" w:rsidRDefault="00D5675C" w:rsidP="00D5675C">
      <w:pPr>
        <w:ind w:left="357"/>
        <w:jc w:val="both"/>
        <w:rPr>
          <w:rFonts w:ascii="Arial" w:hAnsi="Arial" w:cs="Arial"/>
          <w:sz w:val="20"/>
        </w:rPr>
      </w:pPr>
      <w:r>
        <w:rPr>
          <w:rFonts w:ascii="Arial" w:hAnsi="Arial" w:cs="Arial"/>
          <w:sz w:val="20"/>
        </w:rPr>
        <w:t>Communicating outcome of investigation</w:t>
      </w:r>
    </w:p>
    <w:p w14:paraId="22733146" w14:textId="7CAEE5D2" w:rsidR="00D5675C" w:rsidRDefault="00D5675C" w:rsidP="00D5675C">
      <w:pPr>
        <w:ind w:left="357"/>
        <w:jc w:val="both"/>
        <w:rPr>
          <w:rFonts w:ascii="Arial" w:hAnsi="Arial" w:cs="Arial"/>
          <w:sz w:val="20"/>
        </w:rPr>
      </w:pPr>
      <w:r>
        <w:rPr>
          <w:rFonts w:ascii="Arial" w:hAnsi="Arial" w:cs="Arial"/>
          <w:sz w:val="20"/>
        </w:rPr>
        <w:t>Return of seized property</w:t>
      </w:r>
    </w:p>
    <w:p w14:paraId="6C6CC3F1" w14:textId="77777777" w:rsidR="00400DBA" w:rsidRDefault="00400DBA" w:rsidP="00400DBA">
      <w:pPr>
        <w:ind w:left="720" w:hanging="720"/>
        <w:jc w:val="both"/>
        <w:rPr>
          <w:rFonts w:ascii="Arial" w:hAnsi="Arial" w:cs="Arial"/>
          <w:sz w:val="20"/>
          <w:szCs w:val="20"/>
        </w:rPr>
      </w:pPr>
    </w:p>
    <w:p w14:paraId="67EB4830" w14:textId="711E1672" w:rsidR="00093781" w:rsidRDefault="00093781" w:rsidP="00093781">
      <w:pPr>
        <w:jc w:val="both"/>
        <w:rPr>
          <w:rFonts w:ascii="Arial" w:hAnsi="Arial" w:cs="Arial"/>
          <w:sz w:val="20"/>
          <w:szCs w:val="20"/>
        </w:rPr>
      </w:pPr>
      <w:r>
        <w:rPr>
          <w:rFonts w:ascii="Arial" w:hAnsi="Arial" w:cs="Arial"/>
          <w:sz w:val="20"/>
          <w:szCs w:val="20"/>
        </w:rPr>
        <w:t xml:space="preserve">Specific police </w:t>
      </w:r>
      <w:r w:rsidR="0095748D">
        <w:rPr>
          <w:rFonts w:ascii="Arial" w:hAnsi="Arial" w:cs="Arial"/>
          <w:sz w:val="20"/>
          <w:szCs w:val="20"/>
        </w:rPr>
        <w:t xml:space="preserve">power </w:t>
      </w:r>
      <w:r>
        <w:rPr>
          <w:rFonts w:ascii="Arial" w:hAnsi="Arial" w:cs="Arial"/>
          <w:sz w:val="20"/>
          <w:szCs w:val="20"/>
        </w:rPr>
        <w:t xml:space="preserve">to arrest a young person in a </w:t>
      </w:r>
      <w:r w:rsidR="0095748D">
        <w:rPr>
          <w:rFonts w:ascii="Arial" w:hAnsi="Arial" w:cs="Arial"/>
          <w:sz w:val="20"/>
          <w:szCs w:val="20"/>
        </w:rPr>
        <w:t xml:space="preserve">youth justice centre or a </w:t>
      </w:r>
      <w:r>
        <w:rPr>
          <w:rFonts w:ascii="Arial" w:hAnsi="Arial" w:cs="Arial"/>
          <w:sz w:val="20"/>
          <w:szCs w:val="20"/>
        </w:rPr>
        <w:t xml:space="preserve">remand centre </w:t>
      </w:r>
      <w:r w:rsidR="0095748D">
        <w:rPr>
          <w:rFonts w:ascii="Arial" w:hAnsi="Arial" w:cs="Arial"/>
          <w:sz w:val="20"/>
          <w:szCs w:val="20"/>
        </w:rPr>
        <w:t xml:space="preserve">on the request of the officer in charge of the centre </w:t>
      </w:r>
      <w:r>
        <w:rPr>
          <w:rFonts w:ascii="Arial" w:hAnsi="Arial" w:cs="Arial"/>
          <w:sz w:val="20"/>
          <w:szCs w:val="20"/>
        </w:rPr>
        <w:t xml:space="preserve">is conferred by ss.491 &amp; 491A of the </w:t>
      </w:r>
      <w:r w:rsidRPr="00093781">
        <w:rPr>
          <w:rFonts w:ascii="Arial" w:hAnsi="Arial" w:cs="Arial"/>
          <w:i/>
          <w:iCs/>
          <w:sz w:val="20"/>
          <w:szCs w:val="20"/>
        </w:rPr>
        <w:t>Children, Youth and Families Act 2005</w:t>
      </w:r>
      <w:r>
        <w:rPr>
          <w:rFonts w:ascii="Arial" w:hAnsi="Arial" w:cs="Arial"/>
          <w:sz w:val="20"/>
          <w:szCs w:val="20"/>
        </w:rPr>
        <w:t>:</w:t>
      </w:r>
    </w:p>
    <w:p w14:paraId="2606CA6E" w14:textId="35BD7C0A" w:rsidR="0095748D" w:rsidRPr="004C5E97" w:rsidRDefault="0095748D" w:rsidP="009C209D">
      <w:pPr>
        <w:pStyle w:val="Heading2"/>
        <w:keepNext/>
        <w:keepLines/>
        <w:widowControl/>
        <w:numPr>
          <w:ilvl w:val="0"/>
          <w:numId w:val="64"/>
        </w:numPr>
        <w:tabs>
          <w:tab w:val="num" w:pos="360"/>
          <w:tab w:val="left" w:pos="567"/>
          <w:tab w:val="num" w:pos="720"/>
        </w:tabs>
        <w:spacing w:before="60" w:line="240" w:lineRule="auto"/>
        <w:ind w:left="357" w:hanging="357"/>
        <w:rPr>
          <w:rFonts w:ascii="Arial" w:hAnsi="Arial" w:cs="Arial"/>
          <w:b/>
          <w:bCs/>
          <w:color w:val="000000"/>
          <w:sz w:val="20"/>
          <w:szCs w:val="24"/>
        </w:rPr>
      </w:pPr>
      <w:r>
        <w:rPr>
          <w:rFonts w:ascii="Arial" w:hAnsi="Arial" w:cs="Arial"/>
          <w:b/>
          <w:bCs/>
          <w:color w:val="000000"/>
          <w:sz w:val="20"/>
          <w:szCs w:val="24"/>
        </w:rPr>
        <w:lastRenderedPageBreak/>
        <w:t>s.491 CYFA: Power of police to arrest person in youth justice centre</w:t>
      </w:r>
    </w:p>
    <w:p w14:paraId="0AFB4A8B" w14:textId="0A0E8FCB" w:rsidR="0095748D" w:rsidRPr="004C5E97" w:rsidRDefault="0095748D" w:rsidP="00591749">
      <w:pPr>
        <w:pStyle w:val="ListParagraph"/>
        <w:numPr>
          <w:ilvl w:val="0"/>
          <w:numId w:val="65"/>
        </w:numPr>
        <w:spacing w:before="60" w:after="0" w:line="240" w:lineRule="auto"/>
        <w:jc w:val="both"/>
        <w:rPr>
          <w:rFonts w:ascii="Arial" w:hAnsi="Arial" w:cs="Arial"/>
          <w:color w:val="000000"/>
          <w:sz w:val="20"/>
        </w:rPr>
      </w:pPr>
      <w:r>
        <w:rPr>
          <w:rFonts w:ascii="Arial" w:hAnsi="Arial" w:cs="Arial"/>
          <w:color w:val="000000"/>
          <w:sz w:val="20"/>
        </w:rPr>
        <w:t>…[A] police officer may at any time, on the request of the officer in charge of a youth justice centre, without warrant apprehend and take before a bail justice or the Magistrates’ Court to be dealt with according to law, a person of or above the age of 18 years who–</w:t>
      </w:r>
    </w:p>
    <w:p w14:paraId="65676579" w14:textId="458A1961" w:rsidR="0095748D" w:rsidRDefault="0095748D" w:rsidP="00591749">
      <w:pPr>
        <w:numPr>
          <w:ilvl w:val="0"/>
          <w:numId w:val="66"/>
        </w:numPr>
        <w:ind w:left="1077" w:hanging="357"/>
        <w:jc w:val="both"/>
        <w:rPr>
          <w:rFonts w:ascii="Arial" w:hAnsi="Arial" w:cs="Arial"/>
          <w:sz w:val="20"/>
        </w:rPr>
      </w:pPr>
      <w:r>
        <w:rPr>
          <w:rFonts w:ascii="Arial" w:hAnsi="Arial" w:cs="Arial"/>
          <w:sz w:val="20"/>
        </w:rPr>
        <w:t>is serving a period of detention in the youth justice centre; and</w:t>
      </w:r>
    </w:p>
    <w:p w14:paraId="4AACCEE3" w14:textId="4DAAFDFE" w:rsidR="0095748D" w:rsidRDefault="0095748D" w:rsidP="00591749">
      <w:pPr>
        <w:numPr>
          <w:ilvl w:val="0"/>
          <w:numId w:val="66"/>
        </w:numPr>
        <w:ind w:left="1077" w:hanging="357"/>
        <w:jc w:val="both"/>
        <w:rPr>
          <w:rFonts w:ascii="Arial" w:hAnsi="Arial" w:cs="Arial"/>
          <w:sz w:val="20"/>
        </w:rPr>
      </w:pPr>
      <w:r>
        <w:rPr>
          <w:rFonts w:ascii="Arial" w:hAnsi="Arial" w:cs="Arial"/>
          <w:sz w:val="20"/>
        </w:rPr>
        <w:t>is being charged with an offence alleged to have been committed within the youth justice centre while serving the period of detention.</w:t>
      </w:r>
    </w:p>
    <w:p w14:paraId="6289C4F0" w14:textId="49482A50" w:rsidR="0095748D" w:rsidRPr="004C5E97" w:rsidRDefault="0095748D" w:rsidP="00591749">
      <w:pPr>
        <w:pStyle w:val="ListParagraph"/>
        <w:numPr>
          <w:ilvl w:val="0"/>
          <w:numId w:val="65"/>
        </w:numPr>
        <w:spacing w:before="60" w:after="0" w:line="240" w:lineRule="auto"/>
        <w:ind w:left="714" w:hanging="357"/>
        <w:jc w:val="both"/>
        <w:rPr>
          <w:rFonts w:ascii="Arial" w:hAnsi="Arial" w:cs="Arial"/>
          <w:color w:val="000000"/>
          <w:sz w:val="20"/>
        </w:rPr>
      </w:pPr>
      <w:r>
        <w:rPr>
          <w:rFonts w:ascii="Arial" w:hAnsi="Arial" w:cs="Arial"/>
          <w:color w:val="000000"/>
          <w:sz w:val="20"/>
        </w:rPr>
        <w:t xml:space="preserve">Section 333 of the </w:t>
      </w:r>
      <w:r w:rsidRPr="0095748D">
        <w:rPr>
          <w:rFonts w:ascii="Arial" w:hAnsi="Arial" w:cs="Arial"/>
          <w:i/>
          <w:iCs/>
          <w:color w:val="000000"/>
          <w:sz w:val="20"/>
        </w:rPr>
        <w:t>Criminal Procedure Act 2009</w:t>
      </w:r>
      <w:r>
        <w:rPr>
          <w:rFonts w:ascii="Arial" w:hAnsi="Arial" w:cs="Arial"/>
          <w:color w:val="000000"/>
          <w:sz w:val="20"/>
        </w:rPr>
        <w:t xml:space="preserve"> and s.5A of the </w:t>
      </w:r>
      <w:r w:rsidRPr="007C79A1">
        <w:rPr>
          <w:rFonts w:ascii="Arial" w:hAnsi="Arial" w:cs="Arial"/>
          <w:i/>
          <w:iCs/>
          <w:color w:val="000000"/>
          <w:sz w:val="20"/>
        </w:rPr>
        <w:t>Bail Act 1977</w:t>
      </w:r>
      <w:r>
        <w:rPr>
          <w:rFonts w:ascii="Arial" w:hAnsi="Arial" w:cs="Arial"/>
          <w:color w:val="000000"/>
          <w:sz w:val="20"/>
        </w:rPr>
        <w:t xml:space="preserve"> [</w:t>
      </w:r>
      <w:r w:rsidRPr="007C79A1">
        <w:rPr>
          <w:rFonts w:ascii="Arial" w:hAnsi="Arial" w:cs="Arial"/>
          <w:b/>
          <w:bCs/>
          <w:color w:val="000000"/>
          <w:sz w:val="20"/>
        </w:rPr>
        <w:t>Power to return accused to youth justice centre</w:t>
      </w:r>
      <w:r>
        <w:rPr>
          <w:rFonts w:ascii="Arial" w:hAnsi="Arial" w:cs="Arial"/>
          <w:color w:val="000000"/>
          <w:sz w:val="20"/>
        </w:rPr>
        <w:t>] do not apply to an accused in a criminal proceeding who has been apprehended under sub-section (1) if the Magistrates’ Court, County Court or Supreme Court, as the case may be, is satisfied that the accused–</w:t>
      </w:r>
    </w:p>
    <w:p w14:paraId="5A55094C" w14:textId="11CB46F9" w:rsidR="0095748D" w:rsidRDefault="0095748D" w:rsidP="00591749">
      <w:pPr>
        <w:numPr>
          <w:ilvl w:val="0"/>
          <w:numId w:val="67"/>
        </w:numPr>
        <w:ind w:left="1077" w:hanging="357"/>
        <w:jc w:val="both"/>
        <w:rPr>
          <w:rFonts w:ascii="Arial" w:hAnsi="Arial" w:cs="Arial"/>
          <w:sz w:val="20"/>
        </w:rPr>
      </w:pPr>
      <w:r>
        <w:rPr>
          <w:rFonts w:ascii="Arial" w:hAnsi="Arial" w:cs="Arial"/>
          <w:sz w:val="20"/>
        </w:rPr>
        <w:t>has engaged in conduct that threatens the good order and safe operation of the youth justice centre; and</w:t>
      </w:r>
    </w:p>
    <w:p w14:paraId="0B5287D9" w14:textId="25DD15DD" w:rsidR="0095748D" w:rsidRDefault="0095748D" w:rsidP="00591749">
      <w:pPr>
        <w:numPr>
          <w:ilvl w:val="0"/>
          <w:numId w:val="67"/>
        </w:numPr>
        <w:ind w:left="1077" w:hanging="357"/>
        <w:jc w:val="both"/>
        <w:rPr>
          <w:rFonts w:ascii="Arial" w:hAnsi="Arial" w:cs="Arial"/>
          <w:sz w:val="20"/>
        </w:rPr>
      </w:pPr>
      <w:r>
        <w:rPr>
          <w:rFonts w:ascii="Arial" w:hAnsi="Arial" w:cs="Arial"/>
          <w:sz w:val="20"/>
        </w:rPr>
        <w:t>is unable to be properly controlled in the youth justice centre.</w:t>
      </w:r>
    </w:p>
    <w:p w14:paraId="1FD3EDDA" w14:textId="72C03EE9" w:rsidR="00621E7D" w:rsidRPr="004C5E97" w:rsidRDefault="00621E7D" w:rsidP="00591749">
      <w:pPr>
        <w:pStyle w:val="Heading2"/>
        <w:numPr>
          <w:ilvl w:val="0"/>
          <w:numId w:val="64"/>
        </w:numPr>
        <w:tabs>
          <w:tab w:val="num" w:pos="360"/>
          <w:tab w:val="left" w:pos="567"/>
          <w:tab w:val="num" w:pos="720"/>
        </w:tabs>
        <w:spacing w:before="60" w:line="240" w:lineRule="auto"/>
        <w:ind w:left="357" w:hanging="357"/>
        <w:rPr>
          <w:rFonts w:ascii="Arial" w:hAnsi="Arial" w:cs="Arial"/>
          <w:b/>
          <w:bCs/>
          <w:color w:val="000000"/>
          <w:sz w:val="20"/>
          <w:szCs w:val="24"/>
        </w:rPr>
      </w:pPr>
      <w:r>
        <w:rPr>
          <w:rFonts w:ascii="Arial" w:hAnsi="Arial" w:cs="Arial"/>
          <w:b/>
          <w:bCs/>
          <w:color w:val="000000"/>
          <w:sz w:val="20"/>
          <w:szCs w:val="24"/>
        </w:rPr>
        <w:t>s.491A CYFA: Power of police to arrest person in remand centre</w:t>
      </w:r>
      <w:r w:rsidR="00063F65">
        <w:rPr>
          <w:rFonts w:ascii="Arial" w:hAnsi="Arial" w:cs="Arial"/>
          <w:b/>
          <w:bCs/>
          <w:color w:val="000000"/>
          <w:sz w:val="20"/>
          <w:szCs w:val="24"/>
        </w:rPr>
        <w:t xml:space="preserve"> [inserted by s.856 YJA]</w:t>
      </w:r>
    </w:p>
    <w:p w14:paraId="20588802" w14:textId="77777777" w:rsidR="00621E7D" w:rsidRPr="004C5E97" w:rsidRDefault="00621E7D" w:rsidP="00591749">
      <w:pPr>
        <w:pStyle w:val="ListParagraph"/>
        <w:numPr>
          <w:ilvl w:val="0"/>
          <w:numId w:val="68"/>
        </w:numPr>
        <w:spacing w:before="60" w:after="0" w:line="240" w:lineRule="auto"/>
        <w:jc w:val="both"/>
        <w:rPr>
          <w:rFonts w:ascii="Arial" w:hAnsi="Arial" w:cs="Arial"/>
          <w:color w:val="000000"/>
          <w:sz w:val="20"/>
        </w:rPr>
      </w:pPr>
      <w:r>
        <w:rPr>
          <w:rFonts w:ascii="Arial" w:hAnsi="Arial" w:cs="Arial"/>
          <w:color w:val="000000"/>
          <w:sz w:val="20"/>
        </w:rPr>
        <w:t>…[A] police officer may at any time, on the request of the officer in charge of a remand centre, without warrant apprehend and take before a bail justice or the Magistrates’ Court to be dealt with according to law, a person of or above the age of 18 years who–</w:t>
      </w:r>
    </w:p>
    <w:p w14:paraId="7F6676F6" w14:textId="77777777" w:rsidR="00621E7D" w:rsidRDefault="00621E7D" w:rsidP="00591749">
      <w:pPr>
        <w:numPr>
          <w:ilvl w:val="0"/>
          <w:numId w:val="69"/>
        </w:numPr>
        <w:spacing w:before="25"/>
        <w:ind w:left="1004" w:hanging="284"/>
        <w:jc w:val="both"/>
        <w:rPr>
          <w:rFonts w:ascii="Arial" w:hAnsi="Arial" w:cs="Arial"/>
          <w:sz w:val="20"/>
        </w:rPr>
      </w:pPr>
      <w:r>
        <w:rPr>
          <w:rFonts w:ascii="Arial" w:hAnsi="Arial" w:cs="Arial"/>
          <w:sz w:val="20"/>
        </w:rPr>
        <w:t>is remanded in custody in the remand centre; and</w:t>
      </w:r>
    </w:p>
    <w:p w14:paraId="18EEAB17" w14:textId="77777777" w:rsidR="00621E7D" w:rsidRDefault="00621E7D" w:rsidP="00591749">
      <w:pPr>
        <w:numPr>
          <w:ilvl w:val="0"/>
          <w:numId w:val="69"/>
        </w:numPr>
        <w:ind w:left="1077" w:hanging="357"/>
        <w:jc w:val="both"/>
        <w:rPr>
          <w:rFonts w:ascii="Arial" w:hAnsi="Arial" w:cs="Arial"/>
          <w:sz w:val="20"/>
        </w:rPr>
      </w:pPr>
      <w:r>
        <w:rPr>
          <w:rFonts w:ascii="Arial" w:hAnsi="Arial" w:cs="Arial"/>
          <w:sz w:val="20"/>
        </w:rPr>
        <w:t>is being charged with an offence alleged to have been committed within the remand centre while remanded in custody.</w:t>
      </w:r>
    </w:p>
    <w:p w14:paraId="17263E3E" w14:textId="77777777" w:rsidR="00621E7D" w:rsidRPr="004C5E97" w:rsidRDefault="00621E7D" w:rsidP="00591749">
      <w:pPr>
        <w:pStyle w:val="ListParagraph"/>
        <w:numPr>
          <w:ilvl w:val="0"/>
          <w:numId w:val="68"/>
        </w:numPr>
        <w:spacing w:before="60" w:after="0" w:line="240" w:lineRule="auto"/>
        <w:ind w:left="714" w:hanging="357"/>
        <w:jc w:val="both"/>
        <w:rPr>
          <w:rFonts w:ascii="Arial" w:hAnsi="Arial" w:cs="Arial"/>
          <w:color w:val="000000"/>
          <w:sz w:val="20"/>
        </w:rPr>
      </w:pPr>
      <w:r>
        <w:rPr>
          <w:rFonts w:ascii="Arial" w:hAnsi="Arial" w:cs="Arial"/>
          <w:color w:val="000000"/>
          <w:sz w:val="20"/>
        </w:rPr>
        <w:t xml:space="preserve">Section 5A of the </w:t>
      </w:r>
      <w:r w:rsidRPr="007C79A1">
        <w:rPr>
          <w:rFonts w:ascii="Arial" w:hAnsi="Arial" w:cs="Arial"/>
          <w:i/>
          <w:iCs/>
          <w:color w:val="000000"/>
          <w:sz w:val="20"/>
        </w:rPr>
        <w:t>Bail Act 1977</w:t>
      </w:r>
      <w:r>
        <w:rPr>
          <w:rFonts w:ascii="Arial" w:hAnsi="Arial" w:cs="Arial"/>
          <w:color w:val="000000"/>
          <w:sz w:val="20"/>
        </w:rPr>
        <w:t xml:space="preserve"> [</w:t>
      </w:r>
      <w:r w:rsidRPr="007C79A1">
        <w:rPr>
          <w:rFonts w:ascii="Arial" w:hAnsi="Arial" w:cs="Arial"/>
          <w:b/>
          <w:bCs/>
          <w:color w:val="000000"/>
          <w:sz w:val="20"/>
        </w:rPr>
        <w:t>Power to return accused to youth justice centre</w:t>
      </w:r>
      <w:r>
        <w:rPr>
          <w:rFonts w:ascii="Arial" w:hAnsi="Arial" w:cs="Arial"/>
          <w:color w:val="000000"/>
          <w:sz w:val="20"/>
        </w:rPr>
        <w:t>] does not apply to an accused in a criminal proceeding who has been apprehended under sub-section (1) if the Magistrates’ Court, County Court or Supreme Court, as the case may be, is satisfied that the accused–</w:t>
      </w:r>
    </w:p>
    <w:p w14:paraId="312E7C6F" w14:textId="77777777" w:rsidR="00621E7D" w:rsidRDefault="00621E7D" w:rsidP="00591749">
      <w:pPr>
        <w:numPr>
          <w:ilvl w:val="0"/>
          <w:numId w:val="70"/>
        </w:numPr>
        <w:ind w:left="1004" w:hanging="284"/>
        <w:jc w:val="both"/>
        <w:rPr>
          <w:rFonts w:ascii="Arial" w:hAnsi="Arial" w:cs="Arial"/>
          <w:sz w:val="20"/>
        </w:rPr>
      </w:pPr>
      <w:r>
        <w:rPr>
          <w:rFonts w:ascii="Arial" w:hAnsi="Arial" w:cs="Arial"/>
          <w:sz w:val="20"/>
        </w:rPr>
        <w:t>has engaged in conduct that threatens the good order and safe operation of the remand centre; and</w:t>
      </w:r>
    </w:p>
    <w:p w14:paraId="5F6872BB" w14:textId="77777777" w:rsidR="00621E7D" w:rsidRDefault="00621E7D" w:rsidP="00591749">
      <w:pPr>
        <w:numPr>
          <w:ilvl w:val="0"/>
          <w:numId w:val="70"/>
        </w:numPr>
        <w:ind w:left="1077" w:hanging="357"/>
        <w:jc w:val="both"/>
        <w:rPr>
          <w:rFonts w:ascii="Arial" w:hAnsi="Arial" w:cs="Arial"/>
          <w:sz w:val="20"/>
        </w:rPr>
      </w:pPr>
      <w:r>
        <w:rPr>
          <w:rFonts w:ascii="Arial" w:hAnsi="Arial" w:cs="Arial"/>
          <w:sz w:val="20"/>
        </w:rPr>
        <w:t>is unable to be properly controlled in the remand centre.</w:t>
      </w:r>
    </w:p>
    <w:p w14:paraId="7262F43E" w14:textId="77777777" w:rsidR="00093781" w:rsidRDefault="00093781" w:rsidP="00400DBA">
      <w:pPr>
        <w:ind w:left="720" w:hanging="720"/>
        <w:jc w:val="both"/>
        <w:rPr>
          <w:rFonts w:ascii="Arial" w:hAnsi="Arial" w:cs="Arial"/>
          <w:sz w:val="20"/>
          <w:szCs w:val="20"/>
        </w:rPr>
      </w:pPr>
    </w:p>
    <w:p w14:paraId="23A5E399" w14:textId="77777777" w:rsidR="00400DBA" w:rsidRPr="000510E3" w:rsidRDefault="00400DBA" w:rsidP="00400DBA">
      <w:pPr>
        <w:ind w:left="720" w:hanging="720"/>
        <w:jc w:val="center"/>
        <w:rPr>
          <w:rFonts w:ascii="Arial" w:hAnsi="Arial" w:cs="Arial"/>
          <w:b/>
          <w:bCs/>
        </w:rPr>
      </w:pPr>
      <w:r w:rsidRPr="000510E3">
        <w:rPr>
          <w:rFonts w:ascii="Arial" w:hAnsi="Arial" w:cs="Arial"/>
          <w:b/>
          <w:bCs/>
        </w:rPr>
        <w:t>THE REST OF THIS PAGE IS BLANK</w:t>
      </w:r>
    </w:p>
    <w:p w14:paraId="2E191F8D" w14:textId="77777777" w:rsidR="00400DBA" w:rsidRDefault="00400DBA" w:rsidP="00400DBA">
      <w:pPr>
        <w:rPr>
          <w:rFonts w:ascii="Arial" w:hAnsi="Arial" w:cs="Arial"/>
          <w:sz w:val="20"/>
          <w:szCs w:val="20"/>
        </w:rPr>
      </w:pPr>
    </w:p>
    <w:p w14:paraId="7D25563C" w14:textId="77777777" w:rsidR="00400DBA" w:rsidRDefault="00400DBA">
      <w:pPr>
        <w:rPr>
          <w:rFonts w:ascii="Arial" w:hAnsi="Arial" w:cs="Arial"/>
          <w:b/>
          <w:bCs/>
          <w:color w:val="000000"/>
          <w:kern w:val="28"/>
          <w:szCs w:val="20"/>
          <w:lang w:val="en-GB"/>
        </w:rPr>
      </w:pPr>
      <w:bookmarkStart w:id="130" w:name="_7.3_Victoria_Police"/>
      <w:bookmarkStart w:id="131" w:name="_Toc30669419"/>
      <w:bookmarkStart w:id="132" w:name="_Toc30671635"/>
      <w:bookmarkStart w:id="133" w:name="_Toc30674162"/>
      <w:bookmarkStart w:id="134" w:name="_Toc30691384"/>
      <w:bookmarkStart w:id="135" w:name="_Toc30691759"/>
      <w:bookmarkStart w:id="136" w:name="_Toc30692139"/>
      <w:bookmarkStart w:id="137" w:name="_Toc30692898"/>
      <w:bookmarkStart w:id="138" w:name="_Toc30693277"/>
      <w:bookmarkStart w:id="139" w:name="_Toc30693655"/>
      <w:bookmarkStart w:id="140" w:name="_Toc30694033"/>
      <w:bookmarkStart w:id="141" w:name="_Toc30694414"/>
      <w:bookmarkStart w:id="142" w:name="_Toc30699003"/>
      <w:bookmarkStart w:id="143" w:name="_Toc30699381"/>
      <w:bookmarkStart w:id="144" w:name="_Toc30699766"/>
      <w:bookmarkStart w:id="145" w:name="_Toc30700921"/>
      <w:bookmarkStart w:id="146" w:name="_Toc30701308"/>
      <w:bookmarkStart w:id="147" w:name="_Toc30743919"/>
      <w:bookmarkStart w:id="148" w:name="_Toc30754742"/>
      <w:bookmarkStart w:id="149" w:name="_Toc30757183"/>
      <w:bookmarkStart w:id="150" w:name="_Toc30757731"/>
      <w:bookmarkStart w:id="151" w:name="_Toc30758131"/>
      <w:bookmarkStart w:id="152" w:name="_Toc30762892"/>
      <w:bookmarkStart w:id="153" w:name="_Toc30767546"/>
      <w:bookmarkStart w:id="154" w:name="_Toc34823564"/>
      <w:bookmarkEnd w:id="130"/>
      <w:r>
        <w:rPr>
          <w:rFonts w:ascii="Arial" w:hAnsi="Arial" w:cs="Arial"/>
          <w:b/>
          <w:bCs/>
          <w:color w:val="000000"/>
        </w:rPr>
        <w:br w:type="page"/>
      </w:r>
    </w:p>
    <w:p w14:paraId="5A7DA34F" w14:textId="3DDCB7F9" w:rsidR="00E355C1" w:rsidRPr="00F51496" w:rsidRDefault="00E355C1" w:rsidP="00400DBA">
      <w:pPr>
        <w:pStyle w:val="Heading2"/>
        <w:keepNext/>
        <w:tabs>
          <w:tab w:val="left" w:pos="567"/>
        </w:tabs>
        <w:spacing w:line="240" w:lineRule="auto"/>
        <w:rPr>
          <w:rFonts w:ascii="Arial" w:hAnsi="Arial" w:cs="Arial"/>
          <w:b/>
          <w:bCs/>
          <w:color w:val="000000"/>
        </w:rPr>
      </w:pPr>
      <w:r w:rsidRPr="00F51496">
        <w:rPr>
          <w:rFonts w:ascii="Arial" w:hAnsi="Arial" w:cs="Arial"/>
          <w:b/>
          <w:bCs/>
          <w:color w:val="000000"/>
        </w:rPr>
        <w:lastRenderedPageBreak/>
        <w:t>7.</w:t>
      </w:r>
      <w:r w:rsidR="00130D93">
        <w:rPr>
          <w:rFonts w:ascii="Arial" w:hAnsi="Arial" w:cs="Arial"/>
          <w:b/>
          <w:bCs/>
          <w:color w:val="000000"/>
        </w:rPr>
        <w:t>3</w:t>
      </w:r>
      <w:r w:rsidRPr="00F51496">
        <w:rPr>
          <w:rFonts w:ascii="Arial" w:hAnsi="Arial" w:cs="Arial"/>
          <w:b/>
          <w:bCs/>
          <w:color w:val="000000"/>
        </w:rPr>
        <w:tab/>
      </w:r>
      <w:r w:rsidR="00130D93">
        <w:rPr>
          <w:rFonts w:ascii="Arial" w:hAnsi="Arial" w:cs="Arial"/>
          <w:b/>
          <w:bCs/>
          <w:color w:val="000000"/>
        </w:rPr>
        <w:t xml:space="preserve">Powers </w:t>
      </w:r>
      <w:r w:rsidR="00574B02">
        <w:rPr>
          <w:rFonts w:ascii="Arial" w:hAnsi="Arial" w:cs="Arial"/>
          <w:b/>
          <w:bCs/>
          <w:color w:val="000000"/>
        </w:rPr>
        <w:t>to conduct personal searches of children &amp; adults</w:t>
      </w:r>
    </w:p>
    <w:p w14:paraId="20EEF21B" w14:textId="77777777" w:rsidR="00130D93" w:rsidRDefault="00130D93" w:rsidP="00130D93">
      <w:pPr>
        <w:jc w:val="both"/>
        <w:rPr>
          <w:rFonts w:ascii="Arial" w:hAnsi="Arial" w:cs="Arial"/>
          <w:bCs/>
          <w:color w:val="000000"/>
          <w:sz w:val="20"/>
        </w:rPr>
      </w:pPr>
    </w:p>
    <w:p w14:paraId="09CAB893" w14:textId="14F12EF5" w:rsidR="00483BF3" w:rsidRDefault="00483BF3" w:rsidP="00130D93">
      <w:pPr>
        <w:jc w:val="both"/>
        <w:rPr>
          <w:rFonts w:ascii="Arial" w:hAnsi="Arial" w:cs="Arial"/>
          <w:bCs/>
          <w:color w:val="000000"/>
          <w:sz w:val="20"/>
        </w:rPr>
      </w:pPr>
      <w:r>
        <w:rPr>
          <w:rFonts w:ascii="Arial" w:hAnsi="Arial" w:cs="Arial"/>
          <w:bCs/>
          <w:color w:val="000000"/>
          <w:sz w:val="20"/>
        </w:rPr>
        <w:t xml:space="preserve">This </w:t>
      </w:r>
      <w:r w:rsidR="0044363B">
        <w:rPr>
          <w:rFonts w:ascii="Arial" w:hAnsi="Arial" w:cs="Arial"/>
          <w:bCs/>
          <w:color w:val="000000"/>
          <w:sz w:val="20"/>
        </w:rPr>
        <w:t>Part</w:t>
      </w:r>
      <w:r>
        <w:rPr>
          <w:rFonts w:ascii="Arial" w:hAnsi="Arial" w:cs="Arial"/>
          <w:bCs/>
          <w:color w:val="000000"/>
          <w:sz w:val="20"/>
        </w:rPr>
        <w:t xml:space="preserve"> is limited to personal search powers under Victorian law. It does not extend to an analysis of any </w:t>
      </w:r>
      <w:r w:rsidRPr="00483BF3">
        <w:rPr>
          <w:rFonts w:ascii="Arial" w:hAnsi="Arial" w:cs="Arial"/>
          <w:color w:val="404A4B"/>
          <w:sz w:val="20"/>
          <w:szCs w:val="20"/>
        </w:rPr>
        <w:t>search powers contained in Commonwealth legislation.</w:t>
      </w:r>
    </w:p>
    <w:p w14:paraId="41178CCF" w14:textId="77777777" w:rsidR="00483BF3" w:rsidRPr="00F51496" w:rsidRDefault="00483BF3" w:rsidP="00130D93">
      <w:pPr>
        <w:jc w:val="both"/>
        <w:rPr>
          <w:rFonts w:ascii="Arial" w:hAnsi="Arial" w:cs="Arial"/>
          <w:bCs/>
          <w:color w:val="000000"/>
          <w:sz w:val="20"/>
        </w:rPr>
      </w:pPr>
    </w:p>
    <w:p w14:paraId="3F81BDE3" w14:textId="219A1815" w:rsidR="00130D93" w:rsidRPr="000A596D" w:rsidRDefault="00130D93" w:rsidP="000A596D">
      <w:pPr>
        <w:pStyle w:val="Heading3"/>
        <w:spacing w:after="120" w:line="240" w:lineRule="auto"/>
        <w:rPr>
          <w:rFonts w:ascii="Arial" w:hAnsi="Arial" w:cs="Arial"/>
          <w:b/>
          <w:bCs/>
          <w:sz w:val="20"/>
          <w:szCs w:val="16"/>
        </w:rPr>
      </w:pPr>
      <w:bookmarkStart w:id="155" w:name="_7.3.1_Personal_searches"/>
      <w:bookmarkEnd w:id="155"/>
      <w:r w:rsidRPr="000A596D">
        <w:rPr>
          <w:rFonts w:ascii="Arial" w:hAnsi="Arial" w:cs="Arial"/>
          <w:b/>
          <w:bCs/>
          <w:sz w:val="20"/>
          <w:szCs w:val="16"/>
        </w:rPr>
        <w:t>7.3.1</w:t>
      </w:r>
      <w:r w:rsidRPr="000A596D">
        <w:rPr>
          <w:rFonts w:ascii="Arial" w:hAnsi="Arial" w:cs="Arial"/>
          <w:b/>
          <w:bCs/>
          <w:sz w:val="20"/>
          <w:szCs w:val="16"/>
        </w:rPr>
        <w:tab/>
        <w:t>P</w:t>
      </w:r>
      <w:r w:rsidR="00574B02">
        <w:rPr>
          <w:rFonts w:ascii="Arial" w:hAnsi="Arial" w:cs="Arial"/>
          <w:b/>
          <w:bCs/>
          <w:sz w:val="20"/>
          <w:szCs w:val="16"/>
        </w:rPr>
        <w:t>olice powers to conduct p</w:t>
      </w:r>
      <w:r w:rsidRPr="000A596D">
        <w:rPr>
          <w:rFonts w:ascii="Arial" w:hAnsi="Arial" w:cs="Arial"/>
          <w:b/>
          <w:bCs/>
          <w:sz w:val="20"/>
          <w:szCs w:val="16"/>
        </w:rPr>
        <w:t>ersonal searches of adults and children generally</w:t>
      </w:r>
    </w:p>
    <w:p w14:paraId="6F5E7B63" w14:textId="77777777" w:rsidR="000A596D" w:rsidRDefault="00E355C1" w:rsidP="000A596D">
      <w:pPr>
        <w:jc w:val="both"/>
        <w:rPr>
          <w:rFonts w:ascii="Arial" w:hAnsi="Arial" w:cs="Arial"/>
          <w:bCs/>
          <w:color w:val="000000"/>
          <w:sz w:val="20"/>
        </w:rPr>
      </w:pPr>
      <w:r w:rsidRPr="00130D93">
        <w:rPr>
          <w:rFonts w:ascii="Arial" w:hAnsi="Arial" w:cs="Arial"/>
          <w:sz w:val="20"/>
          <w:szCs w:val="20"/>
        </w:rPr>
        <w:t xml:space="preserve">Summarising the common law and statutory powers of Victorian police officers to conduct a personal search of adults </w:t>
      </w:r>
      <w:r w:rsidR="006874D8">
        <w:rPr>
          <w:rFonts w:ascii="Arial" w:hAnsi="Arial" w:cs="Arial"/>
          <w:sz w:val="20"/>
          <w:szCs w:val="20"/>
        </w:rPr>
        <w:t>&amp;</w:t>
      </w:r>
      <w:r w:rsidRPr="00130D93">
        <w:rPr>
          <w:rFonts w:ascii="Arial" w:hAnsi="Arial" w:cs="Arial"/>
          <w:sz w:val="20"/>
          <w:szCs w:val="20"/>
        </w:rPr>
        <w:t xml:space="preserve"> children, website </w:t>
      </w:r>
      <w:hyperlink r:id="rId12" w:history="1">
        <w:r w:rsidR="006874D8" w:rsidRPr="006874D8">
          <w:rPr>
            <w:rStyle w:val="Hyperlink"/>
            <w:rFonts w:ascii="Arial" w:hAnsi="Arial" w:cs="Arial"/>
            <w:sz w:val="20"/>
            <w:szCs w:val="20"/>
          </w:rPr>
          <w:t>https://www.gotocourt.com.au/criminal-law/vic/personal-searches/</w:t>
        </w:r>
      </w:hyperlink>
      <w:r w:rsidR="006874D8">
        <w:rPr>
          <w:rFonts w:ascii="Arial" w:hAnsi="Arial" w:cs="Arial"/>
          <w:sz w:val="20"/>
          <w:szCs w:val="20"/>
        </w:rPr>
        <w:t xml:space="preserve"> </w:t>
      </w:r>
      <w:r w:rsidRPr="00130D93">
        <w:rPr>
          <w:rFonts w:ascii="Arial" w:hAnsi="Arial" w:cs="Arial"/>
          <w:sz w:val="20"/>
          <w:szCs w:val="20"/>
        </w:rPr>
        <w:t>states:</w:t>
      </w:r>
    </w:p>
    <w:p w14:paraId="16B08193" w14:textId="77777777" w:rsidR="00E355C1" w:rsidRPr="00130D93" w:rsidRDefault="00E355C1" w:rsidP="005C4B85">
      <w:pPr>
        <w:spacing w:before="120"/>
        <w:ind w:left="357"/>
        <w:jc w:val="both"/>
        <w:rPr>
          <w:rFonts w:ascii="Arial" w:hAnsi="Arial" w:cs="Arial"/>
          <w:i/>
          <w:iCs/>
          <w:sz w:val="18"/>
          <w:szCs w:val="18"/>
        </w:rPr>
      </w:pPr>
      <w:r w:rsidRPr="00130D93">
        <w:rPr>
          <w:rFonts w:ascii="Arial" w:hAnsi="Arial" w:cs="Arial"/>
          <w:i/>
          <w:iCs/>
          <w:color w:val="141412"/>
          <w:sz w:val="18"/>
          <w:szCs w:val="18"/>
        </w:rPr>
        <w:t>“Police have a legal right to search you or your property only if:</w:t>
      </w:r>
    </w:p>
    <w:p w14:paraId="0C679A94" w14:textId="77777777" w:rsidR="00E355C1" w:rsidRPr="00130D93" w:rsidRDefault="00E355C1" w:rsidP="00591749">
      <w:pPr>
        <w:pStyle w:val="ListParagraph"/>
        <w:numPr>
          <w:ilvl w:val="0"/>
          <w:numId w:val="33"/>
        </w:numPr>
        <w:spacing w:after="0" w:line="240" w:lineRule="auto"/>
        <w:ind w:left="714" w:hanging="357"/>
        <w:jc w:val="both"/>
        <w:rPr>
          <w:rFonts w:ascii="Arial" w:hAnsi="Arial" w:cs="Arial"/>
          <w:i/>
          <w:iCs/>
          <w:sz w:val="18"/>
          <w:szCs w:val="18"/>
        </w:rPr>
      </w:pPr>
      <w:r w:rsidRPr="00130D93">
        <w:rPr>
          <w:rFonts w:ascii="Arial" w:hAnsi="Arial" w:cs="Arial"/>
          <w:i/>
          <w:iCs/>
          <w:sz w:val="18"/>
          <w:szCs w:val="18"/>
        </w:rPr>
        <w:t>You agree to the search.</w:t>
      </w:r>
    </w:p>
    <w:p w14:paraId="7DA1DFC0" w14:textId="77777777" w:rsidR="00E355C1" w:rsidRPr="00130D93" w:rsidRDefault="00E355C1" w:rsidP="00591749">
      <w:pPr>
        <w:pStyle w:val="ListParagraph"/>
        <w:numPr>
          <w:ilvl w:val="0"/>
          <w:numId w:val="33"/>
        </w:numPr>
        <w:spacing w:after="0" w:line="240" w:lineRule="auto"/>
        <w:ind w:left="714" w:hanging="357"/>
        <w:jc w:val="both"/>
        <w:rPr>
          <w:rFonts w:ascii="Arial" w:hAnsi="Arial" w:cs="Arial"/>
          <w:i/>
          <w:iCs/>
          <w:sz w:val="18"/>
          <w:szCs w:val="18"/>
        </w:rPr>
      </w:pPr>
      <w:r w:rsidRPr="00130D93">
        <w:rPr>
          <w:rFonts w:ascii="Arial" w:hAnsi="Arial" w:cs="Arial"/>
          <w:i/>
          <w:iCs/>
          <w:sz w:val="18"/>
          <w:szCs w:val="18"/>
        </w:rPr>
        <w:t>They have a warrant.</w:t>
      </w:r>
    </w:p>
    <w:p w14:paraId="4611CD99" w14:textId="77777777" w:rsidR="00E355C1" w:rsidRPr="00130D93" w:rsidRDefault="00E355C1" w:rsidP="00591749">
      <w:pPr>
        <w:pStyle w:val="ListParagraph"/>
        <w:numPr>
          <w:ilvl w:val="0"/>
          <w:numId w:val="33"/>
        </w:numPr>
        <w:spacing w:after="0" w:line="240" w:lineRule="auto"/>
        <w:ind w:left="714" w:hanging="357"/>
        <w:jc w:val="both"/>
        <w:rPr>
          <w:rFonts w:ascii="Arial" w:hAnsi="Arial" w:cs="Arial"/>
          <w:i/>
          <w:iCs/>
          <w:sz w:val="18"/>
          <w:szCs w:val="18"/>
        </w:rPr>
      </w:pPr>
      <w:r w:rsidRPr="00130D93">
        <w:rPr>
          <w:rFonts w:ascii="Arial" w:hAnsi="Arial" w:cs="Arial"/>
          <w:i/>
          <w:iCs/>
          <w:sz w:val="18"/>
          <w:szCs w:val="18"/>
        </w:rPr>
        <w:t>They have reason to believe that you have a concealed weapon.</w:t>
      </w:r>
    </w:p>
    <w:p w14:paraId="3409425F" w14:textId="77777777" w:rsidR="00E355C1" w:rsidRPr="00130D93" w:rsidRDefault="00E355C1" w:rsidP="00591749">
      <w:pPr>
        <w:pStyle w:val="ListParagraph"/>
        <w:numPr>
          <w:ilvl w:val="0"/>
          <w:numId w:val="33"/>
        </w:numPr>
        <w:spacing w:after="0" w:line="240" w:lineRule="auto"/>
        <w:ind w:left="714" w:hanging="357"/>
        <w:jc w:val="both"/>
        <w:rPr>
          <w:rFonts w:ascii="Arial" w:hAnsi="Arial" w:cs="Arial"/>
          <w:i/>
          <w:iCs/>
          <w:sz w:val="18"/>
          <w:szCs w:val="18"/>
        </w:rPr>
      </w:pPr>
      <w:r w:rsidRPr="00130D93">
        <w:rPr>
          <w:rFonts w:ascii="Arial" w:hAnsi="Arial" w:cs="Arial"/>
          <w:i/>
          <w:iCs/>
          <w:sz w:val="18"/>
          <w:szCs w:val="18"/>
        </w:rPr>
        <w:t>You have been arrested.</w:t>
      </w:r>
    </w:p>
    <w:p w14:paraId="6243FD8B" w14:textId="77777777" w:rsidR="00E355C1" w:rsidRPr="00130D93" w:rsidRDefault="00E355C1" w:rsidP="00591749">
      <w:pPr>
        <w:pStyle w:val="ListParagraph"/>
        <w:numPr>
          <w:ilvl w:val="0"/>
          <w:numId w:val="33"/>
        </w:numPr>
        <w:spacing w:after="0" w:line="240" w:lineRule="auto"/>
        <w:ind w:left="714" w:hanging="357"/>
        <w:jc w:val="both"/>
        <w:rPr>
          <w:rFonts w:ascii="Arial" w:hAnsi="Arial" w:cs="Arial"/>
          <w:i/>
          <w:iCs/>
          <w:sz w:val="18"/>
          <w:szCs w:val="18"/>
        </w:rPr>
      </w:pPr>
      <w:r w:rsidRPr="00130D93">
        <w:rPr>
          <w:rFonts w:ascii="Arial" w:hAnsi="Arial" w:cs="Arial"/>
          <w:i/>
          <w:iCs/>
          <w:sz w:val="18"/>
          <w:szCs w:val="18"/>
        </w:rPr>
        <w:t>You are in a declared ‘designated area’.</w:t>
      </w:r>
    </w:p>
    <w:p w14:paraId="65629ED3" w14:textId="77777777" w:rsidR="00E355C1" w:rsidRPr="00130D93" w:rsidRDefault="00E355C1" w:rsidP="00591749">
      <w:pPr>
        <w:pStyle w:val="ListParagraph"/>
        <w:numPr>
          <w:ilvl w:val="0"/>
          <w:numId w:val="33"/>
        </w:numPr>
        <w:spacing w:after="0" w:line="240" w:lineRule="auto"/>
        <w:ind w:left="714" w:hanging="357"/>
        <w:jc w:val="both"/>
        <w:rPr>
          <w:rFonts w:ascii="Arial" w:hAnsi="Arial" w:cs="Arial"/>
          <w:i/>
          <w:iCs/>
          <w:sz w:val="18"/>
          <w:szCs w:val="18"/>
        </w:rPr>
      </w:pPr>
      <w:r w:rsidRPr="00130D93">
        <w:rPr>
          <w:rFonts w:ascii="Arial" w:hAnsi="Arial" w:cs="Arial"/>
          <w:i/>
          <w:iCs/>
          <w:sz w:val="18"/>
          <w:szCs w:val="18"/>
        </w:rPr>
        <w:t>There is some other reason specified in the law.”</w:t>
      </w:r>
    </w:p>
    <w:p w14:paraId="137402FC" w14:textId="77777777" w:rsidR="00E355C1" w:rsidRPr="00375B25" w:rsidRDefault="00E355C1" w:rsidP="00E355C1">
      <w:pPr>
        <w:rPr>
          <w:sz w:val="20"/>
          <w:szCs w:val="20"/>
        </w:rPr>
      </w:pPr>
    </w:p>
    <w:p w14:paraId="64A33A76" w14:textId="77777777" w:rsidR="000A596D" w:rsidRDefault="00E355C1" w:rsidP="000A596D">
      <w:pPr>
        <w:jc w:val="both"/>
        <w:rPr>
          <w:rFonts w:ascii="Arial" w:hAnsi="Arial" w:cs="Arial"/>
          <w:bCs/>
          <w:color w:val="000000"/>
          <w:sz w:val="20"/>
        </w:rPr>
      </w:pPr>
      <w:r w:rsidRPr="00130D93">
        <w:rPr>
          <w:rFonts w:ascii="Arial" w:hAnsi="Arial" w:cs="Arial"/>
          <w:sz w:val="20"/>
          <w:szCs w:val="20"/>
        </w:rPr>
        <w:t>In relation to personal searches without a warrant in Victoria the website continues:</w:t>
      </w:r>
    </w:p>
    <w:p w14:paraId="6506B48E" w14:textId="77777777" w:rsidR="00E355C1" w:rsidRPr="00130D93" w:rsidRDefault="00E355C1" w:rsidP="005C4B85">
      <w:pPr>
        <w:pStyle w:val="NormalWeb"/>
        <w:shd w:val="clear" w:color="auto" w:fill="FFFFFF"/>
        <w:spacing w:before="120" w:beforeAutospacing="0" w:after="0" w:afterAutospacing="0"/>
        <w:ind w:left="357"/>
        <w:jc w:val="both"/>
        <w:rPr>
          <w:rFonts w:ascii="Arial" w:hAnsi="Arial" w:cs="Arial"/>
          <w:i/>
          <w:iCs/>
          <w:color w:val="141412"/>
          <w:sz w:val="18"/>
          <w:szCs w:val="18"/>
        </w:rPr>
      </w:pPr>
      <w:r w:rsidRPr="00130D93">
        <w:rPr>
          <w:rFonts w:ascii="Arial" w:hAnsi="Arial" w:cs="Arial"/>
          <w:i/>
          <w:iCs/>
          <w:color w:val="141412"/>
          <w:sz w:val="18"/>
          <w:szCs w:val="18"/>
        </w:rPr>
        <w:t>“In certain circumstances, police don’t need a </w:t>
      </w:r>
      <w:hyperlink r:id="rId13" w:tgtFrame="_blank" w:history="1">
        <w:r w:rsidRPr="00130D93">
          <w:rPr>
            <w:rStyle w:val="Hyperlink"/>
            <w:rFonts w:ascii="Arial" w:hAnsi="Arial" w:cs="Arial"/>
            <w:i/>
            <w:iCs/>
            <w:color w:val="000000"/>
            <w:sz w:val="18"/>
            <w:szCs w:val="18"/>
          </w:rPr>
          <w:t>warrant</w:t>
        </w:r>
      </w:hyperlink>
      <w:r w:rsidRPr="00130D93">
        <w:rPr>
          <w:rFonts w:ascii="Arial" w:hAnsi="Arial" w:cs="Arial"/>
          <w:i/>
          <w:iCs/>
          <w:color w:val="141412"/>
          <w:sz w:val="18"/>
          <w:szCs w:val="18"/>
        </w:rPr>
        <w:t> to search you, anything you are carrying, or the car you are in. They can search your car even if you are no longer in it. Police can only conduct personal searches in Victoria if you are in a public place and they reasonably suspect:</w:t>
      </w:r>
    </w:p>
    <w:p w14:paraId="4D4996CF" w14:textId="77777777" w:rsidR="00E355C1" w:rsidRPr="00130D93" w:rsidRDefault="00E355C1" w:rsidP="00591749">
      <w:pPr>
        <w:pStyle w:val="ListParagraph"/>
        <w:numPr>
          <w:ilvl w:val="0"/>
          <w:numId w:val="34"/>
        </w:numPr>
        <w:shd w:val="clear" w:color="auto" w:fill="FFFFFF"/>
        <w:spacing w:after="0" w:line="240" w:lineRule="auto"/>
        <w:ind w:left="714" w:hanging="357"/>
        <w:jc w:val="both"/>
        <w:rPr>
          <w:rFonts w:ascii="Arial" w:hAnsi="Arial" w:cs="Arial"/>
          <w:i/>
          <w:iCs/>
          <w:color w:val="141412"/>
          <w:sz w:val="18"/>
          <w:szCs w:val="18"/>
        </w:rPr>
      </w:pPr>
      <w:r w:rsidRPr="00130D93">
        <w:rPr>
          <w:rFonts w:ascii="Arial" w:hAnsi="Arial" w:cs="Arial"/>
          <w:i/>
          <w:iCs/>
          <w:color w:val="141412"/>
          <w:sz w:val="18"/>
          <w:szCs w:val="18"/>
        </w:rPr>
        <w:t>you have illegal drugs</w:t>
      </w:r>
    </w:p>
    <w:p w14:paraId="1B2B5A45" w14:textId="77777777" w:rsidR="00E355C1" w:rsidRPr="00130D93" w:rsidRDefault="00E355C1" w:rsidP="00591749">
      <w:pPr>
        <w:pStyle w:val="ListParagraph"/>
        <w:numPr>
          <w:ilvl w:val="0"/>
          <w:numId w:val="34"/>
        </w:numPr>
        <w:shd w:val="clear" w:color="auto" w:fill="FFFFFF"/>
        <w:spacing w:after="0" w:line="240" w:lineRule="auto"/>
        <w:ind w:left="714" w:hanging="357"/>
        <w:jc w:val="both"/>
        <w:rPr>
          <w:rFonts w:ascii="Arial" w:hAnsi="Arial" w:cs="Arial"/>
          <w:i/>
          <w:iCs/>
          <w:color w:val="141412"/>
          <w:sz w:val="18"/>
          <w:szCs w:val="18"/>
        </w:rPr>
      </w:pPr>
      <w:r w:rsidRPr="00130D93">
        <w:rPr>
          <w:rFonts w:ascii="Arial" w:hAnsi="Arial" w:cs="Arial"/>
          <w:i/>
          <w:iCs/>
          <w:color w:val="141412"/>
          <w:sz w:val="18"/>
          <w:szCs w:val="18"/>
        </w:rPr>
        <w:t>you have dangerous items in your possession, such as guns (including imitation guns), knives, knuckle-dusters, nunchakus, other weapons, things that may explode or catch fire</w:t>
      </w:r>
    </w:p>
    <w:p w14:paraId="6932BF16" w14:textId="77777777" w:rsidR="00E355C1" w:rsidRPr="00130D93" w:rsidRDefault="00E355C1" w:rsidP="00591749">
      <w:pPr>
        <w:pStyle w:val="ListParagraph"/>
        <w:numPr>
          <w:ilvl w:val="0"/>
          <w:numId w:val="34"/>
        </w:numPr>
        <w:shd w:val="clear" w:color="auto" w:fill="FFFFFF"/>
        <w:spacing w:after="0" w:line="240" w:lineRule="auto"/>
        <w:ind w:left="714" w:hanging="357"/>
        <w:jc w:val="both"/>
        <w:rPr>
          <w:rFonts w:ascii="Arial" w:hAnsi="Arial" w:cs="Arial"/>
          <w:i/>
          <w:iCs/>
          <w:color w:val="141412"/>
          <w:sz w:val="18"/>
          <w:szCs w:val="18"/>
        </w:rPr>
      </w:pPr>
      <w:r w:rsidRPr="00130D93">
        <w:rPr>
          <w:rFonts w:ascii="Arial" w:hAnsi="Arial" w:cs="Arial"/>
          <w:i/>
          <w:iCs/>
          <w:color w:val="141412"/>
          <w:sz w:val="18"/>
          <w:szCs w:val="18"/>
        </w:rPr>
        <w:t>you are in an area where a lot of violent crime happens</w:t>
      </w:r>
    </w:p>
    <w:p w14:paraId="5AD9ADC5" w14:textId="77777777" w:rsidR="00E355C1" w:rsidRPr="00130D93" w:rsidRDefault="00E355C1" w:rsidP="00591749">
      <w:pPr>
        <w:pStyle w:val="ListParagraph"/>
        <w:numPr>
          <w:ilvl w:val="0"/>
          <w:numId w:val="34"/>
        </w:numPr>
        <w:shd w:val="clear" w:color="auto" w:fill="FFFFFF"/>
        <w:spacing w:after="0" w:line="240" w:lineRule="auto"/>
        <w:ind w:left="714" w:hanging="357"/>
        <w:jc w:val="both"/>
        <w:rPr>
          <w:rFonts w:ascii="Arial" w:hAnsi="Arial" w:cs="Arial"/>
          <w:i/>
          <w:iCs/>
          <w:color w:val="141412"/>
          <w:sz w:val="18"/>
          <w:szCs w:val="18"/>
        </w:rPr>
      </w:pPr>
      <w:r w:rsidRPr="00130D93">
        <w:rPr>
          <w:rFonts w:ascii="Arial" w:hAnsi="Arial" w:cs="Arial"/>
          <w:i/>
          <w:iCs/>
          <w:color w:val="141412"/>
          <w:sz w:val="18"/>
          <w:szCs w:val="18"/>
        </w:rPr>
        <w:t>you have tools for graffiti like spray paint, textas, or gouging tools. Police can only search you for graffiti tools if you are aged 14 or older and are on or near public transport property or trespassing on someone else’s property.</w:t>
      </w:r>
    </w:p>
    <w:p w14:paraId="6BEC454A" w14:textId="77777777" w:rsidR="00E355C1" w:rsidRPr="00130D93" w:rsidRDefault="00E355C1" w:rsidP="00591749">
      <w:pPr>
        <w:pStyle w:val="ListParagraph"/>
        <w:numPr>
          <w:ilvl w:val="0"/>
          <w:numId w:val="34"/>
        </w:numPr>
        <w:shd w:val="clear" w:color="auto" w:fill="FFFFFF"/>
        <w:spacing w:after="0" w:line="240" w:lineRule="auto"/>
        <w:ind w:left="714" w:hanging="357"/>
        <w:jc w:val="both"/>
        <w:rPr>
          <w:rFonts w:ascii="Arial" w:hAnsi="Arial" w:cs="Arial"/>
          <w:i/>
          <w:iCs/>
          <w:color w:val="141412"/>
          <w:sz w:val="18"/>
          <w:szCs w:val="18"/>
        </w:rPr>
      </w:pPr>
      <w:r w:rsidRPr="00130D93">
        <w:rPr>
          <w:rFonts w:ascii="Arial" w:hAnsi="Arial" w:cs="Arial"/>
          <w:i/>
          <w:iCs/>
          <w:color w:val="141412"/>
          <w:sz w:val="18"/>
          <w:szCs w:val="18"/>
        </w:rPr>
        <w:t>you are in a designated place. An area can be declared ‘designated’ if there have been two or more events of violence or disorder there in the last year, it is a regular trouble spot, or there have been events or demonstrations that have become violent. The police are usually required to publish the declaration of an area as designated in a local newspaper. If it has occurred at short notice, though, there is no requirement for them to do so.”</w:t>
      </w:r>
    </w:p>
    <w:p w14:paraId="622B2935" w14:textId="77777777" w:rsidR="00E355C1" w:rsidRPr="00130D93" w:rsidRDefault="00E355C1" w:rsidP="00E355C1">
      <w:pPr>
        <w:rPr>
          <w:rFonts w:ascii="Arial" w:hAnsi="Arial" w:cs="Arial"/>
          <w:i/>
          <w:iCs/>
          <w:sz w:val="20"/>
          <w:szCs w:val="20"/>
        </w:rPr>
      </w:pPr>
    </w:p>
    <w:p w14:paraId="2CD8C3E0" w14:textId="77777777" w:rsidR="00483BF3" w:rsidRDefault="00E355C1" w:rsidP="00130D93">
      <w:pPr>
        <w:pStyle w:val="ListParagraph"/>
        <w:shd w:val="clear" w:color="auto" w:fill="FFFFFF"/>
        <w:spacing w:after="0" w:line="240" w:lineRule="auto"/>
        <w:ind w:left="0"/>
        <w:jc w:val="both"/>
        <w:rPr>
          <w:rFonts w:ascii="Arial" w:hAnsi="Arial" w:cs="Arial"/>
          <w:color w:val="141412"/>
          <w:sz w:val="20"/>
          <w:szCs w:val="20"/>
        </w:rPr>
      </w:pPr>
      <w:r w:rsidRPr="00130D93">
        <w:rPr>
          <w:rFonts w:ascii="Arial" w:hAnsi="Arial" w:cs="Arial"/>
          <w:color w:val="141412"/>
          <w:sz w:val="20"/>
          <w:szCs w:val="20"/>
        </w:rPr>
        <w:t xml:space="preserve">The above summary relates to </w:t>
      </w:r>
      <w:r w:rsidR="00130D93" w:rsidRPr="00130D93">
        <w:rPr>
          <w:rFonts w:ascii="Arial" w:hAnsi="Arial" w:cs="Arial"/>
          <w:color w:val="141412"/>
          <w:sz w:val="20"/>
          <w:szCs w:val="20"/>
        </w:rPr>
        <w:t xml:space="preserve">police </w:t>
      </w:r>
      <w:r w:rsidRPr="00130D93">
        <w:rPr>
          <w:rFonts w:ascii="Arial" w:hAnsi="Arial" w:cs="Arial"/>
          <w:color w:val="141412"/>
          <w:sz w:val="20"/>
          <w:szCs w:val="20"/>
        </w:rPr>
        <w:t xml:space="preserve">powers </w:t>
      </w:r>
      <w:r w:rsidR="00130D93" w:rsidRPr="00130D93">
        <w:rPr>
          <w:rFonts w:ascii="Arial" w:hAnsi="Arial" w:cs="Arial"/>
          <w:color w:val="141412"/>
          <w:sz w:val="20"/>
          <w:szCs w:val="20"/>
        </w:rPr>
        <w:t xml:space="preserve">under Victorian law </w:t>
      </w:r>
      <w:r w:rsidRPr="00130D93">
        <w:rPr>
          <w:rFonts w:ascii="Arial" w:hAnsi="Arial" w:cs="Arial"/>
          <w:color w:val="141412"/>
          <w:sz w:val="20"/>
          <w:szCs w:val="20"/>
        </w:rPr>
        <w:t>to search persons generally, not to specific powers to strip search</w:t>
      </w:r>
      <w:r w:rsidR="00130D93" w:rsidRPr="00130D93">
        <w:rPr>
          <w:rFonts w:ascii="Arial" w:hAnsi="Arial" w:cs="Arial"/>
          <w:color w:val="141412"/>
          <w:sz w:val="20"/>
          <w:szCs w:val="20"/>
        </w:rPr>
        <w:t xml:space="preserve"> nor to </w:t>
      </w:r>
      <w:r w:rsidRPr="00130D93">
        <w:rPr>
          <w:rFonts w:ascii="Arial" w:hAnsi="Arial" w:cs="Arial"/>
          <w:color w:val="141412"/>
          <w:sz w:val="20"/>
          <w:szCs w:val="20"/>
        </w:rPr>
        <w:t>searches of persons in custodial institutions.</w:t>
      </w:r>
      <w:r w:rsidR="00483BF3">
        <w:rPr>
          <w:rFonts w:ascii="Arial" w:hAnsi="Arial" w:cs="Arial"/>
          <w:color w:val="141412"/>
          <w:sz w:val="20"/>
          <w:szCs w:val="20"/>
        </w:rPr>
        <w:t xml:space="preserve">  T</w:t>
      </w:r>
      <w:r w:rsidR="00483BF3" w:rsidRPr="00483BF3">
        <w:rPr>
          <w:rFonts w:ascii="Arial" w:hAnsi="Arial" w:cs="Arial"/>
          <w:color w:val="141412"/>
          <w:sz w:val="20"/>
          <w:szCs w:val="20"/>
        </w:rPr>
        <w:t>here are very few circumstances in which police can lawfully strip search a young person under 18 prior to arrest and charge.</w:t>
      </w:r>
    </w:p>
    <w:p w14:paraId="12DF3840" w14:textId="77777777" w:rsidR="00483BF3" w:rsidRDefault="00483BF3" w:rsidP="00130D93">
      <w:pPr>
        <w:pStyle w:val="ListParagraph"/>
        <w:shd w:val="clear" w:color="auto" w:fill="FFFFFF"/>
        <w:spacing w:after="0" w:line="240" w:lineRule="auto"/>
        <w:ind w:left="0"/>
        <w:jc w:val="both"/>
        <w:rPr>
          <w:rFonts w:ascii="Arial" w:hAnsi="Arial" w:cs="Arial"/>
          <w:color w:val="141412"/>
          <w:sz w:val="20"/>
          <w:szCs w:val="20"/>
        </w:rPr>
      </w:pPr>
    </w:p>
    <w:p w14:paraId="187DBADB" w14:textId="77777777" w:rsidR="00E355C1" w:rsidRPr="00483BF3" w:rsidRDefault="00483BF3" w:rsidP="00483BF3">
      <w:pPr>
        <w:jc w:val="both"/>
        <w:rPr>
          <w:rFonts w:ascii="Arial" w:hAnsi="Arial" w:cs="Arial"/>
          <w:sz w:val="20"/>
          <w:szCs w:val="20"/>
        </w:rPr>
      </w:pPr>
      <w:r>
        <w:rPr>
          <w:rFonts w:ascii="Arial" w:hAnsi="Arial" w:cs="Arial"/>
          <w:color w:val="333333"/>
          <w:sz w:val="20"/>
          <w:szCs w:val="20"/>
        </w:rPr>
        <w:t>W</w:t>
      </w:r>
      <w:r w:rsidRPr="00483BF3">
        <w:rPr>
          <w:rFonts w:ascii="Arial" w:hAnsi="Arial" w:cs="Arial"/>
          <w:color w:val="333333"/>
          <w:sz w:val="20"/>
          <w:szCs w:val="20"/>
        </w:rPr>
        <w:t xml:space="preserve">ebsite </w:t>
      </w:r>
      <w:hyperlink r:id="rId14" w:history="1">
        <w:r w:rsidRPr="00483BF3">
          <w:rPr>
            <w:rStyle w:val="Hyperlink"/>
            <w:rFonts w:ascii="Arial" w:hAnsi="Arial" w:cs="Arial"/>
            <w:sz w:val="20"/>
            <w:szCs w:val="20"/>
          </w:rPr>
          <w:t>https://www.legalaid.vic.gov.au/find-legal-answers/police-powers-and-your-rights</w:t>
        </w:r>
      </w:hyperlink>
      <w:r w:rsidRPr="00A766F1">
        <w:rPr>
          <w:rStyle w:val="Hyperlink"/>
          <w:rFonts w:ascii="Arial" w:hAnsi="Arial" w:cs="Arial"/>
          <w:color w:val="000000"/>
          <w:sz w:val="20"/>
          <w:szCs w:val="20"/>
          <w:u w:val="none"/>
        </w:rPr>
        <w:t xml:space="preserve"> </w:t>
      </w:r>
      <w:r>
        <w:rPr>
          <w:rFonts w:ascii="Arial" w:hAnsi="Arial" w:cs="Arial"/>
          <w:color w:val="333333"/>
          <w:sz w:val="20"/>
          <w:szCs w:val="20"/>
        </w:rPr>
        <w:t>–</w:t>
      </w:r>
      <w:r w:rsidRPr="00A766F1">
        <w:rPr>
          <w:rStyle w:val="Hyperlink"/>
          <w:rFonts w:ascii="Arial" w:hAnsi="Arial" w:cs="Arial"/>
          <w:color w:val="000000"/>
          <w:sz w:val="20"/>
          <w:szCs w:val="20"/>
          <w:u w:val="none"/>
        </w:rPr>
        <w:t xml:space="preserve"> under the</w:t>
      </w:r>
      <w:r>
        <w:rPr>
          <w:rFonts w:ascii="Arial" w:hAnsi="Arial" w:cs="Arial"/>
          <w:sz w:val="20"/>
          <w:szCs w:val="20"/>
        </w:rPr>
        <w:t xml:space="preserve"> </w:t>
      </w:r>
      <w:r w:rsidR="00E355C1" w:rsidRPr="00483BF3">
        <w:rPr>
          <w:rFonts w:ascii="Arial" w:hAnsi="Arial" w:cs="Arial"/>
          <w:sz w:val="20"/>
          <w:szCs w:val="20"/>
        </w:rPr>
        <w:t xml:space="preserve">heading </w:t>
      </w:r>
      <w:r w:rsidR="00E355C1" w:rsidRPr="00483BF3">
        <w:rPr>
          <w:rFonts w:ascii="Arial" w:hAnsi="Arial" w:cs="Arial"/>
          <w:b/>
          <w:bCs/>
          <w:i/>
          <w:iCs/>
          <w:sz w:val="20"/>
          <w:szCs w:val="20"/>
        </w:rPr>
        <w:t>“Young people and the police”</w:t>
      </w:r>
      <w:r w:rsidR="00E355C1" w:rsidRPr="00483BF3">
        <w:rPr>
          <w:rFonts w:ascii="Arial" w:hAnsi="Arial" w:cs="Arial"/>
          <w:sz w:val="20"/>
          <w:szCs w:val="20"/>
        </w:rPr>
        <w:t xml:space="preserve"> and the sub-heading </w:t>
      </w:r>
      <w:r w:rsidR="00E355C1" w:rsidRPr="00483BF3">
        <w:rPr>
          <w:rFonts w:ascii="Arial" w:hAnsi="Arial" w:cs="Arial"/>
          <w:b/>
          <w:bCs/>
          <w:i/>
          <w:iCs/>
          <w:color w:val="333333"/>
          <w:sz w:val="20"/>
          <w:szCs w:val="20"/>
        </w:rPr>
        <w:t>“What happens when you are searched”</w:t>
      </w:r>
      <w:r w:rsidR="00E355C1" w:rsidRPr="00483BF3">
        <w:rPr>
          <w:rFonts w:ascii="Arial" w:hAnsi="Arial" w:cs="Arial"/>
          <w:color w:val="333333"/>
          <w:sz w:val="20"/>
          <w:szCs w:val="20"/>
        </w:rPr>
        <w:t xml:space="preserve"> </w:t>
      </w:r>
      <w:r>
        <w:rPr>
          <w:rFonts w:ascii="Arial" w:hAnsi="Arial" w:cs="Arial"/>
          <w:color w:val="333333"/>
          <w:sz w:val="20"/>
          <w:szCs w:val="20"/>
        </w:rPr>
        <w:t xml:space="preserve">– </w:t>
      </w:r>
      <w:r w:rsidR="00E355C1" w:rsidRPr="00483BF3">
        <w:rPr>
          <w:rFonts w:ascii="Arial" w:hAnsi="Arial" w:cs="Arial"/>
          <w:color w:val="333333"/>
          <w:sz w:val="20"/>
          <w:szCs w:val="20"/>
        </w:rPr>
        <w:t>states:</w:t>
      </w:r>
    </w:p>
    <w:p w14:paraId="2A76219A" w14:textId="77777777" w:rsidR="000A596D" w:rsidRPr="00483BF3" w:rsidRDefault="00E355C1" w:rsidP="00E83147">
      <w:pPr>
        <w:pStyle w:val="NormalWeb"/>
        <w:shd w:val="clear" w:color="auto" w:fill="FFFFFF"/>
        <w:spacing w:before="80" w:beforeAutospacing="0" w:after="0" w:afterAutospacing="0"/>
        <w:ind w:left="357"/>
        <w:jc w:val="both"/>
        <w:textAlignment w:val="baseline"/>
        <w:rPr>
          <w:rFonts w:ascii="Arial" w:hAnsi="Arial" w:cs="Arial"/>
          <w:i/>
          <w:iCs/>
          <w:color w:val="333333"/>
          <w:sz w:val="18"/>
          <w:szCs w:val="18"/>
        </w:rPr>
      </w:pPr>
      <w:r w:rsidRPr="00483BF3">
        <w:rPr>
          <w:rFonts w:ascii="Arial" w:hAnsi="Arial" w:cs="Arial"/>
          <w:i/>
          <w:iCs/>
          <w:color w:val="404A4B"/>
          <w:sz w:val="18"/>
          <w:szCs w:val="18"/>
        </w:rPr>
        <w:t>“</w:t>
      </w:r>
      <w:r w:rsidRPr="00483BF3">
        <w:rPr>
          <w:rFonts w:ascii="Arial" w:hAnsi="Arial" w:cs="Arial"/>
          <w:b/>
          <w:bCs/>
          <w:i/>
          <w:iCs/>
          <w:color w:val="404A4B"/>
          <w:sz w:val="18"/>
          <w:szCs w:val="18"/>
        </w:rPr>
        <w:t>Pat-down search:</w:t>
      </w:r>
      <w:r w:rsidRPr="00483BF3">
        <w:rPr>
          <w:rFonts w:ascii="Arial" w:hAnsi="Arial" w:cs="Arial"/>
          <w:i/>
          <w:iCs/>
          <w:color w:val="404A4B"/>
          <w:sz w:val="18"/>
          <w:szCs w:val="18"/>
        </w:rPr>
        <w:t xml:space="preserve"> </w:t>
      </w:r>
      <w:r w:rsidRPr="00483BF3">
        <w:rPr>
          <w:rFonts w:ascii="Arial" w:hAnsi="Arial" w:cs="Arial"/>
          <w:i/>
          <w:iCs/>
          <w:color w:val="333333"/>
          <w:sz w:val="18"/>
          <w:szCs w:val="18"/>
        </w:rPr>
        <w:t>This is when the police officer uses their hands to feel over the outside of your clothes. The police officer can:</w:t>
      </w:r>
    </w:p>
    <w:p w14:paraId="10F3D3B6" w14:textId="77777777" w:rsidR="00E355C1" w:rsidRPr="00483BF3" w:rsidRDefault="00E355C1" w:rsidP="00591749">
      <w:pPr>
        <w:numPr>
          <w:ilvl w:val="0"/>
          <w:numId w:val="35"/>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search you in public or inside a private property</w:t>
      </w:r>
    </w:p>
    <w:p w14:paraId="750D9A85" w14:textId="77777777" w:rsidR="00E355C1" w:rsidRPr="00483BF3" w:rsidRDefault="00E355C1" w:rsidP="00591749">
      <w:pPr>
        <w:numPr>
          <w:ilvl w:val="0"/>
          <w:numId w:val="35"/>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ask you to empty your pockets or remove your jacket or jumper</w:t>
      </w:r>
    </w:p>
    <w:p w14:paraId="25EDE35E" w14:textId="77777777" w:rsidR="00E355C1" w:rsidRPr="00483BF3" w:rsidRDefault="00E355C1" w:rsidP="00591749">
      <w:pPr>
        <w:numPr>
          <w:ilvl w:val="0"/>
          <w:numId w:val="35"/>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ask you to show them something they believe is a weapon. The police can </w:t>
      </w:r>
      <w:hyperlink r:id="rId15" w:anchor="charge" w:tooltip="this term is used two ways. Firstly, it is an action the police can take. When the police charge you with an offence, this means they believe you have broken the law and are taking you to court. Secondly, once the police have charged you with committing an off" w:history="1">
        <w:r w:rsidRPr="00483BF3">
          <w:rPr>
            <w:rStyle w:val="Hyperlink"/>
            <w:rFonts w:ascii="Arial" w:hAnsi="Arial" w:cs="Arial"/>
            <w:i/>
            <w:iCs/>
            <w:color w:val="0C454C"/>
            <w:sz w:val="18"/>
            <w:szCs w:val="18"/>
            <w:bdr w:val="none" w:sz="0" w:space="0" w:color="auto" w:frame="1"/>
          </w:rPr>
          <w:t>charge</w:t>
        </w:r>
      </w:hyperlink>
      <w:r w:rsidRPr="00483BF3">
        <w:rPr>
          <w:rFonts w:ascii="Arial" w:hAnsi="Arial" w:cs="Arial"/>
          <w:i/>
          <w:iCs/>
          <w:color w:val="333333"/>
          <w:sz w:val="18"/>
          <w:szCs w:val="18"/>
        </w:rPr>
        <w:t> you and fine you if you refuse</w:t>
      </w:r>
    </w:p>
    <w:p w14:paraId="32385B26" w14:textId="77777777" w:rsidR="00E355C1" w:rsidRPr="00483BF3" w:rsidRDefault="00E355C1" w:rsidP="00591749">
      <w:pPr>
        <w:numPr>
          <w:ilvl w:val="0"/>
          <w:numId w:val="35"/>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use a metal detector to look for something they reasonably suspect is a weapon.</w:t>
      </w:r>
    </w:p>
    <w:p w14:paraId="370D9E04" w14:textId="77777777" w:rsidR="00E355C1" w:rsidRPr="00483BF3" w:rsidRDefault="00E355C1" w:rsidP="00E83147">
      <w:pPr>
        <w:pStyle w:val="NormalWeb"/>
        <w:shd w:val="clear" w:color="auto" w:fill="FFFFFF"/>
        <w:spacing w:before="80" w:beforeAutospacing="0" w:after="0" w:afterAutospacing="0"/>
        <w:ind w:left="641" w:hanging="284"/>
        <w:jc w:val="both"/>
        <w:textAlignment w:val="baseline"/>
        <w:rPr>
          <w:rFonts w:ascii="Arial" w:hAnsi="Arial" w:cs="Arial"/>
          <w:i/>
          <w:iCs/>
          <w:color w:val="333333"/>
          <w:sz w:val="18"/>
          <w:szCs w:val="18"/>
        </w:rPr>
      </w:pPr>
      <w:r w:rsidRPr="00483BF3">
        <w:rPr>
          <w:rFonts w:ascii="Arial" w:hAnsi="Arial" w:cs="Arial"/>
          <w:i/>
          <w:iCs/>
          <w:color w:val="333333"/>
          <w:sz w:val="18"/>
          <w:szCs w:val="18"/>
        </w:rPr>
        <w:t>The police officer that does the search must:</w:t>
      </w:r>
    </w:p>
    <w:p w14:paraId="2073D7CC" w14:textId="77777777" w:rsidR="00E355C1" w:rsidRPr="00483BF3" w:rsidRDefault="00E355C1" w:rsidP="00591749">
      <w:pPr>
        <w:numPr>
          <w:ilvl w:val="0"/>
          <w:numId w:val="36"/>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be the same sex as you (unless this is not reasonably possible)</w:t>
      </w:r>
    </w:p>
    <w:p w14:paraId="172A6682" w14:textId="77777777" w:rsidR="00E355C1" w:rsidRPr="00483BF3" w:rsidRDefault="00E355C1" w:rsidP="00591749">
      <w:pPr>
        <w:numPr>
          <w:ilvl w:val="0"/>
          <w:numId w:val="36"/>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make a written record of the search</w:t>
      </w:r>
    </w:p>
    <w:p w14:paraId="50AB41F2" w14:textId="77777777" w:rsidR="00E355C1" w:rsidRPr="00483BF3" w:rsidRDefault="00E355C1" w:rsidP="00591749">
      <w:pPr>
        <w:numPr>
          <w:ilvl w:val="0"/>
          <w:numId w:val="36"/>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give you a receipt when they take anything away from you, including drugs.</w:t>
      </w:r>
    </w:p>
    <w:p w14:paraId="550DCE02" w14:textId="77777777" w:rsidR="000A596D" w:rsidRPr="00483BF3" w:rsidRDefault="00E355C1" w:rsidP="00E83147">
      <w:pPr>
        <w:pStyle w:val="NormalWeb"/>
        <w:shd w:val="clear" w:color="auto" w:fill="FFFFFF"/>
        <w:spacing w:before="80" w:beforeAutospacing="0" w:after="0" w:afterAutospacing="0"/>
        <w:ind w:left="357"/>
        <w:jc w:val="both"/>
        <w:textAlignment w:val="baseline"/>
        <w:rPr>
          <w:rFonts w:ascii="Arial" w:hAnsi="Arial" w:cs="Arial"/>
          <w:i/>
          <w:iCs/>
          <w:color w:val="333333"/>
          <w:sz w:val="18"/>
          <w:szCs w:val="18"/>
        </w:rPr>
      </w:pPr>
      <w:r w:rsidRPr="00483BF3">
        <w:rPr>
          <w:rFonts w:ascii="Arial" w:hAnsi="Arial" w:cs="Arial"/>
          <w:b/>
          <w:bCs/>
          <w:i/>
          <w:iCs/>
          <w:color w:val="404A4B"/>
          <w:sz w:val="18"/>
          <w:szCs w:val="18"/>
        </w:rPr>
        <w:t xml:space="preserve">Strip search: </w:t>
      </w:r>
      <w:r w:rsidRPr="00483BF3">
        <w:rPr>
          <w:rFonts w:ascii="Arial" w:hAnsi="Arial" w:cs="Arial"/>
          <w:i/>
          <w:iCs/>
          <w:color w:val="333333"/>
          <w:sz w:val="18"/>
          <w:szCs w:val="18"/>
        </w:rPr>
        <w:t>This is when the police officer removes and searches all of your clothing. An officer will usually do a strip search when they are looking for something they could not find in a pat-down search.</w:t>
      </w:r>
    </w:p>
    <w:p w14:paraId="0DA50E8D" w14:textId="77777777" w:rsidR="00E355C1" w:rsidRPr="00483BF3" w:rsidRDefault="00E355C1" w:rsidP="005C4B85">
      <w:pPr>
        <w:pStyle w:val="NormalWeb"/>
        <w:shd w:val="clear" w:color="auto" w:fill="FFFFFF"/>
        <w:spacing w:before="80" w:beforeAutospacing="0" w:after="0" w:afterAutospacing="0"/>
        <w:ind w:left="357"/>
        <w:jc w:val="both"/>
        <w:textAlignment w:val="baseline"/>
        <w:rPr>
          <w:rFonts w:ascii="Arial" w:hAnsi="Arial" w:cs="Arial"/>
          <w:i/>
          <w:iCs/>
          <w:color w:val="333333"/>
          <w:sz w:val="18"/>
          <w:szCs w:val="18"/>
        </w:rPr>
      </w:pPr>
      <w:r w:rsidRPr="00483BF3">
        <w:rPr>
          <w:rFonts w:ascii="Arial" w:hAnsi="Arial" w:cs="Arial"/>
          <w:i/>
          <w:iCs/>
          <w:color w:val="333333"/>
          <w:sz w:val="18"/>
          <w:szCs w:val="18"/>
        </w:rPr>
        <w:t>A police officer can only do a strip search in a private place, usually at a police station. They must follow the rules for a pat-down search.</w:t>
      </w:r>
    </w:p>
    <w:p w14:paraId="102BF950" w14:textId="77777777" w:rsidR="00E355C1" w:rsidRPr="00483BF3" w:rsidRDefault="00E355C1" w:rsidP="005C4B85">
      <w:pPr>
        <w:pStyle w:val="NormalWeb"/>
        <w:shd w:val="clear" w:color="auto" w:fill="FFFFFF"/>
        <w:spacing w:before="80" w:beforeAutospacing="0" w:after="0" w:afterAutospacing="0"/>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A police officer must also make sure you have someone with you if:</w:t>
      </w:r>
    </w:p>
    <w:p w14:paraId="02082D7C" w14:textId="77777777" w:rsidR="00E355C1" w:rsidRPr="00483BF3" w:rsidRDefault="00E355C1" w:rsidP="00591749">
      <w:pPr>
        <w:numPr>
          <w:ilvl w:val="0"/>
          <w:numId w:val="21"/>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you are under 18 – a parent, </w:t>
      </w:r>
      <w:hyperlink r:id="rId16" w:anchor="guardian" w:tooltip="A person appointed by the Victorian Civil and Administrative Tribunal to make lifestyle decisions for someone who is unable to make those decisions themselves.&#10;" w:history="1">
        <w:r w:rsidRPr="002803C5">
          <w:rPr>
            <w:rStyle w:val="Hyperlink"/>
            <w:rFonts w:ascii="Arial" w:hAnsi="Arial" w:cs="Arial"/>
            <w:i/>
            <w:iCs/>
            <w:color w:val="0C454C"/>
            <w:sz w:val="18"/>
            <w:szCs w:val="18"/>
            <w:u w:val="none"/>
            <w:bdr w:val="none" w:sz="0" w:space="0" w:color="auto" w:frame="1"/>
          </w:rPr>
          <w:t>guardian</w:t>
        </w:r>
      </w:hyperlink>
      <w:r w:rsidRPr="00483BF3">
        <w:rPr>
          <w:rFonts w:ascii="Arial" w:hAnsi="Arial" w:cs="Arial"/>
          <w:i/>
          <w:iCs/>
          <w:color w:val="333333"/>
          <w:sz w:val="18"/>
          <w:szCs w:val="18"/>
        </w:rPr>
        <w:t> or independent person must be with you</w:t>
      </w:r>
    </w:p>
    <w:p w14:paraId="0EC5A319" w14:textId="77777777" w:rsidR="00E355C1" w:rsidRPr="00483BF3" w:rsidRDefault="00E355C1" w:rsidP="00591749">
      <w:pPr>
        <w:numPr>
          <w:ilvl w:val="0"/>
          <w:numId w:val="21"/>
        </w:numPr>
        <w:shd w:val="clear" w:color="auto" w:fill="FFFFFF"/>
        <w:ind w:left="714" w:hanging="357"/>
        <w:jc w:val="both"/>
        <w:textAlignment w:val="baseline"/>
        <w:rPr>
          <w:rFonts w:ascii="Arial" w:hAnsi="Arial" w:cs="Arial"/>
          <w:i/>
          <w:iCs/>
          <w:color w:val="333333"/>
          <w:sz w:val="18"/>
          <w:szCs w:val="18"/>
        </w:rPr>
      </w:pPr>
      <w:r w:rsidRPr="00483BF3">
        <w:rPr>
          <w:rFonts w:ascii="Arial" w:hAnsi="Arial" w:cs="Arial"/>
          <w:i/>
          <w:iCs/>
          <w:color w:val="333333"/>
          <w:sz w:val="18"/>
          <w:szCs w:val="18"/>
        </w:rPr>
        <w:t>you have a </w:t>
      </w:r>
      <w:hyperlink r:id="rId17" w:history="1">
        <w:r w:rsidRPr="002803C5">
          <w:rPr>
            <w:rStyle w:val="Hyperlink"/>
            <w:rFonts w:ascii="Arial" w:hAnsi="Arial" w:cs="Arial"/>
            <w:i/>
            <w:iCs/>
            <w:color w:val="0C454C"/>
            <w:sz w:val="18"/>
            <w:szCs w:val="18"/>
            <w:u w:val="none"/>
            <w:bdr w:val="none" w:sz="0" w:space="0" w:color="auto" w:frame="1"/>
          </w:rPr>
          <w:t>cognitive disability</w:t>
        </w:r>
      </w:hyperlink>
      <w:r w:rsidRPr="00483BF3">
        <w:rPr>
          <w:rFonts w:ascii="Arial" w:hAnsi="Arial" w:cs="Arial"/>
          <w:i/>
          <w:iCs/>
          <w:color w:val="333333"/>
          <w:sz w:val="18"/>
          <w:szCs w:val="18"/>
        </w:rPr>
        <w:t> or a mental illness – an </w:t>
      </w:r>
      <w:hyperlink r:id="rId18" w:anchor="Independent_Third_Person" w:tooltip="a trained person who is with you during police questioning if you are mentally impaired to help you understand each other&#10;" w:history="1">
        <w:r w:rsidRPr="002803C5">
          <w:rPr>
            <w:rStyle w:val="Hyperlink"/>
            <w:rFonts w:ascii="Arial" w:hAnsi="Arial" w:cs="Arial"/>
            <w:i/>
            <w:iCs/>
            <w:color w:val="0C454C"/>
            <w:sz w:val="18"/>
            <w:szCs w:val="18"/>
            <w:u w:val="none"/>
            <w:bdr w:val="none" w:sz="0" w:space="0" w:color="auto" w:frame="1"/>
          </w:rPr>
          <w:t>Independent Third Person</w:t>
        </w:r>
      </w:hyperlink>
      <w:r w:rsidRPr="00483BF3">
        <w:rPr>
          <w:rFonts w:ascii="Arial" w:hAnsi="Arial" w:cs="Arial"/>
          <w:i/>
          <w:iCs/>
          <w:color w:val="333333"/>
          <w:sz w:val="18"/>
          <w:szCs w:val="18"/>
        </w:rPr>
        <w:t> must be with you.</w:t>
      </w:r>
    </w:p>
    <w:p w14:paraId="4F0EC0A3" w14:textId="77777777" w:rsidR="00E355C1" w:rsidRPr="00483BF3" w:rsidRDefault="00E355C1" w:rsidP="005C4B85">
      <w:pPr>
        <w:pStyle w:val="NormalWeb"/>
        <w:shd w:val="clear" w:color="auto" w:fill="FFFFFF"/>
        <w:spacing w:before="80" w:beforeAutospacing="0" w:after="0" w:afterAutospacing="0"/>
        <w:ind w:left="357"/>
        <w:jc w:val="both"/>
        <w:textAlignment w:val="baseline"/>
        <w:rPr>
          <w:rFonts w:ascii="Arial" w:hAnsi="Arial" w:cs="Arial"/>
          <w:i/>
          <w:iCs/>
          <w:color w:val="333333"/>
          <w:sz w:val="18"/>
          <w:szCs w:val="18"/>
        </w:rPr>
      </w:pPr>
      <w:r w:rsidRPr="00483BF3">
        <w:rPr>
          <w:rFonts w:ascii="Arial" w:hAnsi="Arial" w:cs="Arial"/>
          <w:i/>
          <w:iCs/>
          <w:color w:val="333333"/>
          <w:sz w:val="18"/>
          <w:szCs w:val="18"/>
        </w:rPr>
        <w:lastRenderedPageBreak/>
        <w:t>They do not have to do this if there are urgent or serious circumstances that mean they cannot get one of these people to be with you.</w:t>
      </w:r>
    </w:p>
    <w:p w14:paraId="040113CC" w14:textId="77777777" w:rsidR="00E355C1" w:rsidRPr="00483BF3" w:rsidRDefault="00E355C1" w:rsidP="005C4B85">
      <w:pPr>
        <w:pStyle w:val="NormalWeb"/>
        <w:shd w:val="clear" w:color="auto" w:fill="FFFFFF"/>
        <w:spacing w:before="80" w:beforeAutospacing="0" w:after="120" w:afterAutospacing="0"/>
        <w:ind w:left="357"/>
        <w:jc w:val="both"/>
        <w:textAlignment w:val="baseline"/>
        <w:rPr>
          <w:rFonts w:ascii="Arial" w:hAnsi="Arial" w:cs="Arial"/>
          <w:i/>
          <w:iCs/>
          <w:color w:val="333333"/>
          <w:sz w:val="18"/>
          <w:szCs w:val="18"/>
        </w:rPr>
      </w:pPr>
      <w:r w:rsidRPr="00483BF3">
        <w:rPr>
          <w:rFonts w:ascii="Arial" w:hAnsi="Arial" w:cs="Arial"/>
          <w:i/>
          <w:iCs/>
          <w:color w:val="333333"/>
          <w:sz w:val="18"/>
          <w:szCs w:val="18"/>
        </w:rPr>
        <w:t>If the search is in a designated area and it is not ‘practicable’ for police to have a parent, guardian or independent person, police may use another person to watch the search. That other person could be another police officer. The law does not say what ‘practicable’ means. It could mean the police officer believes it would take too long for the parent, guardian or independent person to get there.</w:t>
      </w:r>
    </w:p>
    <w:p w14:paraId="38611FC6" w14:textId="77777777" w:rsidR="000A596D" w:rsidRPr="00483BF3" w:rsidRDefault="00E355C1" w:rsidP="00E83147">
      <w:pPr>
        <w:pStyle w:val="NormalWeb"/>
        <w:shd w:val="clear" w:color="auto" w:fill="FFFFFF"/>
        <w:spacing w:before="80" w:beforeAutospacing="0" w:after="0" w:afterAutospacing="0"/>
        <w:ind w:left="357"/>
        <w:jc w:val="both"/>
        <w:textAlignment w:val="baseline"/>
        <w:rPr>
          <w:rFonts w:ascii="Arial" w:hAnsi="Arial" w:cs="Arial"/>
          <w:i/>
          <w:iCs/>
          <w:color w:val="333333"/>
          <w:sz w:val="18"/>
          <w:szCs w:val="18"/>
        </w:rPr>
      </w:pPr>
      <w:r w:rsidRPr="00483BF3">
        <w:rPr>
          <w:rFonts w:ascii="Arial" w:hAnsi="Arial" w:cs="Arial"/>
          <w:b/>
          <w:bCs/>
          <w:i/>
          <w:iCs/>
          <w:color w:val="404A4B"/>
          <w:sz w:val="18"/>
          <w:szCs w:val="18"/>
        </w:rPr>
        <w:t>Internal body search</w:t>
      </w:r>
      <w:r w:rsidRPr="00483BF3">
        <w:rPr>
          <w:rFonts w:ascii="Arial" w:hAnsi="Arial" w:cs="Arial"/>
          <w:i/>
          <w:iCs/>
          <w:color w:val="404A4B"/>
          <w:sz w:val="18"/>
          <w:szCs w:val="18"/>
        </w:rPr>
        <w:t xml:space="preserve">: </w:t>
      </w:r>
      <w:r w:rsidRPr="00483BF3">
        <w:rPr>
          <w:rFonts w:ascii="Arial" w:hAnsi="Arial" w:cs="Arial"/>
          <w:i/>
          <w:iCs/>
          <w:color w:val="333333"/>
          <w:sz w:val="18"/>
          <w:szCs w:val="18"/>
        </w:rPr>
        <w:t>This means searching inside your body. An internal body search is a forensic procedure.  If you agree to it, only a doctor can do the search. The doctor must be the same sex as you. You do not have to agree to an internal body search. The police must get a </w:t>
      </w:r>
      <w:hyperlink r:id="rId19" w:anchor="court_order" w:tooltip="a document from the court that says you must do something. It is also a document that sets out your penalty if you are found guilty of breaking the law&#10;" w:history="1">
        <w:r w:rsidRPr="002803C5">
          <w:rPr>
            <w:rStyle w:val="Hyperlink"/>
            <w:rFonts w:ascii="Arial" w:hAnsi="Arial" w:cs="Arial"/>
            <w:i/>
            <w:iCs/>
            <w:color w:val="0C454C"/>
            <w:sz w:val="18"/>
            <w:szCs w:val="18"/>
            <w:u w:val="none"/>
            <w:bdr w:val="none" w:sz="0" w:space="0" w:color="auto" w:frame="1"/>
          </w:rPr>
          <w:t>court order</w:t>
        </w:r>
      </w:hyperlink>
      <w:r w:rsidRPr="00483BF3">
        <w:rPr>
          <w:rFonts w:ascii="Arial" w:hAnsi="Arial" w:cs="Arial"/>
          <w:i/>
          <w:iCs/>
          <w:color w:val="333333"/>
          <w:sz w:val="18"/>
          <w:szCs w:val="18"/>
        </w:rPr>
        <w:t> to do the search if you refuse.”</w:t>
      </w:r>
    </w:p>
    <w:p w14:paraId="010CBE48" w14:textId="77777777" w:rsidR="00E355C1" w:rsidRPr="00483BF3" w:rsidRDefault="00E355C1" w:rsidP="00E355C1">
      <w:pPr>
        <w:shd w:val="clear" w:color="auto" w:fill="FFFFFF"/>
        <w:jc w:val="both"/>
        <w:rPr>
          <w:rFonts w:ascii="Arial" w:hAnsi="Arial" w:cs="Arial"/>
          <w:color w:val="141412"/>
          <w:sz w:val="20"/>
          <w:szCs w:val="20"/>
        </w:rPr>
      </w:pPr>
    </w:p>
    <w:p w14:paraId="60EC9158" w14:textId="20334B60" w:rsidR="002803C5" w:rsidRDefault="002803C5" w:rsidP="002803C5">
      <w:pPr>
        <w:pStyle w:val="NormalWeb"/>
        <w:shd w:val="clear" w:color="auto" w:fill="FFFFFF"/>
        <w:spacing w:before="0" w:beforeAutospacing="0" w:after="0" w:afterAutospacing="0"/>
        <w:jc w:val="both"/>
        <w:rPr>
          <w:rFonts w:ascii="Arial" w:hAnsi="Arial" w:cs="Arial"/>
          <w:color w:val="141412"/>
          <w:sz w:val="20"/>
          <w:szCs w:val="20"/>
        </w:rPr>
      </w:pPr>
      <w:r>
        <w:rPr>
          <w:rFonts w:ascii="Arial" w:hAnsi="Arial" w:cs="Arial"/>
          <w:color w:val="141412"/>
          <w:sz w:val="20"/>
          <w:szCs w:val="20"/>
        </w:rPr>
        <w:t>It is important to note the distinction between the conduct of a personal search and the conduct of a forensic procedure, for example</w:t>
      </w:r>
      <w:r w:rsidRPr="0044363B">
        <w:rPr>
          <w:rFonts w:ascii="Arial" w:hAnsi="Arial" w:cs="Arial"/>
          <w:color w:val="000000"/>
          <w:sz w:val="20"/>
          <w:szCs w:val="20"/>
        </w:rPr>
        <w:t xml:space="preserve">. The </w:t>
      </w:r>
      <w:r>
        <w:rPr>
          <w:rFonts w:ascii="Arial" w:hAnsi="Arial" w:cs="Arial"/>
          <w:color w:val="000000"/>
          <w:sz w:val="20"/>
          <w:szCs w:val="20"/>
        </w:rPr>
        <w:t xml:space="preserve">latter requires a court order, in relation to a child </w:t>
      </w:r>
      <w:r w:rsidRPr="00483BF3">
        <w:rPr>
          <w:rFonts w:ascii="Arial" w:hAnsi="Arial" w:cs="Arial"/>
          <w:color w:val="000000"/>
          <w:sz w:val="20"/>
          <w:szCs w:val="20"/>
        </w:rPr>
        <w:t xml:space="preserve">under s.464U of the </w:t>
      </w:r>
      <w:r w:rsidRPr="00483BF3">
        <w:rPr>
          <w:rFonts w:ascii="Arial" w:hAnsi="Arial" w:cs="Arial"/>
          <w:i/>
          <w:iCs/>
          <w:color w:val="000000"/>
          <w:sz w:val="20"/>
          <w:szCs w:val="20"/>
        </w:rPr>
        <w:t>Crimes Act 1958</w:t>
      </w:r>
      <w:r>
        <w:rPr>
          <w:rFonts w:ascii="Arial" w:hAnsi="Arial" w:cs="Arial"/>
          <w:i/>
          <w:iCs/>
          <w:color w:val="000000"/>
          <w:sz w:val="20"/>
          <w:szCs w:val="20"/>
        </w:rPr>
        <w:t>.</w:t>
      </w:r>
      <w:r>
        <w:rPr>
          <w:rFonts w:ascii="Arial" w:hAnsi="Arial" w:cs="Arial"/>
          <w:color w:val="000000"/>
          <w:sz w:val="20"/>
          <w:szCs w:val="20"/>
        </w:rPr>
        <w:t xml:space="preserve"> E</w:t>
      </w:r>
      <w:r w:rsidRPr="00483BF3">
        <w:rPr>
          <w:rFonts w:ascii="Arial" w:hAnsi="Arial" w:cs="Arial"/>
          <w:color w:val="000000"/>
          <w:sz w:val="20"/>
          <w:szCs w:val="20"/>
        </w:rPr>
        <w:t>xamples of a forensic procedure are a search of a body cavity or an examination of a person’s body for the purpose of obtaining evidence which might implicate the person in – or exonerate the person from – a criminal offence.</w:t>
      </w:r>
    </w:p>
    <w:p w14:paraId="6E90B7DB" w14:textId="77777777" w:rsidR="00E355C1" w:rsidRPr="00483BF3" w:rsidRDefault="00E355C1" w:rsidP="00E355C1">
      <w:pPr>
        <w:shd w:val="clear" w:color="auto" w:fill="FFFFFF"/>
        <w:jc w:val="both"/>
        <w:rPr>
          <w:rFonts w:ascii="Arial" w:hAnsi="Arial" w:cs="Arial"/>
          <w:color w:val="141412"/>
          <w:sz w:val="20"/>
          <w:szCs w:val="20"/>
        </w:rPr>
      </w:pPr>
    </w:p>
    <w:p w14:paraId="40EA3E86" w14:textId="77777777" w:rsidR="000A596D" w:rsidRPr="000A596D" w:rsidRDefault="007A4FE2" w:rsidP="000A596D">
      <w:pPr>
        <w:pStyle w:val="Heading3"/>
        <w:spacing w:after="120" w:line="240" w:lineRule="auto"/>
        <w:rPr>
          <w:rFonts w:ascii="Arial" w:hAnsi="Arial" w:cs="Arial"/>
          <w:b/>
          <w:bCs/>
          <w:sz w:val="20"/>
          <w:szCs w:val="16"/>
        </w:rPr>
      </w:pPr>
      <w:bookmarkStart w:id="156" w:name="_7.3.2_Legal_analysis"/>
      <w:bookmarkEnd w:id="156"/>
      <w:r w:rsidRPr="00F51496">
        <w:rPr>
          <w:rFonts w:ascii="Arial" w:hAnsi="Arial" w:cs="Arial"/>
          <w:b/>
          <w:bCs/>
          <w:color w:val="000000"/>
          <w:sz w:val="20"/>
        </w:rPr>
        <w:t>7.</w:t>
      </w:r>
      <w:r>
        <w:rPr>
          <w:rFonts w:ascii="Arial" w:hAnsi="Arial" w:cs="Arial"/>
          <w:b/>
          <w:bCs/>
          <w:color w:val="000000"/>
          <w:sz w:val="20"/>
        </w:rPr>
        <w:t>3.2</w:t>
      </w:r>
      <w:r w:rsidRPr="00F51496">
        <w:rPr>
          <w:rFonts w:ascii="Arial" w:hAnsi="Arial" w:cs="Arial"/>
          <w:b/>
          <w:bCs/>
          <w:color w:val="000000"/>
          <w:sz w:val="20"/>
        </w:rPr>
        <w:tab/>
      </w:r>
      <w:r>
        <w:rPr>
          <w:rFonts w:ascii="Arial" w:hAnsi="Arial" w:cs="Arial"/>
          <w:b/>
          <w:bCs/>
          <w:color w:val="000000"/>
          <w:sz w:val="20"/>
        </w:rPr>
        <w:t>Legal analysis of police powers to search adults and children</w:t>
      </w:r>
    </w:p>
    <w:p w14:paraId="756D7F28" w14:textId="19882214" w:rsidR="00E355C1" w:rsidRPr="00483BF3" w:rsidRDefault="00E355C1" w:rsidP="00655140">
      <w:pPr>
        <w:shd w:val="clear" w:color="auto" w:fill="FFFFFF"/>
        <w:jc w:val="both"/>
        <w:rPr>
          <w:rFonts w:ascii="Arial" w:hAnsi="Arial" w:cs="Arial"/>
          <w:color w:val="141412"/>
          <w:sz w:val="20"/>
          <w:szCs w:val="20"/>
        </w:rPr>
      </w:pPr>
      <w:r w:rsidRPr="00483BF3">
        <w:rPr>
          <w:rFonts w:ascii="Arial" w:hAnsi="Arial" w:cs="Arial"/>
          <w:color w:val="141412"/>
          <w:sz w:val="20"/>
          <w:szCs w:val="20"/>
        </w:rPr>
        <w:t xml:space="preserve">An excellent legal analysis of </w:t>
      </w:r>
      <w:r w:rsidR="007A4FE2">
        <w:rPr>
          <w:rFonts w:ascii="Arial" w:hAnsi="Arial" w:cs="Arial"/>
          <w:color w:val="141412"/>
          <w:sz w:val="20"/>
          <w:szCs w:val="20"/>
        </w:rPr>
        <w:t xml:space="preserve">Victoria </w:t>
      </w:r>
      <w:r w:rsidRPr="00483BF3">
        <w:rPr>
          <w:rFonts w:ascii="Arial" w:hAnsi="Arial" w:cs="Arial"/>
          <w:color w:val="141412"/>
          <w:sz w:val="20"/>
          <w:szCs w:val="20"/>
        </w:rPr>
        <w:t xml:space="preserve">police search powers is contained in chapter 8.15 of the Judicial College’s </w:t>
      </w:r>
      <w:r w:rsidR="00655140">
        <w:rPr>
          <w:rFonts w:ascii="Arial" w:hAnsi="Arial" w:cs="Arial"/>
          <w:color w:val="141412"/>
          <w:sz w:val="20"/>
          <w:szCs w:val="20"/>
        </w:rPr>
        <w:t xml:space="preserve">Bench Book/Criminal Charge Book </w:t>
      </w:r>
      <w:r w:rsidRPr="00483BF3">
        <w:rPr>
          <w:rFonts w:ascii="Arial" w:hAnsi="Arial" w:cs="Arial"/>
          <w:color w:val="141412"/>
          <w:sz w:val="20"/>
          <w:szCs w:val="20"/>
        </w:rPr>
        <w:t xml:space="preserve">under the heading </w:t>
      </w:r>
      <w:bookmarkStart w:id="157" w:name="_Toc12970652"/>
      <w:r w:rsidRPr="00483BF3">
        <w:rPr>
          <w:rFonts w:ascii="Arial" w:hAnsi="Arial" w:cs="Arial"/>
          <w:b/>
          <w:bCs/>
          <w:color w:val="141412"/>
          <w:sz w:val="20"/>
          <w:szCs w:val="20"/>
        </w:rPr>
        <w:t>“</w:t>
      </w:r>
      <w:r w:rsidRPr="00483BF3">
        <w:rPr>
          <w:rFonts w:ascii="Arial" w:hAnsi="Arial" w:cs="Arial"/>
          <w:b/>
          <w:bCs/>
          <w:sz w:val="20"/>
          <w:szCs w:val="20"/>
        </w:rPr>
        <w:t xml:space="preserve">8.15 – Police </w:t>
      </w:r>
      <w:r w:rsidR="001431F4">
        <w:rPr>
          <w:rFonts w:ascii="Arial" w:hAnsi="Arial" w:cs="Arial"/>
          <w:b/>
          <w:bCs/>
          <w:sz w:val="20"/>
          <w:szCs w:val="20"/>
        </w:rPr>
        <w:t>S</w:t>
      </w:r>
      <w:r w:rsidRPr="00483BF3">
        <w:rPr>
          <w:rFonts w:ascii="Arial" w:hAnsi="Arial" w:cs="Arial"/>
          <w:b/>
          <w:bCs/>
          <w:sz w:val="20"/>
          <w:szCs w:val="20"/>
        </w:rPr>
        <w:t xml:space="preserve">earch and </w:t>
      </w:r>
      <w:r w:rsidR="001431F4">
        <w:rPr>
          <w:rFonts w:ascii="Arial" w:hAnsi="Arial" w:cs="Arial"/>
          <w:b/>
          <w:bCs/>
          <w:sz w:val="20"/>
          <w:szCs w:val="20"/>
        </w:rPr>
        <w:t>S</w:t>
      </w:r>
      <w:r w:rsidRPr="00483BF3">
        <w:rPr>
          <w:rFonts w:ascii="Arial" w:hAnsi="Arial" w:cs="Arial"/>
          <w:b/>
          <w:bCs/>
          <w:sz w:val="20"/>
          <w:szCs w:val="20"/>
        </w:rPr>
        <w:t xml:space="preserve">eizure </w:t>
      </w:r>
      <w:r w:rsidR="001431F4">
        <w:rPr>
          <w:rFonts w:ascii="Arial" w:hAnsi="Arial" w:cs="Arial"/>
          <w:b/>
          <w:bCs/>
          <w:sz w:val="20"/>
          <w:szCs w:val="20"/>
        </w:rPr>
        <w:t>P</w:t>
      </w:r>
      <w:r w:rsidRPr="00483BF3">
        <w:rPr>
          <w:rFonts w:ascii="Arial" w:hAnsi="Arial" w:cs="Arial"/>
          <w:b/>
          <w:bCs/>
          <w:sz w:val="20"/>
          <w:szCs w:val="20"/>
        </w:rPr>
        <w:t xml:space="preserve">owers without a </w:t>
      </w:r>
      <w:r w:rsidR="001431F4">
        <w:rPr>
          <w:rFonts w:ascii="Arial" w:hAnsi="Arial" w:cs="Arial"/>
          <w:b/>
          <w:bCs/>
          <w:sz w:val="20"/>
          <w:szCs w:val="20"/>
        </w:rPr>
        <w:t>W</w:t>
      </w:r>
      <w:r w:rsidRPr="00483BF3">
        <w:rPr>
          <w:rFonts w:ascii="Arial" w:hAnsi="Arial" w:cs="Arial"/>
          <w:b/>
          <w:bCs/>
          <w:sz w:val="20"/>
          <w:szCs w:val="20"/>
        </w:rPr>
        <w:t>arrant”</w:t>
      </w:r>
      <w:r w:rsidRPr="00483BF3">
        <w:rPr>
          <w:rFonts w:ascii="Arial" w:hAnsi="Arial" w:cs="Arial"/>
          <w:sz w:val="20"/>
          <w:szCs w:val="20"/>
        </w:rPr>
        <w:t xml:space="preserve"> dated 28 August 2019.</w:t>
      </w:r>
      <w:bookmarkEnd w:id="157"/>
      <w:r w:rsidRPr="00483BF3">
        <w:rPr>
          <w:rFonts w:ascii="Arial" w:hAnsi="Arial" w:cs="Arial"/>
          <w:sz w:val="20"/>
          <w:szCs w:val="20"/>
        </w:rPr>
        <w:t xml:space="preserve"> </w:t>
      </w:r>
      <w:r w:rsidR="007A4FE2">
        <w:rPr>
          <w:rFonts w:ascii="Arial" w:hAnsi="Arial" w:cs="Arial"/>
          <w:sz w:val="20"/>
          <w:szCs w:val="20"/>
        </w:rPr>
        <w:t>T</w:t>
      </w:r>
      <w:r w:rsidRPr="00483BF3">
        <w:rPr>
          <w:rFonts w:ascii="Arial" w:hAnsi="Arial" w:cs="Arial"/>
          <w:sz w:val="20"/>
          <w:szCs w:val="20"/>
        </w:rPr>
        <w:t xml:space="preserve">he material from </w:t>
      </w:r>
      <w:r w:rsidR="00147786">
        <w:rPr>
          <w:rFonts w:ascii="Arial" w:hAnsi="Arial" w:cs="Arial"/>
          <w:sz w:val="20"/>
          <w:szCs w:val="20"/>
        </w:rPr>
        <w:t xml:space="preserve">paragraphs [1]-[44] of </w:t>
      </w:r>
      <w:r w:rsidRPr="00483BF3">
        <w:rPr>
          <w:rFonts w:ascii="Arial" w:hAnsi="Arial" w:cs="Arial"/>
          <w:sz w:val="20"/>
          <w:szCs w:val="20"/>
        </w:rPr>
        <w:t>this document</w:t>
      </w:r>
      <w:r w:rsidR="007A4FE2">
        <w:rPr>
          <w:rFonts w:ascii="Arial" w:hAnsi="Arial" w:cs="Arial"/>
          <w:sz w:val="20"/>
          <w:szCs w:val="20"/>
        </w:rPr>
        <w:t xml:space="preserve"> is set out below</w:t>
      </w:r>
      <w:r w:rsidRPr="00483BF3">
        <w:rPr>
          <w:rFonts w:ascii="Arial" w:hAnsi="Arial" w:cs="Arial"/>
          <w:sz w:val="20"/>
          <w:szCs w:val="20"/>
        </w:rPr>
        <w:t>.</w:t>
      </w:r>
    </w:p>
    <w:p w14:paraId="04B411A1" w14:textId="77777777" w:rsidR="00E355C1" w:rsidRPr="00483BF3" w:rsidRDefault="00E355C1" w:rsidP="00E355C1">
      <w:pPr>
        <w:shd w:val="clear" w:color="auto" w:fill="FFFFFF"/>
        <w:jc w:val="both"/>
        <w:rPr>
          <w:rFonts w:ascii="Arial" w:hAnsi="Arial" w:cs="Arial"/>
          <w:color w:val="141412"/>
          <w:sz w:val="20"/>
          <w:szCs w:val="20"/>
        </w:rPr>
      </w:pPr>
    </w:p>
    <w:p w14:paraId="0B14F6C7" w14:textId="77777777" w:rsidR="00E355C1" w:rsidRPr="006116D0" w:rsidRDefault="00E355C1" w:rsidP="006116D0">
      <w:pPr>
        <w:shd w:val="clear" w:color="auto" w:fill="FFFFFF"/>
        <w:ind w:firstLine="357"/>
        <w:jc w:val="both"/>
        <w:rPr>
          <w:rFonts w:ascii="Arial" w:hAnsi="Arial" w:cs="Arial"/>
          <w:color w:val="141412"/>
          <w:sz w:val="22"/>
          <w:szCs w:val="22"/>
          <w:u w:val="single"/>
        </w:rPr>
      </w:pPr>
      <w:r w:rsidRPr="006116D0">
        <w:rPr>
          <w:rFonts w:ascii="Arial" w:hAnsi="Arial" w:cs="Arial"/>
          <w:b/>
          <w:bCs/>
          <w:color w:val="141412"/>
          <w:sz w:val="22"/>
          <w:szCs w:val="22"/>
          <w:u w:val="single"/>
        </w:rPr>
        <w:t>Introduction</w:t>
      </w:r>
    </w:p>
    <w:p w14:paraId="3E4BE6FE" w14:textId="77777777" w:rsidR="00E355C1" w:rsidRPr="00483BF3" w:rsidRDefault="00E355C1" w:rsidP="00591749">
      <w:pPr>
        <w:numPr>
          <w:ilvl w:val="0"/>
          <w:numId w:val="26"/>
        </w:numPr>
        <w:spacing w:before="120"/>
        <w:ind w:left="714" w:hanging="357"/>
        <w:jc w:val="both"/>
        <w:rPr>
          <w:rFonts w:ascii="Arial" w:hAnsi="Arial" w:cs="Arial"/>
          <w:sz w:val="20"/>
          <w:szCs w:val="20"/>
        </w:rPr>
      </w:pPr>
      <w:r w:rsidRPr="00483BF3">
        <w:rPr>
          <w:rFonts w:ascii="Arial" w:hAnsi="Arial" w:cs="Arial"/>
          <w:sz w:val="20"/>
          <w:szCs w:val="20"/>
        </w:rPr>
        <w:t xml:space="preserve">Police officers’ powers of search and seizure in relation to persons, goods and land are circumscribed in the absence of an authorising warrant. </w:t>
      </w:r>
    </w:p>
    <w:p w14:paraId="00E968AE" w14:textId="77777777" w:rsidR="00E355C1" w:rsidRPr="00483BF3" w:rsidRDefault="00E355C1" w:rsidP="00591749">
      <w:pPr>
        <w:numPr>
          <w:ilvl w:val="0"/>
          <w:numId w:val="26"/>
        </w:numPr>
        <w:spacing w:before="120"/>
        <w:jc w:val="both"/>
        <w:rPr>
          <w:rFonts w:ascii="Arial" w:hAnsi="Arial" w:cs="Arial"/>
          <w:sz w:val="20"/>
          <w:szCs w:val="20"/>
        </w:rPr>
      </w:pPr>
      <w:r w:rsidRPr="00483BF3">
        <w:rPr>
          <w:rFonts w:ascii="Arial" w:hAnsi="Arial" w:cs="Arial"/>
          <w:b/>
          <w:bCs/>
          <w:sz w:val="20"/>
          <w:szCs w:val="20"/>
        </w:rPr>
        <w:t>Interferences with one’s person or possessions are presumed to be a grave infringement of elementary common law rights and may engage the doctrine of trespass to person or goods.</w:t>
      </w:r>
      <w:r w:rsidRPr="00483BF3">
        <w:rPr>
          <w:rFonts w:ascii="Arial" w:hAnsi="Arial" w:cs="Arial"/>
          <w:sz w:val="20"/>
          <w:szCs w:val="20"/>
        </w:rPr>
        <w:t xml:space="preserve"> The mere fact that a person is a police officer does not justify such an interference (</w:t>
      </w:r>
      <w:r w:rsidRPr="00483BF3">
        <w:rPr>
          <w:rFonts w:ascii="Arial" w:hAnsi="Arial" w:cs="Arial"/>
          <w:i/>
          <w:sz w:val="20"/>
          <w:szCs w:val="20"/>
        </w:rPr>
        <w:t xml:space="preserve">Trobrudge v Hardy </w:t>
      </w:r>
      <w:r w:rsidRPr="00483BF3">
        <w:rPr>
          <w:rFonts w:ascii="Arial" w:hAnsi="Arial" w:cs="Arial"/>
          <w:sz w:val="20"/>
          <w:szCs w:val="20"/>
        </w:rPr>
        <w:t xml:space="preserve">(1955) 94 CLR 147, 152). </w:t>
      </w:r>
    </w:p>
    <w:p w14:paraId="15619CDA" w14:textId="77777777" w:rsidR="00E355C1" w:rsidRPr="00483BF3" w:rsidRDefault="00E355C1" w:rsidP="00591749">
      <w:pPr>
        <w:numPr>
          <w:ilvl w:val="0"/>
          <w:numId w:val="26"/>
        </w:numPr>
        <w:spacing w:before="120"/>
        <w:jc w:val="both"/>
        <w:rPr>
          <w:rFonts w:ascii="Arial" w:hAnsi="Arial" w:cs="Arial"/>
          <w:sz w:val="20"/>
          <w:szCs w:val="20"/>
        </w:rPr>
      </w:pPr>
      <w:r w:rsidRPr="00483BF3">
        <w:rPr>
          <w:rFonts w:ascii="Arial" w:hAnsi="Arial" w:cs="Arial"/>
          <w:sz w:val="20"/>
          <w:szCs w:val="20"/>
        </w:rPr>
        <w:t>Similarly, police officers are subject to the law regarding trespass to land and require authority or consent to enter private premises (</w:t>
      </w:r>
      <w:r w:rsidRPr="00483BF3">
        <w:rPr>
          <w:rFonts w:ascii="Arial" w:hAnsi="Arial" w:cs="Arial"/>
          <w:i/>
          <w:sz w:val="20"/>
          <w:szCs w:val="20"/>
        </w:rPr>
        <w:t>Mackay v Abrahams</w:t>
      </w:r>
      <w:r w:rsidRPr="00483BF3">
        <w:rPr>
          <w:rFonts w:ascii="Arial" w:hAnsi="Arial" w:cs="Arial"/>
          <w:sz w:val="20"/>
          <w:szCs w:val="20"/>
        </w:rPr>
        <w:t xml:space="preserve"> [1916] VLR 681, 684; </w:t>
      </w:r>
      <w:r w:rsidRPr="00483BF3">
        <w:rPr>
          <w:rFonts w:ascii="Arial" w:hAnsi="Arial" w:cs="Arial"/>
          <w:i/>
          <w:sz w:val="20"/>
          <w:szCs w:val="20"/>
        </w:rPr>
        <w:t>Plenty v Dillon</w:t>
      </w:r>
      <w:r w:rsidRPr="00483BF3">
        <w:rPr>
          <w:rFonts w:ascii="Arial" w:hAnsi="Arial" w:cs="Arial"/>
          <w:sz w:val="20"/>
          <w:szCs w:val="20"/>
        </w:rPr>
        <w:t xml:space="preserve"> (1991) 171 CLR 635, [4]). </w:t>
      </w:r>
    </w:p>
    <w:p w14:paraId="5CCB0F2B" w14:textId="77777777" w:rsidR="00E355C1" w:rsidRPr="00483BF3" w:rsidRDefault="00E355C1" w:rsidP="00591749">
      <w:pPr>
        <w:numPr>
          <w:ilvl w:val="0"/>
          <w:numId w:val="26"/>
        </w:numPr>
        <w:spacing w:before="120"/>
        <w:jc w:val="both"/>
        <w:rPr>
          <w:rFonts w:ascii="Arial" w:hAnsi="Arial" w:cs="Arial"/>
          <w:sz w:val="20"/>
          <w:szCs w:val="20"/>
        </w:rPr>
      </w:pPr>
      <w:r w:rsidRPr="00483BF3">
        <w:rPr>
          <w:rFonts w:ascii="Arial" w:hAnsi="Arial" w:cs="Arial"/>
          <w:sz w:val="20"/>
          <w:szCs w:val="20"/>
        </w:rPr>
        <w:t xml:space="preserve">One statutory exception to this principle is found in s 459A of the </w:t>
      </w:r>
      <w:r w:rsidRPr="00483BF3">
        <w:rPr>
          <w:rFonts w:ascii="Arial" w:hAnsi="Arial" w:cs="Arial"/>
          <w:i/>
          <w:sz w:val="20"/>
          <w:szCs w:val="20"/>
        </w:rPr>
        <w:t>Crimes Act 1958</w:t>
      </w:r>
      <w:r w:rsidRPr="00483BF3">
        <w:rPr>
          <w:rFonts w:ascii="Arial" w:hAnsi="Arial" w:cs="Arial"/>
          <w:sz w:val="20"/>
          <w:szCs w:val="20"/>
        </w:rPr>
        <w:t xml:space="preserve">, which authorises entry onto private premises for the purpose of arresting a person in accordance with ss 458 or 459 of the </w:t>
      </w:r>
      <w:r w:rsidRPr="00483BF3">
        <w:rPr>
          <w:rFonts w:ascii="Arial" w:hAnsi="Arial" w:cs="Arial"/>
          <w:i/>
          <w:sz w:val="20"/>
          <w:szCs w:val="20"/>
        </w:rPr>
        <w:t>Crimes Act 1958</w:t>
      </w:r>
      <w:r w:rsidRPr="00483BF3">
        <w:rPr>
          <w:rFonts w:ascii="Arial" w:hAnsi="Arial" w:cs="Arial"/>
          <w:sz w:val="20"/>
          <w:szCs w:val="20"/>
        </w:rPr>
        <w:t>, where the police officer believes on reasonable grounds the person has committed a serious indictable offence or has escaped from legal custody. See 8.14 – Powers of arrest, for information on these provisions.</w:t>
      </w:r>
    </w:p>
    <w:p w14:paraId="7511BDE5" w14:textId="77777777" w:rsidR="00E355C1" w:rsidRPr="00483BF3" w:rsidRDefault="00E355C1" w:rsidP="00591749">
      <w:pPr>
        <w:numPr>
          <w:ilvl w:val="0"/>
          <w:numId w:val="26"/>
        </w:numPr>
        <w:spacing w:before="120"/>
        <w:jc w:val="both"/>
        <w:rPr>
          <w:rFonts w:ascii="Arial" w:hAnsi="Arial" w:cs="Arial"/>
          <w:b/>
          <w:bCs/>
          <w:sz w:val="20"/>
          <w:szCs w:val="20"/>
        </w:rPr>
      </w:pPr>
      <w:r w:rsidRPr="00483BF3">
        <w:rPr>
          <w:rFonts w:ascii="Arial" w:hAnsi="Arial" w:cs="Arial"/>
          <w:b/>
          <w:bCs/>
          <w:sz w:val="20"/>
          <w:szCs w:val="20"/>
        </w:rPr>
        <w:t>Police search and seizure powers generally arise in three circumstances:</w:t>
      </w:r>
    </w:p>
    <w:p w14:paraId="44AEF779" w14:textId="77777777" w:rsidR="00E355C1" w:rsidRPr="00483BF3" w:rsidRDefault="00E355C1" w:rsidP="00591749">
      <w:pPr>
        <w:numPr>
          <w:ilvl w:val="0"/>
          <w:numId w:val="37"/>
        </w:numPr>
        <w:spacing w:before="60"/>
        <w:ind w:left="1287" w:hanging="567"/>
        <w:jc w:val="both"/>
        <w:rPr>
          <w:rFonts w:ascii="Arial" w:hAnsi="Arial" w:cs="Arial"/>
          <w:b/>
          <w:bCs/>
          <w:sz w:val="20"/>
          <w:szCs w:val="20"/>
        </w:rPr>
      </w:pPr>
      <w:r w:rsidRPr="00483BF3">
        <w:rPr>
          <w:rFonts w:ascii="Arial" w:hAnsi="Arial" w:cs="Arial"/>
          <w:b/>
          <w:bCs/>
          <w:sz w:val="20"/>
          <w:szCs w:val="20"/>
        </w:rPr>
        <w:t>Search incidental to an arrest;</w:t>
      </w:r>
    </w:p>
    <w:p w14:paraId="0758AB69" w14:textId="77777777" w:rsidR="00E355C1" w:rsidRPr="00483BF3" w:rsidRDefault="00E355C1" w:rsidP="00591749">
      <w:pPr>
        <w:numPr>
          <w:ilvl w:val="0"/>
          <w:numId w:val="37"/>
        </w:numPr>
        <w:spacing w:before="60"/>
        <w:ind w:left="1287" w:hanging="567"/>
        <w:jc w:val="both"/>
        <w:rPr>
          <w:rFonts w:ascii="Arial" w:hAnsi="Arial" w:cs="Arial"/>
          <w:b/>
          <w:bCs/>
          <w:sz w:val="20"/>
          <w:szCs w:val="20"/>
        </w:rPr>
      </w:pPr>
      <w:r w:rsidRPr="00483BF3">
        <w:rPr>
          <w:rFonts w:ascii="Arial" w:hAnsi="Arial" w:cs="Arial"/>
          <w:b/>
          <w:bCs/>
          <w:sz w:val="20"/>
          <w:szCs w:val="20"/>
        </w:rPr>
        <w:t>Search and seizure of stolen goods;</w:t>
      </w:r>
    </w:p>
    <w:p w14:paraId="6FB49570" w14:textId="77777777" w:rsidR="00E355C1" w:rsidRPr="00483BF3" w:rsidRDefault="00E355C1" w:rsidP="00591749">
      <w:pPr>
        <w:numPr>
          <w:ilvl w:val="0"/>
          <w:numId w:val="37"/>
        </w:numPr>
        <w:spacing w:before="60"/>
        <w:ind w:left="1287" w:hanging="567"/>
        <w:jc w:val="both"/>
        <w:rPr>
          <w:rFonts w:ascii="Arial" w:hAnsi="Arial" w:cs="Arial"/>
          <w:b/>
          <w:bCs/>
          <w:sz w:val="20"/>
          <w:szCs w:val="20"/>
        </w:rPr>
      </w:pPr>
      <w:r w:rsidRPr="00483BF3">
        <w:rPr>
          <w:rFonts w:ascii="Arial" w:hAnsi="Arial" w:cs="Arial"/>
          <w:b/>
          <w:bCs/>
          <w:sz w:val="20"/>
          <w:szCs w:val="20"/>
        </w:rPr>
        <w:t>Specific statutory powers.</w:t>
      </w:r>
    </w:p>
    <w:p w14:paraId="7DD5CFA9" w14:textId="77777777" w:rsidR="00E355C1" w:rsidRPr="00483BF3" w:rsidRDefault="00E355C1" w:rsidP="00591749">
      <w:pPr>
        <w:numPr>
          <w:ilvl w:val="0"/>
          <w:numId w:val="26"/>
        </w:numPr>
        <w:spacing w:before="120"/>
        <w:jc w:val="both"/>
        <w:rPr>
          <w:rFonts w:ascii="Arial" w:hAnsi="Arial" w:cs="Arial"/>
          <w:sz w:val="20"/>
          <w:szCs w:val="20"/>
        </w:rPr>
      </w:pPr>
      <w:r w:rsidRPr="00483BF3">
        <w:rPr>
          <w:rFonts w:ascii="Arial" w:hAnsi="Arial" w:cs="Arial"/>
          <w:sz w:val="20"/>
          <w:szCs w:val="20"/>
        </w:rPr>
        <w:t>Recent cases have also considered whether there is a broader power to conduct investigative searches in relation to serious offences [see paragraphs 34-39 below].</w:t>
      </w:r>
    </w:p>
    <w:p w14:paraId="0E8C8ED8" w14:textId="77777777" w:rsidR="00E355C1" w:rsidRPr="00483BF3" w:rsidRDefault="00E355C1" w:rsidP="00591749">
      <w:pPr>
        <w:numPr>
          <w:ilvl w:val="0"/>
          <w:numId w:val="26"/>
        </w:numPr>
        <w:spacing w:before="120"/>
        <w:jc w:val="both"/>
        <w:rPr>
          <w:rFonts w:ascii="Arial" w:hAnsi="Arial" w:cs="Arial"/>
          <w:sz w:val="20"/>
          <w:szCs w:val="20"/>
        </w:rPr>
      </w:pPr>
      <w:r w:rsidRPr="00483BF3">
        <w:rPr>
          <w:rFonts w:ascii="Arial" w:hAnsi="Arial" w:cs="Arial"/>
          <w:sz w:val="20"/>
          <w:szCs w:val="20"/>
        </w:rPr>
        <w:t xml:space="preserve">Where it arises as an issue, the lawfulness of a search will need to be determined before the possible exclusion of the evidence under </w:t>
      </w:r>
      <w:r w:rsidRPr="00483BF3">
        <w:rPr>
          <w:rFonts w:ascii="Arial" w:hAnsi="Arial" w:cs="Arial"/>
          <w:i/>
          <w:sz w:val="20"/>
          <w:szCs w:val="20"/>
        </w:rPr>
        <w:t xml:space="preserve">Evidence Act 2008 </w:t>
      </w:r>
      <w:r w:rsidRPr="00483BF3">
        <w:rPr>
          <w:rFonts w:ascii="Arial" w:hAnsi="Arial" w:cs="Arial"/>
          <w:sz w:val="20"/>
          <w:szCs w:val="20"/>
        </w:rPr>
        <w:t>s 138 is considered. It is only if the court decides that the search was unlawful that s 138 may be engaged (</w:t>
      </w:r>
      <w:r w:rsidRPr="00483BF3">
        <w:rPr>
          <w:rFonts w:ascii="Arial" w:hAnsi="Arial" w:cs="Arial"/>
          <w:i/>
          <w:sz w:val="20"/>
          <w:szCs w:val="20"/>
        </w:rPr>
        <w:t xml:space="preserve">McElroy &amp; Wallace v The Queen </w:t>
      </w:r>
      <w:r w:rsidRPr="00483BF3">
        <w:rPr>
          <w:rFonts w:ascii="Arial" w:hAnsi="Arial" w:cs="Arial"/>
          <w:sz w:val="20"/>
          <w:szCs w:val="20"/>
        </w:rPr>
        <w:t>[2018] 55 VR 450, [116]).</w:t>
      </w:r>
    </w:p>
    <w:p w14:paraId="41509F1A" w14:textId="77777777" w:rsidR="00E355C1" w:rsidRPr="00483BF3" w:rsidRDefault="00E355C1" w:rsidP="00E355C1">
      <w:pPr>
        <w:shd w:val="clear" w:color="auto" w:fill="FFFFFF"/>
        <w:jc w:val="both"/>
        <w:rPr>
          <w:rFonts w:ascii="Arial" w:hAnsi="Arial" w:cs="Arial"/>
          <w:color w:val="141412"/>
          <w:sz w:val="20"/>
          <w:szCs w:val="20"/>
        </w:rPr>
      </w:pPr>
    </w:p>
    <w:p w14:paraId="4CF48FD9" w14:textId="77777777" w:rsidR="00E355C1" w:rsidRPr="006116D0" w:rsidRDefault="00E355C1" w:rsidP="000438D8">
      <w:pPr>
        <w:shd w:val="clear" w:color="auto" w:fill="FFFFFF"/>
        <w:ind w:firstLine="360"/>
        <w:jc w:val="both"/>
        <w:rPr>
          <w:rFonts w:ascii="Arial" w:hAnsi="Arial" w:cs="Arial"/>
          <w:color w:val="141412"/>
          <w:sz w:val="22"/>
          <w:szCs w:val="22"/>
          <w:u w:val="single"/>
        </w:rPr>
      </w:pPr>
      <w:r w:rsidRPr="006116D0">
        <w:rPr>
          <w:rFonts w:ascii="Arial" w:hAnsi="Arial" w:cs="Arial"/>
          <w:b/>
          <w:bCs/>
          <w:color w:val="141412"/>
          <w:sz w:val="22"/>
          <w:szCs w:val="22"/>
          <w:u w:val="single"/>
        </w:rPr>
        <w:t>Search and seizure incidental to an arrest</w:t>
      </w:r>
    </w:p>
    <w:p w14:paraId="7D774381" w14:textId="72C70C64" w:rsidR="006116D0" w:rsidRDefault="006116D0" w:rsidP="006116D0">
      <w:pPr>
        <w:numPr>
          <w:ilvl w:val="0"/>
          <w:numId w:val="26"/>
        </w:numPr>
        <w:spacing w:before="120"/>
        <w:jc w:val="both"/>
        <w:rPr>
          <w:rFonts w:ascii="Arial" w:hAnsi="Arial" w:cs="Arial"/>
          <w:sz w:val="20"/>
          <w:szCs w:val="20"/>
        </w:rPr>
      </w:pPr>
      <w:r>
        <w:rPr>
          <w:rFonts w:ascii="Arial" w:hAnsi="Arial" w:cs="Arial"/>
          <w:sz w:val="20"/>
          <w:szCs w:val="20"/>
        </w:rPr>
        <w:t xml:space="preserve">Police officers are authorised to search </w:t>
      </w:r>
      <w:r w:rsidRPr="006116D0">
        <w:rPr>
          <w:rFonts w:ascii="Arial" w:hAnsi="Arial" w:cs="Arial"/>
          <w:sz w:val="20"/>
          <w:szCs w:val="20"/>
        </w:rPr>
        <w:t>persons and premises when executing an arrest and to seize material for evidentiary purposes (</w:t>
      </w:r>
      <w:r w:rsidRPr="006116D0">
        <w:rPr>
          <w:rFonts w:ascii="Arial" w:hAnsi="Arial" w:cs="Arial"/>
          <w:i/>
          <w:iCs/>
          <w:sz w:val="20"/>
          <w:szCs w:val="20"/>
        </w:rPr>
        <w:t>Field v Sullivan</w:t>
      </w:r>
      <w:r w:rsidRPr="006116D0">
        <w:rPr>
          <w:rFonts w:ascii="Arial" w:hAnsi="Arial" w:cs="Arial"/>
          <w:sz w:val="20"/>
          <w:szCs w:val="20"/>
        </w:rPr>
        <w:t xml:space="preserve"> [1923] VLR 12; </w:t>
      </w:r>
      <w:r w:rsidRPr="006116D0">
        <w:rPr>
          <w:rFonts w:ascii="Arial" w:hAnsi="Arial" w:cs="Arial"/>
          <w:i/>
          <w:iCs/>
          <w:sz w:val="20"/>
          <w:szCs w:val="20"/>
        </w:rPr>
        <w:t>Reeves (a Pseudonym) v The Queen</w:t>
      </w:r>
      <w:r w:rsidRPr="006116D0">
        <w:rPr>
          <w:rFonts w:ascii="Arial" w:hAnsi="Arial" w:cs="Arial"/>
          <w:sz w:val="20"/>
          <w:szCs w:val="20"/>
        </w:rPr>
        <w:t xml:space="preserve"> [2017] VSCA 291).</w:t>
      </w:r>
    </w:p>
    <w:p w14:paraId="6DC5DFF4" w14:textId="6C5E253A" w:rsidR="006116D0" w:rsidRDefault="006116D0" w:rsidP="006116D0">
      <w:pPr>
        <w:numPr>
          <w:ilvl w:val="0"/>
          <w:numId w:val="26"/>
        </w:numPr>
        <w:spacing w:before="120"/>
        <w:jc w:val="both"/>
        <w:rPr>
          <w:rFonts w:ascii="Arial" w:hAnsi="Arial" w:cs="Arial"/>
          <w:sz w:val="20"/>
          <w:szCs w:val="20"/>
        </w:rPr>
      </w:pPr>
      <w:r w:rsidRPr="006116D0">
        <w:rPr>
          <w:rFonts w:ascii="Arial" w:hAnsi="Arial" w:cs="Arial"/>
          <w:sz w:val="20"/>
          <w:szCs w:val="20"/>
        </w:rPr>
        <w:t>Articles may only be seized for evidentiary purposes (</w:t>
      </w:r>
      <w:r w:rsidRPr="006116D0">
        <w:rPr>
          <w:rFonts w:ascii="Arial" w:hAnsi="Arial" w:cs="Arial"/>
          <w:i/>
          <w:iCs/>
          <w:sz w:val="20"/>
          <w:szCs w:val="20"/>
        </w:rPr>
        <w:t>Reeves (a Pseudonym) v The Queen</w:t>
      </w:r>
      <w:r w:rsidRPr="006116D0">
        <w:rPr>
          <w:rFonts w:ascii="Arial" w:hAnsi="Arial" w:cs="Arial"/>
          <w:sz w:val="20"/>
          <w:szCs w:val="20"/>
        </w:rPr>
        <w:t xml:space="preserve"> [2017] VSCA 291, [30]). The officer must believe that the item constitutes material evidence relevant to the same crime for which the arrest is being carried out (</w:t>
      </w:r>
      <w:r w:rsidRPr="006116D0">
        <w:rPr>
          <w:rFonts w:ascii="Arial" w:hAnsi="Arial" w:cs="Arial"/>
          <w:i/>
          <w:iCs/>
          <w:sz w:val="20"/>
          <w:szCs w:val="20"/>
        </w:rPr>
        <w:t>McElroy &amp; Wallace v The Queen</w:t>
      </w:r>
      <w:r w:rsidRPr="006116D0">
        <w:rPr>
          <w:rFonts w:ascii="Arial" w:hAnsi="Arial" w:cs="Arial"/>
          <w:sz w:val="20"/>
          <w:szCs w:val="20"/>
        </w:rPr>
        <w:t xml:space="preserve"> [2018] 55 VR 450, [110]).</w:t>
      </w:r>
    </w:p>
    <w:p w14:paraId="4CF6DCC8" w14:textId="77777777" w:rsidR="006116D0" w:rsidRDefault="006116D0" w:rsidP="006116D0">
      <w:pPr>
        <w:numPr>
          <w:ilvl w:val="0"/>
          <w:numId w:val="26"/>
        </w:numPr>
        <w:spacing w:before="120"/>
        <w:jc w:val="both"/>
        <w:rPr>
          <w:rFonts w:ascii="Arial" w:hAnsi="Arial" w:cs="Arial"/>
          <w:sz w:val="20"/>
          <w:szCs w:val="20"/>
        </w:rPr>
      </w:pPr>
      <w:r w:rsidRPr="006116D0">
        <w:rPr>
          <w:rFonts w:ascii="Arial" w:hAnsi="Arial" w:cs="Arial"/>
          <w:sz w:val="20"/>
          <w:szCs w:val="20"/>
        </w:rPr>
        <w:lastRenderedPageBreak/>
        <w:t>If an officer enters premises for the purposes of arresting someone and subsequently arrests a different person, goods may only be seized from those premises that will be used for evidence regarding the crime for which the second person is arrested (</w:t>
      </w:r>
      <w:r w:rsidRPr="006116D0">
        <w:rPr>
          <w:rFonts w:ascii="Arial" w:hAnsi="Arial" w:cs="Arial"/>
          <w:i/>
          <w:iCs/>
          <w:sz w:val="20"/>
          <w:szCs w:val="20"/>
        </w:rPr>
        <w:t xml:space="preserve">McElroy &amp; Wallace v The Queen </w:t>
      </w:r>
      <w:r w:rsidRPr="006116D0">
        <w:rPr>
          <w:rFonts w:ascii="Arial" w:hAnsi="Arial" w:cs="Arial"/>
          <w:sz w:val="20"/>
          <w:szCs w:val="20"/>
        </w:rPr>
        <w:t xml:space="preserve">[2018] 55 VR 450, [110]). </w:t>
      </w:r>
    </w:p>
    <w:p w14:paraId="77E30E34" w14:textId="77777777" w:rsidR="006116D0" w:rsidRDefault="006116D0" w:rsidP="006116D0">
      <w:pPr>
        <w:numPr>
          <w:ilvl w:val="0"/>
          <w:numId w:val="26"/>
        </w:numPr>
        <w:spacing w:before="120"/>
        <w:jc w:val="both"/>
        <w:rPr>
          <w:rFonts w:ascii="Arial" w:hAnsi="Arial" w:cs="Arial"/>
          <w:sz w:val="20"/>
          <w:szCs w:val="20"/>
        </w:rPr>
      </w:pPr>
      <w:r w:rsidRPr="006116D0">
        <w:rPr>
          <w:rFonts w:ascii="Arial" w:hAnsi="Arial" w:cs="Arial"/>
          <w:sz w:val="20"/>
          <w:szCs w:val="20"/>
        </w:rPr>
        <w:t>The arrest and seizure of goods must be sufficiently close in time so as to be regarded as ‘incidental to, and part of, the same operation as the arrest’ (</w:t>
      </w:r>
      <w:r w:rsidRPr="006116D0">
        <w:rPr>
          <w:rFonts w:ascii="Arial" w:hAnsi="Arial" w:cs="Arial"/>
          <w:i/>
          <w:iCs/>
          <w:sz w:val="20"/>
          <w:szCs w:val="20"/>
        </w:rPr>
        <w:t>Field v Sullivan</w:t>
      </w:r>
      <w:r w:rsidRPr="006116D0">
        <w:rPr>
          <w:rFonts w:ascii="Arial" w:hAnsi="Arial" w:cs="Arial"/>
          <w:sz w:val="20"/>
          <w:szCs w:val="20"/>
        </w:rPr>
        <w:t xml:space="preserve"> [1923] VLR 70, 81). This may permit seizures that occur later on the same day as the arrest (</w:t>
      </w:r>
      <w:r w:rsidRPr="006116D0">
        <w:rPr>
          <w:rFonts w:ascii="Arial" w:hAnsi="Arial" w:cs="Arial"/>
          <w:i/>
          <w:iCs/>
          <w:sz w:val="20"/>
          <w:szCs w:val="20"/>
        </w:rPr>
        <w:t>Reeves (a Pseudonym) v The Queen</w:t>
      </w:r>
      <w:r w:rsidRPr="006116D0">
        <w:rPr>
          <w:rFonts w:ascii="Arial" w:hAnsi="Arial" w:cs="Arial"/>
          <w:sz w:val="20"/>
          <w:szCs w:val="20"/>
        </w:rPr>
        <w:t xml:space="preserve"> [2017] VSCA 291, [30]). </w:t>
      </w:r>
    </w:p>
    <w:p w14:paraId="221FE81F" w14:textId="0CCB3FE0" w:rsidR="006116D0" w:rsidRPr="00483BF3" w:rsidRDefault="006116D0" w:rsidP="006116D0">
      <w:pPr>
        <w:numPr>
          <w:ilvl w:val="0"/>
          <w:numId w:val="26"/>
        </w:numPr>
        <w:spacing w:before="120"/>
        <w:jc w:val="both"/>
        <w:rPr>
          <w:rFonts w:ascii="Arial" w:hAnsi="Arial" w:cs="Arial"/>
          <w:sz w:val="20"/>
          <w:szCs w:val="20"/>
        </w:rPr>
      </w:pPr>
      <w:r w:rsidRPr="006116D0">
        <w:rPr>
          <w:rFonts w:ascii="Arial" w:hAnsi="Arial" w:cs="Arial"/>
          <w:sz w:val="20"/>
          <w:szCs w:val="20"/>
        </w:rPr>
        <w:t>This temporal relationship does not require that the arrest and seizure occur simultaneously. The law recognises the ‘physical exigencies’ of police operations (</w:t>
      </w:r>
      <w:r w:rsidRPr="006116D0">
        <w:rPr>
          <w:rFonts w:ascii="Arial" w:hAnsi="Arial" w:cs="Arial"/>
          <w:i/>
          <w:iCs/>
          <w:sz w:val="20"/>
          <w:szCs w:val="20"/>
        </w:rPr>
        <w:t>Field v Sullivan</w:t>
      </w:r>
      <w:r w:rsidRPr="006116D0">
        <w:rPr>
          <w:rFonts w:ascii="Arial" w:hAnsi="Arial" w:cs="Arial"/>
          <w:sz w:val="20"/>
          <w:szCs w:val="20"/>
        </w:rPr>
        <w:t xml:space="preserve"> [1923] VLR 70, 81).</w:t>
      </w:r>
    </w:p>
    <w:p w14:paraId="5DA87938" w14:textId="77777777" w:rsidR="006116D0" w:rsidRPr="00483BF3" w:rsidRDefault="006116D0" w:rsidP="006116D0">
      <w:pPr>
        <w:shd w:val="clear" w:color="auto" w:fill="FFFFFF"/>
        <w:jc w:val="both"/>
        <w:rPr>
          <w:rFonts w:ascii="Arial" w:hAnsi="Arial" w:cs="Arial"/>
          <w:color w:val="141412"/>
          <w:sz w:val="20"/>
          <w:szCs w:val="20"/>
        </w:rPr>
      </w:pPr>
    </w:p>
    <w:p w14:paraId="233F3702" w14:textId="48F3AAD7" w:rsidR="006116D0" w:rsidRPr="006116D0" w:rsidRDefault="006116D0" w:rsidP="006116D0">
      <w:pPr>
        <w:shd w:val="clear" w:color="auto" w:fill="FFFFFF"/>
        <w:ind w:firstLine="360"/>
        <w:jc w:val="both"/>
        <w:rPr>
          <w:rFonts w:ascii="Arial" w:hAnsi="Arial" w:cs="Arial"/>
          <w:color w:val="141412"/>
          <w:sz w:val="22"/>
          <w:szCs w:val="22"/>
          <w:u w:val="single"/>
        </w:rPr>
      </w:pPr>
      <w:r>
        <w:rPr>
          <w:rFonts w:ascii="Arial" w:hAnsi="Arial" w:cs="Arial"/>
          <w:b/>
          <w:bCs/>
          <w:color w:val="141412"/>
          <w:sz w:val="22"/>
          <w:szCs w:val="22"/>
          <w:u w:val="single"/>
        </w:rPr>
        <w:t>What is permitted when searching a person under arrest?</w:t>
      </w:r>
    </w:p>
    <w:p w14:paraId="5F3E9B66" w14:textId="77777777" w:rsidR="00E355C1" w:rsidRPr="00483BF3" w:rsidRDefault="00E355C1" w:rsidP="00591749">
      <w:pPr>
        <w:numPr>
          <w:ilvl w:val="0"/>
          <w:numId w:val="26"/>
        </w:numPr>
        <w:spacing w:before="120"/>
        <w:jc w:val="both"/>
        <w:rPr>
          <w:rFonts w:ascii="Arial" w:hAnsi="Arial" w:cs="Arial"/>
          <w:b/>
          <w:bCs/>
          <w:sz w:val="20"/>
          <w:szCs w:val="20"/>
        </w:rPr>
      </w:pPr>
      <w:r w:rsidRPr="00483BF3">
        <w:rPr>
          <w:rFonts w:ascii="Arial" w:hAnsi="Arial" w:cs="Arial"/>
          <w:b/>
          <w:bCs/>
          <w:sz w:val="20"/>
          <w:szCs w:val="20"/>
        </w:rPr>
        <w:t>A police officer has a common law duty to take reasonable measures to prevent a person in custody from harming themselves or others or destroying or disposing of evidence. This often involves a search of the person’s clothes and body. Such a search is called a ‘safety and evidence search’ (</w:t>
      </w:r>
      <w:r w:rsidRPr="00483BF3">
        <w:rPr>
          <w:rFonts w:ascii="Arial" w:hAnsi="Arial" w:cs="Arial"/>
          <w:b/>
          <w:bCs/>
          <w:i/>
          <w:sz w:val="20"/>
          <w:szCs w:val="20"/>
        </w:rPr>
        <w:t>Botton v Winn</w:t>
      </w:r>
      <w:r w:rsidRPr="00483BF3">
        <w:rPr>
          <w:rFonts w:ascii="Arial" w:hAnsi="Arial" w:cs="Arial"/>
          <w:b/>
          <w:bCs/>
          <w:sz w:val="20"/>
          <w:szCs w:val="20"/>
        </w:rPr>
        <w:t xml:space="preserve"> (Supreme Court of Victoria, J H Phillips J, 18 December 1987); </w:t>
      </w:r>
      <w:r w:rsidRPr="00483BF3">
        <w:rPr>
          <w:rFonts w:ascii="Arial" w:hAnsi="Arial" w:cs="Arial"/>
          <w:b/>
          <w:bCs/>
          <w:i/>
          <w:sz w:val="20"/>
          <w:szCs w:val="20"/>
        </w:rPr>
        <w:t>Director of Public Prosecutions v Tupper</w:t>
      </w:r>
      <w:r w:rsidRPr="00483BF3">
        <w:rPr>
          <w:rFonts w:ascii="Arial" w:hAnsi="Arial" w:cs="Arial"/>
          <w:b/>
          <w:bCs/>
          <w:sz w:val="20"/>
          <w:szCs w:val="20"/>
        </w:rPr>
        <w:t xml:space="preserve"> (2018) 55 VR 720, [35]). </w:t>
      </w:r>
    </w:p>
    <w:p w14:paraId="7FDC83B9" w14:textId="77777777" w:rsidR="00E355C1" w:rsidRPr="00483BF3" w:rsidRDefault="00E355C1" w:rsidP="00591749">
      <w:pPr>
        <w:numPr>
          <w:ilvl w:val="0"/>
          <w:numId w:val="26"/>
        </w:numPr>
        <w:spacing w:before="120"/>
        <w:jc w:val="both"/>
        <w:rPr>
          <w:rFonts w:ascii="Arial" w:hAnsi="Arial" w:cs="Arial"/>
          <w:sz w:val="20"/>
          <w:szCs w:val="20"/>
        </w:rPr>
      </w:pPr>
      <w:r w:rsidRPr="00483BF3">
        <w:rPr>
          <w:rFonts w:ascii="Arial" w:hAnsi="Arial" w:cs="Arial"/>
          <w:b/>
          <w:bCs/>
          <w:sz w:val="20"/>
          <w:szCs w:val="20"/>
        </w:rPr>
        <w:t>What amounts to a reasonable method of discharging this duty will turn on the circumstances of the case and should ordinarily involve the person being informed of the reasons for the search (</w:t>
      </w:r>
      <w:r w:rsidRPr="00483BF3">
        <w:rPr>
          <w:rFonts w:ascii="Arial" w:hAnsi="Arial" w:cs="Arial"/>
          <w:b/>
          <w:bCs/>
          <w:i/>
          <w:sz w:val="20"/>
          <w:szCs w:val="20"/>
        </w:rPr>
        <w:t>Botton v Winn</w:t>
      </w:r>
      <w:r w:rsidRPr="00483BF3">
        <w:rPr>
          <w:rFonts w:ascii="Arial" w:hAnsi="Arial" w:cs="Arial"/>
          <w:b/>
          <w:bCs/>
          <w:sz w:val="20"/>
          <w:szCs w:val="20"/>
        </w:rPr>
        <w:t xml:space="preserve"> (Supreme Court of Victoria, J H Phillips J, 18 December 1987)).</w:t>
      </w:r>
      <w:r w:rsidRPr="00483BF3">
        <w:rPr>
          <w:rFonts w:ascii="Arial" w:hAnsi="Arial" w:cs="Arial"/>
          <w:sz w:val="20"/>
          <w:szCs w:val="20"/>
        </w:rPr>
        <w:t xml:space="preserve"> </w:t>
      </w:r>
    </w:p>
    <w:p w14:paraId="49B65115" w14:textId="77777777" w:rsidR="00E355C1" w:rsidRPr="00483BF3" w:rsidRDefault="00E355C1" w:rsidP="00591749">
      <w:pPr>
        <w:numPr>
          <w:ilvl w:val="0"/>
          <w:numId w:val="26"/>
        </w:numPr>
        <w:spacing w:before="120"/>
        <w:jc w:val="both"/>
        <w:rPr>
          <w:rFonts w:ascii="Arial" w:hAnsi="Arial" w:cs="Arial"/>
          <w:b/>
          <w:bCs/>
          <w:sz w:val="20"/>
          <w:szCs w:val="20"/>
        </w:rPr>
      </w:pPr>
      <w:r w:rsidRPr="00483BF3">
        <w:rPr>
          <w:rFonts w:ascii="Arial" w:hAnsi="Arial" w:cs="Arial"/>
          <w:b/>
          <w:bCs/>
          <w:sz w:val="20"/>
          <w:szCs w:val="20"/>
        </w:rPr>
        <w:t xml:space="preserve">In certain circumstances, this common law power may involve requiring the person to remove some or all of their clothes </w:t>
      </w:r>
      <w:r w:rsidRPr="00483BF3">
        <w:rPr>
          <w:rFonts w:ascii="Arial" w:hAnsi="Arial" w:cs="Arial"/>
          <w:b/>
          <w:bCs/>
          <w:i/>
          <w:sz w:val="20"/>
          <w:szCs w:val="20"/>
        </w:rPr>
        <w:t>(Botton v Winn</w:t>
      </w:r>
      <w:r w:rsidRPr="00483BF3">
        <w:rPr>
          <w:rFonts w:ascii="Arial" w:hAnsi="Arial" w:cs="Arial"/>
          <w:b/>
          <w:bCs/>
          <w:sz w:val="20"/>
          <w:szCs w:val="20"/>
        </w:rPr>
        <w:t xml:space="preserve"> (Supreme Court of Victoria, J H Phillips J, 18 December 1987)). </w:t>
      </w:r>
    </w:p>
    <w:p w14:paraId="72517CA6" w14:textId="77777777" w:rsidR="00E355C1" w:rsidRPr="00483BF3" w:rsidRDefault="00E355C1" w:rsidP="00591749">
      <w:pPr>
        <w:numPr>
          <w:ilvl w:val="0"/>
          <w:numId w:val="26"/>
        </w:numPr>
        <w:spacing w:before="120"/>
        <w:jc w:val="both"/>
        <w:rPr>
          <w:rFonts w:ascii="Arial" w:hAnsi="Arial" w:cs="Arial"/>
          <w:sz w:val="20"/>
          <w:szCs w:val="20"/>
        </w:rPr>
      </w:pPr>
      <w:r w:rsidRPr="00483BF3">
        <w:rPr>
          <w:rFonts w:ascii="Arial" w:hAnsi="Arial" w:cs="Arial"/>
          <w:sz w:val="20"/>
          <w:szCs w:val="20"/>
        </w:rPr>
        <w:t>Officers conducting such searches must weigh the affront to a person’s dignity against the desirability of preserving and protecting evidence and persons (</w:t>
      </w:r>
      <w:r w:rsidRPr="00483BF3">
        <w:rPr>
          <w:rFonts w:ascii="Arial" w:hAnsi="Arial" w:cs="Arial"/>
          <w:i/>
          <w:sz w:val="20"/>
          <w:szCs w:val="20"/>
        </w:rPr>
        <w:t>Director of Public Prosecutions v Tupper</w:t>
      </w:r>
      <w:r w:rsidRPr="00483BF3">
        <w:rPr>
          <w:rFonts w:ascii="Arial" w:hAnsi="Arial" w:cs="Arial"/>
          <w:sz w:val="20"/>
          <w:szCs w:val="20"/>
        </w:rPr>
        <w:t xml:space="preserve"> (2018) 55 VR 720, [37]).</w:t>
      </w:r>
    </w:p>
    <w:p w14:paraId="3B27ED55" w14:textId="77777777" w:rsidR="00E355C1" w:rsidRPr="00483BF3" w:rsidRDefault="00E355C1" w:rsidP="00591749">
      <w:pPr>
        <w:numPr>
          <w:ilvl w:val="0"/>
          <w:numId w:val="26"/>
        </w:numPr>
        <w:spacing w:before="120"/>
        <w:ind w:left="714" w:hanging="357"/>
        <w:jc w:val="both"/>
        <w:rPr>
          <w:rFonts w:ascii="Arial" w:hAnsi="Arial" w:cs="Arial"/>
          <w:b/>
          <w:bCs/>
          <w:sz w:val="20"/>
          <w:szCs w:val="20"/>
        </w:rPr>
      </w:pPr>
      <w:r w:rsidRPr="00483BF3">
        <w:rPr>
          <w:rFonts w:ascii="Arial" w:hAnsi="Arial" w:cs="Arial"/>
          <w:b/>
          <w:bCs/>
          <w:sz w:val="20"/>
          <w:szCs w:val="20"/>
        </w:rPr>
        <w:t xml:space="preserve">The common law power to conduct a safety and evidence search does not permit forensic procedures. Police officers who wish to take a sample from a person, conduct a procedure on the person or make a physical examination of the person must comply with the requirements imposed by </w:t>
      </w:r>
      <w:r w:rsidRPr="00483BF3">
        <w:rPr>
          <w:rFonts w:ascii="Arial" w:hAnsi="Arial" w:cs="Arial"/>
          <w:b/>
          <w:bCs/>
          <w:i/>
          <w:sz w:val="20"/>
          <w:szCs w:val="20"/>
        </w:rPr>
        <w:t xml:space="preserve">Crimes Act 1958 </w:t>
      </w:r>
      <w:r w:rsidRPr="00483BF3">
        <w:rPr>
          <w:rFonts w:ascii="Arial" w:hAnsi="Arial" w:cs="Arial"/>
          <w:b/>
          <w:bCs/>
          <w:sz w:val="20"/>
          <w:szCs w:val="20"/>
        </w:rPr>
        <w:t xml:space="preserve">ss 464R, 464U and 464Y. </w:t>
      </w:r>
    </w:p>
    <w:p w14:paraId="05C8A7A1" w14:textId="77777777" w:rsidR="00E355C1" w:rsidRPr="00483BF3" w:rsidRDefault="00E355C1" w:rsidP="006874D8">
      <w:pPr>
        <w:shd w:val="clear" w:color="auto" w:fill="FFFFFF"/>
        <w:jc w:val="both"/>
        <w:rPr>
          <w:rFonts w:ascii="Arial" w:hAnsi="Arial" w:cs="Arial"/>
          <w:color w:val="141412"/>
          <w:sz w:val="20"/>
          <w:szCs w:val="20"/>
        </w:rPr>
      </w:pPr>
    </w:p>
    <w:p w14:paraId="7DD3857B" w14:textId="77777777" w:rsidR="00E355C1" w:rsidRPr="006116D0" w:rsidRDefault="00E355C1" w:rsidP="000438D8">
      <w:pPr>
        <w:shd w:val="clear" w:color="auto" w:fill="FFFFFF"/>
        <w:ind w:firstLine="357"/>
        <w:jc w:val="both"/>
        <w:rPr>
          <w:rFonts w:ascii="Arial" w:hAnsi="Arial" w:cs="Arial"/>
          <w:color w:val="141412"/>
          <w:sz w:val="22"/>
          <w:szCs w:val="22"/>
          <w:u w:val="single"/>
        </w:rPr>
      </w:pPr>
      <w:r w:rsidRPr="006116D0">
        <w:rPr>
          <w:rFonts w:ascii="Arial" w:hAnsi="Arial" w:cs="Arial"/>
          <w:b/>
          <w:bCs/>
          <w:color w:val="141412"/>
          <w:sz w:val="22"/>
          <w:szCs w:val="22"/>
          <w:u w:val="single"/>
        </w:rPr>
        <w:t>Seizure of stolen goods</w:t>
      </w:r>
    </w:p>
    <w:p w14:paraId="36B4B027" w14:textId="77777777" w:rsidR="00E355C1" w:rsidRPr="00483BF3" w:rsidRDefault="00E355C1" w:rsidP="00591749">
      <w:pPr>
        <w:numPr>
          <w:ilvl w:val="0"/>
          <w:numId w:val="26"/>
        </w:numPr>
        <w:spacing w:before="120"/>
        <w:ind w:left="714" w:hanging="357"/>
        <w:jc w:val="both"/>
        <w:rPr>
          <w:rFonts w:ascii="Arial" w:hAnsi="Arial" w:cs="Arial"/>
          <w:b/>
          <w:bCs/>
          <w:sz w:val="20"/>
          <w:szCs w:val="20"/>
        </w:rPr>
      </w:pPr>
      <w:bookmarkStart w:id="158" w:name="_Toc13134772"/>
      <w:r w:rsidRPr="00483BF3">
        <w:rPr>
          <w:rFonts w:ascii="Arial" w:hAnsi="Arial" w:cs="Arial"/>
          <w:b/>
          <w:bCs/>
          <w:sz w:val="20"/>
          <w:szCs w:val="20"/>
        </w:rPr>
        <w:t>Police officers are entitled to seize stolen goods from a person provided the seizure occurs without force, violence or otherwise unlawful conduct (</w:t>
      </w:r>
      <w:r w:rsidRPr="00483BF3">
        <w:rPr>
          <w:rFonts w:ascii="Arial" w:hAnsi="Arial" w:cs="Arial"/>
          <w:b/>
          <w:bCs/>
          <w:i/>
          <w:sz w:val="20"/>
          <w:szCs w:val="20"/>
        </w:rPr>
        <w:t>Dalton v McNaughton</w:t>
      </w:r>
      <w:r w:rsidRPr="00483BF3">
        <w:rPr>
          <w:rFonts w:ascii="Arial" w:hAnsi="Arial" w:cs="Arial"/>
          <w:b/>
          <w:bCs/>
          <w:sz w:val="20"/>
          <w:szCs w:val="20"/>
        </w:rPr>
        <w:t xml:space="preserve"> (1903) 29 VLR 144, 151).</w:t>
      </w:r>
    </w:p>
    <w:p w14:paraId="4CD6945F" w14:textId="77777777" w:rsidR="00E355C1" w:rsidRPr="00483BF3" w:rsidRDefault="00E355C1" w:rsidP="00591749">
      <w:pPr>
        <w:numPr>
          <w:ilvl w:val="0"/>
          <w:numId w:val="26"/>
        </w:numPr>
        <w:spacing w:before="120"/>
        <w:ind w:left="714" w:hanging="357"/>
        <w:jc w:val="both"/>
        <w:rPr>
          <w:rFonts w:ascii="Arial" w:hAnsi="Arial" w:cs="Arial"/>
          <w:sz w:val="20"/>
          <w:szCs w:val="20"/>
        </w:rPr>
      </w:pPr>
      <w:r w:rsidRPr="00483BF3">
        <w:rPr>
          <w:rFonts w:ascii="Arial" w:hAnsi="Arial" w:cs="Arial"/>
          <w:b/>
          <w:bCs/>
          <w:sz w:val="20"/>
          <w:szCs w:val="20"/>
        </w:rPr>
        <w:t>This does not include a power to search a person or premises for stolen goods.</w:t>
      </w:r>
      <w:r w:rsidRPr="00483BF3">
        <w:rPr>
          <w:rFonts w:ascii="Arial" w:hAnsi="Arial" w:cs="Arial"/>
          <w:sz w:val="20"/>
          <w:szCs w:val="20"/>
        </w:rPr>
        <w:t xml:space="preserve"> The police officers must be able to identify and reach the goods without trespass to land or individuals (</w:t>
      </w:r>
      <w:r w:rsidRPr="00483BF3">
        <w:rPr>
          <w:rFonts w:ascii="Arial" w:hAnsi="Arial" w:cs="Arial"/>
          <w:i/>
          <w:sz w:val="20"/>
          <w:szCs w:val="20"/>
        </w:rPr>
        <w:t>Laurens &amp; Anor v Willers</w:t>
      </w:r>
      <w:r w:rsidRPr="00483BF3">
        <w:rPr>
          <w:rFonts w:ascii="Arial" w:hAnsi="Arial" w:cs="Arial"/>
          <w:sz w:val="20"/>
          <w:szCs w:val="20"/>
        </w:rPr>
        <w:t xml:space="preserve"> [2002] WASCA 183, [45]). </w:t>
      </w:r>
    </w:p>
    <w:bookmarkEnd w:id="158"/>
    <w:p w14:paraId="5F06CFEF" w14:textId="77777777" w:rsidR="00E355C1" w:rsidRPr="00483BF3" w:rsidRDefault="00E355C1" w:rsidP="006874D8">
      <w:pPr>
        <w:shd w:val="clear" w:color="auto" w:fill="FFFFFF"/>
        <w:jc w:val="both"/>
        <w:rPr>
          <w:rFonts w:ascii="Arial" w:hAnsi="Arial" w:cs="Arial"/>
          <w:color w:val="141412"/>
          <w:sz w:val="20"/>
          <w:szCs w:val="20"/>
        </w:rPr>
      </w:pPr>
    </w:p>
    <w:p w14:paraId="2363F258" w14:textId="77777777" w:rsidR="00E355C1" w:rsidRPr="006116D0" w:rsidRDefault="00E355C1" w:rsidP="000438D8">
      <w:pPr>
        <w:shd w:val="clear" w:color="auto" w:fill="FFFFFF"/>
        <w:ind w:firstLine="360"/>
        <w:jc w:val="both"/>
        <w:rPr>
          <w:rFonts w:ascii="Arial" w:hAnsi="Arial" w:cs="Arial"/>
          <w:color w:val="141412"/>
          <w:sz w:val="22"/>
          <w:szCs w:val="22"/>
          <w:u w:val="single"/>
        </w:rPr>
      </w:pPr>
      <w:bookmarkStart w:id="159" w:name="_Toc14707177"/>
      <w:bookmarkStart w:id="160" w:name="_Toc15049954"/>
      <w:r w:rsidRPr="006116D0">
        <w:rPr>
          <w:rFonts w:ascii="Arial" w:hAnsi="Arial" w:cs="Arial"/>
          <w:b/>
          <w:bCs/>
          <w:sz w:val="22"/>
          <w:szCs w:val="22"/>
          <w:u w:val="single"/>
        </w:rPr>
        <w:t>Statutory powers independent of an arrest</w:t>
      </w:r>
      <w:bookmarkEnd w:id="159"/>
      <w:bookmarkEnd w:id="160"/>
    </w:p>
    <w:p w14:paraId="4C54F0BC" w14:textId="77777777" w:rsidR="0062438E" w:rsidRPr="00483BF3" w:rsidRDefault="00E355C1" w:rsidP="00591749">
      <w:pPr>
        <w:numPr>
          <w:ilvl w:val="0"/>
          <w:numId w:val="26"/>
        </w:numPr>
        <w:spacing w:before="120"/>
        <w:ind w:left="714" w:hanging="357"/>
        <w:jc w:val="both"/>
        <w:rPr>
          <w:rFonts w:ascii="Arial" w:hAnsi="Arial" w:cs="Arial"/>
          <w:b/>
          <w:bCs/>
          <w:sz w:val="20"/>
          <w:szCs w:val="20"/>
        </w:rPr>
      </w:pPr>
      <w:r w:rsidRPr="00483BF3">
        <w:rPr>
          <w:rFonts w:ascii="Arial" w:hAnsi="Arial" w:cs="Arial"/>
          <w:b/>
          <w:bCs/>
          <w:sz w:val="20"/>
        </w:rPr>
        <w:t xml:space="preserve">Police officers are empowered under s 82 of the </w:t>
      </w:r>
      <w:r w:rsidRPr="00483BF3">
        <w:rPr>
          <w:rFonts w:ascii="Arial" w:hAnsi="Arial" w:cs="Arial"/>
          <w:b/>
          <w:bCs/>
          <w:i/>
          <w:sz w:val="20"/>
        </w:rPr>
        <w:t>Drugs, Poisons and Controlled Substances Act 1981</w:t>
      </w:r>
      <w:r w:rsidRPr="00483BF3">
        <w:rPr>
          <w:rFonts w:ascii="Arial" w:hAnsi="Arial" w:cs="Arial"/>
          <w:b/>
          <w:bCs/>
          <w:sz w:val="20"/>
        </w:rPr>
        <w:t xml:space="preserve"> to search a person or vehicle in a public space provided the police officer has reasonable grounds for suspecting that the person possesses a drug of dependence or psychoactive substance or that any such substances are in the vehicle.</w:t>
      </w:r>
    </w:p>
    <w:p w14:paraId="71A4432C" w14:textId="77777777" w:rsidR="0062438E" w:rsidRPr="00483BF3" w:rsidRDefault="00E355C1" w:rsidP="00591749">
      <w:pPr>
        <w:numPr>
          <w:ilvl w:val="0"/>
          <w:numId w:val="26"/>
        </w:numPr>
        <w:spacing w:before="120"/>
        <w:ind w:left="714" w:hanging="357"/>
        <w:jc w:val="both"/>
        <w:rPr>
          <w:rFonts w:ascii="Arial" w:hAnsi="Arial" w:cs="Arial"/>
          <w:b/>
          <w:bCs/>
          <w:sz w:val="20"/>
          <w:szCs w:val="20"/>
        </w:rPr>
      </w:pPr>
      <w:r w:rsidRPr="00483BF3">
        <w:rPr>
          <w:rFonts w:ascii="Arial" w:hAnsi="Arial" w:cs="Arial"/>
          <w:sz w:val="20"/>
        </w:rPr>
        <w:t>The test for establishing that the suspicion is based on reasonable grounds has two elements. First, the suspicion must have actually been held. The second element is objective – The circumstances must have been of a kind that would raise a suspicion in the mind of a reasonable person. A suspicion is a ‘positive or actual apprehension or mistrust’ that requires more than a ‘mere idle wondering’ (</w:t>
      </w:r>
      <w:r w:rsidRPr="00483BF3">
        <w:rPr>
          <w:rFonts w:ascii="Arial" w:hAnsi="Arial" w:cs="Arial"/>
          <w:i/>
          <w:sz w:val="20"/>
        </w:rPr>
        <w:t>Murray, Hale and Olsen (Pseudonyms) v The Queen</w:t>
      </w:r>
      <w:r w:rsidRPr="00483BF3">
        <w:rPr>
          <w:rFonts w:ascii="Arial" w:hAnsi="Arial" w:cs="Arial"/>
          <w:sz w:val="20"/>
        </w:rPr>
        <w:t xml:space="preserve"> [2017] VSCA 236, [62] citing </w:t>
      </w:r>
      <w:r w:rsidRPr="00483BF3">
        <w:rPr>
          <w:rFonts w:ascii="Arial" w:hAnsi="Arial" w:cs="Arial"/>
          <w:i/>
          <w:sz w:val="20"/>
        </w:rPr>
        <w:t>Queensland Bacon Pty Ltd v Rees</w:t>
      </w:r>
      <w:r w:rsidRPr="00483BF3">
        <w:rPr>
          <w:rFonts w:ascii="Arial" w:hAnsi="Arial" w:cs="Arial"/>
          <w:sz w:val="20"/>
        </w:rPr>
        <w:t xml:space="preserve"> (1966) 115 CLR 266, [4])</w:t>
      </w:r>
    </w:p>
    <w:p w14:paraId="45B1D7E2" w14:textId="77777777" w:rsidR="0062438E" w:rsidRPr="00483BF3" w:rsidRDefault="00E355C1" w:rsidP="00591749">
      <w:pPr>
        <w:numPr>
          <w:ilvl w:val="0"/>
          <w:numId w:val="26"/>
        </w:numPr>
        <w:spacing w:before="120"/>
        <w:ind w:left="714" w:hanging="357"/>
        <w:jc w:val="both"/>
        <w:rPr>
          <w:rFonts w:ascii="Arial" w:hAnsi="Arial" w:cs="Arial"/>
          <w:b/>
          <w:bCs/>
          <w:sz w:val="20"/>
          <w:szCs w:val="20"/>
        </w:rPr>
      </w:pPr>
      <w:r w:rsidRPr="00483BF3">
        <w:rPr>
          <w:rFonts w:ascii="Arial" w:hAnsi="Arial" w:cs="Arial"/>
          <w:sz w:val="20"/>
        </w:rPr>
        <w:t>Section 82 should be construed as balancing the need for an effective criminal justice system against the desirability of protecting individuals from arbitrary interferences with their person and property (</w:t>
      </w:r>
      <w:r w:rsidRPr="00483BF3">
        <w:rPr>
          <w:rFonts w:ascii="Arial" w:hAnsi="Arial" w:cs="Arial"/>
          <w:i/>
          <w:sz w:val="20"/>
        </w:rPr>
        <w:t>Murray, Hale and Olsen (Pseudonyms) v The Queen</w:t>
      </w:r>
      <w:r w:rsidRPr="00483BF3">
        <w:rPr>
          <w:rFonts w:ascii="Arial" w:hAnsi="Arial" w:cs="Arial"/>
          <w:sz w:val="20"/>
        </w:rPr>
        <w:t xml:space="preserve"> [2017] VSCA 236, [62]).</w:t>
      </w:r>
    </w:p>
    <w:p w14:paraId="52B3DE54" w14:textId="77777777" w:rsidR="0062438E" w:rsidRPr="00483BF3" w:rsidRDefault="00E355C1" w:rsidP="00591749">
      <w:pPr>
        <w:numPr>
          <w:ilvl w:val="0"/>
          <w:numId w:val="26"/>
        </w:numPr>
        <w:spacing w:before="120"/>
        <w:ind w:left="714" w:hanging="357"/>
        <w:jc w:val="both"/>
        <w:rPr>
          <w:rFonts w:ascii="Arial" w:hAnsi="Arial" w:cs="Arial"/>
          <w:b/>
          <w:bCs/>
          <w:sz w:val="20"/>
          <w:szCs w:val="20"/>
        </w:rPr>
      </w:pPr>
      <w:r w:rsidRPr="00483BF3">
        <w:rPr>
          <w:rFonts w:ascii="Arial" w:hAnsi="Arial" w:cs="Arial"/>
          <w:sz w:val="20"/>
        </w:rPr>
        <w:lastRenderedPageBreak/>
        <w:t>Section 82 is not restricted to circumstances in which a warrant cannot be acquired under s 81: see s.81(7).</w:t>
      </w:r>
    </w:p>
    <w:p w14:paraId="59652590" w14:textId="77777777" w:rsidR="0062438E" w:rsidRPr="00483BF3" w:rsidRDefault="00E355C1" w:rsidP="00591749">
      <w:pPr>
        <w:numPr>
          <w:ilvl w:val="0"/>
          <w:numId w:val="26"/>
        </w:numPr>
        <w:spacing w:before="120"/>
        <w:ind w:left="714" w:hanging="357"/>
        <w:jc w:val="both"/>
        <w:rPr>
          <w:rFonts w:ascii="Arial" w:hAnsi="Arial" w:cs="Arial"/>
          <w:b/>
          <w:bCs/>
          <w:sz w:val="20"/>
          <w:szCs w:val="20"/>
        </w:rPr>
      </w:pPr>
      <w:r w:rsidRPr="00483BF3">
        <w:rPr>
          <w:rFonts w:ascii="Arial" w:hAnsi="Arial" w:cs="Arial"/>
          <w:sz w:val="20"/>
        </w:rPr>
        <w:t xml:space="preserve">There is authority, though </w:t>
      </w:r>
      <w:r w:rsidRPr="00483BF3">
        <w:rPr>
          <w:rFonts w:ascii="Arial" w:hAnsi="Arial" w:cs="Arial"/>
          <w:i/>
          <w:iCs/>
          <w:sz w:val="20"/>
        </w:rPr>
        <w:t>obiter</w:t>
      </w:r>
      <w:r w:rsidRPr="00483BF3">
        <w:rPr>
          <w:rFonts w:ascii="Arial" w:hAnsi="Arial" w:cs="Arial"/>
          <w:sz w:val="20"/>
        </w:rPr>
        <w:t xml:space="preserve">, to suggest that s 82 powers could possibly extend to confiscating a person’s vehicle for the purposes of a later search to be conducted at a police station. Whether this </w:t>
      </w:r>
      <w:r w:rsidRPr="00483BF3">
        <w:rPr>
          <w:rFonts w:ascii="Arial" w:hAnsi="Arial" w:cs="Arial"/>
          <w:i/>
          <w:iCs/>
          <w:sz w:val="20"/>
        </w:rPr>
        <w:t xml:space="preserve">obiter </w:t>
      </w:r>
      <w:r w:rsidRPr="00483BF3">
        <w:rPr>
          <w:rFonts w:ascii="Arial" w:hAnsi="Arial" w:cs="Arial"/>
          <w:sz w:val="20"/>
        </w:rPr>
        <w:t>will be confirmed is a question for future determination (</w:t>
      </w:r>
      <w:r w:rsidRPr="00483BF3">
        <w:rPr>
          <w:rFonts w:ascii="Arial" w:hAnsi="Arial" w:cs="Arial"/>
          <w:i/>
          <w:sz w:val="20"/>
        </w:rPr>
        <w:t>GA, MM and PJ v The Queen</w:t>
      </w:r>
      <w:r w:rsidRPr="00483BF3">
        <w:rPr>
          <w:rFonts w:ascii="Arial" w:hAnsi="Arial" w:cs="Arial"/>
          <w:sz w:val="20"/>
        </w:rPr>
        <w:t xml:space="preserve"> [2012] VSCA 44, [13]).</w:t>
      </w:r>
    </w:p>
    <w:p w14:paraId="185EF87B" w14:textId="77777777" w:rsidR="0062438E" w:rsidRPr="002F7195" w:rsidRDefault="00E355C1" w:rsidP="00591749">
      <w:pPr>
        <w:numPr>
          <w:ilvl w:val="0"/>
          <w:numId w:val="26"/>
        </w:numPr>
        <w:spacing w:before="120"/>
        <w:ind w:left="714" w:hanging="357"/>
        <w:jc w:val="both"/>
        <w:rPr>
          <w:rFonts w:ascii="Arial" w:hAnsi="Arial" w:cs="Arial"/>
          <w:b/>
          <w:bCs/>
          <w:sz w:val="20"/>
          <w:szCs w:val="20"/>
        </w:rPr>
      </w:pPr>
      <w:r w:rsidRPr="00483BF3">
        <w:rPr>
          <w:rFonts w:ascii="Arial" w:hAnsi="Arial" w:cs="Arial"/>
          <w:sz w:val="20"/>
        </w:rPr>
        <w:t>Police officers have a broad power to enter premises if they believe on reasonable grounds that a person has assaulted or threatened to assault a family member or is in contravention of a family violence intervention order, family violence safety notice or a personal safety intervention order (</w:t>
      </w:r>
      <w:r w:rsidRPr="00483BF3">
        <w:rPr>
          <w:rFonts w:ascii="Arial" w:hAnsi="Arial" w:cs="Arial"/>
          <w:i/>
          <w:sz w:val="20"/>
        </w:rPr>
        <w:t xml:space="preserve">Family Violence Protection Act 2008 </w:t>
      </w:r>
      <w:r w:rsidRPr="00483BF3">
        <w:rPr>
          <w:rFonts w:ascii="Arial" w:hAnsi="Arial" w:cs="Arial"/>
          <w:sz w:val="20"/>
        </w:rPr>
        <w:t xml:space="preserve">s 157; </w:t>
      </w:r>
      <w:r w:rsidRPr="00483BF3">
        <w:rPr>
          <w:rFonts w:ascii="Arial" w:hAnsi="Arial" w:cs="Arial"/>
          <w:i/>
          <w:sz w:val="20"/>
        </w:rPr>
        <w:t xml:space="preserve">Personal Safety Intervention Orders Act 2010 </w:t>
      </w:r>
      <w:r w:rsidRPr="00483BF3">
        <w:rPr>
          <w:rFonts w:ascii="Arial" w:hAnsi="Arial" w:cs="Arial"/>
          <w:sz w:val="20"/>
        </w:rPr>
        <w:t>s</w:t>
      </w:r>
      <w:r w:rsidRPr="006116D0">
        <w:rPr>
          <w:rFonts w:ascii="Arial" w:hAnsi="Arial" w:cs="Arial"/>
          <w:color w:val="FFFFFF" w:themeColor="background1"/>
          <w:sz w:val="20"/>
        </w:rPr>
        <w:t> </w:t>
      </w:r>
      <w:r w:rsidRPr="00483BF3">
        <w:rPr>
          <w:rFonts w:ascii="Arial" w:hAnsi="Arial" w:cs="Arial"/>
          <w:sz w:val="20"/>
        </w:rPr>
        <w:t>114).</w:t>
      </w:r>
    </w:p>
    <w:p w14:paraId="6329D8DF" w14:textId="07893DE5" w:rsidR="002F7195" w:rsidRPr="00483BF3" w:rsidRDefault="002F7195" w:rsidP="00591749">
      <w:pPr>
        <w:numPr>
          <w:ilvl w:val="0"/>
          <w:numId w:val="26"/>
        </w:numPr>
        <w:spacing w:before="120"/>
        <w:ind w:left="714" w:hanging="357"/>
        <w:jc w:val="both"/>
        <w:rPr>
          <w:rFonts w:ascii="Arial" w:hAnsi="Arial" w:cs="Arial"/>
          <w:b/>
          <w:bCs/>
          <w:sz w:val="20"/>
          <w:szCs w:val="20"/>
        </w:rPr>
      </w:pPr>
      <w:r>
        <w:rPr>
          <w:rFonts w:ascii="Arial" w:hAnsi="Arial" w:cs="Arial"/>
          <w:sz w:val="20"/>
        </w:rPr>
        <w:t xml:space="preserve">There is also a limited power for a police officer, authorised by another officer of inspector rank or higher, to enter </w:t>
      </w:r>
      <w:r w:rsidRPr="002F7195">
        <w:rPr>
          <w:rFonts w:ascii="Arial" w:hAnsi="Arial" w:cs="Arial"/>
          <w:sz w:val="20"/>
        </w:rPr>
        <w:t>private premises and search for stolen goods. This power can only be exercised if the person occupying the premises has been convicted in the last five years of handling stolen goods or has been sentenced to imprisonment for another dishonesty offence, or if a person has been convicted in the last five years of handling stolen goods has been in occupation of the premises within the past 12 months (Crimes Act 1958 s 92(2)).</w:t>
      </w:r>
    </w:p>
    <w:p w14:paraId="0E6F4122" w14:textId="77777777" w:rsidR="0062438E" w:rsidRPr="006874D8" w:rsidRDefault="0062438E" w:rsidP="00591749">
      <w:pPr>
        <w:numPr>
          <w:ilvl w:val="0"/>
          <w:numId w:val="26"/>
        </w:numPr>
        <w:spacing w:before="120"/>
        <w:ind w:left="714" w:hanging="357"/>
        <w:jc w:val="both"/>
        <w:rPr>
          <w:rFonts w:ascii="Arial" w:hAnsi="Arial" w:cs="Arial"/>
          <w:b/>
          <w:bCs/>
          <w:sz w:val="20"/>
          <w:szCs w:val="20"/>
        </w:rPr>
      </w:pPr>
      <w:r>
        <w:rPr>
          <w:rFonts w:ascii="Arial" w:hAnsi="Arial" w:cs="Arial"/>
          <w:sz w:val="20"/>
        </w:rPr>
        <w:t>Ot</w:t>
      </w:r>
      <w:r w:rsidR="00E355C1" w:rsidRPr="00483BF3">
        <w:rPr>
          <w:rFonts w:ascii="Arial" w:hAnsi="Arial" w:cs="Arial"/>
          <w:sz w:val="20"/>
        </w:rPr>
        <w:t>her statutory powers include:</w:t>
      </w:r>
    </w:p>
    <w:p w14:paraId="5D225C8A" w14:textId="77777777" w:rsidR="006874D8" w:rsidRPr="006874D8" w:rsidRDefault="006874D8" w:rsidP="00591749">
      <w:pPr>
        <w:numPr>
          <w:ilvl w:val="0"/>
          <w:numId w:val="48"/>
        </w:numPr>
        <w:spacing w:before="120"/>
        <w:ind w:left="998" w:hanging="284"/>
        <w:jc w:val="both"/>
        <w:rPr>
          <w:rFonts w:ascii="Arial" w:hAnsi="Arial" w:cs="Arial"/>
          <w:b/>
          <w:bCs/>
          <w:sz w:val="20"/>
          <w:szCs w:val="20"/>
        </w:rPr>
      </w:pPr>
      <w:r w:rsidRPr="00483BF3">
        <w:rPr>
          <w:rFonts w:ascii="Arial" w:hAnsi="Arial" w:cs="Arial"/>
          <w:b/>
          <w:bCs/>
          <w:sz w:val="20"/>
        </w:rPr>
        <w:t>A power to search (including a strip search) where there are reasonable grounds to suspect the person has weapons in their possession (</w:t>
      </w:r>
      <w:r w:rsidRPr="00483BF3">
        <w:rPr>
          <w:rFonts w:ascii="Arial" w:hAnsi="Arial" w:cs="Arial"/>
          <w:b/>
          <w:bCs/>
          <w:i/>
          <w:sz w:val="20"/>
        </w:rPr>
        <w:t xml:space="preserve">Control of Weapons Act 1990 </w:t>
      </w:r>
      <w:r w:rsidRPr="00483BF3">
        <w:rPr>
          <w:rFonts w:ascii="Arial" w:hAnsi="Arial" w:cs="Arial"/>
          <w:b/>
          <w:bCs/>
          <w:sz w:val="20"/>
        </w:rPr>
        <w:t>s 10).</w:t>
      </w:r>
    </w:p>
    <w:p w14:paraId="0A44F3E7" w14:textId="77777777" w:rsidR="006874D8" w:rsidRPr="006874D8" w:rsidRDefault="006874D8" w:rsidP="00591749">
      <w:pPr>
        <w:numPr>
          <w:ilvl w:val="0"/>
          <w:numId w:val="48"/>
        </w:numPr>
        <w:spacing w:before="120"/>
        <w:ind w:left="998" w:hanging="284"/>
        <w:jc w:val="both"/>
        <w:rPr>
          <w:rFonts w:ascii="Arial" w:hAnsi="Arial" w:cs="Arial"/>
          <w:b/>
          <w:bCs/>
          <w:sz w:val="20"/>
          <w:szCs w:val="20"/>
        </w:rPr>
      </w:pPr>
      <w:r w:rsidRPr="00483BF3">
        <w:rPr>
          <w:rFonts w:ascii="Arial" w:hAnsi="Arial" w:cs="Arial"/>
          <w:sz w:val="20"/>
        </w:rPr>
        <w:t xml:space="preserve">A power to search for firearms where there are reasonable grounds to suspect the person is committing or about to commit a </w:t>
      </w:r>
      <w:r w:rsidRPr="00483BF3">
        <w:rPr>
          <w:rFonts w:ascii="Arial" w:hAnsi="Arial" w:cs="Arial"/>
          <w:i/>
          <w:sz w:val="20"/>
        </w:rPr>
        <w:t xml:space="preserve">Firearms Act </w:t>
      </w:r>
      <w:r w:rsidRPr="00483BF3">
        <w:rPr>
          <w:rFonts w:ascii="Arial" w:hAnsi="Arial" w:cs="Arial"/>
          <w:sz w:val="20"/>
        </w:rPr>
        <w:t>offence and that he or she has a firearm or ammunition in their possession (</w:t>
      </w:r>
      <w:r w:rsidRPr="00483BF3">
        <w:rPr>
          <w:rFonts w:ascii="Arial" w:hAnsi="Arial" w:cs="Arial"/>
          <w:i/>
          <w:sz w:val="20"/>
        </w:rPr>
        <w:t>Firearms Act 1996</w:t>
      </w:r>
      <w:r w:rsidRPr="00483BF3">
        <w:rPr>
          <w:rFonts w:ascii="Arial" w:hAnsi="Arial" w:cs="Arial"/>
          <w:sz w:val="20"/>
        </w:rPr>
        <w:t xml:space="preserve"> s 149).</w:t>
      </w:r>
    </w:p>
    <w:p w14:paraId="124D8943" w14:textId="77777777" w:rsidR="006874D8" w:rsidRPr="006874D8" w:rsidRDefault="006874D8" w:rsidP="00591749">
      <w:pPr>
        <w:numPr>
          <w:ilvl w:val="0"/>
          <w:numId w:val="48"/>
        </w:numPr>
        <w:spacing w:before="120"/>
        <w:ind w:left="998" w:hanging="284"/>
        <w:jc w:val="both"/>
        <w:rPr>
          <w:rFonts w:ascii="Arial" w:hAnsi="Arial" w:cs="Arial"/>
          <w:b/>
          <w:bCs/>
          <w:sz w:val="20"/>
          <w:szCs w:val="20"/>
        </w:rPr>
      </w:pPr>
      <w:r w:rsidRPr="00483BF3">
        <w:rPr>
          <w:rFonts w:ascii="Arial" w:hAnsi="Arial" w:cs="Arial"/>
          <w:sz w:val="20"/>
        </w:rPr>
        <w:t>A power to frisk search any person on court premises (</w:t>
      </w:r>
      <w:r w:rsidRPr="00483BF3">
        <w:rPr>
          <w:rFonts w:ascii="Arial" w:hAnsi="Arial" w:cs="Arial"/>
          <w:i/>
          <w:sz w:val="20"/>
        </w:rPr>
        <w:t xml:space="preserve">Court Security Act 1980 </w:t>
      </w:r>
      <w:r w:rsidRPr="00483BF3">
        <w:rPr>
          <w:rFonts w:ascii="Arial" w:hAnsi="Arial" w:cs="Arial"/>
          <w:sz w:val="20"/>
        </w:rPr>
        <w:t>s 3).</w:t>
      </w:r>
    </w:p>
    <w:p w14:paraId="4397867D" w14:textId="77777777" w:rsidR="006874D8" w:rsidRPr="006874D8" w:rsidRDefault="006874D8" w:rsidP="00591749">
      <w:pPr>
        <w:numPr>
          <w:ilvl w:val="0"/>
          <w:numId w:val="48"/>
        </w:numPr>
        <w:spacing w:before="120"/>
        <w:ind w:left="998" w:hanging="284"/>
        <w:jc w:val="both"/>
        <w:rPr>
          <w:rFonts w:ascii="Arial" w:hAnsi="Arial" w:cs="Arial"/>
          <w:b/>
          <w:bCs/>
          <w:sz w:val="20"/>
          <w:szCs w:val="20"/>
        </w:rPr>
      </w:pPr>
      <w:r w:rsidRPr="00483BF3">
        <w:rPr>
          <w:rFonts w:ascii="Arial" w:hAnsi="Arial" w:cs="Arial"/>
          <w:sz w:val="20"/>
        </w:rPr>
        <w:t xml:space="preserve">A power to search persons under the </w:t>
      </w:r>
      <w:r w:rsidRPr="00483BF3">
        <w:rPr>
          <w:rFonts w:ascii="Arial" w:hAnsi="Arial" w:cs="Arial"/>
          <w:i/>
          <w:sz w:val="20"/>
        </w:rPr>
        <w:t>Gambling Regulation Act 2003</w:t>
      </w:r>
      <w:r w:rsidRPr="00483BF3">
        <w:rPr>
          <w:rFonts w:ascii="Arial" w:hAnsi="Arial" w:cs="Arial"/>
          <w:sz w:val="20"/>
        </w:rPr>
        <w:t xml:space="preserve"> s 2.5.38(f).</w:t>
      </w:r>
    </w:p>
    <w:p w14:paraId="270F3743" w14:textId="77777777" w:rsidR="006874D8" w:rsidRPr="00483BF3" w:rsidRDefault="006874D8" w:rsidP="00591749">
      <w:pPr>
        <w:numPr>
          <w:ilvl w:val="0"/>
          <w:numId w:val="48"/>
        </w:numPr>
        <w:spacing w:before="120"/>
        <w:ind w:left="998" w:hanging="284"/>
        <w:jc w:val="both"/>
        <w:rPr>
          <w:rFonts w:ascii="Arial" w:hAnsi="Arial" w:cs="Arial"/>
          <w:b/>
          <w:bCs/>
          <w:sz w:val="20"/>
          <w:szCs w:val="20"/>
        </w:rPr>
      </w:pPr>
      <w:r w:rsidRPr="00483BF3">
        <w:rPr>
          <w:rFonts w:ascii="Arial" w:hAnsi="Arial" w:cs="Arial"/>
          <w:b/>
          <w:bCs/>
          <w:sz w:val="20"/>
        </w:rPr>
        <w:t xml:space="preserve">A limited power to search persons (not strip search) under the </w:t>
      </w:r>
      <w:r w:rsidRPr="00483BF3">
        <w:rPr>
          <w:rFonts w:ascii="Arial" w:hAnsi="Arial" w:cs="Arial"/>
          <w:b/>
          <w:bCs/>
          <w:i/>
          <w:sz w:val="20"/>
        </w:rPr>
        <w:t xml:space="preserve">Graffiti Prevention Act 2007 </w:t>
      </w:r>
      <w:r w:rsidRPr="00483BF3">
        <w:rPr>
          <w:rFonts w:ascii="Arial" w:hAnsi="Arial" w:cs="Arial"/>
          <w:b/>
          <w:bCs/>
          <w:sz w:val="20"/>
        </w:rPr>
        <w:t>s 13.</w:t>
      </w:r>
    </w:p>
    <w:p w14:paraId="0DC7D49E" w14:textId="77777777" w:rsidR="00E355C1" w:rsidRDefault="00E355C1" w:rsidP="00E355C1">
      <w:pPr>
        <w:shd w:val="clear" w:color="auto" w:fill="FFFFFF"/>
        <w:jc w:val="both"/>
        <w:rPr>
          <w:rFonts w:ascii="Arial" w:hAnsi="Arial" w:cs="Arial"/>
          <w:color w:val="141412"/>
          <w:sz w:val="20"/>
          <w:szCs w:val="20"/>
        </w:rPr>
      </w:pPr>
    </w:p>
    <w:p w14:paraId="68BEDD6C" w14:textId="12375559" w:rsidR="002F7195" w:rsidRPr="006116D0" w:rsidRDefault="002F7195" w:rsidP="002F7195">
      <w:pPr>
        <w:shd w:val="clear" w:color="auto" w:fill="FFFFFF"/>
        <w:ind w:firstLine="360"/>
        <w:jc w:val="both"/>
        <w:rPr>
          <w:rFonts w:ascii="Arial" w:hAnsi="Arial" w:cs="Arial"/>
          <w:color w:val="141412"/>
          <w:sz w:val="22"/>
          <w:szCs w:val="22"/>
          <w:u w:val="single"/>
        </w:rPr>
      </w:pPr>
      <w:r>
        <w:rPr>
          <w:rFonts w:ascii="Arial" w:hAnsi="Arial" w:cs="Arial"/>
          <w:b/>
          <w:bCs/>
          <w:sz w:val="22"/>
          <w:szCs w:val="22"/>
          <w:u w:val="single"/>
        </w:rPr>
        <w:t>The chance discovery principle</w:t>
      </w:r>
    </w:p>
    <w:p w14:paraId="561D2FAB" w14:textId="5D443B0A" w:rsidR="002F7195" w:rsidRPr="002F7195" w:rsidRDefault="002F7195" w:rsidP="002F7195">
      <w:pPr>
        <w:numPr>
          <w:ilvl w:val="0"/>
          <w:numId w:val="26"/>
        </w:numPr>
        <w:spacing w:before="120"/>
        <w:ind w:left="714" w:hanging="357"/>
        <w:jc w:val="both"/>
        <w:rPr>
          <w:rFonts w:ascii="Arial" w:hAnsi="Arial" w:cs="Arial"/>
          <w:b/>
          <w:bCs/>
          <w:sz w:val="20"/>
          <w:szCs w:val="20"/>
        </w:rPr>
      </w:pPr>
      <w:r w:rsidRPr="002F7195">
        <w:rPr>
          <w:rFonts w:ascii="Arial" w:hAnsi="Arial" w:cs="Arial"/>
          <w:color w:val="141412"/>
          <w:sz w:val="20"/>
          <w:szCs w:val="20"/>
        </w:rPr>
        <w:t>Search warrants authorise police officers to enter and search private premises in order to seize goods listed in the warrant.</w:t>
      </w:r>
    </w:p>
    <w:p w14:paraId="32A9393B" w14:textId="6972EE23" w:rsidR="002F7195" w:rsidRPr="002F7195" w:rsidRDefault="002F7195" w:rsidP="002F7195">
      <w:pPr>
        <w:numPr>
          <w:ilvl w:val="0"/>
          <w:numId w:val="26"/>
        </w:numPr>
        <w:spacing w:before="120"/>
        <w:ind w:left="714" w:hanging="357"/>
        <w:jc w:val="both"/>
        <w:rPr>
          <w:rFonts w:ascii="Arial" w:hAnsi="Arial" w:cs="Arial"/>
          <w:b/>
          <w:bCs/>
          <w:sz w:val="20"/>
          <w:szCs w:val="20"/>
        </w:rPr>
      </w:pPr>
      <w:r w:rsidRPr="002F7195">
        <w:rPr>
          <w:rFonts w:ascii="Arial" w:hAnsi="Arial" w:cs="Arial"/>
          <w:color w:val="141412"/>
          <w:sz w:val="20"/>
          <w:szCs w:val="20"/>
        </w:rPr>
        <w:t>The common law extends these powers to the seizure of goods unlisted in the warrant that serve as evidence of serious offences (</w:t>
      </w:r>
      <w:r w:rsidRPr="002F7195">
        <w:rPr>
          <w:rFonts w:ascii="Arial" w:hAnsi="Arial" w:cs="Arial"/>
          <w:i/>
          <w:iCs/>
          <w:color w:val="141412"/>
          <w:sz w:val="20"/>
          <w:szCs w:val="20"/>
        </w:rPr>
        <w:t>Siddique v Martin</w:t>
      </w:r>
      <w:r w:rsidRPr="002F7195">
        <w:rPr>
          <w:rFonts w:ascii="Arial" w:hAnsi="Arial" w:cs="Arial"/>
          <w:color w:val="141412"/>
          <w:sz w:val="20"/>
          <w:szCs w:val="20"/>
        </w:rPr>
        <w:t xml:space="preserve"> (2016) 51 VR 564 577, [32]; </w:t>
      </w:r>
      <w:r w:rsidRPr="002F7195">
        <w:rPr>
          <w:rFonts w:ascii="Arial" w:hAnsi="Arial" w:cs="Arial"/>
          <w:i/>
          <w:iCs/>
          <w:color w:val="141412"/>
          <w:sz w:val="20"/>
          <w:szCs w:val="20"/>
        </w:rPr>
        <w:t>McElroy &amp; Wallace v The Queen</w:t>
      </w:r>
      <w:r w:rsidRPr="002F7195">
        <w:rPr>
          <w:rFonts w:ascii="Arial" w:hAnsi="Arial" w:cs="Arial"/>
          <w:color w:val="141412"/>
          <w:sz w:val="20"/>
          <w:szCs w:val="20"/>
        </w:rPr>
        <w:t xml:space="preserve"> [2018] 55 VR 450, [114]).</w:t>
      </w:r>
    </w:p>
    <w:p w14:paraId="72D9C083" w14:textId="459D7296" w:rsidR="002F7195" w:rsidRPr="002F7195" w:rsidRDefault="002F7195" w:rsidP="002F7195">
      <w:pPr>
        <w:numPr>
          <w:ilvl w:val="0"/>
          <w:numId w:val="26"/>
        </w:numPr>
        <w:spacing w:before="120"/>
        <w:ind w:left="714" w:hanging="357"/>
        <w:jc w:val="both"/>
        <w:rPr>
          <w:rFonts w:ascii="Arial" w:hAnsi="Arial" w:cs="Arial"/>
          <w:b/>
          <w:bCs/>
          <w:sz w:val="20"/>
          <w:szCs w:val="20"/>
        </w:rPr>
      </w:pPr>
      <w:r w:rsidRPr="002F7195">
        <w:rPr>
          <w:rFonts w:ascii="Arial" w:hAnsi="Arial" w:cs="Arial"/>
          <w:color w:val="141412"/>
          <w:sz w:val="20"/>
          <w:szCs w:val="20"/>
        </w:rPr>
        <w:t>This is known as the ‘chance discovery’ rule (</w:t>
      </w:r>
      <w:r w:rsidRPr="002F7195">
        <w:rPr>
          <w:rFonts w:ascii="Arial" w:hAnsi="Arial" w:cs="Arial"/>
          <w:i/>
          <w:iCs/>
          <w:color w:val="141412"/>
          <w:sz w:val="20"/>
          <w:szCs w:val="20"/>
        </w:rPr>
        <w:t>Siddique v Martin</w:t>
      </w:r>
      <w:r w:rsidRPr="002F7195">
        <w:rPr>
          <w:rFonts w:ascii="Arial" w:hAnsi="Arial" w:cs="Arial"/>
          <w:color w:val="141412"/>
          <w:sz w:val="20"/>
          <w:szCs w:val="20"/>
        </w:rPr>
        <w:t xml:space="preserve"> (2016) 51 VR 564 577, [24]).</w:t>
      </w:r>
    </w:p>
    <w:p w14:paraId="271BCC7A" w14:textId="76E21BE0" w:rsidR="002F7195" w:rsidRPr="002F7195" w:rsidRDefault="002F7195" w:rsidP="002F7195">
      <w:pPr>
        <w:numPr>
          <w:ilvl w:val="0"/>
          <w:numId w:val="26"/>
        </w:numPr>
        <w:spacing w:before="120"/>
        <w:ind w:left="714" w:hanging="357"/>
        <w:jc w:val="both"/>
        <w:rPr>
          <w:rFonts w:ascii="Arial" w:hAnsi="Arial" w:cs="Arial"/>
          <w:b/>
          <w:bCs/>
          <w:sz w:val="20"/>
          <w:szCs w:val="20"/>
        </w:rPr>
      </w:pPr>
      <w:r w:rsidRPr="002F7195">
        <w:rPr>
          <w:rFonts w:ascii="Arial" w:hAnsi="Arial" w:cs="Arial"/>
          <w:color w:val="141412"/>
          <w:sz w:val="20"/>
          <w:szCs w:val="20"/>
        </w:rPr>
        <w:t>Goods seized under the chance discovery rule must be ‘adventitiously found’ in the execution of a search warrant. The rule does not confer independent rights of entry or search (</w:t>
      </w:r>
      <w:r w:rsidRPr="002F7195">
        <w:rPr>
          <w:rFonts w:ascii="Arial" w:hAnsi="Arial" w:cs="Arial"/>
          <w:i/>
          <w:iCs/>
          <w:color w:val="141412"/>
          <w:sz w:val="20"/>
          <w:szCs w:val="20"/>
        </w:rPr>
        <w:t>R v Applebee</w:t>
      </w:r>
      <w:r w:rsidRPr="002F7195">
        <w:rPr>
          <w:rFonts w:ascii="Arial" w:hAnsi="Arial" w:cs="Arial"/>
          <w:color w:val="141412"/>
          <w:sz w:val="20"/>
          <w:szCs w:val="20"/>
        </w:rPr>
        <w:t xml:space="preserve"> (1995) 79 A Crim R 554, 8; </w:t>
      </w:r>
      <w:r w:rsidRPr="002F7195">
        <w:rPr>
          <w:rFonts w:ascii="Arial" w:hAnsi="Arial" w:cs="Arial"/>
          <w:i/>
          <w:iCs/>
          <w:color w:val="141412"/>
          <w:sz w:val="20"/>
          <w:szCs w:val="20"/>
        </w:rPr>
        <w:t>Siddique v Martin</w:t>
      </w:r>
      <w:r w:rsidRPr="002F7195">
        <w:rPr>
          <w:rFonts w:ascii="Arial" w:hAnsi="Arial" w:cs="Arial"/>
          <w:color w:val="141412"/>
          <w:sz w:val="20"/>
          <w:szCs w:val="20"/>
        </w:rPr>
        <w:t xml:space="preserve"> (2016) 51 VR 564 577, [24]).</w:t>
      </w:r>
    </w:p>
    <w:p w14:paraId="4CFEB70D" w14:textId="0810AF39" w:rsidR="002F7195" w:rsidRPr="002F7195" w:rsidRDefault="002F7195" w:rsidP="002F7195">
      <w:pPr>
        <w:numPr>
          <w:ilvl w:val="0"/>
          <w:numId w:val="26"/>
        </w:numPr>
        <w:spacing w:before="120"/>
        <w:ind w:left="714" w:hanging="357"/>
        <w:jc w:val="both"/>
        <w:rPr>
          <w:rFonts w:ascii="Arial" w:hAnsi="Arial" w:cs="Arial"/>
          <w:b/>
          <w:bCs/>
          <w:sz w:val="20"/>
          <w:szCs w:val="20"/>
        </w:rPr>
      </w:pPr>
      <w:r w:rsidRPr="002F7195">
        <w:rPr>
          <w:rFonts w:ascii="Arial" w:hAnsi="Arial" w:cs="Arial"/>
          <w:color w:val="141412"/>
          <w:sz w:val="20"/>
          <w:szCs w:val="20"/>
        </w:rPr>
        <w:t>Goods may only be seized in this manner if a police officer holds a reasonable belief that the goods constitute evidence of a serious offence (</w:t>
      </w:r>
      <w:r w:rsidRPr="002F7195">
        <w:rPr>
          <w:rFonts w:ascii="Arial" w:hAnsi="Arial" w:cs="Arial"/>
          <w:i/>
          <w:iCs/>
          <w:color w:val="141412"/>
          <w:sz w:val="20"/>
          <w:szCs w:val="20"/>
        </w:rPr>
        <w:t>Siddique v Martin</w:t>
      </w:r>
      <w:r w:rsidRPr="002F7195">
        <w:rPr>
          <w:rFonts w:ascii="Arial" w:hAnsi="Arial" w:cs="Arial"/>
          <w:color w:val="141412"/>
          <w:sz w:val="20"/>
          <w:szCs w:val="20"/>
        </w:rPr>
        <w:t xml:space="preserve"> (2016) 51 VR 564 577, [22])</w:t>
      </w:r>
      <w:r>
        <w:rPr>
          <w:rFonts w:ascii="Arial" w:hAnsi="Arial" w:cs="Arial"/>
          <w:color w:val="141412"/>
          <w:sz w:val="20"/>
          <w:szCs w:val="20"/>
        </w:rPr>
        <w:t>.</w:t>
      </w:r>
    </w:p>
    <w:p w14:paraId="532BA8A3" w14:textId="24280600" w:rsidR="002F7195" w:rsidRPr="002F7195" w:rsidRDefault="002F7195" w:rsidP="002F7195">
      <w:pPr>
        <w:numPr>
          <w:ilvl w:val="0"/>
          <w:numId w:val="26"/>
        </w:numPr>
        <w:spacing w:before="120"/>
        <w:ind w:left="714" w:hanging="357"/>
        <w:jc w:val="both"/>
        <w:rPr>
          <w:rFonts w:ascii="Arial" w:hAnsi="Arial" w:cs="Arial"/>
          <w:b/>
          <w:bCs/>
          <w:sz w:val="20"/>
          <w:szCs w:val="20"/>
        </w:rPr>
      </w:pPr>
      <w:r w:rsidRPr="002F7195">
        <w:rPr>
          <w:rFonts w:ascii="Arial" w:hAnsi="Arial" w:cs="Arial"/>
          <w:color w:val="141412"/>
          <w:sz w:val="20"/>
          <w:szCs w:val="20"/>
        </w:rPr>
        <w:t>Once all items listed in a warrant have been seized, the powers conferred by that warrant expire and no further goods may be seized, even if officers believe they are evidence of a serious offence (</w:t>
      </w:r>
      <w:r w:rsidRPr="002F7195">
        <w:rPr>
          <w:rFonts w:ascii="Arial" w:hAnsi="Arial" w:cs="Arial"/>
          <w:i/>
          <w:iCs/>
          <w:color w:val="141412"/>
          <w:sz w:val="20"/>
          <w:szCs w:val="20"/>
        </w:rPr>
        <w:t>Siddique v Martin</w:t>
      </w:r>
      <w:r w:rsidRPr="002F7195">
        <w:rPr>
          <w:rFonts w:ascii="Arial" w:hAnsi="Arial" w:cs="Arial"/>
          <w:color w:val="141412"/>
          <w:sz w:val="20"/>
          <w:szCs w:val="20"/>
        </w:rPr>
        <w:t xml:space="preserve"> (2016) 51 VR 564 577, [24]).</w:t>
      </w:r>
    </w:p>
    <w:p w14:paraId="3F1409DC" w14:textId="344460C8" w:rsidR="002F7195" w:rsidRPr="002F7195" w:rsidRDefault="002F7195" w:rsidP="002F7195">
      <w:pPr>
        <w:numPr>
          <w:ilvl w:val="0"/>
          <w:numId w:val="26"/>
        </w:numPr>
        <w:spacing w:before="120"/>
        <w:ind w:left="714" w:hanging="357"/>
        <w:jc w:val="both"/>
        <w:rPr>
          <w:rFonts w:ascii="Arial" w:hAnsi="Arial" w:cs="Arial"/>
          <w:b/>
          <w:bCs/>
          <w:sz w:val="20"/>
          <w:szCs w:val="20"/>
        </w:rPr>
      </w:pPr>
      <w:r w:rsidRPr="002F7195">
        <w:rPr>
          <w:rFonts w:ascii="Arial" w:hAnsi="Arial" w:cs="Arial"/>
          <w:color w:val="141412"/>
          <w:sz w:val="20"/>
          <w:szCs w:val="20"/>
        </w:rPr>
        <w:t>Goods seized in this manner are said to have been seized under the warrant that authorised the relevant entry and search (</w:t>
      </w:r>
      <w:r w:rsidRPr="002F7195">
        <w:rPr>
          <w:rFonts w:ascii="Arial" w:hAnsi="Arial" w:cs="Arial"/>
          <w:i/>
          <w:iCs/>
          <w:color w:val="141412"/>
          <w:sz w:val="20"/>
          <w:szCs w:val="20"/>
        </w:rPr>
        <w:t>Siddique v Martin</w:t>
      </w:r>
      <w:r w:rsidRPr="002F7195">
        <w:rPr>
          <w:rFonts w:ascii="Arial" w:hAnsi="Arial" w:cs="Arial"/>
          <w:color w:val="141412"/>
          <w:sz w:val="20"/>
          <w:szCs w:val="20"/>
        </w:rPr>
        <w:t xml:space="preserve"> (2016) 51 VR 564 577, [34]).</w:t>
      </w:r>
    </w:p>
    <w:p w14:paraId="76C8E211" w14:textId="29506C56" w:rsidR="002F7195" w:rsidRPr="006874D8" w:rsidRDefault="002F7195" w:rsidP="002F7195">
      <w:pPr>
        <w:numPr>
          <w:ilvl w:val="0"/>
          <w:numId w:val="26"/>
        </w:numPr>
        <w:spacing w:before="120"/>
        <w:ind w:left="714" w:hanging="357"/>
        <w:jc w:val="both"/>
        <w:rPr>
          <w:rFonts w:ascii="Arial" w:hAnsi="Arial" w:cs="Arial"/>
          <w:b/>
          <w:bCs/>
          <w:sz w:val="20"/>
          <w:szCs w:val="20"/>
        </w:rPr>
      </w:pPr>
      <w:r w:rsidRPr="002F7195">
        <w:rPr>
          <w:rFonts w:ascii="Arial" w:hAnsi="Arial" w:cs="Arial"/>
          <w:color w:val="141412"/>
          <w:sz w:val="20"/>
          <w:szCs w:val="20"/>
        </w:rPr>
        <w:t>The scope of this common law power is situational and is to be characterised and delimited with reference to the relevant warrant (</w:t>
      </w:r>
      <w:r w:rsidRPr="002F7195">
        <w:rPr>
          <w:rFonts w:ascii="Arial" w:hAnsi="Arial" w:cs="Arial"/>
          <w:i/>
          <w:iCs/>
          <w:color w:val="141412"/>
          <w:sz w:val="20"/>
          <w:szCs w:val="20"/>
        </w:rPr>
        <w:t>Siddique v Martin</w:t>
      </w:r>
      <w:r w:rsidRPr="002F7195">
        <w:rPr>
          <w:rFonts w:ascii="Arial" w:hAnsi="Arial" w:cs="Arial"/>
          <w:color w:val="141412"/>
          <w:sz w:val="20"/>
          <w:szCs w:val="20"/>
        </w:rPr>
        <w:t xml:space="preserve"> (2016) 51 VR 564 577, [32]).</w:t>
      </w:r>
    </w:p>
    <w:p w14:paraId="12B4416F" w14:textId="77777777" w:rsidR="002F7195" w:rsidRPr="00483BF3" w:rsidRDefault="002F7195" w:rsidP="00E355C1">
      <w:pPr>
        <w:shd w:val="clear" w:color="auto" w:fill="FFFFFF"/>
        <w:jc w:val="both"/>
        <w:rPr>
          <w:rFonts w:ascii="Arial" w:hAnsi="Arial" w:cs="Arial"/>
          <w:color w:val="141412"/>
          <w:sz w:val="20"/>
          <w:szCs w:val="20"/>
        </w:rPr>
      </w:pPr>
    </w:p>
    <w:p w14:paraId="46346B9E" w14:textId="77777777" w:rsidR="00E355C1" w:rsidRPr="006116D0" w:rsidRDefault="00E355C1" w:rsidP="000438D8">
      <w:pPr>
        <w:keepNext/>
        <w:keepLines/>
        <w:shd w:val="clear" w:color="auto" w:fill="FFFFFF"/>
        <w:ind w:firstLine="360"/>
        <w:jc w:val="both"/>
        <w:rPr>
          <w:rFonts w:ascii="Arial" w:hAnsi="Arial" w:cs="Arial"/>
          <w:color w:val="141412"/>
          <w:sz w:val="22"/>
          <w:szCs w:val="22"/>
          <w:u w:val="single"/>
        </w:rPr>
      </w:pPr>
      <w:r w:rsidRPr="006116D0">
        <w:rPr>
          <w:rFonts w:ascii="Arial" w:hAnsi="Arial" w:cs="Arial"/>
          <w:b/>
          <w:bCs/>
          <w:color w:val="141412"/>
          <w:sz w:val="22"/>
          <w:szCs w:val="22"/>
          <w:u w:val="single"/>
        </w:rPr>
        <w:lastRenderedPageBreak/>
        <w:t>General common law powers of search and seizure</w:t>
      </w:r>
    </w:p>
    <w:p w14:paraId="64116B68" w14:textId="77777777" w:rsidR="00E355C1" w:rsidRPr="00483BF3" w:rsidRDefault="00E355C1" w:rsidP="002F7195">
      <w:pPr>
        <w:numPr>
          <w:ilvl w:val="0"/>
          <w:numId w:val="26"/>
        </w:numPr>
        <w:spacing w:before="120"/>
        <w:jc w:val="both"/>
        <w:rPr>
          <w:rFonts w:ascii="Arial" w:hAnsi="Arial" w:cs="Arial"/>
          <w:b/>
          <w:bCs/>
          <w:sz w:val="20"/>
          <w:szCs w:val="20"/>
        </w:rPr>
      </w:pPr>
      <w:r w:rsidRPr="00483BF3">
        <w:rPr>
          <w:rFonts w:ascii="Arial" w:hAnsi="Arial" w:cs="Arial"/>
          <w:b/>
          <w:bCs/>
          <w:sz w:val="20"/>
          <w:szCs w:val="20"/>
        </w:rPr>
        <w:t>Historically, Victorian cases stated that there were no common law powers of search and seizure beyond those conferred incidental to an arrest, a search warrant or in instances of seizing stolen goods (</w:t>
      </w:r>
      <w:r w:rsidRPr="00483BF3">
        <w:rPr>
          <w:rFonts w:ascii="Arial" w:hAnsi="Arial" w:cs="Arial"/>
          <w:b/>
          <w:bCs/>
          <w:i/>
          <w:sz w:val="20"/>
          <w:szCs w:val="20"/>
        </w:rPr>
        <w:t>Levine v O’Keefe</w:t>
      </w:r>
      <w:r w:rsidRPr="00483BF3">
        <w:rPr>
          <w:rFonts w:ascii="Arial" w:hAnsi="Arial" w:cs="Arial"/>
          <w:b/>
          <w:bCs/>
          <w:sz w:val="20"/>
          <w:szCs w:val="20"/>
        </w:rPr>
        <w:t xml:space="preserve"> [1930] VLR 70, 72).</w:t>
      </w:r>
    </w:p>
    <w:p w14:paraId="0B525AE9" w14:textId="77777777" w:rsidR="00E355C1" w:rsidRPr="00483BF3" w:rsidRDefault="00E355C1" w:rsidP="002F7195">
      <w:pPr>
        <w:numPr>
          <w:ilvl w:val="0"/>
          <w:numId w:val="26"/>
        </w:numPr>
        <w:spacing w:before="120"/>
        <w:jc w:val="both"/>
        <w:rPr>
          <w:rFonts w:ascii="Arial" w:hAnsi="Arial" w:cs="Arial"/>
          <w:sz w:val="20"/>
          <w:szCs w:val="20"/>
        </w:rPr>
      </w:pPr>
      <w:r w:rsidRPr="00483BF3">
        <w:rPr>
          <w:rFonts w:ascii="Arial" w:hAnsi="Arial" w:cs="Arial"/>
          <w:sz w:val="20"/>
          <w:szCs w:val="20"/>
        </w:rPr>
        <w:t xml:space="preserve">Investigating breaches of the peace or threats to breach the peace did not suffice to justify police interference with persons, goods or land in the absence of statutory authority </w:t>
      </w:r>
      <w:r w:rsidRPr="00483BF3">
        <w:rPr>
          <w:rFonts w:ascii="Arial" w:hAnsi="Arial" w:cs="Arial"/>
          <w:i/>
          <w:sz w:val="20"/>
          <w:szCs w:val="20"/>
        </w:rPr>
        <w:t>(Kuru v New South Wales</w:t>
      </w:r>
      <w:r w:rsidRPr="00483BF3">
        <w:rPr>
          <w:rFonts w:ascii="Arial" w:hAnsi="Arial" w:cs="Arial"/>
          <w:sz w:val="20"/>
          <w:szCs w:val="20"/>
        </w:rPr>
        <w:t xml:space="preserve"> (2008) 236 CLR 1, [47]). </w:t>
      </w:r>
    </w:p>
    <w:p w14:paraId="71766639" w14:textId="77777777" w:rsidR="00E355C1" w:rsidRPr="00483BF3" w:rsidRDefault="00E355C1" w:rsidP="002F7195">
      <w:pPr>
        <w:numPr>
          <w:ilvl w:val="0"/>
          <w:numId w:val="26"/>
        </w:numPr>
        <w:spacing w:before="120"/>
        <w:jc w:val="both"/>
        <w:rPr>
          <w:rFonts w:ascii="Arial" w:hAnsi="Arial" w:cs="Arial"/>
          <w:b/>
          <w:bCs/>
          <w:sz w:val="20"/>
          <w:szCs w:val="20"/>
        </w:rPr>
      </w:pPr>
      <w:r w:rsidRPr="00483BF3">
        <w:rPr>
          <w:rFonts w:ascii="Arial" w:hAnsi="Arial" w:cs="Arial"/>
          <w:b/>
          <w:bCs/>
          <w:sz w:val="20"/>
          <w:szCs w:val="20"/>
        </w:rPr>
        <w:t>Similarly, there was no power for seizure solely on the basis of a reasonable belief that goods could form material evidence of a crime (</w:t>
      </w:r>
      <w:r w:rsidRPr="00483BF3">
        <w:rPr>
          <w:rFonts w:ascii="Arial" w:hAnsi="Arial" w:cs="Arial"/>
          <w:b/>
          <w:bCs/>
          <w:i/>
          <w:sz w:val="20"/>
          <w:szCs w:val="20"/>
        </w:rPr>
        <w:t xml:space="preserve">Ozzie Discount Software (Aust) Pty Ltd v Muling </w:t>
      </w:r>
      <w:r w:rsidRPr="00483BF3">
        <w:rPr>
          <w:rFonts w:ascii="Arial" w:hAnsi="Arial" w:cs="Arial"/>
          <w:b/>
          <w:bCs/>
          <w:sz w:val="20"/>
          <w:szCs w:val="20"/>
        </w:rPr>
        <w:t>(1996) 86 A Crim R 387, 395).</w:t>
      </w:r>
    </w:p>
    <w:p w14:paraId="663C80C8" w14:textId="77777777" w:rsidR="00E355C1" w:rsidRPr="00483BF3" w:rsidRDefault="00E355C1" w:rsidP="002F7195">
      <w:pPr>
        <w:numPr>
          <w:ilvl w:val="0"/>
          <w:numId w:val="26"/>
        </w:numPr>
        <w:spacing w:before="120"/>
        <w:jc w:val="both"/>
        <w:rPr>
          <w:rFonts w:ascii="Arial" w:hAnsi="Arial" w:cs="Arial"/>
          <w:b/>
          <w:bCs/>
          <w:sz w:val="20"/>
          <w:szCs w:val="20"/>
        </w:rPr>
      </w:pPr>
      <w:r w:rsidRPr="00483BF3">
        <w:rPr>
          <w:rFonts w:ascii="Arial" w:hAnsi="Arial" w:cs="Arial"/>
          <w:b/>
          <w:bCs/>
          <w:sz w:val="20"/>
          <w:szCs w:val="20"/>
        </w:rPr>
        <w:t>However, recent Victorian judgments have entertained discussions that suggest that the law may be straying from this approach.</w:t>
      </w:r>
    </w:p>
    <w:p w14:paraId="3A255E09" w14:textId="77777777" w:rsidR="00E355C1" w:rsidRPr="00483BF3" w:rsidRDefault="00E355C1" w:rsidP="002F7195">
      <w:pPr>
        <w:numPr>
          <w:ilvl w:val="0"/>
          <w:numId w:val="26"/>
        </w:numPr>
        <w:spacing w:before="120"/>
        <w:jc w:val="both"/>
        <w:rPr>
          <w:rFonts w:ascii="Arial" w:hAnsi="Arial" w:cs="Arial"/>
          <w:b/>
          <w:bCs/>
          <w:sz w:val="20"/>
          <w:szCs w:val="20"/>
        </w:rPr>
      </w:pPr>
      <w:r w:rsidRPr="00483BF3">
        <w:rPr>
          <w:rFonts w:ascii="Arial" w:hAnsi="Arial" w:cs="Arial"/>
          <w:b/>
          <w:bCs/>
          <w:sz w:val="20"/>
          <w:szCs w:val="20"/>
        </w:rPr>
        <w:t xml:space="preserve">Osborn J in </w:t>
      </w:r>
      <w:r w:rsidRPr="00483BF3">
        <w:rPr>
          <w:rFonts w:ascii="Arial" w:hAnsi="Arial" w:cs="Arial"/>
          <w:b/>
          <w:bCs/>
          <w:i/>
          <w:iCs/>
          <w:sz w:val="20"/>
          <w:szCs w:val="20"/>
        </w:rPr>
        <w:t>obiter</w:t>
      </w:r>
      <w:r w:rsidRPr="00483BF3">
        <w:rPr>
          <w:rFonts w:ascii="Arial" w:hAnsi="Arial" w:cs="Arial"/>
          <w:b/>
          <w:bCs/>
          <w:sz w:val="20"/>
          <w:szCs w:val="20"/>
        </w:rPr>
        <w:t xml:space="preserve"> in </w:t>
      </w:r>
      <w:r w:rsidRPr="00483BF3">
        <w:rPr>
          <w:rFonts w:ascii="Arial" w:hAnsi="Arial" w:cs="Arial"/>
          <w:b/>
          <w:bCs/>
          <w:i/>
          <w:sz w:val="20"/>
          <w:szCs w:val="20"/>
        </w:rPr>
        <w:t>Goldberg v Brown</w:t>
      </w:r>
      <w:r w:rsidRPr="00483BF3">
        <w:rPr>
          <w:rFonts w:ascii="Arial" w:hAnsi="Arial" w:cs="Arial"/>
          <w:b/>
          <w:bCs/>
          <w:sz w:val="20"/>
          <w:szCs w:val="20"/>
        </w:rPr>
        <w:t xml:space="preserve"> suggested that the UK decision of </w:t>
      </w:r>
      <w:r w:rsidRPr="00483BF3">
        <w:rPr>
          <w:rFonts w:ascii="Arial" w:hAnsi="Arial" w:cs="Arial"/>
          <w:b/>
          <w:bCs/>
          <w:i/>
          <w:sz w:val="20"/>
          <w:szCs w:val="20"/>
        </w:rPr>
        <w:t xml:space="preserve">Ghani v Jones </w:t>
      </w:r>
      <w:r w:rsidRPr="00483BF3">
        <w:rPr>
          <w:rFonts w:ascii="Arial" w:hAnsi="Arial" w:cs="Arial"/>
          <w:b/>
          <w:bCs/>
          <w:sz w:val="20"/>
          <w:szCs w:val="20"/>
        </w:rPr>
        <w:t>[1970] 1 QB 693 was applicable in Victoria (</w:t>
      </w:r>
      <w:r w:rsidRPr="00483BF3">
        <w:rPr>
          <w:rFonts w:ascii="Arial" w:hAnsi="Arial" w:cs="Arial"/>
          <w:b/>
          <w:bCs/>
          <w:i/>
          <w:sz w:val="20"/>
          <w:szCs w:val="20"/>
        </w:rPr>
        <w:t>Goldberg v Brown</w:t>
      </w:r>
      <w:r w:rsidRPr="00483BF3">
        <w:rPr>
          <w:rFonts w:ascii="Arial" w:hAnsi="Arial" w:cs="Arial"/>
          <w:b/>
          <w:bCs/>
          <w:sz w:val="20"/>
          <w:szCs w:val="20"/>
        </w:rPr>
        <w:t xml:space="preserve"> [2003] VSC 104, [4]). </w:t>
      </w:r>
    </w:p>
    <w:p w14:paraId="46954FE4" w14:textId="77777777" w:rsidR="00E355C1" w:rsidRPr="00483BF3" w:rsidRDefault="00E355C1" w:rsidP="002F7195">
      <w:pPr>
        <w:numPr>
          <w:ilvl w:val="0"/>
          <w:numId w:val="26"/>
        </w:numPr>
        <w:spacing w:before="120"/>
        <w:jc w:val="both"/>
        <w:rPr>
          <w:rFonts w:ascii="Arial" w:hAnsi="Arial" w:cs="Arial"/>
          <w:sz w:val="20"/>
          <w:szCs w:val="20"/>
        </w:rPr>
      </w:pPr>
      <w:r w:rsidRPr="00483BF3">
        <w:rPr>
          <w:rFonts w:ascii="Arial" w:hAnsi="Arial" w:cs="Arial"/>
          <w:sz w:val="20"/>
          <w:szCs w:val="20"/>
        </w:rPr>
        <w:t xml:space="preserve">In </w:t>
      </w:r>
      <w:r w:rsidRPr="00483BF3">
        <w:rPr>
          <w:rFonts w:ascii="Arial" w:hAnsi="Arial" w:cs="Arial"/>
          <w:i/>
          <w:sz w:val="20"/>
          <w:szCs w:val="20"/>
        </w:rPr>
        <w:t>Ghani v Jones</w:t>
      </w:r>
      <w:r w:rsidRPr="00483BF3">
        <w:rPr>
          <w:rFonts w:ascii="Arial" w:hAnsi="Arial" w:cs="Arial"/>
          <w:sz w:val="20"/>
          <w:szCs w:val="20"/>
        </w:rPr>
        <w:t>, Lord Denning MR found that an assessment of the lawfulness of a seizure disconnected from an arrest requires the weighing up of the freedom and privacy of an individual against the public interest in repressing crime. His Honour identified five requirements that govern a lawful seizure of goods in these circumstances:</w:t>
      </w:r>
    </w:p>
    <w:p w14:paraId="6926C8C0" w14:textId="77777777" w:rsidR="00E355C1" w:rsidRPr="00483BF3" w:rsidRDefault="00E355C1" w:rsidP="00591749">
      <w:pPr>
        <w:numPr>
          <w:ilvl w:val="1"/>
          <w:numId w:val="27"/>
        </w:numPr>
        <w:spacing w:before="120"/>
        <w:ind w:left="1135" w:hanging="284"/>
        <w:jc w:val="both"/>
        <w:rPr>
          <w:rFonts w:ascii="Arial" w:hAnsi="Arial" w:cs="Arial"/>
          <w:sz w:val="20"/>
          <w:szCs w:val="20"/>
        </w:rPr>
      </w:pPr>
      <w:r w:rsidRPr="00483BF3">
        <w:rPr>
          <w:rFonts w:ascii="Arial" w:hAnsi="Arial" w:cs="Arial"/>
          <w:sz w:val="20"/>
          <w:szCs w:val="20"/>
        </w:rPr>
        <w:t xml:space="preserve">Officers must believe on reasonable grounds that an offence has occurred that is of such gravity that it is of first importance that the offenders be brought to justice. </w:t>
      </w:r>
    </w:p>
    <w:p w14:paraId="0FF04F4F" w14:textId="77777777" w:rsidR="00E355C1" w:rsidRPr="00483BF3" w:rsidRDefault="00E355C1" w:rsidP="00591749">
      <w:pPr>
        <w:numPr>
          <w:ilvl w:val="1"/>
          <w:numId w:val="27"/>
        </w:numPr>
        <w:spacing w:before="120"/>
        <w:ind w:left="1135" w:hanging="284"/>
        <w:jc w:val="both"/>
        <w:rPr>
          <w:rFonts w:ascii="Arial" w:hAnsi="Arial" w:cs="Arial"/>
          <w:sz w:val="20"/>
          <w:szCs w:val="20"/>
        </w:rPr>
      </w:pPr>
      <w:r w:rsidRPr="00483BF3">
        <w:rPr>
          <w:rFonts w:ascii="Arial" w:hAnsi="Arial" w:cs="Arial"/>
          <w:sz w:val="20"/>
          <w:szCs w:val="20"/>
        </w:rPr>
        <w:t>Officers must believe on reasonable grounds that the articles to be seized constitute material evidence to prove the commission of the serious offence.</w:t>
      </w:r>
    </w:p>
    <w:p w14:paraId="111F5036" w14:textId="77777777" w:rsidR="00E355C1" w:rsidRPr="00483BF3" w:rsidRDefault="00E355C1" w:rsidP="00591749">
      <w:pPr>
        <w:numPr>
          <w:ilvl w:val="1"/>
          <w:numId w:val="27"/>
        </w:numPr>
        <w:spacing w:before="120"/>
        <w:ind w:left="1135" w:hanging="284"/>
        <w:jc w:val="both"/>
        <w:rPr>
          <w:rFonts w:ascii="Arial" w:hAnsi="Arial" w:cs="Arial"/>
          <w:sz w:val="20"/>
          <w:szCs w:val="20"/>
        </w:rPr>
      </w:pPr>
      <w:r w:rsidRPr="00483BF3">
        <w:rPr>
          <w:rFonts w:ascii="Arial" w:hAnsi="Arial" w:cs="Arial"/>
          <w:sz w:val="20"/>
          <w:szCs w:val="20"/>
        </w:rPr>
        <w:t xml:space="preserve">The person in possession of the article being seized must be someone whom the officers believe on reasonable grounds is implicated in the crime. </w:t>
      </w:r>
    </w:p>
    <w:p w14:paraId="7954D82B" w14:textId="77777777" w:rsidR="00E355C1" w:rsidRPr="00483BF3" w:rsidRDefault="00E355C1" w:rsidP="00591749">
      <w:pPr>
        <w:numPr>
          <w:ilvl w:val="1"/>
          <w:numId w:val="27"/>
        </w:numPr>
        <w:spacing w:before="120"/>
        <w:ind w:left="1135" w:hanging="284"/>
        <w:jc w:val="both"/>
        <w:rPr>
          <w:rFonts w:ascii="Arial" w:hAnsi="Arial" w:cs="Arial"/>
          <w:sz w:val="20"/>
          <w:szCs w:val="20"/>
        </w:rPr>
      </w:pPr>
      <w:r w:rsidRPr="00483BF3">
        <w:rPr>
          <w:rFonts w:ascii="Arial" w:hAnsi="Arial" w:cs="Arial"/>
          <w:sz w:val="20"/>
          <w:szCs w:val="20"/>
        </w:rPr>
        <w:t xml:space="preserve">The police are not permitted to retain the seized articles for longer than is reasonably necessary to complete their investigations or to create a copy of it.  </w:t>
      </w:r>
    </w:p>
    <w:p w14:paraId="46F5DE6F" w14:textId="77777777" w:rsidR="00E355C1" w:rsidRPr="00483BF3" w:rsidRDefault="00E355C1" w:rsidP="00591749">
      <w:pPr>
        <w:numPr>
          <w:ilvl w:val="1"/>
          <w:numId w:val="27"/>
        </w:numPr>
        <w:spacing w:before="120"/>
        <w:ind w:left="1135" w:hanging="284"/>
        <w:jc w:val="both"/>
        <w:rPr>
          <w:rFonts w:ascii="Arial" w:hAnsi="Arial" w:cs="Arial"/>
          <w:sz w:val="20"/>
          <w:szCs w:val="20"/>
        </w:rPr>
      </w:pPr>
      <w:r w:rsidRPr="00483BF3">
        <w:rPr>
          <w:rFonts w:ascii="Arial" w:hAnsi="Arial" w:cs="Arial"/>
          <w:sz w:val="20"/>
          <w:szCs w:val="20"/>
        </w:rPr>
        <w:t>These requirements must be assessed at the time of the seizure and are unaffected by any subsequent events (</w:t>
      </w:r>
      <w:r w:rsidRPr="00483BF3">
        <w:rPr>
          <w:rFonts w:ascii="Arial" w:hAnsi="Arial" w:cs="Arial"/>
          <w:i/>
          <w:sz w:val="20"/>
          <w:szCs w:val="20"/>
        </w:rPr>
        <w:t xml:space="preserve">Ghani v Jones </w:t>
      </w:r>
      <w:r w:rsidRPr="00483BF3">
        <w:rPr>
          <w:rFonts w:ascii="Arial" w:hAnsi="Arial" w:cs="Arial"/>
          <w:sz w:val="20"/>
          <w:szCs w:val="20"/>
        </w:rPr>
        <w:t xml:space="preserve">[1970] 1 QB 693, 708-709). </w:t>
      </w:r>
    </w:p>
    <w:p w14:paraId="6163290E" w14:textId="77777777" w:rsidR="00E355C1" w:rsidRPr="00483BF3" w:rsidRDefault="00E355C1" w:rsidP="002F7195">
      <w:pPr>
        <w:numPr>
          <w:ilvl w:val="0"/>
          <w:numId w:val="26"/>
        </w:numPr>
        <w:spacing w:before="120"/>
        <w:jc w:val="both"/>
        <w:rPr>
          <w:rFonts w:ascii="Arial" w:hAnsi="Arial" w:cs="Arial"/>
          <w:sz w:val="20"/>
          <w:szCs w:val="20"/>
        </w:rPr>
      </w:pPr>
      <w:r w:rsidRPr="00483BF3">
        <w:rPr>
          <w:rFonts w:ascii="Arial" w:hAnsi="Arial" w:cs="Arial"/>
          <w:sz w:val="20"/>
          <w:szCs w:val="20"/>
        </w:rPr>
        <w:t>These principles represent the outer limits of police powers of seizure considered in the United Kingdom and do not permit police offers to interfere with one’s person or property simply to see if they have committed a crime (</w:t>
      </w:r>
      <w:r w:rsidRPr="00483BF3">
        <w:rPr>
          <w:rFonts w:ascii="Arial" w:hAnsi="Arial" w:cs="Arial"/>
          <w:i/>
          <w:sz w:val="20"/>
          <w:szCs w:val="20"/>
        </w:rPr>
        <w:t xml:space="preserve">Ghani v Jones </w:t>
      </w:r>
      <w:r w:rsidRPr="00483BF3">
        <w:rPr>
          <w:rFonts w:ascii="Arial" w:hAnsi="Arial" w:cs="Arial"/>
          <w:sz w:val="20"/>
          <w:szCs w:val="20"/>
        </w:rPr>
        <w:t xml:space="preserve">[1970] 1 QB 693, 707). </w:t>
      </w:r>
    </w:p>
    <w:p w14:paraId="342AEB08" w14:textId="77777777" w:rsidR="00E355C1" w:rsidRPr="00483BF3" w:rsidRDefault="00E355C1" w:rsidP="002F7195">
      <w:pPr>
        <w:numPr>
          <w:ilvl w:val="0"/>
          <w:numId w:val="26"/>
        </w:numPr>
        <w:spacing w:before="120"/>
        <w:jc w:val="both"/>
        <w:rPr>
          <w:rFonts w:ascii="Arial" w:hAnsi="Arial" w:cs="Arial"/>
          <w:sz w:val="20"/>
          <w:szCs w:val="20"/>
        </w:rPr>
      </w:pPr>
      <w:r w:rsidRPr="00483BF3">
        <w:rPr>
          <w:rFonts w:ascii="Arial" w:hAnsi="Arial" w:cs="Arial"/>
          <w:sz w:val="20"/>
          <w:szCs w:val="20"/>
        </w:rPr>
        <w:t xml:space="preserve">In </w:t>
      </w:r>
      <w:r w:rsidRPr="00483BF3">
        <w:rPr>
          <w:rFonts w:ascii="Arial" w:hAnsi="Arial" w:cs="Arial"/>
          <w:i/>
          <w:sz w:val="20"/>
          <w:szCs w:val="20"/>
        </w:rPr>
        <w:t>Siddique v Martin</w:t>
      </w:r>
      <w:r w:rsidRPr="00483BF3">
        <w:rPr>
          <w:rFonts w:ascii="Arial" w:hAnsi="Arial" w:cs="Arial"/>
          <w:sz w:val="20"/>
          <w:szCs w:val="20"/>
        </w:rPr>
        <w:t xml:space="preserve"> (2016) 51 VR 564, the Crown argued that </w:t>
      </w:r>
      <w:r w:rsidRPr="00483BF3">
        <w:rPr>
          <w:rFonts w:ascii="Arial" w:hAnsi="Arial" w:cs="Arial"/>
          <w:i/>
          <w:sz w:val="20"/>
          <w:szCs w:val="20"/>
        </w:rPr>
        <w:t>Ghani v Jones</w:t>
      </w:r>
      <w:r w:rsidRPr="00483BF3">
        <w:rPr>
          <w:rFonts w:ascii="Arial" w:hAnsi="Arial" w:cs="Arial"/>
          <w:sz w:val="20"/>
          <w:szCs w:val="20"/>
        </w:rPr>
        <w:t xml:space="preserve"> [1970] 1 QB 693 was good law in Victoria. While the Supreme Court noted that it was ‘prepared to assume’ in favour of the Crown, it was not necessary to decide the point as the case concerned the operation of the chance discovery rule when exercising a search warrant (at 574).</w:t>
      </w:r>
    </w:p>
    <w:p w14:paraId="6D876FCA" w14:textId="221EF186" w:rsidR="00E355C1" w:rsidRPr="00483BF3" w:rsidRDefault="00E355C1" w:rsidP="002F7195">
      <w:pPr>
        <w:numPr>
          <w:ilvl w:val="0"/>
          <w:numId w:val="26"/>
        </w:numPr>
        <w:spacing w:before="120"/>
        <w:jc w:val="both"/>
        <w:rPr>
          <w:rFonts w:ascii="Arial" w:hAnsi="Arial" w:cs="Arial"/>
          <w:sz w:val="20"/>
          <w:szCs w:val="20"/>
        </w:rPr>
      </w:pPr>
      <w:r w:rsidRPr="00483BF3">
        <w:rPr>
          <w:rFonts w:ascii="Arial" w:hAnsi="Arial" w:cs="Arial"/>
          <w:sz w:val="20"/>
          <w:szCs w:val="20"/>
        </w:rPr>
        <w:t xml:space="preserve">The most recent consideration of the principles can be found </w:t>
      </w:r>
      <w:r w:rsidRPr="00483BF3">
        <w:rPr>
          <w:rFonts w:ascii="Arial" w:hAnsi="Arial" w:cs="Arial"/>
          <w:i/>
          <w:sz w:val="20"/>
          <w:szCs w:val="20"/>
        </w:rPr>
        <w:t xml:space="preserve">McElroy &amp; Wallace v The Queen </w:t>
      </w:r>
      <w:r w:rsidRPr="00483BF3">
        <w:rPr>
          <w:rFonts w:ascii="Arial" w:hAnsi="Arial" w:cs="Arial"/>
          <w:sz w:val="20"/>
          <w:szCs w:val="20"/>
        </w:rPr>
        <w:t xml:space="preserve">(2018) 55 VR 450. The Court acknowledged that the factual matrix before it mirrored the circumstances in which the </w:t>
      </w:r>
      <w:r w:rsidRPr="00483BF3">
        <w:rPr>
          <w:rFonts w:ascii="Arial" w:hAnsi="Arial" w:cs="Arial"/>
          <w:i/>
          <w:sz w:val="20"/>
          <w:szCs w:val="20"/>
        </w:rPr>
        <w:t xml:space="preserve">Ghani v Jones </w:t>
      </w:r>
      <w:r w:rsidRPr="00483BF3">
        <w:rPr>
          <w:rFonts w:ascii="Arial" w:hAnsi="Arial" w:cs="Arial"/>
          <w:sz w:val="20"/>
          <w:szCs w:val="20"/>
        </w:rPr>
        <w:t xml:space="preserve">principles might apply. However, as the Crown did not offer evidence for the proposition that the Court should follow </w:t>
      </w:r>
      <w:r w:rsidRPr="00483BF3">
        <w:rPr>
          <w:rFonts w:ascii="Arial" w:hAnsi="Arial" w:cs="Arial"/>
          <w:i/>
          <w:sz w:val="20"/>
          <w:szCs w:val="20"/>
        </w:rPr>
        <w:t>Ghani v Jones</w:t>
      </w:r>
      <w:r w:rsidRPr="00483BF3">
        <w:rPr>
          <w:rFonts w:ascii="Arial" w:hAnsi="Arial" w:cs="Arial"/>
          <w:sz w:val="20"/>
          <w:szCs w:val="20"/>
        </w:rPr>
        <w:t xml:space="preserve"> [1970] 1 QB 693, the Court declined to rule on the matter (at [111]). Instead, the seizure was presumed to be unlawful given the lack of warrant or arrest connected to the evidentiary purpose of the seized goods (at [117]).</w:t>
      </w:r>
    </w:p>
    <w:p w14:paraId="7FD88912" w14:textId="77777777" w:rsidR="00B652F4" w:rsidRPr="00483BF3" w:rsidRDefault="00B652F4" w:rsidP="00B652F4">
      <w:pPr>
        <w:shd w:val="clear" w:color="auto" w:fill="FFFFFF"/>
        <w:jc w:val="both"/>
        <w:rPr>
          <w:rFonts w:ascii="Arial" w:hAnsi="Arial" w:cs="Arial"/>
          <w:color w:val="141412"/>
          <w:sz w:val="20"/>
          <w:szCs w:val="20"/>
        </w:rPr>
      </w:pPr>
    </w:p>
    <w:p w14:paraId="310F7EF0" w14:textId="77777777" w:rsidR="000A596D" w:rsidRPr="000A596D" w:rsidRDefault="00B652F4" w:rsidP="000A596D">
      <w:pPr>
        <w:pStyle w:val="Heading3"/>
        <w:keepNext/>
        <w:keepLines/>
        <w:widowControl/>
        <w:spacing w:after="120" w:line="240" w:lineRule="auto"/>
        <w:rPr>
          <w:rFonts w:ascii="Arial" w:hAnsi="Arial" w:cs="Arial"/>
          <w:b/>
          <w:bCs/>
          <w:sz w:val="20"/>
          <w:szCs w:val="16"/>
        </w:rPr>
      </w:pPr>
      <w:bookmarkStart w:id="161" w:name="_7.3.3_Three_types"/>
      <w:bookmarkEnd w:id="161"/>
      <w:r w:rsidRPr="00F51496">
        <w:rPr>
          <w:rFonts w:ascii="Arial" w:hAnsi="Arial" w:cs="Arial"/>
          <w:b/>
          <w:bCs/>
          <w:color w:val="000000"/>
          <w:sz w:val="20"/>
        </w:rPr>
        <w:t>7.</w:t>
      </w:r>
      <w:r>
        <w:rPr>
          <w:rFonts w:ascii="Arial" w:hAnsi="Arial" w:cs="Arial"/>
          <w:b/>
          <w:bCs/>
          <w:color w:val="000000"/>
          <w:sz w:val="20"/>
        </w:rPr>
        <w:t>3.3</w:t>
      </w:r>
      <w:r w:rsidRPr="00F51496">
        <w:rPr>
          <w:rFonts w:ascii="Arial" w:hAnsi="Arial" w:cs="Arial"/>
          <w:b/>
          <w:bCs/>
          <w:color w:val="000000"/>
          <w:sz w:val="20"/>
        </w:rPr>
        <w:tab/>
      </w:r>
      <w:r w:rsidR="005C4B85">
        <w:rPr>
          <w:rFonts w:ascii="Arial" w:hAnsi="Arial" w:cs="Arial"/>
          <w:b/>
          <w:bCs/>
          <w:color w:val="000000"/>
          <w:sz w:val="20"/>
        </w:rPr>
        <w:t>T</w:t>
      </w:r>
      <w:r>
        <w:rPr>
          <w:rFonts w:ascii="Arial" w:hAnsi="Arial" w:cs="Arial"/>
          <w:b/>
          <w:bCs/>
          <w:color w:val="000000"/>
          <w:sz w:val="20"/>
        </w:rPr>
        <w:t>hree types of personal search described</w:t>
      </w:r>
    </w:p>
    <w:p w14:paraId="3A85795B" w14:textId="7539BC2B" w:rsidR="00E355C1" w:rsidRPr="00483BF3" w:rsidRDefault="00E355C1" w:rsidP="00B652F4">
      <w:pPr>
        <w:jc w:val="both"/>
        <w:rPr>
          <w:rFonts w:ascii="Arial" w:hAnsi="Arial" w:cs="Arial"/>
          <w:sz w:val="20"/>
          <w:szCs w:val="20"/>
        </w:rPr>
      </w:pPr>
      <w:r w:rsidRPr="00483BF3">
        <w:rPr>
          <w:rFonts w:ascii="Arial" w:hAnsi="Arial" w:cs="Arial"/>
          <w:sz w:val="20"/>
          <w:szCs w:val="20"/>
        </w:rPr>
        <w:t xml:space="preserve">Three types of personal search are defined in rule 2 of Schedule 1 of the </w:t>
      </w:r>
      <w:r w:rsidRPr="00483BF3">
        <w:rPr>
          <w:rFonts w:ascii="Arial" w:hAnsi="Arial" w:cs="Arial"/>
          <w:i/>
          <w:iCs/>
          <w:sz w:val="20"/>
          <w:szCs w:val="20"/>
        </w:rPr>
        <w:t>Terrorism (Community Protection) Act 2003</w:t>
      </w:r>
      <w:r w:rsidRPr="00483BF3">
        <w:rPr>
          <w:rFonts w:ascii="Arial" w:hAnsi="Arial" w:cs="Arial"/>
          <w:sz w:val="20"/>
          <w:szCs w:val="20"/>
        </w:rPr>
        <w:t xml:space="preserve"> in the following terms</w:t>
      </w:r>
      <w:r w:rsidR="00B652F4">
        <w:rPr>
          <w:rFonts w:ascii="Arial" w:hAnsi="Arial" w:cs="Arial"/>
          <w:sz w:val="20"/>
          <w:szCs w:val="20"/>
        </w:rPr>
        <w:t xml:space="preserve"> which, in the author’s view, are </w:t>
      </w:r>
      <w:r w:rsidRPr="00483BF3">
        <w:rPr>
          <w:rFonts w:ascii="Arial" w:hAnsi="Arial" w:cs="Arial"/>
          <w:sz w:val="20"/>
          <w:szCs w:val="20"/>
        </w:rPr>
        <w:t>also applicable – where relevant – to searches authorised by common law and by other Victorian statutes:</w:t>
      </w:r>
    </w:p>
    <w:p w14:paraId="2D8D6C6E" w14:textId="674BE415" w:rsidR="00E355C1" w:rsidRPr="00483BF3" w:rsidRDefault="00E355C1" w:rsidP="00655140">
      <w:pPr>
        <w:pStyle w:val="DraftDefinition2"/>
        <w:numPr>
          <w:ilvl w:val="0"/>
          <w:numId w:val="29"/>
        </w:numPr>
        <w:ind w:left="714" w:hanging="357"/>
        <w:rPr>
          <w:rFonts w:ascii="Arial" w:hAnsi="Arial" w:cs="Arial"/>
          <w:sz w:val="20"/>
        </w:rPr>
      </w:pPr>
      <w:r w:rsidRPr="00483BF3">
        <w:rPr>
          <w:rFonts w:ascii="Arial" w:hAnsi="Arial" w:cs="Arial"/>
          <w:b/>
          <w:bCs/>
          <w:i/>
          <w:iCs/>
          <w:sz w:val="20"/>
        </w:rPr>
        <w:t>frisk search</w:t>
      </w:r>
      <w:r w:rsidRPr="00483BF3">
        <w:rPr>
          <w:rFonts w:ascii="Arial" w:hAnsi="Arial" w:cs="Arial"/>
          <w:sz w:val="20"/>
        </w:rPr>
        <w:t xml:space="preserve"> </w:t>
      </w:r>
      <w:r w:rsidR="00112A78">
        <w:rPr>
          <w:rFonts w:ascii="Arial" w:hAnsi="Arial" w:cs="Arial"/>
          <w:sz w:val="20"/>
        </w:rPr>
        <w:t xml:space="preserve">(sometimes called a </w:t>
      </w:r>
      <w:r w:rsidR="00112A78" w:rsidRPr="00112A78">
        <w:rPr>
          <w:rFonts w:ascii="Arial" w:hAnsi="Arial" w:cs="Arial"/>
          <w:b/>
          <w:bCs/>
          <w:i/>
          <w:iCs/>
          <w:sz w:val="20"/>
        </w:rPr>
        <w:t>pat down search</w:t>
      </w:r>
      <w:r w:rsidR="001460C7">
        <w:rPr>
          <w:rFonts w:ascii="Arial" w:hAnsi="Arial" w:cs="Arial"/>
          <w:sz w:val="20"/>
        </w:rPr>
        <w:t xml:space="preserve">) </w:t>
      </w:r>
      <w:r w:rsidRPr="00483BF3">
        <w:rPr>
          <w:rFonts w:ascii="Arial" w:hAnsi="Arial" w:cs="Arial"/>
          <w:sz w:val="20"/>
        </w:rPr>
        <w:t>means—</w:t>
      </w:r>
    </w:p>
    <w:p w14:paraId="25857FAB" w14:textId="77777777" w:rsidR="00E355C1" w:rsidRPr="00483BF3" w:rsidRDefault="00E355C1" w:rsidP="005C4B85">
      <w:pPr>
        <w:pStyle w:val="DraftHeading4"/>
        <w:tabs>
          <w:tab w:val="right" w:pos="2268"/>
        </w:tabs>
        <w:spacing w:before="60"/>
        <w:ind w:left="1077" w:hanging="357"/>
        <w:rPr>
          <w:rFonts w:ascii="Arial" w:hAnsi="Arial" w:cs="Arial"/>
          <w:sz w:val="20"/>
        </w:rPr>
      </w:pPr>
      <w:r w:rsidRPr="00483BF3">
        <w:rPr>
          <w:rFonts w:ascii="Arial" w:hAnsi="Arial" w:cs="Arial"/>
          <w:sz w:val="20"/>
        </w:rPr>
        <w:t>(a)</w:t>
      </w:r>
      <w:r w:rsidRPr="00483BF3">
        <w:rPr>
          <w:rFonts w:ascii="Arial" w:hAnsi="Arial" w:cs="Arial"/>
          <w:sz w:val="20"/>
        </w:rPr>
        <w:tab/>
        <w:t>a search of a person conducted by quickly running the hands over the person's outer clothing or by passing an electronic metal detection device over or in close proximity to the person's outer clothing; and</w:t>
      </w:r>
    </w:p>
    <w:p w14:paraId="0D7F9672" w14:textId="77777777" w:rsidR="00E355C1" w:rsidRPr="00483BF3" w:rsidRDefault="00E355C1" w:rsidP="005C4B85">
      <w:pPr>
        <w:pStyle w:val="DraftHeading4"/>
        <w:tabs>
          <w:tab w:val="right" w:pos="2268"/>
        </w:tabs>
        <w:spacing w:before="60"/>
        <w:ind w:left="1077" w:hanging="357"/>
        <w:rPr>
          <w:rFonts w:ascii="Arial" w:hAnsi="Arial" w:cs="Arial"/>
          <w:sz w:val="20"/>
        </w:rPr>
      </w:pPr>
      <w:r w:rsidRPr="00483BF3">
        <w:rPr>
          <w:rFonts w:ascii="Arial" w:hAnsi="Arial" w:cs="Arial"/>
          <w:sz w:val="20"/>
        </w:rPr>
        <w:t>(b)</w:t>
      </w:r>
      <w:r w:rsidRPr="00483BF3">
        <w:rPr>
          <w:rFonts w:ascii="Arial" w:hAnsi="Arial" w:cs="Arial"/>
          <w:sz w:val="20"/>
        </w:rPr>
        <w:tab/>
        <w:t>an examination of anything worn or carried by the person that is conveniently and voluntarily removed by the person, including an examination conducted by passing an electronic metal detection device over or in close proximity to that thing.</w:t>
      </w:r>
    </w:p>
    <w:p w14:paraId="72BB464A" w14:textId="77777777" w:rsidR="00E355C1" w:rsidRPr="00483BF3" w:rsidRDefault="00E355C1" w:rsidP="00591749">
      <w:pPr>
        <w:pStyle w:val="DraftDefinition2"/>
        <w:numPr>
          <w:ilvl w:val="0"/>
          <w:numId w:val="29"/>
        </w:numPr>
        <w:ind w:left="714" w:hanging="357"/>
        <w:rPr>
          <w:rFonts w:ascii="Arial" w:hAnsi="Arial" w:cs="Arial"/>
          <w:sz w:val="20"/>
        </w:rPr>
      </w:pPr>
      <w:r w:rsidRPr="00483BF3">
        <w:rPr>
          <w:rFonts w:ascii="Arial" w:hAnsi="Arial" w:cs="Arial"/>
          <w:b/>
          <w:i/>
          <w:iCs/>
          <w:sz w:val="20"/>
        </w:rPr>
        <w:lastRenderedPageBreak/>
        <w:t>ordinary search</w:t>
      </w:r>
      <w:r w:rsidRPr="00483BF3">
        <w:rPr>
          <w:rFonts w:ascii="Arial" w:hAnsi="Arial" w:cs="Arial"/>
          <w:sz w:val="20"/>
        </w:rPr>
        <w:t xml:space="preserve"> means a search of a person or of things in the possession or under the control of a person that may include—</w:t>
      </w:r>
    </w:p>
    <w:p w14:paraId="15846B8A" w14:textId="77777777" w:rsidR="00E355C1" w:rsidRPr="00483BF3" w:rsidRDefault="00E355C1" w:rsidP="005C4B85">
      <w:pPr>
        <w:pStyle w:val="DraftHeading4"/>
        <w:tabs>
          <w:tab w:val="right" w:pos="2268"/>
        </w:tabs>
        <w:spacing w:before="60"/>
        <w:ind w:left="1077" w:hanging="357"/>
        <w:rPr>
          <w:rFonts w:ascii="Arial" w:hAnsi="Arial" w:cs="Arial"/>
          <w:sz w:val="20"/>
        </w:rPr>
      </w:pPr>
      <w:r w:rsidRPr="00483BF3">
        <w:rPr>
          <w:rFonts w:ascii="Arial" w:hAnsi="Arial" w:cs="Arial"/>
          <w:sz w:val="20"/>
        </w:rPr>
        <w:t>(a)</w:t>
      </w:r>
      <w:r w:rsidRPr="00483BF3">
        <w:rPr>
          <w:rFonts w:ascii="Arial" w:hAnsi="Arial" w:cs="Arial"/>
          <w:sz w:val="20"/>
        </w:rPr>
        <w:tab/>
        <w:t>requiring the person to remove only his or her overcoat, coat or jacket or similar article of clothing and any gloves, shoes and hat; and</w:t>
      </w:r>
    </w:p>
    <w:p w14:paraId="141E3AEB" w14:textId="77777777" w:rsidR="00E355C1" w:rsidRPr="00483BF3" w:rsidRDefault="00E355C1" w:rsidP="005C4B85">
      <w:pPr>
        <w:pStyle w:val="DraftHeading4"/>
        <w:tabs>
          <w:tab w:val="right" w:pos="2268"/>
        </w:tabs>
        <w:spacing w:before="60"/>
        <w:ind w:left="1077" w:hanging="357"/>
        <w:rPr>
          <w:rFonts w:ascii="Arial" w:hAnsi="Arial" w:cs="Arial"/>
          <w:sz w:val="20"/>
        </w:rPr>
      </w:pPr>
      <w:r w:rsidRPr="00483BF3">
        <w:rPr>
          <w:rFonts w:ascii="Arial" w:hAnsi="Arial" w:cs="Arial"/>
          <w:sz w:val="20"/>
        </w:rPr>
        <w:t>(b)</w:t>
      </w:r>
      <w:r w:rsidRPr="00483BF3">
        <w:rPr>
          <w:rFonts w:ascii="Arial" w:hAnsi="Arial" w:cs="Arial"/>
          <w:sz w:val="20"/>
        </w:rPr>
        <w:tab/>
        <w:t>an examination of those items.</w:t>
      </w:r>
    </w:p>
    <w:p w14:paraId="66C6FC2C" w14:textId="22AA0432" w:rsidR="00E355C1" w:rsidRPr="00483BF3" w:rsidRDefault="00E355C1" w:rsidP="00591749">
      <w:pPr>
        <w:pStyle w:val="DraftDefinition2"/>
        <w:numPr>
          <w:ilvl w:val="0"/>
          <w:numId w:val="29"/>
        </w:numPr>
        <w:ind w:left="714" w:hanging="357"/>
        <w:rPr>
          <w:rFonts w:ascii="Arial" w:hAnsi="Arial" w:cs="Arial"/>
          <w:sz w:val="20"/>
        </w:rPr>
      </w:pPr>
      <w:r w:rsidRPr="00483BF3">
        <w:rPr>
          <w:rFonts w:ascii="Arial" w:hAnsi="Arial" w:cs="Arial"/>
          <w:b/>
          <w:i/>
          <w:iCs/>
          <w:sz w:val="20"/>
        </w:rPr>
        <w:t>strip search</w:t>
      </w:r>
      <w:r w:rsidRPr="00483BF3">
        <w:rPr>
          <w:rFonts w:ascii="Arial" w:hAnsi="Arial" w:cs="Arial"/>
          <w:sz w:val="20"/>
        </w:rPr>
        <w:t xml:space="preserve"> </w:t>
      </w:r>
      <w:r w:rsidR="005628FC">
        <w:rPr>
          <w:rFonts w:ascii="Arial" w:hAnsi="Arial" w:cs="Arial"/>
          <w:sz w:val="20"/>
        </w:rPr>
        <w:t xml:space="preserve">(sometimes called an </w:t>
      </w:r>
      <w:r w:rsidR="005628FC">
        <w:rPr>
          <w:rFonts w:ascii="Arial" w:hAnsi="Arial" w:cs="Arial"/>
          <w:b/>
          <w:bCs/>
          <w:i/>
          <w:iCs/>
          <w:sz w:val="20"/>
        </w:rPr>
        <w:t>unclothed</w:t>
      </w:r>
      <w:r w:rsidR="005628FC" w:rsidRPr="00112A78">
        <w:rPr>
          <w:rFonts w:ascii="Arial" w:hAnsi="Arial" w:cs="Arial"/>
          <w:b/>
          <w:bCs/>
          <w:i/>
          <w:iCs/>
          <w:sz w:val="20"/>
        </w:rPr>
        <w:t xml:space="preserve"> search</w:t>
      </w:r>
      <w:r w:rsidR="005628FC">
        <w:rPr>
          <w:rFonts w:ascii="Arial" w:hAnsi="Arial" w:cs="Arial"/>
          <w:sz w:val="20"/>
        </w:rPr>
        <w:t xml:space="preserve">) </w:t>
      </w:r>
      <w:r w:rsidRPr="00483BF3">
        <w:rPr>
          <w:rFonts w:ascii="Arial" w:hAnsi="Arial" w:cs="Arial"/>
          <w:sz w:val="20"/>
        </w:rPr>
        <w:t>means a search of a person or of things in the possession or under the control of a person that may include—</w:t>
      </w:r>
    </w:p>
    <w:p w14:paraId="7AC503AA" w14:textId="77777777" w:rsidR="00E355C1" w:rsidRPr="00483BF3" w:rsidRDefault="00E355C1" w:rsidP="005C4B85">
      <w:pPr>
        <w:pStyle w:val="DraftHeading4"/>
        <w:tabs>
          <w:tab w:val="right" w:pos="2268"/>
        </w:tabs>
        <w:spacing w:before="60"/>
        <w:ind w:left="1077" w:hanging="357"/>
        <w:rPr>
          <w:rFonts w:ascii="Arial" w:hAnsi="Arial" w:cs="Arial"/>
          <w:sz w:val="20"/>
        </w:rPr>
      </w:pPr>
      <w:r w:rsidRPr="00483BF3">
        <w:rPr>
          <w:rFonts w:ascii="Arial" w:hAnsi="Arial" w:cs="Arial"/>
          <w:sz w:val="20"/>
        </w:rPr>
        <w:t>(a)</w:t>
      </w:r>
      <w:r w:rsidRPr="00483BF3">
        <w:rPr>
          <w:rFonts w:ascii="Arial" w:hAnsi="Arial" w:cs="Arial"/>
          <w:sz w:val="20"/>
        </w:rPr>
        <w:tab/>
        <w:t>requiring the person to remove all of his or her clothes; and</w:t>
      </w:r>
    </w:p>
    <w:p w14:paraId="732A8F3C" w14:textId="77777777" w:rsidR="00E355C1" w:rsidRPr="00483BF3" w:rsidRDefault="00E355C1" w:rsidP="005C4B85">
      <w:pPr>
        <w:pStyle w:val="DraftHeading4"/>
        <w:tabs>
          <w:tab w:val="right" w:pos="2268"/>
        </w:tabs>
        <w:spacing w:before="60"/>
        <w:ind w:left="1077" w:hanging="357"/>
        <w:rPr>
          <w:rFonts w:ascii="Arial" w:hAnsi="Arial" w:cs="Arial"/>
          <w:sz w:val="20"/>
        </w:rPr>
      </w:pPr>
      <w:r w:rsidRPr="00483BF3">
        <w:rPr>
          <w:rFonts w:ascii="Arial" w:hAnsi="Arial" w:cs="Arial"/>
          <w:sz w:val="20"/>
        </w:rPr>
        <w:t>(b)</w:t>
      </w:r>
      <w:r w:rsidRPr="00483BF3">
        <w:rPr>
          <w:rFonts w:ascii="Arial" w:hAnsi="Arial" w:cs="Arial"/>
          <w:sz w:val="20"/>
        </w:rPr>
        <w:tab/>
        <w:t>an examination of the person's body (but not of the person's body cavities) and of those clothes.</w:t>
      </w:r>
    </w:p>
    <w:p w14:paraId="42C5E204" w14:textId="77777777" w:rsidR="00457595" w:rsidRPr="00483BF3" w:rsidRDefault="00457595" w:rsidP="00457595">
      <w:pPr>
        <w:shd w:val="clear" w:color="auto" w:fill="FFFFFF"/>
        <w:jc w:val="both"/>
        <w:rPr>
          <w:rFonts w:ascii="Arial" w:hAnsi="Arial" w:cs="Arial"/>
          <w:color w:val="141412"/>
          <w:sz w:val="20"/>
          <w:szCs w:val="20"/>
        </w:rPr>
      </w:pPr>
    </w:p>
    <w:p w14:paraId="3C7C789D" w14:textId="77777777" w:rsidR="000A596D" w:rsidRPr="000A596D" w:rsidRDefault="00457595" w:rsidP="000A596D">
      <w:pPr>
        <w:pStyle w:val="Heading3"/>
        <w:spacing w:after="120" w:line="240" w:lineRule="auto"/>
        <w:rPr>
          <w:rFonts w:ascii="Arial" w:hAnsi="Arial" w:cs="Arial"/>
          <w:b/>
          <w:bCs/>
          <w:sz w:val="20"/>
          <w:szCs w:val="16"/>
        </w:rPr>
      </w:pPr>
      <w:bookmarkStart w:id="162" w:name="_7.3.4_Statutory_police"/>
      <w:bookmarkEnd w:id="162"/>
      <w:r w:rsidRPr="00F51496">
        <w:rPr>
          <w:rFonts w:ascii="Arial" w:hAnsi="Arial" w:cs="Arial"/>
          <w:b/>
          <w:bCs/>
          <w:color w:val="000000"/>
          <w:sz w:val="20"/>
        </w:rPr>
        <w:t>7.</w:t>
      </w:r>
      <w:r>
        <w:rPr>
          <w:rFonts w:ascii="Arial" w:hAnsi="Arial" w:cs="Arial"/>
          <w:b/>
          <w:bCs/>
          <w:color w:val="000000"/>
          <w:sz w:val="20"/>
        </w:rPr>
        <w:t>3.4</w:t>
      </w:r>
      <w:r w:rsidRPr="00F51496">
        <w:rPr>
          <w:rFonts w:ascii="Arial" w:hAnsi="Arial" w:cs="Arial"/>
          <w:b/>
          <w:bCs/>
          <w:color w:val="000000"/>
          <w:sz w:val="20"/>
        </w:rPr>
        <w:tab/>
      </w:r>
      <w:r>
        <w:rPr>
          <w:rFonts w:ascii="Arial" w:hAnsi="Arial" w:cs="Arial"/>
          <w:b/>
          <w:bCs/>
          <w:color w:val="000000"/>
          <w:sz w:val="20"/>
        </w:rPr>
        <w:t>Statutory police powers to search a child whether or not the child is under arrest</w:t>
      </w:r>
    </w:p>
    <w:p w14:paraId="0E2BEB9E" w14:textId="185B0705" w:rsidR="00E355C1" w:rsidRPr="00483BF3" w:rsidRDefault="00E355C1" w:rsidP="00557B1D">
      <w:pPr>
        <w:shd w:val="clear" w:color="auto" w:fill="FFFFFF"/>
        <w:jc w:val="both"/>
        <w:rPr>
          <w:rFonts w:ascii="Arial" w:hAnsi="Arial" w:cs="Arial"/>
          <w:color w:val="141412"/>
          <w:sz w:val="20"/>
          <w:szCs w:val="20"/>
        </w:rPr>
      </w:pPr>
      <w:r w:rsidRPr="00483BF3">
        <w:rPr>
          <w:rFonts w:ascii="Arial" w:hAnsi="Arial" w:cs="Arial"/>
          <w:color w:val="141412"/>
          <w:sz w:val="20"/>
          <w:szCs w:val="20"/>
        </w:rPr>
        <w:t>Unless a child has been arrested, police powers to strip search a person under the age of 18 years appear to be very limited unless the young person has consented. And the ability of a particular child to give informed consent must always be considered. A</w:t>
      </w:r>
      <w:r w:rsidR="009D3A6D">
        <w:rPr>
          <w:rFonts w:ascii="Arial" w:hAnsi="Arial" w:cs="Arial"/>
          <w:color w:val="141412"/>
          <w:sz w:val="20"/>
          <w:szCs w:val="20"/>
        </w:rPr>
        <w:t xml:space="preserve"> </w:t>
      </w:r>
      <w:r w:rsidRPr="00483BF3">
        <w:rPr>
          <w:rFonts w:ascii="Arial" w:hAnsi="Arial" w:cs="Arial"/>
          <w:color w:val="141412"/>
          <w:sz w:val="20"/>
          <w:szCs w:val="20"/>
        </w:rPr>
        <w:t>VLA Booklet says of searches by consent</w:t>
      </w:r>
      <w:r w:rsidR="00557B1D">
        <w:rPr>
          <w:rFonts w:ascii="Arial" w:hAnsi="Arial" w:cs="Arial"/>
          <w:color w:val="141412"/>
          <w:sz w:val="20"/>
          <w:szCs w:val="20"/>
        </w:rPr>
        <w:t xml:space="preserve"> </w:t>
      </w:r>
      <w:hyperlink r:id="rId20" w:history="1">
        <w:r w:rsidR="00557B1D" w:rsidRPr="00E7571B">
          <w:rPr>
            <w:rStyle w:val="Hyperlink"/>
            <w:rFonts w:ascii="Arial" w:hAnsi="Arial" w:cs="Arial"/>
            <w:sz w:val="20"/>
            <w:szCs w:val="20"/>
          </w:rPr>
          <w:t>https://www.legalaid.vic.gov.au/sites/www.legalaid.vic.gov.au/files/vla-resource-police-powers_0.pdf</w:t>
        </w:r>
      </w:hyperlink>
      <w:r w:rsidR="00557B1D" w:rsidRPr="00557B1D">
        <w:rPr>
          <w:rFonts w:ascii="Arial" w:hAnsi="Arial" w:cs="Arial"/>
          <w:sz w:val="20"/>
          <w:szCs w:val="20"/>
        </w:rPr>
        <w:t>: Police Powers – Your rights in Victoria, p.6</w:t>
      </w:r>
      <w:r w:rsidR="00557B1D">
        <w:rPr>
          <w:rFonts w:ascii="Arial" w:hAnsi="Arial" w:cs="Arial"/>
          <w:sz w:val="20"/>
          <w:szCs w:val="20"/>
        </w:rPr>
        <w:t>)</w:t>
      </w:r>
      <w:r w:rsidRPr="00483BF3">
        <w:rPr>
          <w:rFonts w:ascii="Arial" w:hAnsi="Arial" w:cs="Arial"/>
          <w:color w:val="141412"/>
          <w:sz w:val="20"/>
          <w:szCs w:val="20"/>
        </w:rPr>
        <w:t>:</w:t>
      </w:r>
    </w:p>
    <w:p w14:paraId="45FAB1F0" w14:textId="77777777" w:rsidR="00E355C1" w:rsidRPr="00170810" w:rsidRDefault="00E355C1" w:rsidP="00557B1D">
      <w:pPr>
        <w:pStyle w:val="NormalWeb"/>
        <w:shd w:val="clear" w:color="auto" w:fill="FFFFFF"/>
        <w:spacing w:before="120" w:beforeAutospacing="0" w:after="0" w:afterAutospacing="0"/>
        <w:ind w:left="357"/>
        <w:jc w:val="both"/>
        <w:rPr>
          <w:rFonts w:ascii="Arial" w:hAnsi="Arial" w:cs="Arial"/>
          <w:color w:val="203544"/>
          <w:sz w:val="18"/>
          <w:szCs w:val="18"/>
        </w:rPr>
      </w:pPr>
      <w:r w:rsidRPr="00170810">
        <w:rPr>
          <w:rFonts w:ascii="Arial" w:hAnsi="Arial" w:cs="Arial"/>
          <w:i/>
          <w:iCs/>
          <w:color w:val="203544"/>
          <w:sz w:val="18"/>
          <w:szCs w:val="18"/>
        </w:rPr>
        <w:t>“If the police officer does not have a warrant or the power to search you, they might ask you if you will let them search you…You can say ‘No.’  If you say ‘Yes’, the police officer should get your agreement in writing.  You can complain if this does not happen.”</w:t>
      </w:r>
    </w:p>
    <w:p w14:paraId="3D891E1A" w14:textId="77777777" w:rsidR="00E355C1" w:rsidRDefault="00E355C1" w:rsidP="00E355C1">
      <w:pPr>
        <w:shd w:val="clear" w:color="auto" w:fill="FFFFFF"/>
        <w:jc w:val="both"/>
        <w:rPr>
          <w:rFonts w:ascii="Arial" w:hAnsi="Arial" w:cs="Arial"/>
          <w:color w:val="141412"/>
          <w:sz w:val="20"/>
          <w:szCs w:val="20"/>
        </w:rPr>
      </w:pPr>
    </w:p>
    <w:p w14:paraId="5054A416" w14:textId="77777777" w:rsidR="00557B1D" w:rsidRDefault="00557B1D" w:rsidP="00E355C1">
      <w:pPr>
        <w:shd w:val="clear" w:color="auto" w:fill="FFFFFF"/>
        <w:jc w:val="both"/>
        <w:rPr>
          <w:rFonts w:ascii="Arial" w:hAnsi="Arial" w:cs="Arial"/>
          <w:color w:val="141412"/>
          <w:sz w:val="20"/>
          <w:szCs w:val="20"/>
        </w:rPr>
      </w:pPr>
      <w:r w:rsidRPr="00483BF3">
        <w:rPr>
          <w:rFonts w:ascii="Arial" w:hAnsi="Arial" w:cs="Arial"/>
          <w:sz w:val="20"/>
          <w:szCs w:val="20"/>
        </w:rPr>
        <w:t>Police cannot search a person under 18 for alcohol but they can seize the alcohol if they see the young person with it</w:t>
      </w:r>
      <w:r>
        <w:rPr>
          <w:rFonts w:ascii="Arial" w:hAnsi="Arial" w:cs="Arial"/>
          <w:sz w:val="20"/>
          <w:szCs w:val="20"/>
        </w:rPr>
        <w:t xml:space="preserve"> (ibid., p.8)</w:t>
      </w:r>
      <w:r w:rsidRPr="00483BF3">
        <w:rPr>
          <w:rFonts w:ascii="Arial" w:hAnsi="Arial" w:cs="Arial"/>
          <w:sz w:val="20"/>
          <w:szCs w:val="20"/>
        </w:rPr>
        <w:t>.</w:t>
      </w:r>
    </w:p>
    <w:p w14:paraId="5A27B542" w14:textId="77777777" w:rsidR="00557B1D" w:rsidRPr="00483BF3" w:rsidRDefault="00557B1D" w:rsidP="00E355C1">
      <w:pPr>
        <w:shd w:val="clear" w:color="auto" w:fill="FFFFFF"/>
        <w:jc w:val="both"/>
        <w:rPr>
          <w:rFonts w:ascii="Arial" w:hAnsi="Arial" w:cs="Arial"/>
          <w:color w:val="141412"/>
          <w:sz w:val="20"/>
          <w:szCs w:val="20"/>
        </w:rPr>
      </w:pPr>
    </w:p>
    <w:p w14:paraId="406199F1" w14:textId="77777777" w:rsidR="00557B1D" w:rsidRDefault="00557B1D" w:rsidP="00557B1D">
      <w:pPr>
        <w:pStyle w:val="ListParagraph"/>
        <w:spacing w:after="0" w:line="240" w:lineRule="auto"/>
        <w:ind w:left="0"/>
        <w:jc w:val="both"/>
        <w:rPr>
          <w:rFonts w:ascii="Arial" w:hAnsi="Arial" w:cs="Arial"/>
          <w:sz w:val="20"/>
          <w:szCs w:val="20"/>
        </w:rPr>
      </w:pPr>
      <w:r>
        <w:rPr>
          <w:rFonts w:ascii="Arial" w:hAnsi="Arial" w:cs="Arial"/>
          <w:sz w:val="20"/>
          <w:szCs w:val="20"/>
        </w:rPr>
        <w:t>U</w:t>
      </w:r>
      <w:r w:rsidRPr="00483BF3">
        <w:rPr>
          <w:rFonts w:ascii="Arial" w:hAnsi="Arial" w:cs="Arial"/>
          <w:sz w:val="20"/>
          <w:szCs w:val="20"/>
        </w:rPr>
        <w:t xml:space="preserve">nder the heading </w:t>
      </w:r>
      <w:r w:rsidRPr="00483BF3">
        <w:rPr>
          <w:rFonts w:ascii="Arial" w:hAnsi="Arial" w:cs="Arial"/>
          <w:b/>
          <w:bCs/>
          <w:i/>
          <w:iCs/>
          <w:sz w:val="20"/>
          <w:szCs w:val="20"/>
        </w:rPr>
        <w:t>“Are the police allowed to search me”</w:t>
      </w:r>
      <w:r>
        <w:rPr>
          <w:rFonts w:ascii="Arial" w:hAnsi="Arial" w:cs="Arial"/>
          <w:b/>
          <w:bCs/>
          <w:i/>
          <w:iCs/>
          <w:sz w:val="20"/>
          <w:szCs w:val="20"/>
        </w:rPr>
        <w:t>,</w:t>
      </w:r>
      <w:r w:rsidRPr="00483BF3">
        <w:rPr>
          <w:rFonts w:ascii="Arial" w:hAnsi="Arial" w:cs="Arial"/>
          <w:sz w:val="20"/>
          <w:szCs w:val="20"/>
        </w:rPr>
        <w:t xml:space="preserve"> </w:t>
      </w:r>
      <w:r>
        <w:rPr>
          <w:rFonts w:ascii="Arial" w:hAnsi="Arial" w:cs="Arial"/>
          <w:sz w:val="20"/>
          <w:szCs w:val="20"/>
        </w:rPr>
        <w:t xml:space="preserve">the </w:t>
      </w:r>
      <w:r w:rsidRPr="00483BF3">
        <w:rPr>
          <w:rFonts w:ascii="Arial" w:hAnsi="Arial" w:cs="Arial"/>
          <w:sz w:val="20"/>
          <w:szCs w:val="20"/>
        </w:rPr>
        <w:t>Youth Law Australia website</w:t>
      </w:r>
      <w:r>
        <w:rPr>
          <w:rFonts w:ascii="Arial" w:hAnsi="Arial" w:cs="Arial"/>
          <w:sz w:val="20"/>
          <w:szCs w:val="20"/>
        </w:rPr>
        <w:t xml:space="preserve"> (</w:t>
      </w:r>
      <w:hyperlink r:id="rId21" w:history="1">
        <w:r w:rsidRPr="00557B1D">
          <w:rPr>
            <w:rStyle w:val="Hyperlink"/>
            <w:rFonts w:ascii="Arial" w:hAnsi="Arial" w:cs="Arial"/>
            <w:sz w:val="20"/>
            <w:szCs w:val="20"/>
          </w:rPr>
          <w:t>https://yla.org.au/vic/topics/courts-police-and-the-law/police-powers-and-my-rights-with-the-police/</w:t>
        </w:r>
      </w:hyperlink>
      <w:r w:rsidRPr="003F0317">
        <w:rPr>
          <w:rStyle w:val="Hyperlink"/>
          <w:rFonts w:ascii="Arial" w:hAnsi="Arial" w:cs="Arial"/>
          <w:color w:val="000000"/>
          <w:sz w:val="20"/>
          <w:szCs w:val="20"/>
        </w:rPr>
        <w:t xml:space="preserve">) </w:t>
      </w:r>
      <w:r w:rsidRPr="003F0317">
        <w:rPr>
          <w:rStyle w:val="Hyperlink"/>
          <w:rFonts w:ascii="Arial" w:hAnsi="Arial" w:cs="Arial"/>
          <w:color w:val="000000"/>
          <w:sz w:val="20"/>
          <w:szCs w:val="20"/>
          <w:u w:val="none"/>
        </w:rPr>
        <w:t xml:space="preserve">says of </w:t>
      </w:r>
      <w:r w:rsidR="00E355C1" w:rsidRPr="00483BF3">
        <w:rPr>
          <w:rFonts w:ascii="Arial" w:hAnsi="Arial" w:cs="Arial"/>
          <w:sz w:val="20"/>
          <w:szCs w:val="20"/>
        </w:rPr>
        <w:t>the legal right of a police officer to conduct a personal search of children under Victorian law</w:t>
      </w:r>
      <w:r>
        <w:rPr>
          <w:rFonts w:ascii="Arial" w:hAnsi="Arial" w:cs="Arial"/>
          <w:sz w:val="20"/>
          <w:szCs w:val="20"/>
        </w:rPr>
        <w:t>:</w:t>
      </w:r>
    </w:p>
    <w:p w14:paraId="7B5B7AC7" w14:textId="77777777" w:rsidR="00E355C1" w:rsidRPr="00170810" w:rsidRDefault="00E355C1" w:rsidP="00557B1D">
      <w:pPr>
        <w:pStyle w:val="NormalWeb"/>
        <w:shd w:val="clear" w:color="auto" w:fill="FFFFFF"/>
        <w:spacing w:before="120" w:beforeAutospacing="0" w:after="0" w:afterAutospacing="0"/>
        <w:ind w:left="357"/>
        <w:jc w:val="both"/>
        <w:rPr>
          <w:rFonts w:ascii="Arial" w:hAnsi="Arial" w:cs="Arial"/>
          <w:i/>
          <w:iCs/>
          <w:color w:val="203544"/>
          <w:sz w:val="18"/>
          <w:szCs w:val="18"/>
        </w:rPr>
      </w:pPr>
      <w:r w:rsidRPr="00170810">
        <w:rPr>
          <w:rFonts w:ascii="Arial" w:hAnsi="Arial" w:cs="Arial"/>
          <w:i/>
          <w:iCs/>
          <w:color w:val="203544"/>
          <w:sz w:val="18"/>
          <w:szCs w:val="18"/>
        </w:rPr>
        <w:t>“The police can stop and search you, your car or your house if they have a warrant (where they’ve already been to court to ask if it’s okay). Without a warrant, they can also search you if they think you have:</w:t>
      </w:r>
    </w:p>
    <w:p w14:paraId="7F822863" w14:textId="77777777" w:rsidR="00E355C1" w:rsidRPr="00170810" w:rsidRDefault="00E355C1" w:rsidP="00591749">
      <w:pPr>
        <w:numPr>
          <w:ilvl w:val="0"/>
          <w:numId w:val="42"/>
        </w:numPr>
        <w:shd w:val="clear" w:color="auto" w:fill="FFFFFF"/>
        <w:jc w:val="both"/>
        <w:rPr>
          <w:rFonts w:ascii="Arial" w:hAnsi="Arial" w:cs="Arial"/>
          <w:i/>
          <w:iCs/>
          <w:color w:val="203544"/>
          <w:sz w:val="18"/>
          <w:szCs w:val="18"/>
        </w:rPr>
      </w:pPr>
      <w:r w:rsidRPr="00170810">
        <w:rPr>
          <w:rFonts w:ascii="Arial" w:hAnsi="Arial" w:cs="Arial"/>
          <w:i/>
          <w:iCs/>
          <w:color w:val="203544"/>
          <w:sz w:val="18"/>
          <w:szCs w:val="18"/>
        </w:rPr>
        <w:t>Illegal drugs;</w:t>
      </w:r>
    </w:p>
    <w:p w14:paraId="3F546729" w14:textId="77777777" w:rsidR="00E355C1" w:rsidRPr="00170810" w:rsidRDefault="00E355C1" w:rsidP="00591749">
      <w:pPr>
        <w:numPr>
          <w:ilvl w:val="0"/>
          <w:numId w:val="42"/>
        </w:numPr>
        <w:shd w:val="clear" w:color="auto" w:fill="FFFFFF"/>
        <w:jc w:val="both"/>
        <w:rPr>
          <w:rFonts w:ascii="Arial" w:hAnsi="Arial" w:cs="Arial"/>
          <w:i/>
          <w:iCs/>
          <w:color w:val="203544"/>
          <w:sz w:val="18"/>
          <w:szCs w:val="18"/>
        </w:rPr>
      </w:pPr>
      <w:r w:rsidRPr="00170810">
        <w:rPr>
          <w:rFonts w:ascii="Arial" w:hAnsi="Arial" w:cs="Arial"/>
          <w:i/>
          <w:iCs/>
          <w:color w:val="203544"/>
          <w:sz w:val="18"/>
          <w:szCs w:val="18"/>
        </w:rPr>
        <w:t>Weapons, like guns or knives;</w:t>
      </w:r>
    </w:p>
    <w:p w14:paraId="240659DA" w14:textId="77777777" w:rsidR="00E355C1" w:rsidRPr="00170810" w:rsidRDefault="00E355C1" w:rsidP="00591749">
      <w:pPr>
        <w:numPr>
          <w:ilvl w:val="0"/>
          <w:numId w:val="42"/>
        </w:numPr>
        <w:shd w:val="clear" w:color="auto" w:fill="FFFFFF"/>
        <w:jc w:val="both"/>
        <w:rPr>
          <w:rFonts w:ascii="Arial" w:hAnsi="Arial" w:cs="Arial"/>
          <w:i/>
          <w:iCs/>
          <w:color w:val="203544"/>
          <w:sz w:val="18"/>
          <w:szCs w:val="18"/>
        </w:rPr>
      </w:pPr>
      <w:r w:rsidRPr="00170810">
        <w:rPr>
          <w:rFonts w:ascii="Arial" w:hAnsi="Arial" w:cs="Arial"/>
          <w:i/>
          <w:iCs/>
          <w:color w:val="203544"/>
          <w:sz w:val="18"/>
          <w:szCs w:val="18"/>
        </w:rPr>
        <w:t>Something to inhale an illegal drug with (like a bong).</w:t>
      </w:r>
    </w:p>
    <w:p w14:paraId="22B1BE63" w14:textId="77777777" w:rsidR="00E355C1" w:rsidRPr="00170810" w:rsidRDefault="00E355C1" w:rsidP="00557B1D">
      <w:pPr>
        <w:pStyle w:val="NormalWeb"/>
        <w:shd w:val="clear" w:color="auto" w:fill="FFFFFF"/>
        <w:spacing w:before="80" w:beforeAutospacing="0" w:after="0" w:afterAutospacing="0"/>
        <w:ind w:left="357"/>
        <w:jc w:val="both"/>
        <w:rPr>
          <w:rFonts w:ascii="Arial" w:hAnsi="Arial" w:cs="Arial"/>
          <w:i/>
          <w:iCs/>
          <w:color w:val="203544"/>
          <w:sz w:val="18"/>
          <w:szCs w:val="18"/>
        </w:rPr>
      </w:pPr>
      <w:r w:rsidRPr="00170810">
        <w:rPr>
          <w:rFonts w:ascii="Arial" w:hAnsi="Arial" w:cs="Arial"/>
          <w:i/>
          <w:iCs/>
          <w:color w:val="203544"/>
          <w:sz w:val="18"/>
          <w:szCs w:val="18"/>
        </w:rPr>
        <w:t>In some cases, the police can also search your car if they believe the search will help them find evidence of a crime.”</w:t>
      </w:r>
    </w:p>
    <w:p w14:paraId="17E1ACAA" w14:textId="77777777" w:rsidR="00E355C1" w:rsidRPr="00483BF3" w:rsidRDefault="00E355C1" w:rsidP="00E355C1">
      <w:pPr>
        <w:rPr>
          <w:rFonts w:ascii="Arial" w:hAnsi="Arial" w:cs="Arial"/>
          <w:sz w:val="20"/>
          <w:szCs w:val="20"/>
        </w:rPr>
      </w:pPr>
    </w:p>
    <w:p w14:paraId="47A9C149" w14:textId="42F4C1A6" w:rsidR="00557B1D" w:rsidRPr="000438D8" w:rsidRDefault="00557B1D" w:rsidP="00D72D5B">
      <w:pPr>
        <w:shd w:val="clear" w:color="auto" w:fill="FFFFFF"/>
        <w:jc w:val="center"/>
        <w:rPr>
          <w:rFonts w:ascii="Arial" w:hAnsi="Arial" w:cs="Arial"/>
          <w:color w:val="141412"/>
          <w:sz w:val="20"/>
          <w:szCs w:val="20"/>
          <w:u w:val="single"/>
        </w:rPr>
      </w:pPr>
      <w:r w:rsidRPr="00557B1D">
        <w:rPr>
          <w:rFonts w:ascii="Arial" w:hAnsi="Arial" w:cs="Arial"/>
          <w:b/>
          <w:bCs/>
          <w:i/>
          <w:iCs/>
          <w:sz w:val="20"/>
          <w:szCs w:val="20"/>
          <w:u w:val="single"/>
        </w:rPr>
        <w:t>Drugs, Poisons and Controlled Substances Act 1981</w:t>
      </w:r>
    </w:p>
    <w:p w14:paraId="5668EAF4" w14:textId="77777777" w:rsidR="00E355C1" w:rsidRPr="00483BF3" w:rsidRDefault="00E355C1" w:rsidP="00D72D5B">
      <w:pPr>
        <w:spacing w:before="120"/>
        <w:jc w:val="both"/>
        <w:rPr>
          <w:rFonts w:ascii="Arial" w:hAnsi="Arial" w:cs="Arial"/>
          <w:sz w:val="20"/>
          <w:szCs w:val="20"/>
        </w:rPr>
      </w:pPr>
      <w:r w:rsidRPr="00483BF3">
        <w:rPr>
          <w:rFonts w:ascii="Arial" w:hAnsi="Arial" w:cs="Arial"/>
          <w:sz w:val="20"/>
          <w:szCs w:val="20"/>
        </w:rPr>
        <w:t xml:space="preserve">As noted above, police officers are empowered under s 82 of the </w:t>
      </w:r>
      <w:r w:rsidRPr="00483BF3">
        <w:rPr>
          <w:rFonts w:ascii="Arial" w:hAnsi="Arial" w:cs="Arial"/>
          <w:i/>
          <w:sz w:val="20"/>
          <w:szCs w:val="20"/>
        </w:rPr>
        <w:t>DPCSA</w:t>
      </w:r>
      <w:r w:rsidRPr="00483BF3">
        <w:rPr>
          <w:rFonts w:ascii="Arial" w:hAnsi="Arial" w:cs="Arial"/>
          <w:sz w:val="20"/>
          <w:szCs w:val="20"/>
        </w:rPr>
        <w:t xml:space="preserve"> to search a person or vehicle in a public place provided the police officer has reasonable grounds for suspecting that the person possesses a drug of dependence or psychoactive substance or that any such substances are in the vehicle.</w:t>
      </w:r>
    </w:p>
    <w:p w14:paraId="120A7FE4" w14:textId="77777777" w:rsidR="00E355C1" w:rsidRPr="00483BF3" w:rsidRDefault="00E355C1" w:rsidP="00E355C1">
      <w:pPr>
        <w:rPr>
          <w:rFonts w:ascii="Arial" w:hAnsi="Arial" w:cs="Arial"/>
          <w:sz w:val="20"/>
          <w:szCs w:val="20"/>
        </w:rPr>
      </w:pPr>
    </w:p>
    <w:p w14:paraId="37D8FADC" w14:textId="77777777" w:rsidR="00E355C1" w:rsidRPr="00483BF3" w:rsidRDefault="00E355C1" w:rsidP="00D72D5B">
      <w:pPr>
        <w:jc w:val="both"/>
        <w:rPr>
          <w:rFonts w:ascii="Arial" w:hAnsi="Arial" w:cs="Arial"/>
          <w:sz w:val="20"/>
          <w:szCs w:val="20"/>
        </w:rPr>
      </w:pPr>
      <w:r w:rsidRPr="00483BF3">
        <w:rPr>
          <w:rFonts w:ascii="Arial" w:hAnsi="Arial" w:cs="Arial"/>
          <w:sz w:val="20"/>
          <w:szCs w:val="20"/>
        </w:rPr>
        <w:t xml:space="preserve">Police officers are also empowered under Division 2 of Part IV of the </w:t>
      </w:r>
      <w:r w:rsidRPr="00483BF3">
        <w:rPr>
          <w:rFonts w:ascii="Arial" w:hAnsi="Arial" w:cs="Arial"/>
          <w:i/>
          <w:iCs/>
          <w:sz w:val="20"/>
          <w:szCs w:val="20"/>
        </w:rPr>
        <w:t>DPCSA</w:t>
      </w:r>
      <w:r w:rsidRPr="00483BF3">
        <w:rPr>
          <w:rFonts w:ascii="Arial" w:hAnsi="Arial" w:cs="Arial"/>
          <w:sz w:val="20"/>
          <w:szCs w:val="20"/>
        </w:rPr>
        <w:t xml:space="preserve"> [ss.60A to 60T] to search a person aged under 18 if they suspect the young person is inhaling or is going to inhale a volatile substance.  This activity, known as chroming, is not an offence but the police can stop a young person suspected of chroming and take the person somewhere safe if they think that the person will hurt themselves by chroming.</w:t>
      </w:r>
    </w:p>
    <w:p w14:paraId="1A1CAA22" w14:textId="77777777" w:rsidR="00E355C1" w:rsidRPr="00483BF3" w:rsidRDefault="00E355C1" w:rsidP="00E355C1">
      <w:pPr>
        <w:rPr>
          <w:rFonts w:ascii="Arial" w:hAnsi="Arial" w:cs="Arial"/>
          <w:sz w:val="20"/>
          <w:szCs w:val="20"/>
        </w:rPr>
      </w:pPr>
    </w:p>
    <w:p w14:paraId="58B79685" w14:textId="77777777" w:rsidR="00E355C1" w:rsidRPr="00483BF3" w:rsidRDefault="00D72D5B" w:rsidP="00D72D5B">
      <w:pPr>
        <w:jc w:val="both"/>
        <w:rPr>
          <w:rFonts w:ascii="Arial" w:hAnsi="Arial" w:cs="Arial"/>
          <w:i/>
          <w:iCs/>
          <w:sz w:val="20"/>
          <w:szCs w:val="20"/>
        </w:rPr>
      </w:pPr>
      <w:r w:rsidRPr="00D72D5B">
        <w:rPr>
          <w:rFonts w:ascii="Arial" w:hAnsi="Arial" w:cs="Arial"/>
          <w:sz w:val="20"/>
          <w:szCs w:val="20"/>
        </w:rPr>
        <w:t xml:space="preserve">Under ss.82A &amp; 60BA of the </w:t>
      </w:r>
      <w:r w:rsidRPr="00D72D5B">
        <w:rPr>
          <w:rFonts w:ascii="Arial" w:hAnsi="Arial" w:cs="Arial"/>
          <w:i/>
          <w:iCs/>
          <w:sz w:val="20"/>
          <w:szCs w:val="20"/>
        </w:rPr>
        <w:t>DPCSA</w:t>
      </w:r>
      <w:r w:rsidRPr="00D72D5B">
        <w:rPr>
          <w:rFonts w:ascii="Arial" w:hAnsi="Arial" w:cs="Arial"/>
          <w:sz w:val="20"/>
          <w:szCs w:val="20"/>
        </w:rPr>
        <w:t xml:space="preserve"> t</w:t>
      </w:r>
      <w:r w:rsidR="00E355C1" w:rsidRPr="00D72D5B">
        <w:rPr>
          <w:rFonts w:ascii="Arial" w:hAnsi="Arial" w:cs="Arial"/>
          <w:sz w:val="20"/>
          <w:szCs w:val="20"/>
        </w:rPr>
        <w:t>he</w:t>
      </w:r>
      <w:r w:rsidR="00E355C1" w:rsidRPr="00483BF3">
        <w:rPr>
          <w:rFonts w:ascii="Arial" w:hAnsi="Arial" w:cs="Arial"/>
          <w:sz w:val="20"/>
          <w:szCs w:val="20"/>
        </w:rPr>
        <w:t xml:space="preserve"> </w:t>
      </w:r>
      <w:r>
        <w:rPr>
          <w:rFonts w:ascii="Arial" w:hAnsi="Arial" w:cs="Arial"/>
          <w:sz w:val="20"/>
          <w:szCs w:val="20"/>
        </w:rPr>
        <w:t xml:space="preserve">above </w:t>
      </w:r>
      <w:r w:rsidR="00E355C1" w:rsidRPr="00483BF3">
        <w:rPr>
          <w:rFonts w:ascii="Arial" w:hAnsi="Arial" w:cs="Arial"/>
          <w:sz w:val="20"/>
          <w:szCs w:val="20"/>
        </w:rPr>
        <w:t>powers may also be exercised by a protective services officer on duty at a designated place.</w:t>
      </w:r>
    </w:p>
    <w:p w14:paraId="161640B0" w14:textId="77777777" w:rsidR="00E355C1" w:rsidRDefault="00E355C1" w:rsidP="00E355C1">
      <w:pPr>
        <w:rPr>
          <w:rFonts w:ascii="Arial" w:hAnsi="Arial" w:cs="Arial"/>
          <w:sz w:val="20"/>
          <w:szCs w:val="20"/>
        </w:rPr>
      </w:pPr>
    </w:p>
    <w:p w14:paraId="6EBC67A4" w14:textId="42B5C9CE" w:rsidR="00D72D5B" w:rsidRPr="000438D8" w:rsidRDefault="00D72D5B" w:rsidP="008102AC">
      <w:pPr>
        <w:keepNext/>
        <w:keepLines/>
        <w:shd w:val="clear" w:color="auto" w:fill="FFFFFF"/>
        <w:jc w:val="center"/>
        <w:rPr>
          <w:rFonts w:ascii="Arial" w:hAnsi="Arial" w:cs="Arial"/>
          <w:color w:val="141412"/>
          <w:sz w:val="20"/>
          <w:szCs w:val="20"/>
          <w:u w:val="single"/>
        </w:rPr>
      </w:pPr>
      <w:r>
        <w:rPr>
          <w:rFonts w:ascii="Arial" w:hAnsi="Arial" w:cs="Arial"/>
          <w:b/>
          <w:bCs/>
          <w:i/>
          <w:iCs/>
          <w:sz w:val="20"/>
          <w:szCs w:val="20"/>
          <w:u w:val="single"/>
        </w:rPr>
        <w:t>Graffiti Prevention Act 2007</w:t>
      </w:r>
    </w:p>
    <w:p w14:paraId="4CE0F843" w14:textId="77777777" w:rsidR="00D72D5B" w:rsidRPr="00483BF3" w:rsidRDefault="00D72D5B" w:rsidP="008102AC">
      <w:pPr>
        <w:keepNext/>
        <w:keepLines/>
        <w:rPr>
          <w:rFonts w:ascii="Arial" w:hAnsi="Arial" w:cs="Arial"/>
          <w:sz w:val="20"/>
          <w:szCs w:val="20"/>
        </w:rPr>
      </w:pPr>
    </w:p>
    <w:p w14:paraId="6DA0FB94" w14:textId="77777777" w:rsidR="00E355C1" w:rsidRPr="00483BF3" w:rsidRDefault="00E355C1" w:rsidP="00D72D5B">
      <w:pPr>
        <w:pStyle w:val="ListParagraph"/>
        <w:spacing w:after="0" w:line="240" w:lineRule="auto"/>
        <w:ind w:left="0"/>
        <w:jc w:val="both"/>
        <w:rPr>
          <w:rFonts w:ascii="Arial" w:hAnsi="Arial" w:cs="Arial"/>
          <w:sz w:val="20"/>
          <w:szCs w:val="20"/>
        </w:rPr>
      </w:pPr>
      <w:r w:rsidRPr="00483BF3">
        <w:rPr>
          <w:rFonts w:ascii="Arial" w:hAnsi="Arial" w:cs="Arial"/>
          <w:sz w:val="20"/>
          <w:szCs w:val="20"/>
        </w:rPr>
        <w:t xml:space="preserve">The </w:t>
      </w:r>
      <w:r w:rsidRPr="00483BF3">
        <w:rPr>
          <w:rFonts w:ascii="Arial" w:hAnsi="Arial" w:cs="Arial"/>
          <w:i/>
          <w:iCs/>
          <w:sz w:val="20"/>
          <w:szCs w:val="20"/>
        </w:rPr>
        <w:t>GPA</w:t>
      </w:r>
      <w:r w:rsidRPr="00483BF3">
        <w:rPr>
          <w:rFonts w:ascii="Arial" w:hAnsi="Arial" w:cs="Arial"/>
          <w:sz w:val="20"/>
          <w:szCs w:val="20"/>
        </w:rPr>
        <w:t xml:space="preserve"> contains a search power which might be described as a double frisk search but which falls short of a strip search.</w:t>
      </w:r>
    </w:p>
    <w:p w14:paraId="53E0436B" w14:textId="77777777" w:rsidR="00D72D5B" w:rsidRDefault="00D72D5B" w:rsidP="00D72D5B">
      <w:pPr>
        <w:pStyle w:val="ListParagraph"/>
        <w:spacing w:after="0" w:line="240" w:lineRule="auto"/>
        <w:ind w:left="0"/>
        <w:jc w:val="both"/>
        <w:rPr>
          <w:rFonts w:ascii="Arial" w:hAnsi="Arial" w:cs="Arial"/>
          <w:sz w:val="20"/>
          <w:szCs w:val="20"/>
        </w:rPr>
      </w:pPr>
    </w:p>
    <w:p w14:paraId="5D873404" w14:textId="77777777" w:rsidR="00E355C1" w:rsidRPr="00483BF3" w:rsidRDefault="00E355C1" w:rsidP="00D72D5B">
      <w:pPr>
        <w:pStyle w:val="ListParagraph"/>
        <w:spacing w:after="0" w:line="240" w:lineRule="auto"/>
        <w:ind w:left="0"/>
        <w:jc w:val="both"/>
        <w:rPr>
          <w:rFonts w:ascii="Arial" w:hAnsi="Arial" w:cs="Arial"/>
          <w:sz w:val="20"/>
          <w:szCs w:val="20"/>
        </w:rPr>
      </w:pPr>
      <w:r w:rsidRPr="00483BF3">
        <w:rPr>
          <w:rFonts w:ascii="Arial" w:hAnsi="Arial" w:cs="Arial"/>
          <w:sz w:val="20"/>
          <w:szCs w:val="20"/>
        </w:rPr>
        <w:t xml:space="preserve">Section 14(1) provides that a child who is or appears to be under 14 years of age must not be searched under the </w:t>
      </w:r>
      <w:r w:rsidRPr="00483BF3">
        <w:rPr>
          <w:rFonts w:ascii="Arial" w:hAnsi="Arial" w:cs="Arial"/>
          <w:i/>
          <w:iCs/>
          <w:sz w:val="20"/>
          <w:szCs w:val="20"/>
        </w:rPr>
        <w:t>GPA</w:t>
      </w:r>
      <w:r w:rsidRPr="00483BF3">
        <w:rPr>
          <w:rFonts w:ascii="Arial" w:hAnsi="Arial" w:cs="Arial"/>
          <w:sz w:val="20"/>
          <w:szCs w:val="20"/>
        </w:rPr>
        <w:t>.</w:t>
      </w:r>
    </w:p>
    <w:p w14:paraId="26E3569F" w14:textId="77777777" w:rsidR="00E355C1" w:rsidRPr="00483BF3" w:rsidRDefault="00E355C1" w:rsidP="00E355C1">
      <w:pPr>
        <w:jc w:val="both"/>
        <w:rPr>
          <w:rFonts w:ascii="Arial" w:hAnsi="Arial" w:cs="Arial"/>
          <w:sz w:val="20"/>
          <w:szCs w:val="20"/>
        </w:rPr>
      </w:pPr>
    </w:p>
    <w:p w14:paraId="7A7ECB14" w14:textId="3D5A055A" w:rsidR="00E355C1" w:rsidRPr="00483BF3" w:rsidRDefault="00E355C1" w:rsidP="00D72D5B">
      <w:pPr>
        <w:pStyle w:val="ListParagraph"/>
        <w:spacing w:after="0" w:line="240" w:lineRule="auto"/>
        <w:ind w:left="0"/>
        <w:jc w:val="both"/>
        <w:rPr>
          <w:rFonts w:ascii="Arial" w:hAnsi="Arial" w:cs="Arial"/>
          <w:sz w:val="20"/>
          <w:szCs w:val="20"/>
        </w:rPr>
      </w:pPr>
      <w:r w:rsidRPr="00483BF3">
        <w:rPr>
          <w:rFonts w:ascii="Arial" w:hAnsi="Arial" w:cs="Arial"/>
          <w:sz w:val="20"/>
          <w:szCs w:val="20"/>
        </w:rPr>
        <w:t xml:space="preserve">Section 13 provides that if a police officer (or a protective services officer on duty at a designated place under s.52 of the </w:t>
      </w:r>
      <w:r w:rsidRPr="00483BF3">
        <w:rPr>
          <w:rFonts w:ascii="Arial" w:hAnsi="Arial" w:cs="Arial"/>
          <w:i/>
          <w:iCs/>
          <w:sz w:val="20"/>
          <w:szCs w:val="20"/>
        </w:rPr>
        <w:t>Victoria Police Act 2013</w:t>
      </w:r>
      <w:r w:rsidRPr="00483BF3">
        <w:rPr>
          <w:rFonts w:ascii="Arial" w:hAnsi="Arial" w:cs="Arial"/>
          <w:sz w:val="20"/>
          <w:szCs w:val="20"/>
        </w:rPr>
        <w:t>) has reasonable grounds for suspecting that</w:t>
      </w:r>
      <w:r w:rsidR="00235652">
        <w:rPr>
          <w:rFonts w:ascii="Arial" w:hAnsi="Arial" w:cs="Arial"/>
          <w:color w:val="000000"/>
          <w:sz w:val="20"/>
        </w:rPr>
        <w:t>–</w:t>
      </w:r>
    </w:p>
    <w:p w14:paraId="6D41BCBE" w14:textId="77777777" w:rsidR="00E355C1" w:rsidRPr="00483BF3" w:rsidRDefault="00E355C1" w:rsidP="00591749">
      <w:pPr>
        <w:pStyle w:val="ListParagraph"/>
        <w:numPr>
          <w:ilvl w:val="0"/>
          <w:numId w:val="24"/>
        </w:numPr>
        <w:spacing w:after="120" w:line="240" w:lineRule="auto"/>
        <w:ind w:left="714" w:hanging="357"/>
        <w:jc w:val="both"/>
        <w:rPr>
          <w:rFonts w:ascii="Arial" w:hAnsi="Arial" w:cs="Arial"/>
          <w:sz w:val="20"/>
          <w:szCs w:val="20"/>
        </w:rPr>
      </w:pPr>
      <w:r w:rsidRPr="00483BF3">
        <w:rPr>
          <w:rFonts w:ascii="Arial" w:hAnsi="Arial" w:cs="Arial"/>
          <w:sz w:val="20"/>
          <w:szCs w:val="20"/>
        </w:rPr>
        <w:lastRenderedPageBreak/>
        <w:t>a person has in his or her possession a prescribed graffiti implement on property, or in a place, referred to in s.7(1); and</w:t>
      </w:r>
    </w:p>
    <w:p w14:paraId="0DF2B63E" w14:textId="77777777" w:rsidR="00E355C1" w:rsidRPr="00483BF3" w:rsidRDefault="00E355C1" w:rsidP="00591749">
      <w:pPr>
        <w:pStyle w:val="ListParagraph"/>
        <w:numPr>
          <w:ilvl w:val="0"/>
          <w:numId w:val="24"/>
        </w:numPr>
        <w:spacing w:after="120" w:line="240" w:lineRule="auto"/>
        <w:ind w:left="714" w:hanging="357"/>
        <w:jc w:val="both"/>
        <w:rPr>
          <w:rFonts w:ascii="Arial" w:hAnsi="Arial" w:cs="Arial"/>
          <w:sz w:val="20"/>
          <w:szCs w:val="20"/>
        </w:rPr>
      </w:pPr>
      <w:r w:rsidRPr="00483BF3">
        <w:rPr>
          <w:rFonts w:ascii="Arial" w:hAnsi="Arial" w:cs="Arial"/>
          <w:sz w:val="20"/>
          <w:szCs w:val="20"/>
        </w:rPr>
        <w:t>relevant evidence is likely to be lost or destroyed if a search is delayed until a search warrant is obtained; and</w:t>
      </w:r>
    </w:p>
    <w:p w14:paraId="33462DAF" w14:textId="3AE38CC6" w:rsidR="00E355C1" w:rsidRPr="00483BF3" w:rsidRDefault="00E355C1" w:rsidP="00591749">
      <w:pPr>
        <w:pStyle w:val="ListParagraph"/>
        <w:numPr>
          <w:ilvl w:val="0"/>
          <w:numId w:val="24"/>
        </w:numPr>
        <w:spacing w:after="0" w:line="240" w:lineRule="auto"/>
        <w:ind w:left="714" w:hanging="357"/>
        <w:jc w:val="both"/>
        <w:rPr>
          <w:rFonts w:ascii="Arial" w:hAnsi="Arial" w:cs="Arial"/>
          <w:sz w:val="20"/>
          <w:szCs w:val="20"/>
        </w:rPr>
      </w:pPr>
      <w:r w:rsidRPr="00483BF3">
        <w:rPr>
          <w:rFonts w:ascii="Arial" w:hAnsi="Arial" w:cs="Arial"/>
          <w:sz w:val="20"/>
          <w:szCs w:val="20"/>
        </w:rPr>
        <w:t>the person is 14 years of age or more</w:t>
      </w:r>
      <w:r w:rsidR="00235652">
        <w:rPr>
          <w:rFonts w:ascii="Arial" w:hAnsi="Arial" w:cs="Arial"/>
          <w:color w:val="000000"/>
          <w:sz w:val="20"/>
        </w:rPr>
        <w:t>–</w:t>
      </w:r>
    </w:p>
    <w:p w14:paraId="26535F27" w14:textId="7A455E61" w:rsidR="00E355C1" w:rsidRPr="00483BF3" w:rsidRDefault="00E355C1" w:rsidP="00D72D5B">
      <w:pPr>
        <w:jc w:val="both"/>
        <w:rPr>
          <w:rFonts w:ascii="Arial" w:hAnsi="Arial" w:cs="Arial"/>
          <w:sz w:val="20"/>
          <w:szCs w:val="20"/>
        </w:rPr>
      </w:pPr>
      <w:r w:rsidRPr="00483BF3">
        <w:rPr>
          <w:rFonts w:ascii="Arial" w:hAnsi="Arial" w:cs="Arial"/>
          <w:sz w:val="20"/>
          <w:szCs w:val="20"/>
        </w:rPr>
        <w:t>the officer may without warrant, search the person and any vehicle, package or thing in the possession of the person and seize any prescribed graffiti implement or other evidence of an offence against this Act found during the course of the search.  The places referred to in s.7(1) are</w:t>
      </w:r>
      <w:r w:rsidR="00235652">
        <w:rPr>
          <w:rFonts w:ascii="Arial" w:hAnsi="Arial" w:cs="Arial"/>
          <w:color w:val="000000"/>
          <w:sz w:val="20"/>
        </w:rPr>
        <w:t>–</w:t>
      </w:r>
    </w:p>
    <w:p w14:paraId="67762711" w14:textId="77777777" w:rsidR="00E355C1" w:rsidRPr="00483BF3" w:rsidRDefault="00E355C1" w:rsidP="00591749">
      <w:pPr>
        <w:pStyle w:val="ListParagraph"/>
        <w:numPr>
          <w:ilvl w:val="0"/>
          <w:numId w:val="38"/>
        </w:numPr>
        <w:spacing w:after="0" w:line="240" w:lineRule="auto"/>
        <w:ind w:left="714" w:hanging="357"/>
        <w:contextualSpacing w:val="0"/>
        <w:jc w:val="both"/>
        <w:rPr>
          <w:rFonts w:ascii="Arial" w:hAnsi="Arial" w:cs="Arial"/>
          <w:sz w:val="20"/>
          <w:szCs w:val="20"/>
        </w:rPr>
      </w:pPr>
      <w:r w:rsidRPr="00483BF3">
        <w:rPr>
          <w:rFonts w:ascii="Arial" w:hAnsi="Arial" w:cs="Arial"/>
          <w:sz w:val="20"/>
          <w:szCs w:val="20"/>
        </w:rPr>
        <w:t>on the property of a transport company or in an adjacent public place;</w:t>
      </w:r>
    </w:p>
    <w:p w14:paraId="3AC5B774" w14:textId="77777777" w:rsidR="00E355C1" w:rsidRPr="00483BF3" w:rsidRDefault="00E355C1" w:rsidP="00591749">
      <w:pPr>
        <w:pStyle w:val="ListParagraph"/>
        <w:numPr>
          <w:ilvl w:val="0"/>
          <w:numId w:val="38"/>
        </w:numPr>
        <w:spacing w:after="0" w:line="240" w:lineRule="auto"/>
        <w:ind w:left="714" w:hanging="357"/>
        <w:contextualSpacing w:val="0"/>
        <w:jc w:val="both"/>
        <w:rPr>
          <w:rFonts w:ascii="Arial" w:hAnsi="Arial" w:cs="Arial"/>
          <w:sz w:val="20"/>
          <w:szCs w:val="20"/>
        </w:rPr>
      </w:pPr>
      <w:r w:rsidRPr="00483BF3">
        <w:rPr>
          <w:rFonts w:ascii="Arial" w:hAnsi="Arial" w:cs="Arial"/>
          <w:sz w:val="20"/>
          <w:szCs w:val="20"/>
        </w:rPr>
        <w:t>a place where the person is trespassing or has entered without invitation</w:t>
      </w:r>
    </w:p>
    <w:p w14:paraId="4E1BB5C8" w14:textId="77777777" w:rsidR="00E355C1" w:rsidRPr="00483BF3" w:rsidRDefault="00E355C1" w:rsidP="00D72D5B">
      <w:pPr>
        <w:rPr>
          <w:rFonts w:ascii="Arial" w:hAnsi="Arial" w:cs="Arial"/>
          <w:sz w:val="20"/>
          <w:szCs w:val="20"/>
        </w:rPr>
      </w:pPr>
    </w:p>
    <w:p w14:paraId="18198EED" w14:textId="625CFEDD" w:rsidR="00E355C1" w:rsidRPr="00483BF3" w:rsidRDefault="00E355C1" w:rsidP="00D72D5B">
      <w:pPr>
        <w:pStyle w:val="ListParagraph"/>
        <w:spacing w:after="0" w:line="240" w:lineRule="auto"/>
        <w:ind w:left="0"/>
        <w:jc w:val="both"/>
        <w:rPr>
          <w:rFonts w:ascii="Arial" w:hAnsi="Arial" w:cs="Arial"/>
          <w:sz w:val="20"/>
          <w:szCs w:val="20"/>
        </w:rPr>
      </w:pPr>
      <w:r w:rsidRPr="00483BF3">
        <w:rPr>
          <w:rFonts w:ascii="Arial" w:hAnsi="Arial" w:cs="Arial"/>
          <w:sz w:val="20"/>
          <w:szCs w:val="20"/>
        </w:rPr>
        <w:t>For a child aged between 14 &amp; 17 inclusive ss.14 &amp; 15 provide that in such a search the officer</w:t>
      </w:r>
      <w:r w:rsidR="00235652">
        <w:rPr>
          <w:rFonts w:ascii="Arial" w:hAnsi="Arial" w:cs="Arial"/>
          <w:color w:val="000000"/>
          <w:sz w:val="20"/>
        </w:rPr>
        <w:t>–</w:t>
      </w:r>
    </w:p>
    <w:p w14:paraId="278CE8B3" w14:textId="77777777" w:rsidR="00E355C1" w:rsidRPr="00483BF3" w:rsidRDefault="00E355C1" w:rsidP="00591749">
      <w:pPr>
        <w:pStyle w:val="ListParagraph"/>
        <w:numPr>
          <w:ilvl w:val="0"/>
          <w:numId w:val="39"/>
        </w:numPr>
        <w:spacing w:before="60" w:after="0" w:line="240" w:lineRule="auto"/>
        <w:ind w:left="714" w:hanging="357"/>
        <w:contextualSpacing w:val="0"/>
        <w:jc w:val="both"/>
        <w:rPr>
          <w:rFonts w:ascii="Arial" w:hAnsi="Arial" w:cs="Arial"/>
          <w:sz w:val="20"/>
          <w:szCs w:val="20"/>
        </w:rPr>
      </w:pPr>
      <w:r w:rsidRPr="00483BF3">
        <w:rPr>
          <w:rFonts w:ascii="Arial" w:hAnsi="Arial" w:cs="Arial"/>
          <w:sz w:val="20"/>
          <w:szCs w:val="20"/>
        </w:rPr>
        <w:t>may run his or her hands over the person's outer clothing;</w:t>
      </w:r>
    </w:p>
    <w:p w14:paraId="63C7E342" w14:textId="34E4235B" w:rsidR="00E355C1" w:rsidRPr="00483BF3" w:rsidRDefault="00E355C1" w:rsidP="00591749">
      <w:pPr>
        <w:pStyle w:val="ListParagraph"/>
        <w:numPr>
          <w:ilvl w:val="0"/>
          <w:numId w:val="39"/>
        </w:numPr>
        <w:spacing w:after="0" w:line="240" w:lineRule="auto"/>
        <w:ind w:left="714" w:hanging="357"/>
        <w:contextualSpacing w:val="0"/>
        <w:jc w:val="both"/>
        <w:rPr>
          <w:rFonts w:ascii="Arial" w:hAnsi="Arial" w:cs="Arial"/>
          <w:sz w:val="20"/>
          <w:szCs w:val="20"/>
        </w:rPr>
      </w:pPr>
      <w:r w:rsidRPr="00483BF3">
        <w:rPr>
          <w:rFonts w:ascii="Arial" w:hAnsi="Arial" w:cs="Arial"/>
          <w:sz w:val="20"/>
          <w:szCs w:val="20"/>
        </w:rPr>
        <w:t>may request the person to remove his or her outer clothing and gloves, shoes and headgear so that the officer may</w:t>
      </w:r>
      <w:r w:rsidR="00235652">
        <w:rPr>
          <w:rFonts w:ascii="Arial" w:hAnsi="Arial" w:cs="Arial"/>
          <w:color w:val="000000"/>
          <w:sz w:val="20"/>
        </w:rPr>
        <w:t>–</w:t>
      </w:r>
    </w:p>
    <w:p w14:paraId="066638B7" w14:textId="77777777" w:rsidR="00E355C1" w:rsidRPr="00483BF3" w:rsidRDefault="00E355C1" w:rsidP="006B5FAC">
      <w:pPr>
        <w:pStyle w:val="DraftHeading4"/>
        <w:tabs>
          <w:tab w:val="right" w:pos="2268"/>
        </w:tabs>
        <w:spacing w:before="0"/>
        <w:ind w:left="1174" w:hanging="454"/>
        <w:jc w:val="both"/>
        <w:rPr>
          <w:rFonts w:ascii="Arial" w:hAnsi="Arial" w:cs="Arial"/>
          <w:sz w:val="20"/>
        </w:rPr>
      </w:pPr>
      <w:r w:rsidRPr="00483BF3">
        <w:rPr>
          <w:rFonts w:ascii="Arial" w:hAnsi="Arial" w:cs="Arial"/>
          <w:sz w:val="20"/>
        </w:rPr>
        <w:t>(i)</w:t>
      </w:r>
      <w:r w:rsidRPr="00483BF3">
        <w:rPr>
          <w:rFonts w:ascii="Arial" w:hAnsi="Arial" w:cs="Arial"/>
          <w:sz w:val="20"/>
        </w:rPr>
        <w:tab/>
        <w:t>run his or her hands over the person's clothing that was immediately under the person's outer clothing; or</w:t>
      </w:r>
    </w:p>
    <w:p w14:paraId="1A9A80E0" w14:textId="77777777" w:rsidR="00E355C1" w:rsidRPr="00483BF3" w:rsidRDefault="00E355C1" w:rsidP="006B5FAC">
      <w:pPr>
        <w:pStyle w:val="DraftHeading4"/>
        <w:tabs>
          <w:tab w:val="right" w:pos="2268"/>
        </w:tabs>
        <w:spacing w:before="0"/>
        <w:ind w:left="1174" w:hanging="454"/>
        <w:jc w:val="both"/>
        <w:rPr>
          <w:rFonts w:ascii="Arial" w:hAnsi="Arial" w:cs="Arial"/>
          <w:sz w:val="20"/>
        </w:rPr>
      </w:pPr>
      <w:r w:rsidRPr="00483BF3">
        <w:rPr>
          <w:rFonts w:ascii="Arial" w:hAnsi="Arial" w:cs="Arial"/>
          <w:sz w:val="20"/>
        </w:rPr>
        <w:t>(ii)</w:t>
      </w:r>
      <w:r w:rsidRPr="00483BF3">
        <w:rPr>
          <w:rFonts w:ascii="Arial" w:hAnsi="Arial" w:cs="Arial"/>
          <w:sz w:val="20"/>
        </w:rPr>
        <w:tab/>
        <w:t>search the person's outer clothing and gloves, shoes and headgear.</w:t>
      </w:r>
    </w:p>
    <w:p w14:paraId="344ED449" w14:textId="77777777" w:rsidR="00E355C1" w:rsidRPr="00483BF3" w:rsidRDefault="00E355C1" w:rsidP="006B5FAC">
      <w:pPr>
        <w:spacing w:before="60"/>
        <w:jc w:val="both"/>
        <w:rPr>
          <w:rFonts w:ascii="Arial" w:hAnsi="Arial" w:cs="Arial"/>
          <w:sz w:val="20"/>
          <w:szCs w:val="20"/>
        </w:rPr>
      </w:pPr>
      <w:r w:rsidRPr="00483BF3">
        <w:rPr>
          <w:rFonts w:ascii="Arial" w:hAnsi="Arial" w:cs="Arial"/>
          <w:sz w:val="20"/>
          <w:szCs w:val="20"/>
        </w:rPr>
        <w:t>The search must be conducted in a manner that affords reasonable privacy and is as quick as is reasonably practicable.</w:t>
      </w:r>
    </w:p>
    <w:p w14:paraId="4F32D63A" w14:textId="77777777" w:rsidR="00E355C1" w:rsidRPr="00483BF3" w:rsidRDefault="00E355C1" w:rsidP="00E355C1">
      <w:pPr>
        <w:rPr>
          <w:rFonts w:ascii="Arial" w:hAnsi="Arial" w:cs="Arial"/>
          <w:sz w:val="20"/>
          <w:szCs w:val="20"/>
        </w:rPr>
      </w:pPr>
    </w:p>
    <w:p w14:paraId="6C514383" w14:textId="710AD44E" w:rsidR="00E355C1" w:rsidRPr="00483BF3" w:rsidRDefault="00E355C1" w:rsidP="006B5FAC">
      <w:pPr>
        <w:jc w:val="both"/>
        <w:rPr>
          <w:rFonts w:ascii="Arial" w:hAnsi="Arial" w:cs="Arial"/>
          <w:sz w:val="20"/>
          <w:szCs w:val="20"/>
        </w:rPr>
      </w:pPr>
      <w:r w:rsidRPr="00483BF3">
        <w:rPr>
          <w:rFonts w:ascii="Arial" w:hAnsi="Arial" w:cs="Arial"/>
          <w:sz w:val="20"/>
          <w:szCs w:val="20"/>
        </w:rPr>
        <w:t>If, before or during such a search, the officer has reasonable grounds for suspecting that the person is under 18 and</w:t>
      </w:r>
      <w:r w:rsidR="00235652">
        <w:rPr>
          <w:rFonts w:ascii="Arial" w:hAnsi="Arial" w:cs="Arial"/>
          <w:color w:val="000000"/>
          <w:sz w:val="20"/>
        </w:rPr>
        <w:t>–</w:t>
      </w:r>
    </w:p>
    <w:p w14:paraId="0497EDA2" w14:textId="77777777" w:rsidR="00E355C1" w:rsidRPr="00483BF3" w:rsidRDefault="00E355C1" w:rsidP="00591749">
      <w:pPr>
        <w:pStyle w:val="ListParagraph"/>
        <w:numPr>
          <w:ilvl w:val="0"/>
          <w:numId w:val="40"/>
        </w:numPr>
        <w:spacing w:after="0" w:line="240" w:lineRule="auto"/>
        <w:ind w:left="714" w:hanging="357"/>
        <w:contextualSpacing w:val="0"/>
        <w:jc w:val="both"/>
        <w:rPr>
          <w:rFonts w:ascii="Arial" w:hAnsi="Arial" w:cs="Arial"/>
          <w:sz w:val="20"/>
          <w:szCs w:val="20"/>
        </w:rPr>
      </w:pPr>
      <w:r w:rsidRPr="00483BF3">
        <w:rPr>
          <w:rFonts w:ascii="Arial" w:hAnsi="Arial" w:cs="Arial"/>
          <w:sz w:val="20"/>
          <w:szCs w:val="20"/>
        </w:rPr>
        <w:t xml:space="preserve">has in his or her possession a volatile substance within the meaning of Part IV of the </w:t>
      </w:r>
      <w:r w:rsidRPr="00483BF3">
        <w:rPr>
          <w:rFonts w:ascii="Arial" w:hAnsi="Arial" w:cs="Arial"/>
          <w:b/>
          <w:i/>
          <w:iCs/>
          <w:sz w:val="20"/>
          <w:szCs w:val="20"/>
        </w:rPr>
        <w:t>Drugs, Poisons and Controlled Substances Act 1981</w:t>
      </w:r>
      <w:r w:rsidRPr="00483BF3">
        <w:rPr>
          <w:rFonts w:ascii="Arial" w:hAnsi="Arial" w:cs="Arial"/>
          <w:bCs/>
          <w:sz w:val="20"/>
          <w:szCs w:val="20"/>
        </w:rPr>
        <w:t>; or</w:t>
      </w:r>
    </w:p>
    <w:p w14:paraId="538408D6" w14:textId="090186AD" w:rsidR="00E355C1" w:rsidRPr="00483BF3" w:rsidRDefault="00E355C1" w:rsidP="00591749">
      <w:pPr>
        <w:pStyle w:val="ListParagraph"/>
        <w:numPr>
          <w:ilvl w:val="0"/>
          <w:numId w:val="40"/>
        </w:numPr>
        <w:spacing w:after="0" w:line="240" w:lineRule="auto"/>
        <w:ind w:left="714" w:hanging="357"/>
        <w:contextualSpacing w:val="0"/>
        <w:jc w:val="both"/>
        <w:rPr>
          <w:rFonts w:ascii="Arial" w:hAnsi="Arial" w:cs="Arial"/>
          <w:sz w:val="20"/>
          <w:szCs w:val="20"/>
        </w:rPr>
      </w:pPr>
      <w:r w:rsidRPr="00483BF3">
        <w:rPr>
          <w:rFonts w:ascii="Arial" w:hAnsi="Arial" w:cs="Arial"/>
          <w:sz w:val="20"/>
          <w:szCs w:val="20"/>
        </w:rPr>
        <w:t>is inhaling or will inhale a volatile substance</w:t>
      </w:r>
      <w:r w:rsidR="00235652">
        <w:rPr>
          <w:rFonts w:ascii="Arial" w:hAnsi="Arial" w:cs="Arial"/>
          <w:color w:val="000000"/>
          <w:sz w:val="20"/>
        </w:rPr>
        <w:t>–</w:t>
      </w:r>
    </w:p>
    <w:p w14:paraId="0B53E14C" w14:textId="77777777" w:rsidR="00E355C1" w:rsidRPr="00483BF3" w:rsidRDefault="00E355C1" w:rsidP="006B5FAC">
      <w:pPr>
        <w:rPr>
          <w:rFonts w:ascii="Arial" w:hAnsi="Arial" w:cs="Arial"/>
          <w:sz w:val="20"/>
          <w:szCs w:val="20"/>
        </w:rPr>
      </w:pPr>
      <w:r w:rsidRPr="00483BF3">
        <w:rPr>
          <w:rFonts w:ascii="Arial" w:hAnsi="Arial" w:cs="Arial"/>
          <w:sz w:val="20"/>
          <w:szCs w:val="20"/>
        </w:rPr>
        <w:t xml:space="preserve">the officer must cease conducting the search under the </w:t>
      </w:r>
      <w:r w:rsidRPr="00483BF3">
        <w:rPr>
          <w:rFonts w:ascii="Arial" w:hAnsi="Arial" w:cs="Arial"/>
          <w:i/>
          <w:iCs/>
          <w:sz w:val="20"/>
          <w:szCs w:val="20"/>
        </w:rPr>
        <w:t>GPA</w:t>
      </w:r>
      <w:r w:rsidRPr="00483BF3">
        <w:rPr>
          <w:rFonts w:ascii="Arial" w:hAnsi="Arial" w:cs="Arial"/>
          <w:sz w:val="20"/>
          <w:szCs w:val="20"/>
        </w:rPr>
        <w:t xml:space="preserve"> and deal with the person in the manner set out in Division 2 of Part IV of the </w:t>
      </w:r>
      <w:r w:rsidRPr="00483BF3">
        <w:rPr>
          <w:rFonts w:ascii="Arial" w:hAnsi="Arial" w:cs="Arial"/>
          <w:i/>
          <w:iCs/>
          <w:sz w:val="20"/>
          <w:szCs w:val="20"/>
        </w:rPr>
        <w:t>DPCSA</w:t>
      </w:r>
      <w:r w:rsidRPr="00483BF3">
        <w:rPr>
          <w:rFonts w:ascii="Arial" w:hAnsi="Arial" w:cs="Arial"/>
          <w:sz w:val="20"/>
          <w:szCs w:val="20"/>
        </w:rPr>
        <w:t>.</w:t>
      </w:r>
    </w:p>
    <w:p w14:paraId="2BF6D523" w14:textId="77777777" w:rsidR="006B5FAC" w:rsidRDefault="006B5FAC" w:rsidP="006B5FAC">
      <w:pPr>
        <w:rPr>
          <w:rFonts w:ascii="Arial" w:hAnsi="Arial" w:cs="Arial"/>
          <w:sz w:val="20"/>
          <w:szCs w:val="20"/>
        </w:rPr>
      </w:pPr>
    </w:p>
    <w:p w14:paraId="375B5FDB" w14:textId="530BCF22" w:rsidR="006B5FAC" w:rsidRPr="000438D8" w:rsidRDefault="006B5FAC" w:rsidP="006B5FAC">
      <w:pPr>
        <w:shd w:val="clear" w:color="auto" w:fill="FFFFFF"/>
        <w:jc w:val="center"/>
        <w:rPr>
          <w:rFonts w:ascii="Arial" w:hAnsi="Arial" w:cs="Arial"/>
          <w:color w:val="141412"/>
          <w:sz w:val="20"/>
          <w:szCs w:val="20"/>
          <w:u w:val="single"/>
        </w:rPr>
      </w:pPr>
      <w:r>
        <w:rPr>
          <w:rFonts w:ascii="Arial" w:hAnsi="Arial" w:cs="Arial"/>
          <w:b/>
          <w:bCs/>
          <w:i/>
          <w:iCs/>
          <w:sz w:val="20"/>
          <w:szCs w:val="20"/>
          <w:u w:val="single"/>
        </w:rPr>
        <w:t>Control of Weapons Act 1990</w:t>
      </w:r>
    </w:p>
    <w:p w14:paraId="47791A9E" w14:textId="77777777" w:rsidR="006B5FAC" w:rsidRPr="00483BF3" w:rsidRDefault="006B5FAC" w:rsidP="006B5FAC">
      <w:pPr>
        <w:rPr>
          <w:rFonts w:ascii="Arial" w:hAnsi="Arial" w:cs="Arial"/>
          <w:sz w:val="20"/>
          <w:szCs w:val="20"/>
        </w:rPr>
      </w:pPr>
    </w:p>
    <w:p w14:paraId="0BFEF2DF" w14:textId="77777777" w:rsidR="00E355C1" w:rsidRPr="00483BF3" w:rsidRDefault="00E355C1" w:rsidP="006B5FAC">
      <w:pPr>
        <w:pStyle w:val="ListParagraph"/>
        <w:spacing w:after="0" w:line="240" w:lineRule="auto"/>
        <w:ind w:left="0"/>
        <w:jc w:val="both"/>
        <w:rPr>
          <w:rFonts w:ascii="Arial" w:hAnsi="Arial" w:cs="Arial"/>
          <w:sz w:val="20"/>
          <w:szCs w:val="20"/>
        </w:rPr>
      </w:pPr>
      <w:r w:rsidRPr="00483BF3">
        <w:rPr>
          <w:rFonts w:ascii="Arial" w:hAnsi="Arial" w:cs="Arial"/>
          <w:sz w:val="20"/>
          <w:szCs w:val="20"/>
        </w:rPr>
        <w:t xml:space="preserve">Section 10(1) of the </w:t>
      </w:r>
      <w:r w:rsidRPr="00483BF3">
        <w:rPr>
          <w:rFonts w:ascii="Arial" w:hAnsi="Arial" w:cs="Arial"/>
          <w:i/>
          <w:iCs/>
          <w:sz w:val="20"/>
          <w:szCs w:val="20"/>
        </w:rPr>
        <w:t>CWA</w:t>
      </w:r>
      <w:r w:rsidRPr="00483BF3">
        <w:rPr>
          <w:rFonts w:ascii="Arial" w:hAnsi="Arial" w:cs="Arial"/>
          <w:sz w:val="20"/>
          <w:szCs w:val="20"/>
        </w:rPr>
        <w:t xml:space="preserve"> empowers a police officer who has reasonable grounds for suspecting that a person is carrying or has in his or her possession in a public place a </w:t>
      </w:r>
      <w:r w:rsidRPr="00483BF3">
        <w:rPr>
          <w:rFonts w:ascii="Arial" w:hAnsi="Arial" w:cs="Arial"/>
          <w:b/>
          <w:bCs/>
          <w:sz w:val="20"/>
          <w:szCs w:val="20"/>
        </w:rPr>
        <w:t>weapon</w:t>
      </w:r>
      <w:r w:rsidRPr="00483BF3">
        <w:rPr>
          <w:rFonts w:ascii="Arial" w:hAnsi="Arial" w:cs="Arial"/>
          <w:sz w:val="20"/>
          <w:szCs w:val="20"/>
        </w:rPr>
        <w:t xml:space="preserve"> contrary to the </w:t>
      </w:r>
      <w:r w:rsidRPr="00483BF3">
        <w:rPr>
          <w:rFonts w:ascii="Arial" w:hAnsi="Arial" w:cs="Arial"/>
          <w:i/>
          <w:iCs/>
          <w:sz w:val="20"/>
          <w:szCs w:val="20"/>
        </w:rPr>
        <w:t>CWA</w:t>
      </w:r>
      <w:r w:rsidRPr="00483BF3">
        <w:rPr>
          <w:rFonts w:ascii="Arial" w:hAnsi="Arial" w:cs="Arial"/>
          <w:sz w:val="20"/>
          <w:szCs w:val="20"/>
        </w:rPr>
        <w:t xml:space="preserve">, without a warrant, to search a person and any vehicle or thing in the person’s possession or under the person’s control for the weapon. Section 10(7) provides that </w:t>
      </w:r>
      <w:r w:rsidRPr="00483BF3">
        <w:rPr>
          <w:rFonts w:ascii="Arial" w:hAnsi="Arial" w:cs="Arial"/>
          <w:b/>
          <w:bCs/>
          <w:sz w:val="20"/>
          <w:szCs w:val="20"/>
        </w:rPr>
        <w:t>weapon</w:t>
      </w:r>
      <w:r w:rsidRPr="00483BF3">
        <w:rPr>
          <w:rFonts w:ascii="Arial" w:hAnsi="Arial" w:cs="Arial"/>
          <w:sz w:val="20"/>
          <w:szCs w:val="20"/>
        </w:rPr>
        <w:t xml:space="preserve"> means (a) a prohibited weapon; (b) a controlled weapon; or (c) a dangerous article.  Section 10(4) provides that Schedule 1 applies to such search.</w:t>
      </w:r>
    </w:p>
    <w:p w14:paraId="4EB815D3" w14:textId="77777777" w:rsidR="00E355C1" w:rsidRPr="00483BF3" w:rsidRDefault="00E355C1" w:rsidP="00E355C1">
      <w:pPr>
        <w:pStyle w:val="NormalWeb"/>
        <w:shd w:val="clear" w:color="auto" w:fill="FFFFFF"/>
        <w:spacing w:before="0" w:beforeAutospacing="0" w:after="0" w:afterAutospacing="0"/>
        <w:textAlignment w:val="baseline"/>
        <w:rPr>
          <w:rFonts w:ascii="Arial" w:hAnsi="Arial" w:cs="Arial"/>
          <w:i/>
          <w:iCs/>
          <w:color w:val="333333"/>
          <w:sz w:val="20"/>
          <w:szCs w:val="20"/>
        </w:rPr>
      </w:pPr>
    </w:p>
    <w:p w14:paraId="072A1E11" w14:textId="77777777" w:rsidR="00E355C1" w:rsidRPr="00483BF3" w:rsidRDefault="00E355C1" w:rsidP="00E83147">
      <w:pPr>
        <w:pStyle w:val="ListParagraph"/>
        <w:spacing w:after="0" w:line="240" w:lineRule="auto"/>
        <w:ind w:left="0"/>
        <w:jc w:val="both"/>
        <w:rPr>
          <w:rFonts w:ascii="Arial" w:hAnsi="Arial" w:cs="Arial"/>
          <w:sz w:val="20"/>
          <w:szCs w:val="20"/>
        </w:rPr>
      </w:pPr>
      <w:r w:rsidRPr="00483BF3">
        <w:rPr>
          <w:rFonts w:ascii="Arial" w:hAnsi="Arial" w:cs="Arial"/>
          <w:sz w:val="20"/>
          <w:szCs w:val="20"/>
        </w:rPr>
        <w:t xml:space="preserve">For completeness, </w:t>
      </w:r>
      <w:r w:rsidR="006B5FAC">
        <w:rPr>
          <w:rFonts w:ascii="Arial" w:hAnsi="Arial" w:cs="Arial"/>
          <w:sz w:val="20"/>
          <w:szCs w:val="20"/>
        </w:rPr>
        <w:t xml:space="preserve">it is </w:t>
      </w:r>
      <w:r w:rsidRPr="00483BF3">
        <w:rPr>
          <w:rFonts w:ascii="Arial" w:hAnsi="Arial" w:cs="Arial"/>
          <w:sz w:val="20"/>
          <w:szCs w:val="20"/>
        </w:rPr>
        <w:t>note</w:t>
      </w:r>
      <w:r w:rsidR="006B5FAC">
        <w:rPr>
          <w:rFonts w:ascii="Arial" w:hAnsi="Arial" w:cs="Arial"/>
          <w:sz w:val="20"/>
          <w:szCs w:val="20"/>
        </w:rPr>
        <w:t>d</w:t>
      </w:r>
      <w:r w:rsidRPr="00483BF3">
        <w:rPr>
          <w:rFonts w:ascii="Arial" w:hAnsi="Arial" w:cs="Arial"/>
          <w:sz w:val="20"/>
          <w:szCs w:val="20"/>
        </w:rPr>
        <w:t xml:space="preserve"> that s.10G(1) of the </w:t>
      </w:r>
      <w:r w:rsidRPr="00483BF3">
        <w:rPr>
          <w:rFonts w:ascii="Arial" w:hAnsi="Arial" w:cs="Arial"/>
          <w:i/>
          <w:iCs/>
          <w:sz w:val="20"/>
          <w:szCs w:val="20"/>
        </w:rPr>
        <w:t>CWA</w:t>
      </w:r>
      <w:r w:rsidRPr="00483BF3">
        <w:rPr>
          <w:rFonts w:ascii="Arial" w:hAnsi="Arial" w:cs="Arial"/>
          <w:sz w:val="20"/>
          <w:szCs w:val="20"/>
        </w:rPr>
        <w:t xml:space="preserve"> empowers a police officer, without a warrant, to stop and search a person and search any thing in the possession or under the control of the person for weapons if the person, and if applicable the thing, are in a public place that is within a designated area.  A designated area is an area in respect of which a declaration under ss.10D or 10E is in effect.  Section 10G(2) provides that Schedule 1 also applies to such search.</w:t>
      </w:r>
    </w:p>
    <w:p w14:paraId="75D0208E" w14:textId="77777777" w:rsidR="00E355C1" w:rsidRPr="00483BF3" w:rsidRDefault="00E355C1" w:rsidP="00E355C1">
      <w:pPr>
        <w:pStyle w:val="ListParagraph"/>
        <w:spacing w:after="0" w:line="240" w:lineRule="auto"/>
        <w:ind w:left="0"/>
        <w:rPr>
          <w:rFonts w:ascii="Arial" w:hAnsi="Arial" w:cs="Arial"/>
          <w:sz w:val="20"/>
          <w:szCs w:val="20"/>
        </w:rPr>
      </w:pPr>
    </w:p>
    <w:p w14:paraId="4C7DD222" w14:textId="5DBFD1D1" w:rsidR="00E355C1" w:rsidRPr="00483BF3" w:rsidRDefault="00E355C1" w:rsidP="006B5FAC">
      <w:pPr>
        <w:spacing w:after="60"/>
        <w:jc w:val="both"/>
        <w:rPr>
          <w:rFonts w:ascii="Arial" w:hAnsi="Arial" w:cs="Arial"/>
          <w:sz w:val="20"/>
          <w:szCs w:val="20"/>
        </w:rPr>
      </w:pPr>
      <w:r w:rsidRPr="00483BF3">
        <w:rPr>
          <w:rFonts w:ascii="Arial" w:hAnsi="Arial" w:cs="Arial"/>
          <w:sz w:val="20"/>
          <w:szCs w:val="20"/>
        </w:rPr>
        <w:t>In Schedule 1</w:t>
      </w:r>
      <w:r w:rsidR="00235652">
        <w:rPr>
          <w:rFonts w:ascii="Arial" w:hAnsi="Arial" w:cs="Arial"/>
          <w:color w:val="000000"/>
          <w:sz w:val="20"/>
        </w:rPr>
        <w:t>–</w:t>
      </w:r>
    </w:p>
    <w:p w14:paraId="11F34795" w14:textId="77777777" w:rsidR="00E355C1" w:rsidRPr="00483BF3" w:rsidRDefault="00E355C1" w:rsidP="00591749">
      <w:pPr>
        <w:pStyle w:val="ListParagraph"/>
        <w:numPr>
          <w:ilvl w:val="0"/>
          <w:numId w:val="41"/>
        </w:numPr>
        <w:spacing w:after="120" w:line="240" w:lineRule="auto"/>
        <w:ind w:left="714" w:hanging="357"/>
        <w:contextualSpacing w:val="0"/>
        <w:jc w:val="both"/>
        <w:rPr>
          <w:rFonts w:ascii="Arial" w:hAnsi="Arial" w:cs="Arial"/>
          <w:sz w:val="20"/>
          <w:szCs w:val="20"/>
        </w:rPr>
      </w:pPr>
      <w:r w:rsidRPr="00483BF3">
        <w:rPr>
          <w:rFonts w:ascii="Arial" w:hAnsi="Arial" w:cs="Arial"/>
          <w:sz w:val="20"/>
          <w:szCs w:val="20"/>
        </w:rPr>
        <w:t>Clause 4 empowers a police officer authorised under s.10 to examine a thing</w:t>
      </w:r>
      <w:r w:rsidR="00CF1985">
        <w:rPr>
          <w:rFonts w:ascii="Arial" w:hAnsi="Arial" w:cs="Arial"/>
          <w:sz w:val="20"/>
          <w:szCs w:val="20"/>
        </w:rPr>
        <w:t>.</w:t>
      </w:r>
    </w:p>
    <w:p w14:paraId="3D0DE1D1" w14:textId="77777777" w:rsidR="00E355C1" w:rsidRPr="00483BF3" w:rsidRDefault="00E355C1" w:rsidP="00591749">
      <w:pPr>
        <w:pStyle w:val="ListParagraph"/>
        <w:numPr>
          <w:ilvl w:val="0"/>
          <w:numId w:val="41"/>
        </w:numPr>
        <w:spacing w:after="60" w:line="240" w:lineRule="auto"/>
        <w:ind w:left="714" w:hanging="357"/>
        <w:contextualSpacing w:val="0"/>
        <w:jc w:val="both"/>
        <w:rPr>
          <w:rFonts w:ascii="Arial" w:hAnsi="Arial" w:cs="Arial"/>
          <w:sz w:val="20"/>
          <w:szCs w:val="20"/>
        </w:rPr>
      </w:pPr>
      <w:r w:rsidRPr="00483BF3">
        <w:rPr>
          <w:rFonts w:ascii="Arial" w:hAnsi="Arial" w:cs="Arial"/>
          <w:sz w:val="20"/>
          <w:szCs w:val="20"/>
        </w:rPr>
        <w:t>Clause 5 empowers a police officer authorised to search a person under s.10 to conduct an “</w:t>
      </w:r>
      <w:r w:rsidRPr="00483BF3">
        <w:rPr>
          <w:rFonts w:ascii="Arial" w:hAnsi="Arial" w:cs="Arial"/>
          <w:b/>
          <w:bCs/>
          <w:sz w:val="20"/>
          <w:szCs w:val="20"/>
        </w:rPr>
        <w:t>outer search</w:t>
      </w:r>
      <w:r w:rsidRPr="00483BF3">
        <w:rPr>
          <w:rFonts w:ascii="Arial" w:hAnsi="Arial" w:cs="Arial"/>
          <w:sz w:val="20"/>
          <w:szCs w:val="20"/>
        </w:rPr>
        <w:t>” (sometimes termed a “</w:t>
      </w:r>
      <w:r w:rsidRPr="00483BF3">
        <w:rPr>
          <w:rFonts w:ascii="Arial" w:hAnsi="Arial" w:cs="Arial"/>
          <w:b/>
          <w:bCs/>
          <w:sz w:val="20"/>
          <w:szCs w:val="20"/>
        </w:rPr>
        <w:t>frisk search</w:t>
      </w:r>
      <w:r w:rsidRPr="00483BF3">
        <w:rPr>
          <w:rFonts w:ascii="Arial" w:hAnsi="Arial" w:cs="Arial"/>
          <w:sz w:val="20"/>
          <w:szCs w:val="20"/>
        </w:rPr>
        <w:t>”)</w:t>
      </w:r>
      <w:r w:rsidR="00CF1985">
        <w:rPr>
          <w:rFonts w:ascii="Arial" w:hAnsi="Arial" w:cs="Arial"/>
          <w:sz w:val="20"/>
          <w:szCs w:val="20"/>
        </w:rPr>
        <w:t>.</w:t>
      </w:r>
    </w:p>
    <w:p w14:paraId="589CDBBA" w14:textId="4BFF6D19" w:rsidR="00E355C1" w:rsidRPr="00483BF3" w:rsidRDefault="00E355C1" w:rsidP="00591749">
      <w:pPr>
        <w:pStyle w:val="ListParagraph"/>
        <w:numPr>
          <w:ilvl w:val="0"/>
          <w:numId w:val="41"/>
        </w:numPr>
        <w:spacing w:after="60" w:line="240" w:lineRule="auto"/>
        <w:ind w:left="714" w:hanging="357"/>
        <w:contextualSpacing w:val="0"/>
        <w:jc w:val="both"/>
        <w:rPr>
          <w:rFonts w:ascii="Arial" w:hAnsi="Arial" w:cs="Arial"/>
          <w:sz w:val="20"/>
          <w:szCs w:val="20"/>
        </w:rPr>
      </w:pPr>
      <w:r w:rsidRPr="00483BF3">
        <w:rPr>
          <w:rFonts w:ascii="Arial" w:hAnsi="Arial" w:cs="Arial"/>
          <w:sz w:val="20"/>
          <w:szCs w:val="20"/>
        </w:rPr>
        <w:t>Clause 7(1) empowers a police officer to conduct a “</w:t>
      </w:r>
      <w:r w:rsidRPr="00483BF3">
        <w:rPr>
          <w:rFonts w:ascii="Arial" w:hAnsi="Arial" w:cs="Arial"/>
          <w:b/>
          <w:bCs/>
          <w:sz w:val="20"/>
          <w:szCs w:val="20"/>
        </w:rPr>
        <w:t>strip search</w:t>
      </w:r>
      <w:r w:rsidRPr="00483BF3">
        <w:rPr>
          <w:rFonts w:ascii="Arial" w:hAnsi="Arial" w:cs="Arial"/>
          <w:sz w:val="20"/>
          <w:szCs w:val="20"/>
        </w:rPr>
        <w:t>” of a person if</w:t>
      </w:r>
      <w:r w:rsidR="00235652">
        <w:rPr>
          <w:rFonts w:ascii="Arial" w:hAnsi="Arial" w:cs="Arial"/>
          <w:color w:val="000000"/>
          <w:sz w:val="20"/>
        </w:rPr>
        <w:t>–</w:t>
      </w:r>
    </w:p>
    <w:p w14:paraId="14A64F61" w14:textId="77777777" w:rsidR="00E355C1" w:rsidRPr="00483BF3" w:rsidRDefault="00E355C1" w:rsidP="00591749">
      <w:pPr>
        <w:pStyle w:val="ListParagraph"/>
        <w:numPr>
          <w:ilvl w:val="0"/>
          <w:numId w:val="22"/>
        </w:numPr>
        <w:spacing w:after="120" w:line="240" w:lineRule="auto"/>
        <w:ind w:left="1077" w:hanging="357"/>
        <w:jc w:val="both"/>
        <w:rPr>
          <w:rFonts w:ascii="Arial" w:hAnsi="Arial" w:cs="Arial"/>
          <w:sz w:val="20"/>
          <w:szCs w:val="20"/>
        </w:rPr>
      </w:pPr>
      <w:r w:rsidRPr="00483BF3">
        <w:rPr>
          <w:rFonts w:ascii="Arial" w:hAnsi="Arial" w:cs="Arial"/>
          <w:sz w:val="20"/>
          <w:szCs w:val="20"/>
        </w:rPr>
        <w:t xml:space="preserve"> a search of the person or thing has been conducted under clause 4 or 5; and</w:t>
      </w:r>
    </w:p>
    <w:p w14:paraId="4B4009CA" w14:textId="77777777" w:rsidR="00E355C1" w:rsidRPr="00483BF3" w:rsidRDefault="00E355C1" w:rsidP="00591749">
      <w:pPr>
        <w:pStyle w:val="ListParagraph"/>
        <w:numPr>
          <w:ilvl w:val="0"/>
          <w:numId w:val="22"/>
        </w:numPr>
        <w:spacing w:after="120" w:line="240" w:lineRule="auto"/>
        <w:ind w:left="1077" w:hanging="357"/>
        <w:jc w:val="both"/>
        <w:rPr>
          <w:rFonts w:ascii="Arial" w:hAnsi="Arial" w:cs="Arial"/>
          <w:sz w:val="20"/>
          <w:szCs w:val="20"/>
        </w:rPr>
      </w:pPr>
      <w:r w:rsidRPr="00483BF3">
        <w:rPr>
          <w:rFonts w:ascii="Arial" w:hAnsi="Arial" w:cs="Arial"/>
          <w:sz w:val="20"/>
          <w:szCs w:val="20"/>
        </w:rPr>
        <w:t>the police officer reasonably suspects that the person has a weapon concealed on his or her person; and</w:t>
      </w:r>
    </w:p>
    <w:p w14:paraId="72C46425" w14:textId="77777777" w:rsidR="00E355C1" w:rsidRPr="00483BF3" w:rsidRDefault="00E355C1" w:rsidP="00591749">
      <w:pPr>
        <w:pStyle w:val="ListParagraph"/>
        <w:numPr>
          <w:ilvl w:val="0"/>
          <w:numId w:val="22"/>
        </w:numPr>
        <w:spacing w:after="0" w:line="240" w:lineRule="auto"/>
        <w:ind w:left="1077" w:hanging="357"/>
        <w:jc w:val="both"/>
        <w:rPr>
          <w:rFonts w:ascii="Arial" w:hAnsi="Arial" w:cs="Arial"/>
          <w:sz w:val="20"/>
          <w:szCs w:val="20"/>
        </w:rPr>
      </w:pPr>
      <w:r w:rsidRPr="00483BF3">
        <w:rPr>
          <w:rFonts w:ascii="Arial" w:hAnsi="Arial" w:cs="Arial"/>
          <w:sz w:val="20"/>
          <w:szCs w:val="20"/>
        </w:rPr>
        <w:t>the police officer believes on reasonable grounds that it is necessary to conduct a strip search of the person for the purposes of the search and that the seriousness and urgency of the circumstances require the strip search to be carried out</w:t>
      </w:r>
      <w:r w:rsidR="00CF1985">
        <w:rPr>
          <w:rFonts w:ascii="Arial" w:hAnsi="Arial" w:cs="Arial"/>
          <w:sz w:val="20"/>
          <w:szCs w:val="20"/>
        </w:rPr>
        <w:t>.</w:t>
      </w:r>
    </w:p>
    <w:p w14:paraId="7342D081" w14:textId="77777777" w:rsidR="006B5FAC" w:rsidRDefault="006B5FAC" w:rsidP="00591749">
      <w:pPr>
        <w:pStyle w:val="ListParagraph"/>
        <w:numPr>
          <w:ilvl w:val="0"/>
          <w:numId w:val="41"/>
        </w:numPr>
        <w:spacing w:before="60" w:after="0" w:line="240" w:lineRule="auto"/>
        <w:ind w:left="714" w:hanging="357"/>
        <w:contextualSpacing w:val="0"/>
        <w:jc w:val="both"/>
        <w:rPr>
          <w:rFonts w:ascii="Arial" w:hAnsi="Arial" w:cs="Arial"/>
          <w:sz w:val="20"/>
          <w:szCs w:val="20"/>
        </w:rPr>
      </w:pPr>
      <w:r>
        <w:rPr>
          <w:rFonts w:ascii="Arial" w:hAnsi="Arial" w:cs="Arial"/>
          <w:sz w:val="20"/>
          <w:szCs w:val="20"/>
        </w:rPr>
        <w:t>Clause 9 sets out the r</w:t>
      </w:r>
      <w:r w:rsidRPr="00483BF3">
        <w:rPr>
          <w:rFonts w:ascii="Arial" w:hAnsi="Arial" w:cs="Arial"/>
          <w:sz w:val="20"/>
          <w:szCs w:val="20"/>
        </w:rPr>
        <w:t xml:space="preserve">ules for </w:t>
      </w:r>
      <w:r w:rsidRPr="00483BF3">
        <w:rPr>
          <w:rFonts w:ascii="Arial" w:hAnsi="Arial" w:cs="Arial"/>
          <w:i/>
          <w:iCs/>
          <w:sz w:val="20"/>
          <w:szCs w:val="20"/>
        </w:rPr>
        <w:t>CWA</w:t>
      </w:r>
      <w:r w:rsidRPr="00483BF3">
        <w:rPr>
          <w:rFonts w:ascii="Arial" w:hAnsi="Arial" w:cs="Arial"/>
          <w:sz w:val="20"/>
          <w:szCs w:val="20"/>
        </w:rPr>
        <w:t xml:space="preserve"> strip searches generally</w:t>
      </w:r>
      <w:r w:rsidR="00CF1985">
        <w:rPr>
          <w:rFonts w:ascii="Arial" w:hAnsi="Arial" w:cs="Arial"/>
          <w:sz w:val="20"/>
          <w:szCs w:val="20"/>
        </w:rPr>
        <w:t>.</w:t>
      </w:r>
    </w:p>
    <w:p w14:paraId="6545E8CF" w14:textId="77AD8956" w:rsidR="006B5FAC" w:rsidRPr="00483BF3" w:rsidRDefault="006B5FAC" w:rsidP="00591749">
      <w:pPr>
        <w:pStyle w:val="ListParagraph"/>
        <w:numPr>
          <w:ilvl w:val="0"/>
          <w:numId w:val="41"/>
        </w:numPr>
        <w:spacing w:before="60" w:after="0" w:line="240" w:lineRule="auto"/>
        <w:ind w:left="714" w:hanging="357"/>
        <w:contextualSpacing w:val="0"/>
        <w:jc w:val="both"/>
        <w:rPr>
          <w:rFonts w:ascii="Arial" w:hAnsi="Arial" w:cs="Arial"/>
          <w:sz w:val="20"/>
          <w:szCs w:val="20"/>
        </w:rPr>
      </w:pPr>
      <w:r>
        <w:rPr>
          <w:rFonts w:ascii="Arial" w:hAnsi="Arial" w:cs="Arial"/>
          <w:sz w:val="20"/>
          <w:szCs w:val="20"/>
        </w:rPr>
        <w:t>C</w:t>
      </w:r>
      <w:r w:rsidRPr="00483BF3">
        <w:rPr>
          <w:rFonts w:ascii="Arial" w:hAnsi="Arial" w:cs="Arial"/>
          <w:sz w:val="20"/>
          <w:szCs w:val="20"/>
        </w:rPr>
        <w:t>lause 11(5) provides that for a frisk search of a child – defined as “a person under the age of 18 years” – under clause 5 or a strip search of a child under clause 7, the search “must, if practicable in the circumstances, be conducted in the presence of</w:t>
      </w:r>
      <w:r w:rsidR="00235652">
        <w:rPr>
          <w:rFonts w:ascii="Arial" w:hAnsi="Arial" w:cs="Arial"/>
          <w:color w:val="000000"/>
          <w:sz w:val="20"/>
        </w:rPr>
        <w:t>–</w:t>
      </w:r>
    </w:p>
    <w:p w14:paraId="46014875" w14:textId="77777777" w:rsidR="00E355C1" w:rsidRPr="00483BF3" w:rsidRDefault="00E355C1" w:rsidP="00591749">
      <w:pPr>
        <w:pStyle w:val="ListParagraph"/>
        <w:numPr>
          <w:ilvl w:val="0"/>
          <w:numId w:val="23"/>
        </w:numPr>
        <w:spacing w:after="120" w:line="240" w:lineRule="auto"/>
        <w:ind w:left="1077" w:hanging="357"/>
        <w:jc w:val="both"/>
        <w:rPr>
          <w:rFonts w:ascii="Arial" w:hAnsi="Arial" w:cs="Arial"/>
          <w:sz w:val="20"/>
          <w:szCs w:val="20"/>
        </w:rPr>
      </w:pPr>
      <w:r w:rsidRPr="00483BF3">
        <w:rPr>
          <w:rFonts w:ascii="Arial" w:hAnsi="Arial" w:cs="Arial"/>
          <w:sz w:val="20"/>
          <w:szCs w:val="20"/>
        </w:rPr>
        <w:t>a parent or guardian of the child being searched; or</w:t>
      </w:r>
    </w:p>
    <w:p w14:paraId="3A4582A0" w14:textId="77777777" w:rsidR="00E355C1" w:rsidRPr="00483BF3" w:rsidRDefault="00E355C1" w:rsidP="00591749">
      <w:pPr>
        <w:pStyle w:val="ListParagraph"/>
        <w:numPr>
          <w:ilvl w:val="0"/>
          <w:numId w:val="23"/>
        </w:numPr>
        <w:spacing w:after="0" w:line="240" w:lineRule="auto"/>
        <w:ind w:left="1077" w:hanging="357"/>
        <w:jc w:val="both"/>
        <w:rPr>
          <w:rFonts w:ascii="Arial" w:hAnsi="Arial" w:cs="Arial"/>
          <w:sz w:val="20"/>
          <w:szCs w:val="20"/>
        </w:rPr>
      </w:pPr>
      <w:r w:rsidRPr="00483BF3">
        <w:rPr>
          <w:rFonts w:ascii="Arial" w:hAnsi="Arial" w:cs="Arial"/>
          <w:sz w:val="20"/>
          <w:szCs w:val="20"/>
        </w:rPr>
        <w:lastRenderedPageBreak/>
        <w:t>if it is not practicable in the circumstances for a parent or guardian of the child to be present, any person (whether or not he or she is a police officer) other than a police officer who is conducting the search</w:t>
      </w:r>
      <w:r w:rsidR="00CF1985">
        <w:rPr>
          <w:rFonts w:ascii="Arial" w:hAnsi="Arial" w:cs="Arial"/>
          <w:sz w:val="20"/>
          <w:szCs w:val="20"/>
        </w:rPr>
        <w:t>.</w:t>
      </w:r>
    </w:p>
    <w:p w14:paraId="17B110F7" w14:textId="77777777" w:rsidR="006B5FAC" w:rsidRDefault="006B5FAC" w:rsidP="00591749">
      <w:pPr>
        <w:pStyle w:val="ListParagraph"/>
        <w:numPr>
          <w:ilvl w:val="0"/>
          <w:numId w:val="41"/>
        </w:numPr>
        <w:spacing w:before="60" w:after="0" w:line="240" w:lineRule="auto"/>
        <w:ind w:left="714" w:hanging="357"/>
        <w:contextualSpacing w:val="0"/>
        <w:jc w:val="both"/>
        <w:rPr>
          <w:rFonts w:ascii="Arial" w:hAnsi="Arial" w:cs="Arial"/>
          <w:sz w:val="20"/>
          <w:szCs w:val="20"/>
        </w:rPr>
      </w:pPr>
      <w:r w:rsidRPr="00483BF3">
        <w:rPr>
          <w:rFonts w:ascii="Arial" w:hAnsi="Arial" w:cs="Arial"/>
          <w:sz w:val="20"/>
          <w:szCs w:val="20"/>
        </w:rPr>
        <w:t>Clause 12 is similar for searches of persons with impaired intellectual functioning.</w:t>
      </w:r>
    </w:p>
    <w:p w14:paraId="7EE4893A" w14:textId="77777777" w:rsidR="00AB1D7F" w:rsidRDefault="00AB1D7F" w:rsidP="00AB1D7F">
      <w:pPr>
        <w:rPr>
          <w:rFonts w:ascii="Arial" w:hAnsi="Arial" w:cs="Arial"/>
          <w:sz w:val="20"/>
          <w:szCs w:val="20"/>
        </w:rPr>
      </w:pPr>
    </w:p>
    <w:p w14:paraId="20716A70" w14:textId="07162964" w:rsidR="00AB1D7F" w:rsidRPr="000438D8" w:rsidRDefault="00AB1D7F" w:rsidP="00AB1D7F">
      <w:pPr>
        <w:shd w:val="clear" w:color="auto" w:fill="FFFFFF"/>
        <w:jc w:val="center"/>
        <w:rPr>
          <w:rFonts w:ascii="Arial" w:hAnsi="Arial" w:cs="Arial"/>
          <w:color w:val="141412"/>
          <w:sz w:val="20"/>
          <w:szCs w:val="20"/>
          <w:u w:val="single"/>
        </w:rPr>
      </w:pPr>
      <w:r>
        <w:rPr>
          <w:rFonts w:ascii="Arial" w:hAnsi="Arial" w:cs="Arial"/>
          <w:b/>
          <w:bCs/>
          <w:i/>
          <w:iCs/>
          <w:sz w:val="20"/>
          <w:szCs w:val="20"/>
          <w:u w:val="single"/>
        </w:rPr>
        <w:t>Terrorism (Community Protection) Act 2003</w:t>
      </w:r>
    </w:p>
    <w:p w14:paraId="3A0D019C" w14:textId="77777777" w:rsidR="00AB1D7F" w:rsidRPr="00483BF3" w:rsidRDefault="00AB1D7F" w:rsidP="00AB1D7F">
      <w:pPr>
        <w:rPr>
          <w:rFonts w:ascii="Arial" w:hAnsi="Arial" w:cs="Arial"/>
          <w:sz w:val="20"/>
          <w:szCs w:val="20"/>
        </w:rPr>
      </w:pPr>
    </w:p>
    <w:p w14:paraId="20039CFC" w14:textId="16104103" w:rsidR="00E355C1" w:rsidRPr="00483BF3" w:rsidRDefault="00E355C1" w:rsidP="00AB1D7F">
      <w:pPr>
        <w:jc w:val="both"/>
        <w:rPr>
          <w:rFonts w:ascii="Arial" w:hAnsi="Arial" w:cs="Arial"/>
          <w:sz w:val="20"/>
          <w:szCs w:val="20"/>
        </w:rPr>
      </w:pPr>
      <w:r w:rsidRPr="00483BF3">
        <w:rPr>
          <w:rFonts w:ascii="Arial" w:hAnsi="Arial" w:cs="Arial"/>
          <w:sz w:val="20"/>
          <w:szCs w:val="20"/>
        </w:rPr>
        <w:t xml:space="preserve">Part 3A of the </w:t>
      </w:r>
      <w:r w:rsidRPr="00483BF3">
        <w:rPr>
          <w:rFonts w:ascii="Arial" w:hAnsi="Arial" w:cs="Arial"/>
          <w:i/>
          <w:iCs/>
          <w:sz w:val="20"/>
          <w:szCs w:val="20"/>
        </w:rPr>
        <w:t>TCPA</w:t>
      </w:r>
      <w:r w:rsidRPr="00483BF3">
        <w:rPr>
          <w:rFonts w:ascii="Arial" w:hAnsi="Arial" w:cs="Arial"/>
          <w:sz w:val="20"/>
          <w:szCs w:val="20"/>
        </w:rPr>
        <w:t xml:space="preserve"> sets out a number of Special Police Powers for the purposes of the </w:t>
      </w:r>
      <w:r w:rsidRPr="00483BF3">
        <w:rPr>
          <w:rFonts w:ascii="Arial" w:hAnsi="Arial" w:cs="Arial"/>
          <w:i/>
          <w:iCs/>
          <w:sz w:val="20"/>
          <w:szCs w:val="20"/>
        </w:rPr>
        <w:t>TCPA</w:t>
      </w:r>
      <w:r w:rsidRPr="00483BF3">
        <w:rPr>
          <w:rFonts w:ascii="Arial" w:hAnsi="Arial" w:cs="Arial"/>
          <w:sz w:val="20"/>
          <w:szCs w:val="20"/>
        </w:rPr>
        <w:t xml:space="preserve">.  Section 21P of the </w:t>
      </w:r>
      <w:r w:rsidRPr="00483BF3">
        <w:rPr>
          <w:rFonts w:ascii="Arial" w:hAnsi="Arial" w:cs="Arial"/>
          <w:i/>
          <w:iCs/>
          <w:sz w:val="20"/>
          <w:szCs w:val="20"/>
        </w:rPr>
        <w:t>TCPA</w:t>
      </w:r>
      <w:r w:rsidRPr="00483BF3">
        <w:rPr>
          <w:rFonts w:ascii="Arial" w:hAnsi="Arial" w:cs="Arial"/>
          <w:sz w:val="20"/>
          <w:szCs w:val="20"/>
        </w:rPr>
        <w:t xml:space="preserve"> empowers a police officer or protective services officer, without a warrant, to stop and search a person, and anything in the possession of or under the control of the person if</w:t>
      </w:r>
      <w:r w:rsidR="00235652">
        <w:rPr>
          <w:rFonts w:ascii="Arial" w:hAnsi="Arial" w:cs="Arial"/>
          <w:color w:val="000000"/>
          <w:sz w:val="20"/>
        </w:rPr>
        <w:t>–</w:t>
      </w:r>
    </w:p>
    <w:p w14:paraId="45AA24D2" w14:textId="77777777" w:rsidR="00E355C1" w:rsidRPr="00483BF3" w:rsidRDefault="00E355C1" w:rsidP="00AB1D7F">
      <w:pPr>
        <w:pStyle w:val="ListParagraph"/>
        <w:spacing w:after="120" w:line="240" w:lineRule="auto"/>
        <w:ind w:left="357" w:hanging="357"/>
        <w:jc w:val="both"/>
        <w:rPr>
          <w:rFonts w:ascii="Arial" w:hAnsi="Arial" w:cs="Arial"/>
          <w:sz w:val="20"/>
          <w:szCs w:val="20"/>
        </w:rPr>
      </w:pPr>
      <w:r w:rsidRPr="00483BF3">
        <w:rPr>
          <w:rFonts w:ascii="Arial" w:hAnsi="Arial" w:cs="Arial"/>
          <w:sz w:val="20"/>
          <w:szCs w:val="20"/>
        </w:rPr>
        <w:t>(a)</w:t>
      </w:r>
      <w:r w:rsidRPr="00483BF3">
        <w:rPr>
          <w:rFonts w:ascii="Arial" w:hAnsi="Arial" w:cs="Arial"/>
          <w:sz w:val="20"/>
          <w:szCs w:val="20"/>
        </w:rPr>
        <w:tab/>
        <w:t>they suspect on reasonable grounds that the person is the target of an authorisation to exercise special powers or is in the company of the target of the authorisation; or</w:t>
      </w:r>
    </w:p>
    <w:p w14:paraId="2B536BC0" w14:textId="77777777" w:rsidR="00E355C1" w:rsidRPr="00483BF3" w:rsidRDefault="00E355C1" w:rsidP="00AB1D7F">
      <w:pPr>
        <w:pStyle w:val="ListParagraph"/>
        <w:spacing w:after="120" w:line="240" w:lineRule="auto"/>
        <w:ind w:left="357" w:hanging="357"/>
        <w:jc w:val="both"/>
        <w:rPr>
          <w:rFonts w:ascii="Arial" w:hAnsi="Arial" w:cs="Arial"/>
          <w:sz w:val="20"/>
          <w:szCs w:val="20"/>
        </w:rPr>
      </w:pPr>
      <w:r w:rsidRPr="00483BF3">
        <w:rPr>
          <w:rFonts w:ascii="Arial" w:hAnsi="Arial" w:cs="Arial"/>
          <w:sz w:val="20"/>
          <w:szCs w:val="20"/>
        </w:rPr>
        <w:t>(b)</w:t>
      </w:r>
      <w:r w:rsidRPr="00483BF3">
        <w:rPr>
          <w:rFonts w:ascii="Arial" w:hAnsi="Arial" w:cs="Arial"/>
          <w:sz w:val="20"/>
          <w:szCs w:val="20"/>
        </w:rPr>
        <w:tab/>
        <w:t>the person is in or on a vehicle that they suspect on reasonable grounds is the target of an authorisation; or</w:t>
      </w:r>
    </w:p>
    <w:p w14:paraId="3A5967F6" w14:textId="77777777" w:rsidR="00E355C1" w:rsidRPr="00483BF3" w:rsidRDefault="00E355C1" w:rsidP="00AB1D7F">
      <w:pPr>
        <w:pStyle w:val="ListParagraph"/>
        <w:spacing w:after="0" w:line="240" w:lineRule="auto"/>
        <w:ind w:left="357" w:hanging="357"/>
        <w:jc w:val="both"/>
        <w:rPr>
          <w:rFonts w:ascii="Arial" w:hAnsi="Arial" w:cs="Arial"/>
          <w:sz w:val="20"/>
          <w:szCs w:val="20"/>
        </w:rPr>
      </w:pPr>
      <w:r w:rsidRPr="00483BF3">
        <w:rPr>
          <w:rFonts w:ascii="Arial" w:hAnsi="Arial" w:cs="Arial"/>
          <w:sz w:val="20"/>
          <w:szCs w:val="20"/>
        </w:rPr>
        <w:t>(c)</w:t>
      </w:r>
      <w:r w:rsidRPr="00483BF3">
        <w:rPr>
          <w:rFonts w:ascii="Arial" w:hAnsi="Arial" w:cs="Arial"/>
          <w:sz w:val="20"/>
          <w:szCs w:val="20"/>
        </w:rPr>
        <w:tab/>
        <w:t>the person is in an area that is the target of an authorisation.</w:t>
      </w:r>
    </w:p>
    <w:p w14:paraId="12F61F96" w14:textId="77777777" w:rsidR="00E355C1" w:rsidRPr="00483BF3" w:rsidRDefault="00E355C1" w:rsidP="00AB1D7F">
      <w:pPr>
        <w:jc w:val="both"/>
        <w:rPr>
          <w:rFonts w:ascii="Arial" w:hAnsi="Arial" w:cs="Arial"/>
          <w:sz w:val="20"/>
          <w:szCs w:val="20"/>
        </w:rPr>
      </w:pPr>
    </w:p>
    <w:p w14:paraId="07268175" w14:textId="3444C3BD" w:rsidR="00E355C1" w:rsidRPr="00483BF3" w:rsidRDefault="00E355C1" w:rsidP="00AB1D7F">
      <w:pPr>
        <w:jc w:val="both"/>
        <w:rPr>
          <w:rFonts w:ascii="Arial" w:hAnsi="Arial" w:cs="Arial"/>
          <w:sz w:val="20"/>
          <w:szCs w:val="20"/>
        </w:rPr>
      </w:pPr>
      <w:r w:rsidRPr="00483BF3">
        <w:rPr>
          <w:rFonts w:ascii="Arial" w:hAnsi="Arial" w:cs="Arial"/>
          <w:sz w:val="20"/>
          <w:szCs w:val="20"/>
        </w:rPr>
        <w:t xml:space="preserve">Schedule 1 applies to the search of a person conducted under s.21P.  Rule 3 authorises a </w:t>
      </w:r>
      <w:r w:rsidRPr="00483BF3">
        <w:rPr>
          <w:rFonts w:ascii="Arial" w:hAnsi="Arial" w:cs="Arial"/>
          <w:b/>
          <w:bCs/>
          <w:sz w:val="20"/>
          <w:szCs w:val="20"/>
        </w:rPr>
        <w:t>frisk search</w:t>
      </w:r>
      <w:r w:rsidRPr="00483BF3">
        <w:rPr>
          <w:rFonts w:ascii="Arial" w:hAnsi="Arial" w:cs="Arial"/>
          <w:sz w:val="20"/>
          <w:szCs w:val="20"/>
        </w:rPr>
        <w:t xml:space="preserve"> or an </w:t>
      </w:r>
      <w:r w:rsidRPr="00483BF3">
        <w:rPr>
          <w:rFonts w:ascii="Arial" w:hAnsi="Arial" w:cs="Arial"/>
          <w:b/>
          <w:bCs/>
          <w:sz w:val="20"/>
          <w:szCs w:val="20"/>
        </w:rPr>
        <w:t>ordinary search</w:t>
      </w:r>
      <w:r w:rsidRPr="00483BF3">
        <w:rPr>
          <w:rFonts w:ascii="Arial" w:hAnsi="Arial" w:cs="Arial"/>
          <w:sz w:val="20"/>
          <w:szCs w:val="20"/>
        </w:rPr>
        <w:t xml:space="preserve"> of the person for any purpose for which the search may be conducted.  Rule 4 expressly authorises a </w:t>
      </w:r>
      <w:r w:rsidRPr="00483BF3">
        <w:rPr>
          <w:rFonts w:ascii="Arial" w:hAnsi="Arial" w:cs="Arial"/>
          <w:b/>
          <w:bCs/>
          <w:sz w:val="20"/>
          <w:szCs w:val="20"/>
        </w:rPr>
        <w:t>strip search</w:t>
      </w:r>
      <w:r w:rsidRPr="00483BF3">
        <w:rPr>
          <w:rFonts w:ascii="Arial" w:hAnsi="Arial" w:cs="Arial"/>
          <w:sz w:val="20"/>
          <w:szCs w:val="20"/>
        </w:rPr>
        <w:t xml:space="preserve"> only if</w:t>
      </w:r>
      <w:r w:rsidR="00235652">
        <w:rPr>
          <w:rFonts w:ascii="Arial" w:hAnsi="Arial" w:cs="Arial"/>
          <w:color w:val="000000"/>
          <w:sz w:val="20"/>
        </w:rPr>
        <w:t>–</w:t>
      </w:r>
    </w:p>
    <w:p w14:paraId="6B410F50" w14:textId="77777777" w:rsidR="00E355C1" w:rsidRPr="00483BF3" w:rsidRDefault="00E355C1" w:rsidP="00AB1D7F">
      <w:pPr>
        <w:ind w:left="357" w:hanging="357"/>
        <w:jc w:val="both"/>
        <w:rPr>
          <w:rFonts w:ascii="Arial" w:hAnsi="Arial" w:cs="Arial"/>
          <w:sz w:val="20"/>
          <w:szCs w:val="20"/>
        </w:rPr>
      </w:pPr>
      <w:r w:rsidRPr="00483BF3">
        <w:rPr>
          <w:rFonts w:ascii="Arial" w:hAnsi="Arial" w:cs="Arial"/>
          <w:sz w:val="20"/>
          <w:szCs w:val="20"/>
        </w:rPr>
        <w:t>(a)</w:t>
      </w:r>
      <w:r w:rsidRPr="00483BF3">
        <w:rPr>
          <w:rFonts w:ascii="Arial" w:hAnsi="Arial" w:cs="Arial"/>
          <w:sz w:val="20"/>
          <w:szCs w:val="20"/>
        </w:rPr>
        <w:tab/>
        <w:t>the person is suspected of being the target of an authorisation; and</w:t>
      </w:r>
    </w:p>
    <w:p w14:paraId="39F5578A" w14:textId="77777777" w:rsidR="00E355C1" w:rsidRPr="00483BF3" w:rsidRDefault="00E355C1" w:rsidP="00AB1D7F">
      <w:pPr>
        <w:ind w:left="357" w:hanging="357"/>
        <w:jc w:val="both"/>
        <w:rPr>
          <w:rFonts w:ascii="Arial" w:hAnsi="Arial" w:cs="Arial"/>
          <w:sz w:val="20"/>
          <w:szCs w:val="20"/>
        </w:rPr>
      </w:pPr>
      <w:r w:rsidRPr="00483BF3">
        <w:rPr>
          <w:rFonts w:ascii="Arial" w:hAnsi="Arial" w:cs="Arial"/>
          <w:sz w:val="20"/>
          <w:szCs w:val="20"/>
        </w:rPr>
        <w:t>(b)</w:t>
      </w:r>
      <w:r w:rsidRPr="00483BF3">
        <w:rPr>
          <w:rFonts w:ascii="Arial" w:hAnsi="Arial" w:cs="Arial"/>
          <w:sz w:val="20"/>
          <w:szCs w:val="20"/>
        </w:rPr>
        <w:tab/>
        <w:t>the officer believes on reasonable grounds that it is necessary to conduct a strip search of the person for the purposes of the search and that the seriousness and urgency of the circumstances require the strip search to be carried out.</w:t>
      </w:r>
    </w:p>
    <w:p w14:paraId="142C1D21" w14:textId="77777777" w:rsidR="00AB1D7F" w:rsidRDefault="00AB1D7F" w:rsidP="00AB1D7F">
      <w:pPr>
        <w:rPr>
          <w:rFonts w:ascii="Arial" w:hAnsi="Arial" w:cs="Arial"/>
          <w:sz w:val="20"/>
          <w:szCs w:val="20"/>
        </w:rPr>
      </w:pPr>
    </w:p>
    <w:p w14:paraId="7B664637" w14:textId="77777777" w:rsidR="00AB1D7F" w:rsidRPr="000438D8" w:rsidRDefault="00AB1D7F" w:rsidP="00AB1D7F">
      <w:pPr>
        <w:shd w:val="clear" w:color="auto" w:fill="FFFFFF"/>
        <w:jc w:val="center"/>
        <w:rPr>
          <w:rFonts w:ascii="Arial" w:hAnsi="Arial" w:cs="Arial"/>
          <w:color w:val="141412"/>
          <w:sz w:val="20"/>
          <w:szCs w:val="20"/>
          <w:u w:val="single"/>
        </w:rPr>
      </w:pPr>
      <w:r>
        <w:rPr>
          <w:rFonts w:ascii="Arial" w:hAnsi="Arial" w:cs="Arial"/>
          <w:b/>
          <w:bCs/>
          <w:i/>
          <w:iCs/>
          <w:sz w:val="20"/>
          <w:szCs w:val="20"/>
          <w:u w:val="single"/>
        </w:rPr>
        <w:t>Conclusion re police powers to strip search a child whether or not the child is under arrest</w:t>
      </w:r>
    </w:p>
    <w:p w14:paraId="1DA093E9" w14:textId="77777777" w:rsidR="00AB1D7F" w:rsidRPr="00483BF3" w:rsidRDefault="00AB1D7F" w:rsidP="00AB1D7F">
      <w:pPr>
        <w:rPr>
          <w:rFonts w:ascii="Arial" w:hAnsi="Arial" w:cs="Arial"/>
          <w:sz w:val="20"/>
          <w:szCs w:val="20"/>
        </w:rPr>
      </w:pPr>
    </w:p>
    <w:p w14:paraId="345702B9" w14:textId="5C9A64D3" w:rsidR="00E355C1" w:rsidRPr="00483BF3" w:rsidRDefault="00E355C1" w:rsidP="00AB1D7F">
      <w:pPr>
        <w:jc w:val="both"/>
        <w:rPr>
          <w:rFonts w:ascii="Arial" w:hAnsi="Arial" w:cs="Arial"/>
          <w:sz w:val="20"/>
          <w:szCs w:val="20"/>
        </w:rPr>
      </w:pPr>
      <w:r w:rsidRPr="00483BF3">
        <w:rPr>
          <w:rFonts w:ascii="Arial" w:hAnsi="Arial" w:cs="Arial"/>
          <w:sz w:val="20"/>
          <w:szCs w:val="20"/>
        </w:rPr>
        <w:t xml:space="preserve">The only two instances </w:t>
      </w:r>
      <w:r w:rsidR="00AB1D7F">
        <w:rPr>
          <w:rFonts w:ascii="Arial" w:hAnsi="Arial" w:cs="Arial"/>
          <w:sz w:val="20"/>
          <w:szCs w:val="20"/>
        </w:rPr>
        <w:t xml:space="preserve">which the author has been </w:t>
      </w:r>
      <w:r w:rsidRPr="00483BF3">
        <w:rPr>
          <w:rFonts w:ascii="Arial" w:hAnsi="Arial" w:cs="Arial"/>
          <w:sz w:val="20"/>
          <w:szCs w:val="20"/>
        </w:rPr>
        <w:t>able to find in which police officers are expressly empowered to strip search children</w:t>
      </w:r>
      <w:r w:rsidR="00235652">
        <w:rPr>
          <w:rFonts w:ascii="Arial" w:hAnsi="Arial" w:cs="Arial"/>
          <w:color w:val="000000"/>
          <w:sz w:val="20"/>
        </w:rPr>
        <w:t>–</w:t>
      </w:r>
    </w:p>
    <w:p w14:paraId="09104C13" w14:textId="77777777" w:rsidR="00E355C1" w:rsidRPr="00483BF3" w:rsidRDefault="00E355C1" w:rsidP="00AB1D7F">
      <w:pPr>
        <w:ind w:left="454" w:hanging="454"/>
        <w:jc w:val="both"/>
        <w:rPr>
          <w:rFonts w:ascii="Arial" w:hAnsi="Arial" w:cs="Arial"/>
          <w:sz w:val="20"/>
          <w:szCs w:val="20"/>
        </w:rPr>
      </w:pPr>
      <w:r w:rsidRPr="00483BF3">
        <w:rPr>
          <w:rFonts w:ascii="Arial" w:hAnsi="Arial" w:cs="Arial"/>
          <w:sz w:val="20"/>
          <w:szCs w:val="20"/>
        </w:rPr>
        <w:t>(i)</w:t>
      </w:r>
      <w:r w:rsidRPr="00483BF3">
        <w:rPr>
          <w:rFonts w:ascii="Arial" w:hAnsi="Arial" w:cs="Arial"/>
          <w:sz w:val="20"/>
          <w:szCs w:val="20"/>
        </w:rPr>
        <w:tab/>
        <w:t>prior to arrest; and</w:t>
      </w:r>
    </w:p>
    <w:p w14:paraId="514338B6" w14:textId="77777777" w:rsidR="00E355C1" w:rsidRPr="00483BF3" w:rsidRDefault="00E355C1" w:rsidP="00AB1D7F">
      <w:pPr>
        <w:ind w:left="454" w:hanging="454"/>
        <w:jc w:val="both"/>
        <w:rPr>
          <w:rFonts w:ascii="Arial" w:hAnsi="Arial" w:cs="Arial"/>
          <w:sz w:val="20"/>
          <w:szCs w:val="20"/>
        </w:rPr>
      </w:pPr>
      <w:r w:rsidRPr="00483BF3">
        <w:rPr>
          <w:rFonts w:ascii="Arial" w:hAnsi="Arial" w:cs="Arial"/>
          <w:sz w:val="20"/>
          <w:szCs w:val="20"/>
        </w:rPr>
        <w:t>(ii)</w:t>
      </w:r>
      <w:r w:rsidRPr="00483BF3">
        <w:rPr>
          <w:rFonts w:ascii="Arial" w:hAnsi="Arial" w:cs="Arial"/>
          <w:sz w:val="20"/>
          <w:szCs w:val="20"/>
        </w:rPr>
        <w:tab/>
        <w:t>without a warrant; and</w:t>
      </w:r>
    </w:p>
    <w:p w14:paraId="1AE386B8" w14:textId="609CB586" w:rsidR="00E355C1" w:rsidRPr="00483BF3" w:rsidRDefault="00E355C1" w:rsidP="00AB1D7F">
      <w:pPr>
        <w:ind w:left="454" w:hanging="454"/>
        <w:jc w:val="both"/>
        <w:rPr>
          <w:rFonts w:ascii="Arial" w:hAnsi="Arial" w:cs="Arial"/>
          <w:sz w:val="20"/>
          <w:szCs w:val="20"/>
        </w:rPr>
      </w:pPr>
      <w:r w:rsidRPr="00483BF3">
        <w:rPr>
          <w:rFonts w:ascii="Arial" w:hAnsi="Arial" w:cs="Arial"/>
          <w:sz w:val="20"/>
          <w:szCs w:val="20"/>
        </w:rPr>
        <w:t>(iii)</w:t>
      </w:r>
      <w:r w:rsidRPr="00483BF3">
        <w:rPr>
          <w:rFonts w:ascii="Arial" w:hAnsi="Arial" w:cs="Arial"/>
          <w:sz w:val="20"/>
          <w:szCs w:val="20"/>
        </w:rPr>
        <w:tab/>
        <w:t>in the absence of informed consent by the child</w:t>
      </w:r>
      <w:r w:rsidR="00235652">
        <w:rPr>
          <w:rFonts w:ascii="Arial" w:hAnsi="Arial" w:cs="Arial"/>
          <w:color w:val="000000"/>
          <w:sz w:val="20"/>
        </w:rPr>
        <w:t>–</w:t>
      </w:r>
    </w:p>
    <w:p w14:paraId="25B40A33" w14:textId="67318E29" w:rsidR="00E355C1" w:rsidRPr="00483BF3" w:rsidRDefault="00E355C1" w:rsidP="00AB1D7F">
      <w:pPr>
        <w:jc w:val="both"/>
        <w:rPr>
          <w:rFonts w:ascii="Arial" w:hAnsi="Arial" w:cs="Arial"/>
          <w:sz w:val="20"/>
          <w:szCs w:val="20"/>
        </w:rPr>
      </w:pPr>
      <w:r w:rsidRPr="00483BF3">
        <w:rPr>
          <w:rFonts w:ascii="Arial" w:hAnsi="Arial" w:cs="Arial"/>
          <w:sz w:val="20"/>
          <w:szCs w:val="20"/>
        </w:rPr>
        <w:t>are in the limited and highly regulated circumstances set out in sections 7 &amp; 8 above in relation to the following two acts</w:t>
      </w:r>
      <w:r w:rsidR="00235652">
        <w:rPr>
          <w:rFonts w:ascii="Arial" w:hAnsi="Arial" w:cs="Arial"/>
          <w:color w:val="000000"/>
          <w:sz w:val="20"/>
        </w:rPr>
        <w:t>–</w:t>
      </w:r>
    </w:p>
    <w:p w14:paraId="06F819B4" w14:textId="783E933A" w:rsidR="00E355C1" w:rsidRPr="00483BF3" w:rsidRDefault="00E355C1" w:rsidP="00591749">
      <w:pPr>
        <w:pStyle w:val="ListParagraph"/>
        <w:numPr>
          <w:ilvl w:val="0"/>
          <w:numId w:val="29"/>
        </w:numPr>
        <w:spacing w:after="0" w:line="240" w:lineRule="auto"/>
        <w:ind w:left="454" w:hanging="454"/>
        <w:jc w:val="both"/>
        <w:rPr>
          <w:rFonts w:ascii="Arial" w:hAnsi="Arial" w:cs="Arial"/>
          <w:bCs/>
          <w:color w:val="000000"/>
          <w:sz w:val="20"/>
          <w:szCs w:val="20"/>
        </w:rPr>
      </w:pPr>
      <w:r w:rsidRPr="00483BF3">
        <w:rPr>
          <w:rFonts w:ascii="Arial" w:hAnsi="Arial" w:cs="Arial"/>
          <w:bCs/>
          <w:i/>
          <w:iCs/>
          <w:color w:val="000000"/>
          <w:sz w:val="20"/>
          <w:szCs w:val="20"/>
        </w:rPr>
        <w:t>Control of Weapons Act 1990</w:t>
      </w:r>
    </w:p>
    <w:p w14:paraId="76FEB354" w14:textId="13A3173A" w:rsidR="00E355C1" w:rsidRPr="00483BF3" w:rsidRDefault="00E355C1" w:rsidP="00591749">
      <w:pPr>
        <w:pStyle w:val="ListParagraph"/>
        <w:numPr>
          <w:ilvl w:val="0"/>
          <w:numId w:val="29"/>
        </w:numPr>
        <w:spacing w:after="0" w:line="240" w:lineRule="auto"/>
        <w:ind w:left="454" w:hanging="454"/>
        <w:jc w:val="both"/>
        <w:rPr>
          <w:rFonts w:ascii="Arial" w:hAnsi="Arial" w:cs="Arial"/>
          <w:bCs/>
          <w:color w:val="000000"/>
          <w:sz w:val="20"/>
          <w:szCs w:val="20"/>
        </w:rPr>
      </w:pPr>
      <w:r w:rsidRPr="00483BF3">
        <w:rPr>
          <w:rFonts w:ascii="Arial" w:hAnsi="Arial" w:cs="Arial"/>
          <w:bCs/>
          <w:i/>
          <w:iCs/>
          <w:color w:val="000000"/>
          <w:sz w:val="20"/>
          <w:szCs w:val="20"/>
        </w:rPr>
        <w:t>Terrorism (Community Protection) Act 2003</w:t>
      </w:r>
      <w:r w:rsidRPr="00483BF3">
        <w:rPr>
          <w:rFonts w:ascii="Arial" w:hAnsi="Arial" w:cs="Arial"/>
          <w:bCs/>
          <w:color w:val="000000"/>
          <w:sz w:val="20"/>
          <w:szCs w:val="20"/>
        </w:rPr>
        <w:t>.</w:t>
      </w:r>
    </w:p>
    <w:p w14:paraId="24328C69" w14:textId="77777777" w:rsidR="00E355C1" w:rsidRPr="00483BF3" w:rsidRDefault="00E355C1" w:rsidP="00E355C1">
      <w:pPr>
        <w:rPr>
          <w:rFonts w:ascii="Arial" w:hAnsi="Arial" w:cs="Arial"/>
          <w:sz w:val="20"/>
          <w:szCs w:val="20"/>
        </w:rPr>
      </w:pPr>
    </w:p>
    <w:p w14:paraId="42416B64" w14:textId="614F8531" w:rsidR="00E355C1" w:rsidRPr="00483BF3" w:rsidRDefault="00E355C1" w:rsidP="00AB1D7F">
      <w:pPr>
        <w:jc w:val="both"/>
        <w:rPr>
          <w:rFonts w:ascii="Arial" w:hAnsi="Arial" w:cs="Arial"/>
          <w:sz w:val="20"/>
          <w:szCs w:val="20"/>
        </w:rPr>
      </w:pPr>
      <w:r w:rsidRPr="00483BF3">
        <w:rPr>
          <w:rFonts w:ascii="Arial" w:hAnsi="Arial" w:cs="Arial"/>
          <w:sz w:val="20"/>
          <w:szCs w:val="20"/>
        </w:rPr>
        <w:t xml:space="preserve">Although the matter is not entirely free from doubt, </w:t>
      </w:r>
      <w:r w:rsidR="00AB1D7F">
        <w:rPr>
          <w:rFonts w:ascii="Arial" w:hAnsi="Arial" w:cs="Arial"/>
          <w:sz w:val="20"/>
          <w:szCs w:val="20"/>
        </w:rPr>
        <w:t>the author</w:t>
      </w:r>
      <w:r w:rsidRPr="00483BF3">
        <w:rPr>
          <w:rFonts w:ascii="Arial" w:hAnsi="Arial" w:cs="Arial"/>
          <w:sz w:val="20"/>
          <w:szCs w:val="20"/>
        </w:rPr>
        <w:t xml:space="preserve"> consider</w:t>
      </w:r>
      <w:r w:rsidR="00AB1D7F">
        <w:rPr>
          <w:rFonts w:ascii="Arial" w:hAnsi="Arial" w:cs="Arial"/>
          <w:sz w:val="20"/>
          <w:szCs w:val="20"/>
        </w:rPr>
        <w:t>s</w:t>
      </w:r>
      <w:r w:rsidRPr="00483BF3">
        <w:rPr>
          <w:rFonts w:ascii="Arial" w:hAnsi="Arial" w:cs="Arial"/>
          <w:sz w:val="20"/>
          <w:szCs w:val="20"/>
        </w:rPr>
        <w:t xml:space="preserve"> that Victoria Police have no power, in the absence of a warrant or informed consent by the child, to strip search a child prior to arrest </w:t>
      </w:r>
      <w:r w:rsidR="00AB1D7F">
        <w:rPr>
          <w:rFonts w:ascii="Arial" w:hAnsi="Arial" w:cs="Arial"/>
          <w:sz w:val="20"/>
          <w:szCs w:val="20"/>
        </w:rPr>
        <w:t>under any other Victorian law</w:t>
      </w:r>
      <w:r w:rsidRPr="00483BF3">
        <w:rPr>
          <w:rFonts w:ascii="Arial" w:hAnsi="Arial" w:cs="Arial"/>
          <w:sz w:val="20"/>
          <w:szCs w:val="20"/>
        </w:rPr>
        <w:t>.</w:t>
      </w:r>
      <w:r w:rsidR="00AB1D7F">
        <w:rPr>
          <w:rFonts w:ascii="Arial" w:hAnsi="Arial" w:cs="Arial"/>
          <w:sz w:val="20"/>
          <w:szCs w:val="20"/>
        </w:rPr>
        <w:t xml:space="preserve"> It is surprising that there does not appear to </w:t>
      </w:r>
      <w:r w:rsidR="00D038C0">
        <w:rPr>
          <w:rFonts w:ascii="Arial" w:hAnsi="Arial" w:cs="Arial"/>
          <w:sz w:val="20"/>
          <w:szCs w:val="20"/>
        </w:rPr>
        <w:t xml:space="preserve">be </w:t>
      </w:r>
      <w:r w:rsidRPr="00483BF3">
        <w:rPr>
          <w:rFonts w:ascii="Arial" w:hAnsi="Arial" w:cs="Arial"/>
          <w:sz w:val="20"/>
          <w:szCs w:val="20"/>
        </w:rPr>
        <w:t xml:space="preserve">a pre-arrest power to strip search a child for drugs of dependence or psychoactive substances in s.82(2)(f) or s.82A(1) of the </w:t>
      </w:r>
      <w:r w:rsidRPr="00483BF3">
        <w:rPr>
          <w:rFonts w:ascii="Arial" w:hAnsi="Arial" w:cs="Arial"/>
          <w:i/>
          <w:iCs/>
          <w:sz w:val="20"/>
          <w:szCs w:val="20"/>
        </w:rPr>
        <w:t>DPCSA</w:t>
      </w:r>
      <w:r w:rsidRPr="00483BF3">
        <w:rPr>
          <w:rFonts w:ascii="Arial" w:hAnsi="Arial" w:cs="Arial"/>
          <w:sz w:val="20"/>
          <w:szCs w:val="20"/>
        </w:rPr>
        <w:t xml:space="preserve">. However, the common law presumption that interference with one’s person is a grave infringement of elementary common law right [see </w:t>
      </w:r>
      <w:r w:rsidRPr="00483BF3">
        <w:rPr>
          <w:rFonts w:ascii="Arial" w:hAnsi="Arial" w:cs="Arial"/>
          <w:i/>
          <w:sz w:val="20"/>
          <w:szCs w:val="20"/>
        </w:rPr>
        <w:t xml:space="preserve">Trobrudge v Hardy </w:t>
      </w:r>
      <w:r w:rsidRPr="00483BF3">
        <w:rPr>
          <w:rFonts w:ascii="Arial" w:hAnsi="Arial" w:cs="Arial"/>
          <w:sz w:val="20"/>
          <w:szCs w:val="20"/>
        </w:rPr>
        <w:t xml:space="preserve">(1955) 94 CLR 147, 152] coupled with the absence of an express power to strip search – in strong comparison with the express strip search powers in the </w:t>
      </w:r>
      <w:r w:rsidRPr="00483BF3">
        <w:rPr>
          <w:rFonts w:ascii="Arial" w:hAnsi="Arial" w:cs="Arial"/>
          <w:i/>
          <w:iCs/>
          <w:sz w:val="20"/>
          <w:szCs w:val="20"/>
        </w:rPr>
        <w:t>CWA</w:t>
      </w:r>
      <w:r w:rsidRPr="00483BF3">
        <w:rPr>
          <w:rFonts w:ascii="Arial" w:hAnsi="Arial" w:cs="Arial"/>
          <w:sz w:val="20"/>
          <w:szCs w:val="20"/>
        </w:rPr>
        <w:t xml:space="preserve"> and the </w:t>
      </w:r>
      <w:r w:rsidRPr="00483BF3">
        <w:rPr>
          <w:rFonts w:ascii="Arial" w:hAnsi="Arial" w:cs="Arial"/>
          <w:i/>
          <w:iCs/>
          <w:sz w:val="20"/>
          <w:szCs w:val="20"/>
        </w:rPr>
        <w:t>TCPA</w:t>
      </w:r>
      <w:r w:rsidRPr="00483BF3">
        <w:rPr>
          <w:rFonts w:ascii="Arial" w:hAnsi="Arial" w:cs="Arial"/>
          <w:sz w:val="20"/>
          <w:szCs w:val="20"/>
        </w:rPr>
        <w:t xml:space="preserve"> – have grounded </w:t>
      </w:r>
      <w:r w:rsidR="00D038C0">
        <w:rPr>
          <w:rFonts w:ascii="Arial" w:hAnsi="Arial" w:cs="Arial"/>
          <w:sz w:val="20"/>
          <w:szCs w:val="20"/>
        </w:rPr>
        <w:t>the author’s</w:t>
      </w:r>
      <w:r w:rsidRPr="00483BF3">
        <w:rPr>
          <w:rFonts w:ascii="Arial" w:hAnsi="Arial" w:cs="Arial"/>
          <w:sz w:val="20"/>
          <w:szCs w:val="20"/>
        </w:rPr>
        <w:t xml:space="preserve"> opinion that no such power to strip search exists </w:t>
      </w:r>
      <w:r w:rsidR="00850D0B">
        <w:rPr>
          <w:rFonts w:ascii="Arial" w:hAnsi="Arial" w:cs="Arial"/>
          <w:sz w:val="20"/>
          <w:szCs w:val="20"/>
        </w:rPr>
        <w:t>in</w:t>
      </w:r>
      <w:r w:rsidRPr="00483BF3">
        <w:rPr>
          <w:rFonts w:ascii="Arial" w:hAnsi="Arial" w:cs="Arial"/>
          <w:sz w:val="20"/>
          <w:szCs w:val="20"/>
        </w:rPr>
        <w:t xml:space="preserve"> the </w:t>
      </w:r>
      <w:r w:rsidRPr="00483BF3">
        <w:rPr>
          <w:rFonts w:ascii="Arial" w:hAnsi="Arial" w:cs="Arial"/>
          <w:i/>
          <w:iCs/>
          <w:sz w:val="20"/>
          <w:szCs w:val="20"/>
        </w:rPr>
        <w:t>DPCSA</w:t>
      </w:r>
      <w:r w:rsidRPr="00483BF3">
        <w:rPr>
          <w:rFonts w:ascii="Arial" w:hAnsi="Arial" w:cs="Arial"/>
          <w:sz w:val="20"/>
          <w:szCs w:val="20"/>
        </w:rPr>
        <w:t xml:space="preserve">.  That opinion is reinforced by the fact that </w:t>
      </w:r>
      <w:r w:rsidRPr="00483BF3">
        <w:rPr>
          <w:rFonts w:ascii="Arial" w:hAnsi="Arial" w:cs="Arial"/>
          <w:i/>
          <w:iCs/>
          <w:sz w:val="20"/>
          <w:szCs w:val="20"/>
        </w:rPr>
        <w:t xml:space="preserve">DPP v Tupper – </w:t>
      </w:r>
      <w:r w:rsidRPr="00483BF3">
        <w:rPr>
          <w:rFonts w:ascii="Arial" w:hAnsi="Arial" w:cs="Arial"/>
          <w:sz w:val="20"/>
          <w:szCs w:val="20"/>
        </w:rPr>
        <w:t xml:space="preserve">discussed in </w:t>
      </w:r>
      <w:r w:rsidRPr="00D04051">
        <w:rPr>
          <w:rFonts w:ascii="Arial" w:hAnsi="Arial" w:cs="Arial"/>
          <w:b/>
          <w:bCs/>
          <w:sz w:val="20"/>
          <w:szCs w:val="20"/>
          <w:shd w:val="clear" w:color="auto" w:fill="C5E0B3"/>
        </w:rPr>
        <w:t xml:space="preserve">section </w:t>
      </w:r>
      <w:r w:rsidR="00D038C0" w:rsidRPr="00D04051">
        <w:rPr>
          <w:rFonts w:ascii="Arial" w:hAnsi="Arial" w:cs="Arial"/>
          <w:b/>
          <w:bCs/>
          <w:sz w:val="20"/>
          <w:szCs w:val="20"/>
          <w:shd w:val="clear" w:color="auto" w:fill="C5E0B3"/>
        </w:rPr>
        <w:t>7.3.5</w:t>
      </w:r>
      <w:r w:rsidR="00D038C0">
        <w:rPr>
          <w:rFonts w:ascii="Arial" w:hAnsi="Arial" w:cs="Arial"/>
          <w:sz w:val="20"/>
          <w:szCs w:val="20"/>
        </w:rPr>
        <w:t xml:space="preserve"> </w:t>
      </w:r>
      <w:r w:rsidRPr="00483BF3">
        <w:rPr>
          <w:rFonts w:ascii="Arial" w:hAnsi="Arial" w:cs="Arial"/>
          <w:sz w:val="20"/>
          <w:szCs w:val="20"/>
        </w:rPr>
        <w:t xml:space="preserve">below – was argued on the basis of a power to strip search on a ‘safety and evidence search’, not as a general power to strip search for drugs under the </w:t>
      </w:r>
      <w:r w:rsidRPr="00483BF3">
        <w:rPr>
          <w:rFonts w:ascii="Arial" w:hAnsi="Arial" w:cs="Arial"/>
          <w:i/>
          <w:iCs/>
          <w:sz w:val="20"/>
          <w:szCs w:val="20"/>
        </w:rPr>
        <w:t>DPCSA</w:t>
      </w:r>
      <w:r w:rsidRPr="00483BF3">
        <w:rPr>
          <w:rFonts w:ascii="Arial" w:hAnsi="Arial" w:cs="Arial"/>
          <w:sz w:val="20"/>
          <w:szCs w:val="20"/>
        </w:rPr>
        <w:t>.</w:t>
      </w:r>
    </w:p>
    <w:p w14:paraId="62C1AD99" w14:textId="77777777" w:rsidR="00E355C1" w:rsidRPr="00483BF3" w:rsidRDefault="00E355C1" w:rsidP="00E355C1">
      <w:pPr>
        <w:rPr>
          <w:rFonts w:ascii="Arial" w:hAnsi="Arial" w:cs="Arial"/>
          <w:sz w:val="20"/>
          <w:szCs w:val="20"/>
        </w:rPr>
      </w:pPr>
    </w:p>
    <w:p w14:paraId="3B2DB15B" w14:textId="4D728FC2" w:rsidR="000A596D" w:rsidRPr="000A596D" w:rsidRDefault="00CF1985" w:rsidP="00DD2F8A">
      <w:pPr>
        <w:pStyle w:val="Heading3"/>
        <w:widowControl/>
        <w:spacing w:after="120" w:line="240" w:lineRule="auto"/>
        <w:rPr>
          <w:rFonts w:ascii="Arial" w:hAnsi="Arial" w:cs="Arial"/>
          <w:b/>
          <w:bCs/>
          <w:sz w:val="20"/>
          <w:szCs w:val="16"/>
        </w:rPr>
      </w:pPr>
      <w:bookmarkStart w:id="163" w:name="_7.3.5_Personal_searches"/>
      <w:bookmarkEnd w:id="163"/>
      <w:r w:rsidRPr="00F51496">
        <w:rPr>
          <w:rFonts w:ascii="Arial" w:hAnsi="Arial" w:cs="Arial"/>
          <w:b/>
          <w:bCs/>
          <w:color w:val="000000"/>
          <w:sz w:val="20"/>
        </w:rPr>
        <w:t>7.</w:t>
      </w:r>
      <w:r>
        <w:rPr>
          <w:rFonts w:ascii="Arial" w:hAnsi="Arial" w:cs="Arial"/>
          <w:b/>
          <w:bCs/>
          <w:color w:val="000000"/>
          <w:sz w:val="20"/>
        </w:rPr>
        <w:t>3.5</w:t>
      </w:r>
      <w:r w:rsidRPr="00F51496">
        <w:rPr>
          <w:rFonts w:ascii="Arial" w:hAnsi="Arial" w:cs="Arial"/>
          <w:b/>
          <w:bCs/>
          <w:color w:val="000000"/>
          <w:sz w:val="20"/>
        </w:rPr>
        <w:tab/>
      </w:r>
      <w:r>
        <w:rPr>
          <w:rFonts w:ascii="Arial" w:hAnsi="Arial" w:cs="Arial"/>
          <w:b/>
          <w:bCs/>
          <w:color w:val="000000"/>
          <w:sz w:val="20"/>
        </w:rPr>
        <w:t>P</w:t>
      </w:r>
      <w:r w:rsidR="00574B02">
        <w:rPr>
          <w:rFonts w:ascii="Arial" w:hAnsi="Arial" w:cs="Arial"/>
          <w:b/>
          <w:bCs/>
          <w:color w:val="000000"/>
          <w:sz w:val="20"/>
        </w:rPr>
        <w:t>olice powers to conduct p</w:t>
      </w:r>
      <w:r>
        <w:rPr>
          <w:rFonts w:ascii="Arial" w:hAnsi="Arial" w:cs="Arial"/>
          <w:b/>
          <w:bCs/>
          <w:color w:val="000000"/>
          <w:sz w:val="20"/>
        </w:rPr>
        <w:t>ersonal searches of persons under arrest (‘safety and evidence’ searches)</w:t>
      </w:r>
    </w:p>
    <w:p w14:paraId="62F9C3AD" w14:textId="77777777" w:rsidR="00CF1985" w:rsidRDefault="00E355C1" w:rsidP="00DD2F8A">
      <w:pPr>
        <w:rPr>
          <w:rFonts w:ascii="Arial" w:hAnsi="Arial" w:cs="Arial"/>
          <w:sz w:val="20"/>
          <w:szCs w:val="20"/>
        </w:rPr>
      </w:pPr>
      <w:r w:rsidRPr="00483BF3">
        <w:rPr>
          <w:rFonts w:ascii="Arial" w:hAnsi="Arial" w:cs="Arial"/>
          <w:sz w:val="20"/>
          <w:szCs w:val="20"/>
        </w:rPr>
        <w:t>As noted above</w:t>
      </w:r>
      <w:r w:rsidR="00CF1985">
        <w:rPr>
          <w:rFonts w:ascii="Arial" w:hAnsi="Arial" w:cs="Arial"/>
          <w:sz w:val="20"/>
          <w:szCs w:val="20"/>
        </w:rPr>
        <w:t xml:space="preserve"> in </w:t>
      </w:r>
      <w:r w:rsidR="00CF1985" w:rsidRPr="00D04051">
        <w:rPr>
          <w:rFonts w:ascii="Arial" w:hAnsi="Arial" w:cs="Arial"/>
          <w:b/>
          <w:bCs/>
          <w:sz w:val="20"/>
          <w:szCs w:val="20"/>
          <w:shd w:val="clear" w:color="auto" w:fill="C5E0B3"/>
        </w:rPr>
        <w:t>section 7.3.2</w:t>
      </w:r>
      <w:r w:rsidR="00CF1985">
        <w:rPr>
          <w:rFonts w:ascii="Arial" w:hAnsi="Arial" w:cs="Arial"/>
          <w:sz w:val="20"/>
          <w:szCs w:val="20"/>
        </w:rPr>
        <w:t>:</w:t>
      </w:r>
    </w:p>
    <w:p w14:paraId="22D4B8F6" w14:textId="77777777" w:rsidR="00E355C1" w:rsidRPr="00483BF3" w:rsidRDefault="00E355C1" w:rsidP="00591749">
      <w:pPr>
        <w:numPr>
          <w:ilvl w:val="0"/>
          <w:numId w:val="30"/>
        </w:numPr>
        <w:spacing w:before="120"/>
        <w:ind w:left="357" w:hanging="357"/>
        <w:jc w:val="both"/>
        <w:rPr>
          <w:rFonts w:ascii="Arial" w:hAnsi="Arial" w:cs="Arial"/>
          <w:sz w:val="20"/>
          <w:szCs w:val="20"/>
        </w:rPr>
      </w:pPr>
      <w:r w:rsidRPr="00483BF3">
        <w:rPr>
          <w:rFonts w:ascii="Arial" w:hAnsi="Arial" w:cs="Arial"/>
          <w:sz w:val="20"/>
          <w:szCs w:val="20"/>
        </w:rPr>
        <w:t>A police officer has a common law duty to take reasonable measures to prevent a person in custody from harming themselves or others or destroying or disposing of evidence. This often involves a search of the person’s clothes and body. Such a search is called a ‘safety and evidence search’ (</w:t>
      </w:r>
      <w:r w:rsidRPr="00483BF3">
        <w:rPr>
          <w:rFonts w:ascii="Arial" w:hAnsi="Arial" w:cs="Arial"/>
          <w:i/>
          <w:sz w:val="20"/>
          <w:szCs w:val="20"/>
        </w:rPr>
        <w:t>Botton v Winn</w:t>
      </w:r>
      <w:r w:rsidRPr="00483BF3">
        <w:rPr>
          <w:rFonts w:ascii="Arial" w:hAnsi="Arial" w:cs="Arial"/>
          <w:sz w:val="20"/>
          <w:szCs w:val="20"/>
        </w:rPr>
        <w:t xml:space="preserve"> (Supreme Court of Victoria, J H Phillips J, 18 December 1987); </w:t>
      </w:r>
      <w:r w:rsidRPr="00483BF3">
        <w:rPr>
          <w:rFonts w:ascii="Arial" w:hAnsi="Arial" w:cs="Arial"/>
          <w:i/>
          <w:sz w:val="20"/>
          <w:szCs w:val="20"/>
        </w:rPr>
        <w:t>Director of Public Prosecutions v Tupper</w:t>
      </w:r>
      <w:r w:rsidRPr="00483BF3">
        <w:rPr>
          <w:rFonts w:ascii="Arial" w:hAnsi="Arial" w:cs="Arial"/>
          <w:sz w:val="20"/>
          <w:szCs w:val="20"/>
        </w:rPr>
        <w:t xml:space="preserve"> (2018) 55 VR 720, [35]).</w:t>
      </w:r>
    </w:p>
    <w:p w14:paraId="55C88B89" w14:textId="77777777" w:rsidR="00E355C1" w:rsidRPr="00483BF3" w:rsidRDefault="00E355C1" w:rsidP="00591749">
      <w:pPr>
        <w:numPr>
          <w:ilvl w:val="0"/>
          <w:numId w:val="30"/>
        </w:numPr>
        <w:spacing w:before="120"/>
        <w:ind w:left="357" w:hanging="357"/>
        <w:jc w:val="both"/>
        <w:rPr>
          <w:rFonts w:ascii="Arial" w:hAnsi="Arial" w:cs="Arial"/>
          <w:sz w:val="20"/>
          <w:szCs w:val="20"/>
        </w:rPr>
      </w:pPr>
      <w:r w:rsidRPr="00483BF3">
        <w:rPr>
          <w:rFonts w:ascii="Arial" w:hAnsi="Arial" w:cs="Arial"/>
          <w:sz w:val="20"/>
          <w:szCs w:val="20"/>
        </w:rPr>
        <w:t>What amounts to a reasonable method of discharging this duty will turn on the circumstances of the case and should ordinarily involve the person being informed of the reasons for the search (</w:t>
      </w:r>
      <w:r w:rsidRPr="00483BF3">
        <w:rPr>
          <w:rFonts w:ascii="Arial" w:hAnsi="Arial" w:cs="Arial"/>
          <w:i/>
          <w:sz w:val="20"/>
          <w:szCs w:val="20"/>
        </w:rPr>
        <w:t>Botton v Winn</w:t>
      </w:r>
      <w:r w:rsidRPr="00483BF3">
        <w:rPr>
          <w:rFonts w:ascii="Arial" w:hAnsi="Arial" w:cs="Arial"/>
          <w:sz w:val="20"/>
          <w:szCs w:val="20"/>
        </w:rPr>
        <w:t xml:space="preserve"> (Supreme Court of Victoria, J H Phillips J, 18 December 1987)).</w:t>
      </w:r>
    </w:p>
    <w:p w14:paraId="099DDC44" w14:textId="77777777" w:rsidR="00E355C1" w:rsidRPr="00483BF3" w:rsidRDefault="00E355C1" w:rsidP="00591749">
      <w:pPr>
        <w:numPr>
          <w:ilvl w:val="0"/>
          <w:numId w:val="30"/>
        </w:numPr>
        <w:spacing w:before="120"/>
        <w:ind w:left="357" w:hanging="357"/>
        <w:jc w:val="both"/>
        <w:rPr>
          <w:rFonts w:ascii="Arial" w:hAnsi="Arial" w:cs="Arial"/>
          <w:sz w:val="20"/>
          <w:szCs w:val="20"/>
        </w:rPr>
      </w:pPr>
      <w:r w:rsidRPr="00483BF3">
        <w:rPr>
          <w:rFonts w:ascii="Arial" w:hAnsi="Arial" w:cs="Arial"/>
          <w:sz w:val="20"/>
          <w:szCs w:val="20"/>
        </w:rPr>
        <w:t xml:space="preserve">In certain circumstances, this common law power may involve requiring the person to remove some or all of their clothes </w:t>
      </w:r>
      <w:r w:rsidRPr="00483BF3">
        <w:rPr>
          <w:rFonts w:ascii="Arial" w:hAnsi="Arial" w:cs="Arial"/>
          <w:i/>
          <w:sz w:val="20"/>
          <w:szCs w:val="20"/>
        </w:rPr>
        <w:t>(Botton v Winn</w:t>
      </w:r>
      <w:r w:rsidRPr="00483BF3">
        <w:rPr>
          <w:rFonts w:ascii="Arial" w:hAnsi="Arial" w:cs="Arial"/>
          <w:sz w:val="20"/>
          <w:szCs w:val="20"/>
        </w:rPr>
        <w:t xml:space="preserve"> (Supreme Court of Victoria, J H Phillips J, 18 December 1987)).</w:t>
      </w:r>
    </w:p>
    <w:p w14:paraId="0817D9D9" w14:textId="77777777" w:rsidR="00E355C1" w:rsidRPr="00483BF3" w:rsidRDefault="00E355C1" w:rsidP="00E355C1">
      <w:pPr>
        <w:rPr>
          <w:rFonts w:ascii="Arial" w:hAnsi="Arial" w:cs="Arial"/>
          <w:sz w:val="20"/>
          <w:szCs w:val="20"/>
        </w:rPr>
      </w:pPr>
    </w:p>
    <w:p w14:paraId="160D15B4" w14:textId="17F42540" w:rsidR="00E355C1" w:rsidRPr="00483BF3" w:rsidRDefault="00E355C1" w:rsidP="00CF1985">
      <w:pPr>
        <w:jc w:val="both"/>
        <w:rPr>
          <w:rFonts w:ascii="Arial" w:hAnsi="Arial" w:cs="Arial"/>
          <w:i/>
          <w:iCs/>
          <w:sz w:val="20"/>
          <w:szCs w:val="20"/>
        </w:rPr>
      </w:pPr>
      <w:r w:rsidRPr="00483BF3">
        <w:rPr>
          <w:rFonts w:ascii="Arial" w:hAnsi="Arial" w:cs="Arial"/>
          <w:sz w:val="20"/>
          <w:szCs w:val="20"/>
        </w:rPr>
        <w:t xml:space="preserve">In </w:t>
      </w:r>
      <w:r w:rsidRPr="00483BF3">
        <w:rPr>
          <w:rFonts w:ascii="Arial" w:hAnsi="Arial" w:cs="Arial"/>
          <w:i/>
          <w:iCs/>
          <w:sz w:val="20"/>
          <w:szCs w:val="20"/>
        </w:rPr>
        <w:t xml:space="preserve">DPP v Tupper </w:t>
      </w:r>
      <w:r w:rsidRPr="00483BF3">
        <w:rPr>
          <w:rFonts w:ascii="Arial" w:hAnsi="Arial" w:cs="Arial"/>
          <w:sz w:val="20"/>
          <w:szCs w:val="20"/>
        </w:rPr>
        <w:t xml:space="preserve">(2018) 55 VR 720 a magistrate had held that evidence of 7 grams of heroin found in the respondent’s underpants was inadmissible as a consequence of an illegal search. The informant had given evidence that he believed that the common law authorised him to conduct a </w:t>
      </w:r>
      <w:r w:rsidRPr="00483BF3">
        <w:rPr>
          <w:rFonts w:ascii="Arial" w:hAnsi="Arial" w:cs="Arial"/>
          <w:b/>
          <w:bCs/>
          <w:sz w:val="20"/>
          <w:szCs w:val="20"/>
        </w:rPr>
        <w:t>‘safety and evidence search’</w:t>
      </w:r>
      <w:r w:rsidRPr="00483BF3">
        <w:rPr>
          <w:rFonts w:ascii="Arial" w:hAnsi="Arial" w:cs="Arial"/>
          <w:sz w:val="20"/>
          <w:szCs w:val="20"/>
        </w:rPr>
        <w:t xml:space="preserve">, saying in evidence: </w:t>
      </w:r>
      <w:r w:rsidRPr="00483BF3">
        <w:rPr>
          <w:rFonts w:ascii="Arial" w:hAnsi="Arial" w:cs="Arial"/>
          <w:i/>
          <w:iCs/>
          <w:sz w:val="20"/>
          <w:szCs w:val="20"/>
        </w:rPr>
        <w:t>“The accused was under arrest and, therefore, I have a common law power to conduct a safety and evidence search and I had reasonable grounds to believe that he was hiding something in his underwear… It was conducted with a view that he could be safely transported back to a police station.”</w:t>
      </w:r>
    </w:p>
    <w:p w14:paraId="0F0652E4" w14:textId="77777777" w:rsidR="00E355C1" w:rsidRPr="00483BF3" w:rsidRDefault="00E355C1" w:rsidP="00E355C1">
      <w:pPr>
        <w:rPr>
          <w:rFonts w:ascii="Arial" w:hAnsi="Arial" w:cs="Arial"/>
          <w:i/>
          <w:iCs/>
          <w:sz w:val="20"/>
          <w:szCs w:val="20"/>
        </w:rPr>
      </w:pPr>
    </w:p>
    <w:p w14:paraId="00A6A6A9" w14:textId="7A23F7EC" w:rsidR="00E355C1" w:rsidRPr="00483BF3" w:rsidRDefault="00E355C1" w:rsidP="00CF1985">
      <w:pPr>
        <w:jc w:val="both"/>
        <w:rPr>
          <w:rFonts w:ascii="Arial" w:hAnsi="Arial" w:cs="Arial"/>
          <w:sz w:val="20"/>
          <w:szCs w:val="20"/>
        </w:rPr>
      </w:pPr>
      <w:r w:rsidRPr="00483BF3">
        <w:rPr>
          <w:rFonts w:ascii="Arial" w:hAnsi="Arial" w:cs="Arial"/>
          <w:sz w:val="20"/>
          <w:szCs w:val="20"/>
        </w:rPr>
        <w:t xml:space="preserve">Macaulay J allowed the DPP appeal, referring with approval to the dicta of J H Phillips J in </w:t>
      </w:r>
      <w:r w:rsidRPr="00483BF3">
        <w:rPr>
          <w:rFonts w:ascii="Arial" w:hAnsi="Arial" w:cs="Arial"/>
          <w:i/>
          <w:iCs/>
          <w:sz w:val="20"/>
          <w:szCs w:val="20"/>
        </w:rPr>
        <w:t>Botton v Winn</w:t>
      </w:r>
      <w:r w:rsidRPr="00483BF3">
        <w:rPr>
          <w:rFonts w:ascii="Arial" w:hAnsi="Arial" w:cs="Arial"/>
          <w:sz w:val="20"/>
          <w:szCs w:val="20"/>
        </w:rPr>
        <w:t>. However his Honour considered that only in rare circumstances could underclothing be removed in a safety and evidence search, stating at [36]-[38]:</w:t>
      </w:r>
    </w:p>
    <w:p w14:paraId="14544CDB" w14:textId="77777777" w:rsidR="00E355C1" w:rsidRPr="00483BF3" w:rsidRDefault="00E355C1" w:rsidP="00170810">
      <w:pPr>
        <w:spacing w:before="80"/>
        <w:ind w:left="357" w:right="357"/>
        <w:jc w:val="both"/>
        <w:rPr>
          <w:rFonts w:ascii="Arial" w:hAnsi="Arial" w:cs="Arial"/>
          <w:i/>
          <w:iCs/>
          <w:sz w:val="20"/>
          <w:szCs w:val="20"/>
        </w:rPr>
      </w:pPr>
      <w:r w:rsidRPr="00483BF3">
        <w:rPr>
          <w:rFonts w:ascii="Arial" w:hAnsi="Arial" w:cs="Arial"/>
          <w:i/>
          <w:iCs/>
          <w:sz w:val="20"/>
          <w:szCs w:val="20"/>
        </w:rPr>
        <w:t xml:space="preserve">“It is not wise to constrain or define how a particular search may or should be carried out, other than by reference to the general principles that have been stated in </w:t>
      </w:r>
      <w:r w:rsidRPr="00483BF3">
        <w:rPr>
          <w:rFonts w:ascii="Arial" w:hAnsi="Arial" w:cs="Arial"/>
          <w:sz w:val="20"/>
          <w:szCs w:val="20"/>
        </w:rPr>
        <w:t>Lindley v Rutter [1981] 1 QB 128</w:t>
      </w:r>
      <w:r w:rsidRPr="00483BF3">
        <w:rPr>
          <w:rFonts w:ascii="Arial" w:hAnsi="Arial" w:cs="Arial"/>
          <w:i/>
          <w:iCs/>
          <w:sz w:val="20"/>
          <w:szCs w:val="20"/>
        </w:rPr>
        <w:t xml:space="preserve"> and </w:t>
      </w:r>
      <w:r w:rsidRPr="00483BF3">
        <w:rPr>
          <w:rFonts w:ascii="Arial" w:hAnsi="Arial" w:cs="Arial"/>
          <w:sz w:val="20"/>
          <w:szCs w:val="20"/>
        </w:rPr>
        <w:t>Botton v Winn</w:t>
      </w:r>
      <w:r w:rsidRPr="00483BF3">
        <w:rPr>
          <w:rFonts w:ascii="Arial" w:hAnsi="Arial" w:cs="Arial"/>
          <w:i/>
          <w:iCs/>
          <w:sz w:val="20"/>
          <w:szCs w:val="20"/>
        </w:rPr>
        <w:t xml:space="preserve">. That is to say, </w:t>
      </w:r>
      <w:r w:rsidRPr="00483BF3">
        <w:rPr>
          <w:rFonts w:ascii="Arial" w:hAnsi="Arial" w:cs="Arial"/>
          <w:b/>
          <w:bCs/>
          <w:i/>
          <w:iCs/>
          <w:sz w:val="20"/>
          <w:szCs w:val="20"/>
        </w:rPr>
        <w:t>there is no reason to stipulate that such a search can never involve the removal of all items of an arrested person’s clothing, as opposed to only some of them.</w:t>
      </w:r>
      <w:r w:rsidRPr="00483BF3">
        <w:rPr>
          <w:rFonts w:ascii="Arial" w:hAnsi="Arial" w:cs="Arial"/>
          <w:i/>
          <w:iCs/>
          <w:sz w:val="20"/>
          <w:szCs w:val="20"/>
        </w:rPr>
        <w:t xml:space="preserve"> </w:t>
      </w:r>
      <w:r w:rsidRPr="00483BF3">
        <w:rPr>
          <w:rFonts w:ascii="Arial" w:hAnsi="Arial" w:cs="Arial"/>
          <w:b/>
          <w:bCs/>
          <w:i/>
          <w:iCs/>
          <w:sz w:val="20"/>
          <w:szCs w:val="20"/>
        </w:rPr>
        <w:t>Some circumstances may require a frisk over external clothing, or the removal of only outer clothing or, I expect in only rare circumstances, the removal of underclothing as well.</w:t>
      </w:r>
    </w:p>
    <w:p w14:paraId="01152E87" w14:textId="77777777" w:rsidR="00E355C1" w:rsidRPr="00483BF3" w:rsidRDefault="00E355C1" w:rsidP="00170810">
      <w:pPr>
        <w:spacing w:before="80"/>
        <w:ind w:left="357" w:right="357"/>
        <w:jc w:val="both"/>
        <w:rPr>
          <w:rFonts w:ascii="Arial" w:hAnsi="Arial" w:cs="Arial"/>
          <w:i/>
          <w:iCs/>
          <w:sz w:val="20"/>
          <w:szCs w:val="20"/>
        </w:rPr>
      </w:pPr>
      <w:r w:rsidRPr="00483BF3">
        <w:rPr>
          <w:rFonts w:ascii="Arial" w:hAnsi="Arial" w:cs="Arial"/>
          <w:i/>
          <w:iCs/>
          <w:sz w:val="20"/>
          <w:szCs w:val="20"/>
        </w:rPr>
        <w:t>In all cases the appropriate balance must be struck between observing a person’s privacy and dignity, on the one hand, and the duty to ensure safety and the preservation of evidence, on the other. But given that the range of possible circumstances in which a search might need to be conducted on an arrested person is impossible to predict and almost limitless, it is inadvisable to impose arbitrary limits which must apply in every case on the specific means by which the safety and evidence search power may be exercised.</w:t>
      </w:r>
    </w:p>
    <w:p w14:paraId="24A69C2B" w14:textId="77777777" w:rsidR="00E355C1" w:rsidRPr="00483BF3" w:rsidRDefault="00E355C1" w:rsidP="00170810">
      <w:pPr>
        <w:spacing w:before="80"/>
        <w:ind w:left="357" w:right="357"/>
        <w:jc w:val="both"/>
        <w:rPr>
          <w:rFonts w:ascii="Arial" w:hAnsi="Arial" w:cs="Arial"/>
          <w:i/>
          <w:iCs/>
          <w:sz w:val="20"/>
          <w:szCs w:val="20"/>
        </w:rPr>
      </w:pPr>
      <w:r w:rsidRPr="00483BF3">
        <w:rPr>
          <w:rFonts w:ascii="Arial" w:hAnsi="Arial" w:cs="Arial"/>
          <w:i/>
          <w:iCs/>
          <w:sz w:val="20"/>
          <w:szCs w:val="20"/>
        </w:rPr>
        <w:t>Despite the fact that in none of the reported cases has a court approved a search that involved the removal of underclothing, I do not interpret authority as laying down any principle that the common law power of search can never extend to that degree. To the contrary”.</w:t>
      </w:r>
    </w:p>
    <w:p w14:paraId="26C1D269" w14:textId="77777777" w:rsidR="00E355C1" w:rsidRPr="00483BF3" w:rsidRDefault="00E355C1" w:rsidP="00E355C1">
      <w:pPr>
        <w:rPr>
          <w:rFonts w:ascii="Arial" w:hAnsi="Arial" w:cs="Arial"/>
          <w:i/>
          <w:iCs/>
          <w:sz w:val="20"/>
          <w:szCs w:val="20"/>
        </w:rPr>
      </w:pPr>
    </w:p>
    <w:p w14:paraId="74B1D6FD" w14:textId="77777777" w:rsidR="00E355C1" w:rsidRPr="00483BF3" w:rsidRDefault="00E355C1" w:rsidP="00E355C1">
      <w:pPr>
        <w:ind w:left="720" w:hanging="720"/>
        <w:rPr>
          <w:rFonts w:ascii="Arial" w:hAnsi="Arial" w:cs="Arial"/>
          <w:sz w:val="20"/>
          <w:szCs w:val="20"/>
        </w:rPr>
      </w:pPr>
      <w:r w:rsidRPr="00483BF3">
        <w:rPr>
          <w:rFonts w:ascii="Arial" w:hAnsi="Arial" w:cs="Arial"/>
          <w:sz w:val="20"/>
          <w:szCs w:val="20"/>
        </w:rPr>
        <w:t xml:space="preserve">It is also important to note that in </w:t>
      </w:r>
      <w:r w:rsidRPr="00483BF3">
        <w:rPr>
          <w:rFonts w:ascii="Arial" w:hAnsi="Arial" w:cs="Arial"/>
          <w:i/>
          <w:iCs/>
          <w:sz w:val="20"/>
          <w:szCs w:val="20"/>
        </w:rPr>
        <w:t xml:space="preserve">DPP v Tupper </w:t>
      </w:r>
      <w:r w:rsidRPr="00483BF3">
        <w:rPr>
          <w:rFonts w:ascii="Arial" w:hAnsi="Arial" w:cs="Arial"/>
          <w:sz w:val="20"/>
          <w:szCs w:val="20"/>
        </w:rPr>
        <w:t>at [43] Macaulay J said:</w:t>
      </w:r>
    </w:p>
    <w:p w14:paraId="6591A7BC" w14:textId="77777777" w:rsidR="00E355C1" w:rsidRPr="00483BF3" w:rsidRDefault="00E355C1" w:rsidP="00170810">
      <w:pPr>
        <w:spacing w:before="80"/>
        <w:ind w:left="357" w:right="357"/>
        <w:jc w:val="both"/>
        <w:rPr>
          <w:rFonts w:ascii="Arial" w:hAnsi="Arial" w:cs="Arial"/>
          <w:i/>
          <w:iCs/>
          <w:sz w:val="20"/>
          <w:szCs w:val="20"/>
        </w:rPr>
      </w:pPr>
      <w:r w:rsidRPr="00483BF3">
        <w:rPr>
          <w:rFonts w:ascii="Arial" w:hAnsi="Arial" w:cs="Arial"/>
          <w:i/>
          <w:iCs/>
          <w:sz w:val="20"/>
          <w:szCs w:val="20"/>
        </w:rPr>
        <w:t xml:space="preserve">“[T]here is no justification for concluding that the introduction of sub-div 30A [of the </w:t>
      </w:r>
      <w:r w:rsidRPr="008102AC">
        <w:rPr>
          <w:rFonts w:ascii="Arial" w:hAnsi="Arial" w:cs="Arial"/>
          <w:i/>
          <w:iCs/>
          <w:sz w:val="20"/>
          <w:szCs w:val="20"/>
        </w:rPr>
        <w:t>Crimes Act 1958</w:t>
      </w:r>
      <w:r w:rsidRPr="00483BF3">
        <w:rPr>
          <w:rFonts w:ascii="Arial" w:hAnsi="Arial" w:cs="Arial"/>
          <w:i/>
          <w:iCs/>
          <w:sz w:val="20"/>
          <w:szCs w:val="20"/>
        </w:rPr>
        <w:t>], and in particular the provision defining a physical examination of the body as a forensic procedure, abrogated or interfered with the common law power of police to conduct a ‘safety and evidence’ search.”</w:t>
      </w:r>
    </w:p>
    <w:p w14:paraId="1FDCD301" w14:textId="77777777" w:rsidR="00E355C1" w:rsidRDefault="00E355C1" w:rsidP="00E355C1">
      <w:pPr>
        <w:rPr>
          <w:rFonts w:ascii="Arial" w:hAnsi="Arial" w:cs="Arial"/>
          <w:sz w:val="20"/>
          <w:szCs w:val="20"/>
        </w:rPr>
      </w:pPr>
    </w:p>
    <w:p w14:paraId="515220D8" w14:textId="37EB3F22" w:rsidR="00883872" w:rsidRDefault="00170810" w:rsidP="000A596D">
      <w:pPr>
        <w:pStyle w:val="Heading3"/>
        <w:spacing w:after="120" w:line="240" w:lineRule="auto"/>
        <w:rPr>
          <w:rFonts w:ascii="Arial" w:hAnsi="Arial" w:cs="Arial"/>
          <w:b/>
          <w:bCs/>
          <w:color w:val="000000"/>
          <w:sz w:val="20"/>
        </w:rPr>
      </w:pPr>
      <w:bookmarkStart w:id="164" w:name="_7.3.6_Personal_searches"/>
      <w:bookmarkEnd w:id="164"/>
      <w:r w:rsidRPr="00F51496">
        <w:rPr>
          <w:rFonts w:ascii="Arial" w:hAnsi="Arial" w:cs="Arial"/>
          <w:b/>
          <w:bCs/>
          <w:color w:val="000000"/>
          <w:sz w:val="20"/>
        </w:rPr>
        <w:t>7.</w:t>
      </w:r>
      <w:r>
        <w:rPr>
          <w:rFonts w:ascii="Arial" w:hAnsi="Arial" w:cs="Arial"/>
          <w:b/>
          <w:bCs/>
          <w:color w:val="000000"/>
          <w:sz w:val="20"/>
        </w:rPr>
        <w:t>3.6</w:t>
      </w:r>
      <w:r w:rsidRPr="00F51496">
        <w:rPr>
          <w:rFonts w:ascii="Arial" w:hAnsi="Arial" w:cs="Arial"/>
          <w:b/>
          <w:bCs/>
          <w:color w:val="000000"/>
          <w:sz w:val="20"/>
        </w:rPr>
        <w:tab/>
      </w:r>
      <w:r w:rsidR="00883872" w:rsidRPr="00883872">
        <w:rPr>
          <w:rFonts w:ascii="Arial" w:hAnsi="Arial" w:cs="Arial"/>
          <w:b/>
          <w:bCs/>
          <w:color w:val="000000"/>
          <w:sz w:val="20"/>
        </w:rPr>
        <w:t>Rights &amp; responsibilities of children in custody or in transit to custody</w:t>
      </w:r>
    </w:p>
    <w:p w14:paraId="6EDAF0B3" w14:textId="77777777" w:rsidR="00B708D7" w:rsidRDefault="00B708D7" w:rsidP="00B708D7">
      <w:pPr>
        <w:shd w:val="clear" w:color="auto" w:fill="FFFFFF"/>
        <w:jc w:val="center"/>
        <w:rPr>
          <w:rFonts w:ascii="Arial" w:hAnsi="Arial" w:cs="Arial"/>
          <w:b/>
          <w:bCs/>
          <w:i/>
          <w:iCs/>
          <w:sz w:val="20"/>
          <w:szCs w:val="20"/>
          <w:u w:val="single"/>
        </w:rPr>
      </w:pPr>
      <w:r>
        <w:rPr>
          <w:rFonts w:ascii="Arial" w:hAnsi="Arial" w:cs="Arial"/>
          <w:b/>
          <w:bCs/>
          <w:i/>
          <w:iCs/>
          <w:sz w:val="20"/>
          <w:szCs w:val="20"/>
          <w:u w:val="single"/>
        </w:rPr>
        <w:t>Rights of a child or young person temporarily detained in a police gaol or in the custody of a transfer officer</w:t>
      </w:r>
    </w:p>
    <w:p w14:paraId="6050ED6D" w14:textId="77777777" w:rsidR="00B708D7" w:rsidRDefault="00B708D7" w:rsidP="00B708D7">
      <w:pPr>
        <w:rPr>
          <w:rFonts w:ascii="Arial" w:hAnsi="Arial" w:cs="Arial"/>
          <w:sz w:val="20"/>
          <w:szCs w:val="20"/>
        </w:rPr>
      </w:pPr>
    </w:p>
    <w:p w14:paraId="1BB145BE" w14:textId="1BF69F37" w:rsidR="00B708D7" w:rsidRDefault="00B708D7" w:rsidP="00B708D7">
      <w:pPr>
        <w:jc w:val="both"/>
        <w:rPr>
          <w:rFonts w:ascii="Arial" w:hAnsi="Arial" w:cs="Arial"/>
          <w:sz w:val="20"/>
          <w:szCs w:val="20"/>
        </w:rPr>
      </w:pPr>
      <w:r>
        <w:rPr>
          <w:rFonts w:ascii="Arial" w:hAnsi="Arial" w:cs="Arial"/>
          <w:sz w:val="20"/>
          <w:szCs w:val="20"/>
        </w:rPr>
        <w:t xml:space="preserve">Prior to </w:t>
      </w:r>
      <w:r w:rsidR="00F4386C">
        <w:rPr>
          <w:rFonts w:ascii="Arial" w:hAnsi="Arial" w:cs="Arial"/>
          <w:sz w:val="20"/>
          <w:szCs w:val="20"/>
        </w:rPr>
        <w:t>30</w:t>
      </w:r>
      <w:r>
        <w:rPr>
          <w:rFonts w:ascii="Arial" w:hAnsi="Arial" w:cs="Arial"/>
          <w:sz w:val="20"/>
          <w:szCs w:val="20"/>
        </w:rPr>
        <w:t>/09/2026 ss.347(2) &amp; 347A(2) of the CYFA detailed the rights of a child temporarily remanded in custody in a police gaol or temporarily held in a police gaol to facilitate transport to and from court and a youth justice facility. There were 6 matters which differentiated such children from adults being held in a police gaol:</w:t>
      </w:r>
    </w:p>
    <w:p w14:paraId="7ACD4703" w14:textId="77777777" w:rsidR="00B708D7" w:rsidRPr="00483BF3" w:rsidRDefault="00B708D7" w:rsidP="00B708D7">
      <w:pPr>
        <w:pStyle w:val="ListParagraph"/>
        <w:numPr>
          <w:ilvl w:val="0"/>
          <w:numId w:val="32"/>
        </w:numPr>
        <w:spacing w:after="0" w:line="240" w:lineRule="auto"/>
        <w:ind w:left="357" w:hanging="357"/>
        <w:jc w:val="both"/>
        <w:rPr>
          <w:rFonts w:ascii="Arial" w:hAnsi="Arial" w:cs="Arial"/>
          <w:sz w:val="20"/>
          <w:szCs w:val="20"/>
        </w:rPr>
      </w:pPr>
      <w:r w:rsidRPr="00483BF3">
        <w:rPr>
          <w:rFonts w:ascii="Arial" w:hAnsi="Arial" w:cs="Arial"/>
          <w:sz w:val="20"/>
          <w:szCs w:val="20"/>
        </w:rPr>
        <w:t>they are entitled to be kept separate from adults who are detained there;</w:t>
      </w:r>
    </w:p>
    <w:p w14:paraId="302A38C0" w14:textId="77777777" w:rsidR="00B708D7" w:rsidRPr="00483BF3" w:rsidRDefault="00B708D7" w:rsidP="00B708D7">
      <w:pPr>
        <w:pStyle w:val="ListParagraph"/>
        <w:numPr>
          <w:ilvl w:val="0"/>
          <w:numId w:val="32"/>
        </w:numPr>
        <w:spacing w:after="0" w:line="240" w:lineRule="auto"/>
        <w:ind w:left="357" w:hanging="357"/>
        <w:jc w:val="both"/>
        <w:rPr>
          <w:rFonts w:ascii="Arial" w:hAnsi="Arial" w:cs="Arial"/>
          <w:sz w:val="20"/>
          <w:szCs w:val="20"/>
        </w:rPr>
      </w:pPr>
      <w:r w:rsidRPr="00483BF3">
        <w:rPr>
          <w:rFonts w:ascii="Arial" w:hAnsi="Arial" w:cs="Arial"/>
          <w:sz w:val="20"/>
          <w:szCs w:val="20"/>
        </w:rPr>
        <w:t>they are entitled to be kept separate according to their sex;</w:t>
      </w:r>
    </w:p>
    <w:p w14:paraId="5ECFDE90" w14:textId="77777777" w:rsidR="00B708D7" w:rsidRPr="00483BF3" w:rsidRDefault="00B708D7" w:rsidP="00B708D7">
      <w:pPr>
        <w:pStyle w:val="ListParagraph"/>
        <w:numPr>
          <w:ilvl w:val="0"/>
          <w:numId w:val="32"/>
        </w:numPr>
        <w:spacing w:after="0" w:line="240" w:lineRule="auto"/>
        <w:ind w:left="357" w:hanging="357"/>
        <w:jc w:val="both"/>
        <w:rPr>
          <w:rFonts w:ascii="Arial" w:hAnsi="Arial" w:cs="Arial"/>
          <w:sz w:val="20"/>
          <w:szCs w:val="20"/>
        </w:rPr>
      </w:pPr>
      <w:r w:rsidRPr="00483BF3">
        <w:rPr>
          <w:rFonts w:ascii="Arial" w:hAnsi="Arial" w:cs="Arial"/>
          <w:sz w:val="20"/>
          <w:szCs w:val="20"/>
        </w:rPr>
        <w:t xml:space="preserve">subject to the </w:t>
      </w:r>
      <w:r w:rsidRPr="00483BF3">
        <w:rPr>
          <w:rFonts w:ascii="Arial" w:hAnsi="Arial" w:cs="Arial"/>
          <w:i/>
          <w:iCs/>
          <w:sz w:val="20"/>
          <w:szCs w:val="20"/>
        </w:rPr>
        <w:t>Corrections Act 1986</w:t>
      </w:r>
      <w:r w:rsidRPr="00483BF3">
        <w:rPr>
          <w:rFonts w:ascii="Arial" w:hAnsi="Arial" w:cs="Arial"/>
          <w:sz w:val="20"/>
          <w:szCs w:val="20"/>
        </w:rPr>
        <w:t xml:space="preserve"> and the associated regulations, they are entitled to receive visits from parents, relatives, legal practitioners, persons acting on behalf of legal practitioners and other persons;</w:t>
      </w:r>
    </w:p>
    <w:p w14:paraId="679A18B8" w14:textId="77777777" w:rsidR="00B708D7" w:rsidRPr="00483BF3" w:rsidRDefault="00B708D7" w:rsidP="00B708D7">
      <w:pPr>
        <w:pStyle w:val="ListParagraph"/>
        <w:numPr>
          <w:ilvl w:val="0"/>
          <w:numId w:val="32"/>
        </w:numPr>
        <w:spacing w:after="0" w:line="240" w:lineRule="auto"/>
        <w:ind w:left="357" w:hanging="357"/>
        <w:jc w:val="both"/>
        <w:rPr>
          <w:rFonts w:ascii="Arial" w:hAnsi="Arial" w:cs="Arial"/>
          <w:sz w:val="20"/>
          <w:szCs w:val="20"/>
        </w:rPr>
      </w:pPr>
      <w:r w:rsidRPr="00483BF3">
        <w:rPr>
          <w:rFonts w:ascii="Arial" w:hAnsi="Arial" w:cs="Arial"/>
          <w:sz w:val="20"/>
          <w:szCs w:val="20"/>
        </w:rPr>
        <w:t>they are entitled to have reasonable efforts made to meet their medical, religious and cultural needs including, in the case of Aboriginal children, their needs as members of the Aboriginal community;</w:t>
      </w:r>
    </w:p>
    <w:p w14:paraId="1DB345F4" w14:textId="77777777" w:rsidR="00B708D7" w:rsidRPr="00483BF3" w:rsidRDefault="00B708D7" w:rsidP="00B708D7">
      <w:pPr>
        <w:pStyle w:val="ListParagraph"/>
        <w:numPr>
          <w:ilvl w:val="0"/>
          <w:numId w:val="32"/>
        </w:numPr>
        <w:spacing w:after="0" w:line="240" w:lineRule="auto"/>
        <w:ind w:left="357" w:hanging="357"/>
        <w:jc w:val="both"/>
        <w:rPr>
          <w:rFonts w:ascii="Arial" w:hAnsi="Arial" w:cs="Arial"/>
          <w:sz w:val="20"/>
          <w:szCs w:val="20"/>
        </w:rPr>
      </w:pPr>
      <w:r w:rsidRPr="00483BF3">
        <w:rPr>
          <w:rFonts w:ascii="Arial" w:hAnsi="Arial" w:cs="Arial"/>
          <w:sz w:val="20"/>
          <w:szCs w:val="20"/>
        </w:rPr>
        <w:t>they are entitled to complain to the Chief Commissioner of Police or the Ombudsman about the standard of care, accommodation or treatment which they are receiving in the police gaol;</w:t>
      </w:r>
    </w:p>
    <w:p w14:paraId="018F65D4" w14:textId="77777777" w:rsidR="00B708D7" w:rsidRPr="00483BF3" w:rsidRDefault="00B708D7" w:rsidP="00B708D7">
      <w:pPr>
        <w:pStyle w:val="ListParagraph"/>
        <w:numPr>
          <w:ilvl w:val="0"/>
          <w:numId w:val="32"/>
        </w:numPr>
        <w:spacing w:after="0" w:line="240" w:lineRule="auto"/>
        <w:ind w:left="357" w:hanging="357"/>
        <w:jc w:val="both"/>
        <w:rPr>
          <w:rFonts w:ascii="Arial" w:hAnsi="Arial" w:cs="Arial"/>
          <w:sz w:val="20"/>
          <w:szCs w:val="20"/>
        </w:rPr>
      </w:pPr>
      <w:r w:rsidRPr="00483BF3">
        <w:rPr>
          <w:rFonts w:ascii="Arial" w:hAnsi="Arial" w:cs="Arial"/>
          <w:sz w:val="20"/>
          <w:szCs w:val="20"/>
        </w:rPr>
        <w:t>they are entitled to be advised of their entitlements under this subsection.</w:t>
      </w:r>
    </w:p>
    <w:p w14:paraId="754234BA" w14:textId="77777777" w:rsidR="00B708D7" w:rsidRDefault="00B708D7" w:rsidP="00B708D7">
      <w:pPr>
        <w:jc w:val="both"/>
        <w:rPr>
          <w:rFonts w:ascii="Arial" w:hAnsi="Arial" w:cs="Arial"/>
          <w:sz w:val="20"/>
          <w:szCs w:val="20"/>
        </w:rPr>
      </w:pPr>
    </w:p>
    <w:p w14:paraId="07EDC50D" w14:textId="77777777" w:rsidR="00B708D7" w:rsidRDefault="00B708D7" w:rsidP="00B708D7">
      <w:pPr>
        <w:jc w:val="both"/>
        <w:rPr>
          <w:rFonts w:ascii="Arial" w:hAnsi="Arial" w:cs="Arial"/>
          <w:sz w:val="20"/>
          <w:szCs w:val="20"/>
        </w:rPr>
      </w:pPr>
      <w:r>
        <w:rPr>
          <w:rFonts w:ascii="Arial" w:hAnsi="Arial" w:cs="Arial"/>
          <w:sz w:val="20"/>
          <w:szCs w:val="20"/>
        </w:rPr>
        <w:t xml:space="preserve">Sections 347 &amp; 347A CYFA were repealed as and from 30/09/2026 by s.921 of the </w:t>
      </w:r>
      <w:r w:rsidRPr="00D610CE">
        <w:rPr>
          <w:rFonts w:ascii="Arial" w:hAnsi="Arial" w:cs="Arial"/>
          <w:i/>
          <w:iCs/>
          <w:sz w:val="20"/>
          <w:szCs w:val="20"/>
        </w:rPr>
        <w:t>Youth Justice Act 2024</w:t>
      </w:r>
      <w:r>
        <w:rPr>
          <w:rFonts w:ascii="Arial" w:hAnsi="Arial" w:cs="Arial"/>
          <w:sz w:val="20"/>
          <w:szCs w:val="20"/>
        </w:rPr>
        <w:t xml:space="preserve"> [YJA]. The substantially expanded replacement provisions are in Part 11.1 YJA (ss.567</w:t>
      </w:r>
      <w:r>
        <w:rPr>
          <w:rFonts w:ascii="Arial" w:hAnsi="Arial" w:cs="Arial"/>
          <w:sz w:val="20"/>
          <w:szCs w:val="20"/>
        </w:rPr>
        <w:noBreakHyphen/>
        <w:t>573) under the following headings:</w:t>
      </w:r>
    </w:p>
    <w:p w14:paraId="47AD3DF1" w14:textId="77777777" w:rsidR="00B708D7" w:rsidRDefault="00B708D7" w:rsidP="00B708D7">
      <w:pPr>
        <w:jc w:val="both"/>
        <w:rPr>
          <w:rFonts w:ascii="Arial" w:hAnsi="Arial" w:cs="Arial"/>
          <w:sz w:val="20"/>
          <w:szCs w:val="20"/>
        </w:rPr>
      </w:pPr>
    </w:p>
    <w:tbl>
      <w:tblPr>
        <w:tblStyle w:val="TableGrid"/>
        <w:tblW w:w="9071" w:type="dxa"/>
        <w:tblLook w:val="04A0" w:firstRow="1" w:lastRow="0" w:firstColumn="1" w:lastColumn="0" w:noHBand="0" w:noVBand="1"/>
      </w:tblPr>
      <w:tblGrid>
        <w:gridCol w:w="686"/>
        <w:gridCol w:w="8385"/>
      </w:tblGrid>
      <w:tr w:rsidR="00B708D7" w14:paraId="7163C513" w14:textId="77777777" w:rsidTr="002533B6">
        <w:tc>
          <w:tcPr>
            <w:tcW w:w="9071" w:type="dxa"/>
            <w:gridSpan w:val="2"/>
            <w:shd w:val="clear" w:color="auto" w:fill="000000" w:themeFill="text1"/>
          </w:tcPr>
          <w:p w14:paraId="5C2E258F" w14:textId="77777777" w:rsidR="00B708D7" w:rsidRPr="008B71A5" w:rsidRDefault="00B708D7" w:rsidP="00EB7AE3">
            <w:pPr>
              <w:keepNext/>
              <w:keepLines/>
              <w:jc w:val="center"/>
              <w:rPr>
                <w:rFonts w:ascii="Arial" w:hAnsi="Arial" w:cs="Arial"/>
                <w:b/>
                <w:bCs/>
                <w:noProof/>
                <w:sz w:val="20"/>
                <w:szCs w:val="20"/>
              </w:rPr>
            </w:pPr>
            <w:r>
              <w:rPr>
                <w:rFonts w:ascii="Arial" w:hAnsi="Arial" w:cs="Arial"/>
                <w:b/>
                <w:bCs/>
                <w:noProof/>
                <w:sz w:val="20"/>
                <w:szCs w:val="20"/>
              </w:rPr>
              <w:lastRenderedPageBreak/>
              <w:t xml:space="preserve">Part 11.1 </w:t>
            </w:r>
            <w:r w:rsidRPr="008B71A5">
              <w:rPr>
                <w:rFonts w:ascii="Arial" w:hAnsi="Arial" w:cs="Arial"/>
                <w:b/>
                <w:bCs/>
                <w:noProof/>
                <w:sz w:val="20"/>
                <w:szCs w:val="20"/>
              </w:rPr>
              <w:t xml:space="preserve">– </w:t>
            </w:r>
            <w:r>
              <w:rPr>
                <w:rFonts w:ascii="Arial" w:hAnsi="Arial" w:cs="Arial"/>
                <w:b/>
                <w:bCs/>
                <w:noProof/>
                <w:sz w:val="20"/>
                <w:szCs w:val="20"/>
              </w:rPr>
              <w:t>Rights of children in police gaols</w:t>
            </w:r>
          </w:p>
        </w:tc>
      </w:tr>
      <w:tr w:rsidR="00B708D7" w14:paraId="58E4C88A" w14:textId="77777777" w:rsidTr="002533B6">
        <w:tc>
          <w:tcPr>
            <w:tcW w:w="686" w:type="dxa"/>
          </w:tcPr>
          <w:p w14:paraId="1B8C59D9" w14:textId="77777777" w:rsidR="00B708D7" w:rsidRDefault="00B708D7" w:rsidP="00EB7AE3">
            <w:pPr>
              <w:keepNext/>
              <w:keepLines/>
              <w:jc w:val="center"/>
              <w:rPr>
                <w:rFonts w:ascii="Arial" w:hAnsi="Arial" w:cs="Arial"/>
                <w:color w:val="000000"/>
                <w:sz w:val="20"/>
              </w:rPr>
            </w:pPr>
            <w:r>
              <w:rPr>
                <w:rFonts w:ascii="Arial" w:hAnsi="Arial" w:cs="Arial"/>
                <w:color w:val="000000"/>
                <w:sz w:val="20"/>
              </w:rPr>
              <w:t>567</w:t>
            </w:r>
          </w:p>
        </w:tc>
        <w:tc>
          <w:tcPr>
            <w:tcW w:w="8385" w:type="dxa"/>
          </w:tcPr>
          <w:p w14:paraId="725F9BB1" w14:textId="77777777" w:rsidR="00B708D7" w:rsidRDefault="00B708D7" w:rsidP="00EB7AE3">
            <w:pPr>
              <w:keepNext/>
              <w:keepLines/>
              <w:jc w:val="both"/>
              <w:rPr>
                <w:rFonts w:ascii="Arial" w:hAnsi="Arial" w:cs="Arial"/>
                <w:color w:val="000000"/>
                <w:sz w:val="20"/>
              </w:rPr>
            </w:pPr>
            <w:r>
              <w:rPr>
                <w:rFonts w:ascii="Arial" w:hAnsi="Arial" w:cs="Arial"/>
                <w:noProof/>
                <w:sz w:val="20"/>
                <w:szCs w:val="20"/>
              </w:rPr>
              <w:t>Rights of children in police gaols</w:t>
            </w:r>
          </w:p>
        </w:tc>
      </w:tr>
      <w:tr w:rsidR="00B708D7" w14:paraId="00BFCFD4" w14:textId="77777777" w:rsidTr="002533B6">
        <w:tc>
          <w:tcPr>
            <w:tcW w:w="686" w:type="dxa"/>
          </w:tcPr>
          <w:p w14:paraId="5BEE3E0F" w14:textId="77777777" w:rsidR="00B708D7" w:rsidRDefault="00B708D7" w:rsidP="00EB7AE3">
            <w:pPr>
              <w:keepNext/>
              <w:keepLines/>
              <w:jc w:val="center"/>
              <w:rPr>
                <w:rFonts w:ascii="Arial" w:hAnsi="Arial" w:cs="Arial"/>
                <w:color w:val="000000"/>
                <w:sz w:val="20"/>
              </w:rPr>
            </w:pPr>
            <w:r>
              <w:rPr>
                <w:rFonts w:ascii="Arial" w:hAnsi="Arial" w:cs="Arial"/>
                <w:color w:val="000000"/>
                <w:sz w:val="20"/>
              </w:rPr>
              <w:t>568</w:t>
            </w:r>
          </w:p>
        </w:tc>
        <w:tc>
          <w:tcPr>
            <w:tcW w:w="8385" w:type="dxa"/>
          </w:tcPr>
          <w:p w14:paraId="5DCF9CD0" w14:textId="77777777" w:rsidR="00B708D7" w:rsidRDefault="00B708D7" w:rsidP="00EB7AE3">
            <w:pPr>
              <w:keepNext/>
              <w:keepLines/>
              <w:jc w:val="both"/>
              <w:rPr>
                <w:rFonts w:ascii="Arial" w:hAnsi="Arial" w:cs="Arial"/>
                <w:color w:val="000000"/>
                <w:sz w:val="20"/>
              </w:rPr>
            </w:pPr>
            <w:r w:rsidRPr="00D61468">
              <w:rPr>
                <w:rFonts w:ascii="Arial" w:hAnsi="Arial" w:cs="Arial"/>
                <w:noProof/>
                <w:sz w:val="20"/>
                <w:szCs w:val="20"/>
              </w:rPr>
              <w:t>Chief Commissioner of Police to ensure rights are complied with</w:t>
            </w:r>
          </w:p>
        </w:tc>
      </w:tr>
      <w:tr w:rsidR="00B708D7" w14:paraId="63706866" w14:textId="77777777" w:rsidTr="002533B6">
        <w:tc>
          <w:tcPr>
            <w:tcW w:w="686" w:type="dxa"/>
          </w:tcPr>
          <w:p w14:paraId="59949995" w14:textId="77777777" w:rsidR="00B708D7" w:rsidRDefault="00B708D7" w:rsidP="002533B6">
            <w:pPr>
              <w:jc w:val="center"/>
              <w:rPr>
                <w:rFonts w:ascii="Arial" w:hAnsi="Arial" w:cs="Arial"/>
                <w:color w:val="000000"/>
                <w:sz w:val="20"/>
              </w:rPr>
            </w:pPr>
            <w:r>
              <w:rPr>
                <w:rFonts w:ascii="Arial" w:hAnsi="Arial" w:cs="Arial"/>
                <w:color w:val="000000"/>
                <w:sz w:val="20"/>
              </w:rPr>
              <w:t>569</w:t>
            </w:r>
          </w:p>
        </w:tc>
        <w:tc>
          <w:tcPr>
            <w:tcW w:w="8385" w:type="dxa"/>
          </w:tcPr>
          <w:p w14:paraId="34D4D15B" w14:textId="77777777" w:rsidR="00B708D7" w:rsidRDefault="00B708D7" w:rsidP="002533B6">
            <w:pPr>
              <w:jc w:val="both"/>
              <w:rPr>
                <w:rFonts w:ascii="Arial" w:hAnsi="Arial" w:cs="Arial"/>
                <w:color w:val="000000"/>
                <w:sz w:val="20"/>
              </w:rPr>
            </w:pPr>
            <w:r w:rsidRPr="00D61468">
              <w:rPr>
                <w:rFonts w:ascii="Arial" w:hAnsi="Arial" w:cs="Arial"/>
                <w:noProof/>
                <w:sz w:val="20"/>
                <w:szCs w:val="20"/>
              </w:rPr>
              <w:t>Right in police gaol—separate accommodation</w:t>
            </w:r>
          </w:p>
        </w:tc>
      </w:tr>
      <w:tr w:rsidR="00B708D7" w14:paraId="68B6B909" w14:textId="77777777" w:rsidTr="002533B6">
        <w:tc>
          <w:tcPr>
            <w:tcW w:w="686" w:type="dxa"/>
          </w:tcPr>
          <w:p w14:paraId="6A61F0D0" w14:textId="77777777" w:rsidR="00B708D7" w:rsidRDefault="00B708D7" w:rsidP="002533B6">
            <w:pPr>
              <w:jc w:val="center"/>
              <w:rPr>
                <w:rFonts w:ascii="Arial" w:hAnsi="Arial" w:cs="Arial"/>
                <w:color w:val="000000"/>
                <w:sz w:val="20"/>
              </w:rPr>
            </w:pPr>
            <w:r>
              <w:rPr>
                <w:rFonts w:ascii="Arial" w:hAnsi="Arial" w:cs="Arial"/>
                <w:color w:val="000000"/>
                <w:sz w:val="20"/>
              </w:rPr>
              <w:t>570</w:t>
            </w:r>
          </w:p>
        </w:tc>
        <w:tc>
          <w:tcPr>
            <w:tcW w:w="8385" w:type="dxa"/>
          </w:tcPr>
          <w:p w14:paraId="4A603AA5" w14:textId="77777777" w:rsidR="00B708D7" w:rsidRDefault="00B708D7" w:rsidP="002533B6">
            <w:pPr>
              <w:jc w:val="both"/>
              <w:rPr>
                <w:rFonts w:ascii="Arial" w:hAnsi="Arial" w:cs="Arial"/>
                <w:color w:val="000000"/>
                <w:sz w:val="20"/>
              </w:rPr>
            </w:pPr>
            <w:r w:rsidRPr="00D61468">
              <w:rPr>
                <w:rFonts w:ascii="Arial" w:hAnsi="Arial" w:cs="Arial"/>
                <w:noProof/>
                <w:sz w:val="20"/>
                <w:szCs w:val="20"/>
              </w:rPr>
              <w:t>Right in police gaol—communication</w:t>
            </w:r>
          </w:p>
        </w:tc>
      </w:tr>
      <w:tr w:rsidR="00B708D7" w14:paraId="66B73C9E" w14:textId="77777777" w:rsidTr="002533B6">
        <w:tc>
          <w:tcPr>
            <w:tcW w:w="686" w:type="dxa"/>
          </w:tcPr>
          <w:p w14:paraId="44E57A17" w14:textId="77777777" w:rsidR="00B708D7" w:rsidRDefault="00B708D7" w:rsidP="002533B6">
            <w:pPr>
              <w:jc w:val="center"/>
              <w:rPr>
                <w:rFonts w:ascii="Arial" w:hAnsi="Arial" w:cs="Arial"/>
                <w:color w:val="000000"/>
                <w:sz w:val="20"/>
              </w:rPr>
            </w:pPr>
            <w:r>
              <w:rPr>
                <w:rFonts w:ascii="Arial" w:hAnsi="Arial" w:cs="Arial"/>
                <w:color w:val="000000"/>
                <w:sz w:val="20"/>
              </w:rPr>
              <w:t>571</w:t>
            </w:r>
          </w:p>
        </w:tc>
        <w:tc>
          <w:tcPr>
            <w:tcW w:w="8385" w:type="dxa"/>
          </w:tcPr>
          <w:p w14:paraId="3289ACCF" w14:textId="77777777" w:rsidR="00B708D7" w:rsidRDefault="00B708D7" w:rsidP="002533B6">
            <w:pPr>
              <w:jc w:val="both"/>
              <w:rPr>
                <w:rFonts w:ascii="Arial" w:hAnsi="Arial" w:cs="Arial"/>
                <w:color w:val="000000"/>
                <w:sz w:val="20"/>
              </w:rPr>
            </w:pPr>
            <w:r w:rsidRPr="00D61468">
              <w:rPr>
                <w:rFonts w:ascii="Arial" w:hAnsi="Arial" w:cs="Arial"/>
                <w:noProof/>
                <w:sz w:val="20"/>
                <w:szCs w:val="20"/>
              </w:rPr>
              <w:t>Right in police gaol—individual needs and environment</w:t>
            </w:r>
          </w:p>
        </w:tc>
      </w:tr>
      <w:tr w:rsidR="00B708D7" w14:paraId="5D18A079" w14:textId="77777777" w:rsidTr="002533B6">
        <w:tc>
          <w:tcPr>
            <w:tcW w:w="686" w:type="dxa"/>
          </w:tcPr>
          <w:p w14:paraId="1E9D54D0" w14:textId="77777777" w:rsidR="00B708D7" w:rsidRDefault="00B708D7" w:rsidP="002533B6">
            <w:pPr>
              <w:jc w:val="center"/>
              <w:rPr>
                <w:rFonts w:ascii="Arial" w:hAnsi="Arial" w:cs="Arial"/>
                <w:color w:val="000000"/>
                <w:sz w:val="20"/>
              </w:rPr>
            </w:pPr>
            <w:r>
              <w:rPr>
                <w:rFonts w:ascii="Arial" w:hAnsi="Arial" w:cs="Arial"/>
                <w:color w:val="000000"/>
                <w:sz w:val="20"/>
              </w:rPr>
              <w:t>572</w:t>
            </w:r>
          </w:p>
        </w:tc>
        <w:tc>
          <w:tcPr>
            <w:tcW w:w="8385" w:type="dxa"/>
          </w:tcPr>
          <w:p w14:paraId="14CB7A1E" w14:textId="77777777" w:rsidR="00B708D7" w:rsidRDefault="00B708D7" w:rsidP="002533B6">
            <w:pPr>
              <w:jc w:val="both"/>
              <w:rPr>
                <w:rFonts w:ascii="Arial" w:hAnsi="Arial" w:cs="Arial"/>
                <w:color w:val="000000"/>
                <w:sz w:val="20"/>
              </w:rPr>
            </w:pPr>
            <w:r w:rsidRPr="00D61468">
              <w:rPr>
                <w:rFonts w:ascii="Arial" w:hAnsi="Arial" w:cs="Arial"/>
                <w:noProof/>
                <w:sz w:val="20"/>
                <w:szCs w:val="20"/>
              </w:rPr>
              <w:t>Right in police gaol—making complaints</w:t>
            </w:r>
          </w:p>
        </w:tc>
      </w:tr>
      <w:tr w:rsidR="00B708D7" w14:paraId="3EFC4D83" w14:textId="77777777" w:rsidTr="002533B6">
        <w:tc>
          <w:tcPr>
            <w:tcW w:w="686" w:type="dxa"/>
          </w:tcPr>
          <w:p w14:paraId="14D1180D" w14:textId="77777777" w:rsidR="00B708D7" w:rsidRDefault="00B708D7" w:rsidP="002533B6">
            <w:pPr>
              <w:jc w:val="center"/>
              <w:rPr>
                <w:rFonts w:ascii="Arial" w:hAnsi="Arial" w:cs="Arial"/>
                <w:color w:val="000000"/>
                <w:sz w:val="20"/>
              </w:rPr>
            </w:pPr>
            <w:r>
              <w:rPr>
                <w:rFonts w:ascii="Arial" w:hAnsi="Arial" w:cs="Arial"/>
                <w:color w:val="000000"/>
                <w:sz w:val="20"/>
              </w:rPr>
              <w:t>573</w:t>
            </w:r>
          </w:p>
        </w:tc>
        <w:tc>
          <w:tcPr>
            <w:tcW w:w="8385" w:type="dxa"/>
          </w:tcPr>
          <w:p w14:paraId="34947940" w14:textId="77777777" w:rsidR="00B708D7" w:rsidRDefault="00B708D7" w:rsidP="002533B6">
            <w:pPr>
              <w:jc w:val="both"/>
              <w:rPr>
                <w:rFonts w:ascii="Arial" w:hAnsi="Arial" w:cs="Arial"/>
                <w:color w:val="000000"/>
                <w:sz w:val="20"/>
              </w:rPr>
            </w:pPr>
            <w:r w:rsidRPr="00D61468">
              <w:rPr>
                <w:rFonts w:ascii="Arial" w:hAnsi="Arial" w:cs="Arial"/>
                <w:noProof/>
                <w:sz w:val="20"/>
                <w:szCs w:val="20"/>
              </w:rPr>
              <w:t>Right in police gaol—being informed</w:t>
            </w:r>
          </w:p>
        </w:tc>
      </w:tr>
    </w:tbl>
    <w:p w14:paraId="70367C72" w14:textId="77777777" w:rsidR="00B708D7" w:rsidRDefault="00B708D7" w:rsidP="00B708D7">
      <w:pPr>
        <w:jc w:val="both"/>
        <w:rPr>
          <w:rFonts w:ascii="Arial" w:hAnsi="Arial" w:cs="Arial"/>
          <w:sz w:val="20"/>
          <w:szCs w:val="20"/>
        </w:rPr>
      </w:pPr>
    </w:p>
    <w:p w14:paraId="21AA005C" w14:textId="1C1578A9" w:rsidR="00B708D7" w:rsidRDefault="00B708D7" w:rsidP="00B708D7">
      <w:pPr>
        <w:shd w:val="clear" w:color="auto" w:fill="FFFFFF"/>
        <w:jc w:val="center"/>
        <w:rPr>
          <w:rFonts w:ascii="Arial" w:hAnsi="Arial" w:cs="Arial"/>
          <w:b/>
          <w:bCs/>
          <w:i/>
          <w:iCs/>
          <w:sz w:val="20"/>
          <w:szCs w:val="20"/>
          <w:u w:val="single"/>
        </w:rPr>
      </w:pPr>
      <w:r>
        <w:rPr>
          <w:rFonts w:ascii="Arial" w:hAnsi="Arial" w:cs="Arial"/>
          <w:b/>
          <w:bCs/>
          <w:i/>
          <w:iCs/>
          <w:sz w:val="20"/>
          <w:szCs w:val="20"/>
          <w:u w:val="single"/>
        </w:rPr>
        <w:t>Rights and responsibilities of a child or young person detained in a youth justice custodial centre [YJCC]</w:t>
      </w:r>
    </w:p>
    <w:p w14:paraId="11DC9913" w14:textId="77777777" w:rsidR="00B708D7" w:rsidRDefault="00B708D7" w:rsidP="00B708D7">
      <w:pPr>
        <w:rPr>
          <w:rFonts w:ascii="Arial" w:hAnsi="Arial" w:cs="Arial"/>
          <w:sz w:val="20"/>
          <w:szCs w:val="20"/>
        </w:rPr>
      </w:pPr>
    </w:p>
    <w:p w14:paraId="50A1F58A" w14:textId="148BFF58" w:rsidR="00B708D7" w:rsidRDefault="00B708D7" w:rsidP="00B708D7">
      <w:pPr>
        <w:jc w:val="both"/>
        <w:rPr>
          <w:rFonts w:ascii="Arial" w:hAnsi="Arial" w:cs="Arial"/>
          <w:sz w:val="20"/>
          <w:szCs w:val="20"/>
        </w:rPr>
      </w:pPr>
      <w:r>
        <w:rPr>
          <w:rFonts w:ascii="Arial" w:hAnsi="Arial" w:cs="Arial"/>
          <w:sz w:val="20"/>
          <w:szCs w:val="20"/>
        </w:rPr>
        <w:t>Divisions 1 &amp; 2 of Part 10.2 of the YJA (ss.445-459) govern the rights and responsibilities of children and young persons in YJCCs under the following headings:</w:t>
      </w:r>
    </w:p>
    <w:p w14:paraId="3385802A" w14:textId="77777777" w:rsidR="000401B8" w:rsidRDefault="000401B8" w:rsidP="000401B8">
      <w:pPr>
        <w:jc w:val="both"/>
        <w:rPr>
          <w:rFonts w:ascii="Arial" w:hAnsi="Arial" w:cs="Arial"/>
          <w:sz w:val="20"/>
          <w:szCs w:val="20"/>
        </w:rPr>
      </w:pPr>
    </w:p>
    <w:tbl>
      <w:tblPr>
        <w:tblStyle w:val="TableGrid"/>
        <w:tblW w:w="9071" w:type="dxa"/>
        <w:tblLook w:val="04A0" w:firstRow="1" w:lastRow="0" w:firstColumn="1" w:lastColumn="0" w:noHBand="0" w:noVBand="1"/>
      </w:tblPr>
      <w:tblGrid>
        <w:gridCol w:w="686"/>
        <w:gridCol w:w="8385"/>
      </w:tblGrid>
      <w:tr w:rsidR="000401B8" w14:paraId="49679DB0" w14:textId="77777777" w:rsidTr="002533B6">
        <w:tc>
          <w:tcPr>
            <w:tcW w:w="9071" w:type="dxa"/>
            <w:gridSpan w:val="2"/>
            <w:shd w:val="clear" w:color="auto" w:fill="000000" w:themeFill="text1"/>
          </w:tcPr>
          <w:p w14:paraId="239294EA" w14:textId="1746576F" w:rsidR="000401B8" w:rsidRPr="008B71A5" w:rsidRDefault="000401B8" w:rsidP="002533B6">
            <w:pPr>
              <w:keepNext/>
              <w:keepLines/>
              <w:jc w:val="center"/>
              <w:rPr>
                <w:rFonts w:ascii="Arial" w:hAnsi="Arial" w:cs="Arial"/>
                <w:b/>
                <w:bCs/>
                <w:noProof/>
                <w:sz w:val="20"/>
                <w:szCs w:val="20"/>
              </w:rPr>
            </w:pPr>
            <w:r>
              <w:rPr>
                <w:rFonts w:ascii="Arial" w:hAnsi="Arial" w:cs="Arial"/>
                <w:b/>
                <w:bCs/>
                <w:noProof/>
                <w:sz w:val="20"/>
                <w:szCs w:val="20"/>
              </w:rPr>
              <w:t>Part 1</w:t>
            </w:r>
            <w:r w:rsidR="009661BA">
              <w:rPr>
                <w:rFonts w:ascii="Arial" w:hAnsi="Arial" w:cs="Arial"/>
                <w:b/>
                <w:bCs/>
                <w:noProof/>
                <w:sz w:val="20"/>
                <w:szCs w:val="20"/>
              </w:rPr>
              <w:t>0</w:t>
            </w:r>
            <w:r>
              <w:rPr>
                <w:rFonts w:ascii="Arial" w:hAnsi="Arial" w:cs="Arial"/>
                <w:b/>
                <w:bCs/>
                <w:noProof/>
                <w:sz w:val="20"/>
                <w:szCs w:val="20"/>
              </w:rPr>
              <w:t>.</w:t>
            </w:r>
            <w:r w:rsidR="009661BA">
              <w:rPr>
                <w:rFonts w:ascii="Arial" w:hAnsi="Arial" w:cs="Arial"/>
                <w:b/>
                <w:bCs/>
                <w:noProof/>
                <w:sz w:val="20"/>
                <w:szCs w:val="20"/>
              </w:rPr>
              <w:t>2, Division 1</w:t>
            </w:r>
            <w:r>
              <w:rPr>
                <w:rFonts w:ascii="Arial" w:hAnsi="Arial" w:cs="Arial"/>
                <w:b/>
                <w:bCs/>
                <w:noProof/>
                <w:sz w:val="20"/>
                <w:szCs w:val="20"/>
              </w:rPr>
              <w:t xml:space="preserve"> </w:t>
            </w:r>
            <w:r w:rsidRPr="008B71A5">
              <w:rPr>
                <w:rFonts w:ascii="Arial" w:hAnsi="Arial" w:cs="Arial"/>
                <w:b/>
                <w:bCs/>
                <w:noProof/>
                <w:sz w:val="20"/>
                <w:szCs w:val="20"/>
              </w:rPr>
              <w:t xml:space="preserve">– </w:t>
            </w:r>
            <w:r>
              <w:rPr>
                <w:rFonts w:ascii="Arial" w:hAnsi="Arial" w:cs="Arial"/>
                <w:b/>
                <w:bCs/>
                <w:noProof/>
                <w:sz w:val="20"/>
                <w:szCs w:val="20"/>
              </w:rPr>
              <w:t xml:space="preserve">Rights of children </w:t>
            </w:r>
            <w:r w:rsidR="009661BA">
              <w:rPr>
                <w:rFonts w:ascii="Arial" w:hAnsi="Arial" w:cs="Arial"/>
                <w:b/>
                <w:bCs/>
                <w:noProof/>
                <w:sz w:val="20"/>
                <w:szCs w:val="20"/>
              </w:rPr>
              <w:t xml:space="preserve">and young persons </w:t>
            </w:r>
            <w:r>
              <w:rPr>
                <w:rFonts w:ascii="Arial" w:hAnsi="Arial" w:cs="Arial"/>
                <w:b/>
                <w:bCs/>
                <w:noProof/>
                <w:sz w:val="20"/>
                <w:szCs w:val="20"/>
              </w:rPr>
              <w:t xml:space="preserve">in </w:t>
            </w:r>
            <w:r w:rsidR="009661BA">
              <w:rPr>
                <w:rFonts w:ascii="Arial" w:hAnsi="Arial" w:cs="Arial"/>
                <w:b/>
                <w:bCs/>
                <w:noProof/>
                <w:sz w:val="20"/>
                <w:szCs w:val="20"/>
              </w:rPr>
              <w:t>YJCCs</w:t>
            </w:r>
          </w:p>
        </w:tc>
      </w:tr>
      <w:tr w:rsidR="000401B8" w14:paraId="1B646F68" w14:textId="77777777" w:rsidTr="002533B6">
        <w:tc>
          <w:tcPr>
            <w:tcW w:w="686" w:type="dxa"/>
          </w:tcPr>
          <w:p w14:paraId="27194A1F" w14:textId="60953BC2" w:rsidR="000401B8" w:rsidRDefault="000401B8" w:rsidP="002533B6">
            <w:pPr>
              <w:jc w:val="center"/>
              <w:rPr>
                <w:rFonts w:ascii="Arial" w:hAnsi="Arial" w:cs="Arial"/>
                <w:color w:val="000000"/>
                <w:sz w:val="20"/>
              </w:rPr>
            </w:pPr>
            <w:r>
              <w:rPr>
                <w:rFonts w:ascii="Arial" w:hAnsi="Arial" w:cs="Arial"/>
                <w:color w:val="000000"/>
                <w:sz w:val="20"/>
              </w:rPr>
              <w:t>445</w:t>
            </w:r>
          </w:p>
        </w:tc>
        <w:tc>
          <w:tcPr>
            <w:tcW w:w="8385" w:type="dxa"/>
          </w:tcPr>
          <w:p w14:paraId="103D514B" w14:textId="19D4EFB5" w:rsidR="000401B8" w:rsidRDefault="000401B8" w:rsidP="002533B6">
            <w:pPr>
              <w:keepNext/>
              <w:keepLines/>
              <w:jc w:val="both"/>
              <w:rPr>
                <w:rFonts w:ascii="Arial" w:hAnsi="Arial" w:cs="Arial"/>
                <w:color w:val="000000"/>
                <w:sz w:val="20"/>
              </w:rPr>
            </w:pPr>
            <w:r>
              <w:rPr>
                <w:rFonts w:ascii="Arial" w:hAnsi="Arial" w:cs="Arial"/>
                <w:noProof/>
                <w:sz w:val="20"/>
                <w:szCs w:val="20"/>
              </w:rPr>
              <w:t>Custodial rights of children in YJCCs</w:t>
            </w:r>
          </w:p>
        </w:tc>
      </w:tr>
      <w:tr w:rsidR="000401B8" w14:paraId="3E308824" w14:textId="77777777" w:rsidTr="002533B6">
        <w:tc>
          <w:tcPr>
            <w:tcW w:w="686" w:type="dxa"/>
          </w:tcPr>
          <w:p w14:paraId="7712B55B" w14:textId="2F11E743" w:rsidR="000401B8" w:rsidRDefault="000401B8" w:rsidP="002533B6">
            <w:pPr>
              <w:jc w:val="center"/>
              <w:rPr>
                <w:rFonts w:ascii="Arial" w:hAnsi="Arial" w:cs="Arial"/>
                <w:color w:val="000000"/>
                <w:sz w:val="20"/>
              </w:rPr>
            </w:pPr>
            <w:r>
              <w:rPr>
                <w:rFonts w:ascii="Arial" w:hAnsi="Arial" w:cs="Arial"/>
                <w:color w:val="000000"/>
                <w:sz w:val="20"/>
              </w:rPr>
              <w:t>446</w:t>
            </w:r>
          </w:p>
        </w:tc>
        <w:tc>
          <w:tcPr>
            <w:tcW w:w="8385" w:type="dxa"/>
          </w:tcPr>
          <w:p w14:paraId="23C45654" w14:textId="14D2B1CA" w:rsidR="000401B8" w:rsidRDefault="000401B8" w:rsidP="002533B6">
            <w:pPr>
              <w:jc w:val="both"/>
              <w:rPr>
                <w:rFonts w:ascii="Arial" w:hAnsi="Arial" w:cs="Arial"/>
                <w:color w:val="000000"/>
                <w:sz w:val="20"/>
              </w:rPr>
            </w:pPr>
            <w:r>
              <w:rPr>
                <w:rFonts w:ascii="Arial" w:hAnsi="Arial" w:cs="Arial"/>
                <w:noProof/>
                <w:sz w:val="20"/>
                <w:szCs w:val="20"/>
              </w:rPr>
              <w:t>Obligation to uphold custodial rights</w:t>
            </w:r>
          </w:p>
        </w:tc>
      </w:tr>
      <w:tr w:rsidR="000401B8" w14:paraId="7C50F3F7" w14:textId="77777777" w:rsidTr="002533B6">
        <w:tc>
          <w:tcPr>
            <w:tcW w:w="686" w:type="dxa"/>
          </w:tcPr>
          <w:p w14:paraId="66E3ACAF" w14:textId="45718D74" w:rsidR="000401B8" w:rsidRDefault="000401B8" w:rsidP="002533B6">
            <w:pPr>
              <w:jc w:val="center"/>
              <w:rPr>
                <w:rFonts w:ascii="Arial" w:hAnsi="Arial" w:cs="Arial"/>
                <w:color w:val="000000"/>
                <w:sz w:val="20"/>
              </w:rPr>
            </w:pPr>
            <w:r>
              <w:rPr>
                <w:rFonts w:ascii="Arial" w:hAnsi="Arial" w:cs="Arial"/>
                <w:color w:val="000000"/>
                <w:sz w:val="20"/>
              </w:rPr>
              <w:t>447</w:t>
            </w:r>
          </w:p>
        </w:tc>
        <w:tc>
          <w:tcPr>
            <w:tcW w:w="8385" w:type="dxa"/>
          </w:tcPr>
          <w:p w14:paraId="4764AD16" w14:textId="643CDF07" w:rsidR="000401B8" w:rsidRDefault="000401B8" w:rsidP="002533B6">
            <w:pPr>
              <w:jc w:val="both"/>
              <w:rPr>
                <w:rFonts w:ascii="Arial" w:hAnsi="Arial" w:cs="Arial"/>
                <w:color w:val="000000"/>
                <w:sz w:val="20"/>
              </w:rPr>
            </w:pPr>
            <w:r>
              <w:rPr>
                <w:rFonts w:ascii="Arial" w:hAnsi="Arial" w:cs="Arial"/>
                <w:noProof/>
                <w:sz w:val="20"/>
                <w:szCs w:val="20"/>
              </w:rPr>
              <w:t>Custodial right</w:t>
            </w:r>
            <w:r w:rsidRPr="00D61468">
              <w:rPr>
                <w:rFonts w:ascii="Arial" w:hAnsi="Arial" w:cs="Arial"/>
                <w:noProof/>
                <w:sz w:val="20"/>
                <w:szCs w:val="20"/>
              </w:rPr>
              <w:t>—</w:t>
            </w:r>
            <w:r>
              <w:rPr>
                <w:rFonts w:ascii="Arial" w:hAnsi="Arial" w:cs="Arial"/>
                <w:noProof/>
                <w:sz w:val="20"/>
                <w:szCs w:val="20"/>
              </w:rPr>
              <w:t>positive development</w:t>
            </w:r>
          </w:p>
        </w:tc>
      </w:tr>
      <w:tr w:rsidR="000401B8" w14:paraId="3231103B" w14:textId="77777777" w:rsidTr="002533B6">
        <w:tc>
          <w:tcPr>
            <w:tcW w:w="686" w:type="dxa"/>
          </w:tcPr>
          <w:p w14:paraId="48AC35CE" w14:textId="56B8053E" w:rsidR="000401B8" w:rsidRDefault="000401B8" w:rsidP="002533B6">
            <w:pPr>
              <w:jc w:val="center"/>
              <w:rPr>
                <w:rFonts w:ascii="Arial" w:hAnsi="Arial" w:cs="Arial"/>
                <w:color w:val="000000"/>
                <w:sz w:val="20"/>
              </w:rPr>
            </w:pPr>
            <w:r>
              <w:rPr>
                <w:rFonts w:ascii="Arial" w:hAnsi="Arial" w:cs="Arial"/>
                <w:color w:val="000000"/>
                <w:sz w:val="20"/>
              </w:rPr>
              <w:t>448</w:t>
            </w:r>
          </w:p>
        </w:tc>
        <w:tc>
          <w:tcPr>
            <w:tcW w:w="8385" w:type="dxa"/>
          </w:tcPr>
          <w:p w14:paraId="1198E90B" w14:textId="0646D46E" w:rsidR="000401B8" w:rsidRDefault="000401B8" w:rsidP="002533B6">
            <w:pPr>
              <w:jc w:val="both"/>
              <w:rPr>
                <w:rFonts w:ascii="Arial" w:hAnsi="Arial" w:cs="Arial"/>
                <w:color w:val="000000"/>
                <w:sz w:val="20"/>
              </w:rPr>
            </w:pPr>
            <w:r>
              <w:rPr>
                <w:rFonts w:ascii="Arial" w:hAnsi="Arial" w:cs="Arial"/>
                <w:noProof/>
                <w:sz w:val="20"/>
                <w:szCs w:val="20"/>
              </w:rPr>
              <w:t>Custodial right</w:t>
            </w:r>
            <w:r w:rsidRPr="00D61468">
              <w:rPr>
                <w:rFonts w:ascii="Arial" w:hAnsi="Arial" w:cs="Arial"/>
                <w:noProof/>
                <w:sz w:val="20"/>
                <w:szCs w:val="20"/>
              </w:rPr>
              <w:t>—</w:t>
            </w:r>
            <w:r w:rsidRPr="00B708D7">
              <w:rPr>
                <w:rFonts w:ascii="Arial" w:hAnsi="Arial" w:cs="Arial"/>
                <w:noProof/>
                <w:sz w:val="20"/>
                <w:szCs w:val="20"/>
              </w:rPr>
              <w:t>safety, security and stability</w:t>
            </w:r>
          </w:p>
        </w:tc>
      </w:tr>
      <w:tr w:rsidR="000401B8" w14:paraId="0F51FC06" w14:textId="77777777" w:rsidTr="002533B6">
        <w:tc>
          <w:tcPr>
            <w:tcW w:w="686" w:type="dxa"/>
          </w:tcPr>
          <w:p w14:paraId="1F487AFB" w14:textId="0743187E" w:rsidR="000401B8" w:rsidRDefault="000401B8" w:rsidP="002533B6">
            <w:pPr>
              <w:jc w:val="center"/>
              <w:rPr>
                <w:rFonts w:ascii="Arial" w:hAnsi="Arial" w:cs="Arial"/>
                <w:color w:val="000000"/>
                <w:sz w:val="20"/>
              </w:rPr>
            </w:pPr>
            <w:r>
              <w:rPr>
                <w:rFonts w:ascii="Arial" w:hAnsi="Arial" w:cs="Arial"/>
                <w:color w:val="000000"/>
                <w:sz w:val="20"/>
              </w:rPr>
              <w:t>449</w:t>
            </w:r>
          </w:p>
        </w:tc>
        <w:tc>
          <w:tcPr>
            <w:tcW w:w="8385" w:type="dxa"/>
          </w:tcPr>
          <w:p w14:paraId="3AA2B6F7" w14:textId="687F1C0F" w:rsidR="000401B8" w:rsidRDefault="000401B8" w:rsidP="002533B6">
            <w:pPr>
              <w:jc w:val="both"/>
              <w:rPr>
                <w:rFonts w:ascii="Arial" w:hAnsi="Arial" w:cs="Arial"/>
                <w:color w:val="000000"/>
                <w:sz w:val="20"/>
              </w:rPr>
            </w:pPr>
            <w:r>
              <w:rPr>
                <w:rFonts w:ascii="Arial" w:hAnsi="Arial" w:cs="Arial"/>
                <w:noProof/>
                <w:sz w:val="20"/>
                <w:szCs w:val="20"/>
              </w:rPr>
              <w:t>Custodial right</w:t>
            </w:r>
            <w:r w:rsidRPr="00D61468">
              <w:rPr>
                <w:rFonts w:ascii="Arial" w:hAnsi="Arial" w:cs="Arial"/>
                <w:noProof/>
                <w:sz w:val="20"/>
                <w:szCs w:val="20"/>
              </w:rPr>
              <w:t>—</w:t>
            </w:r>
            <w:r w:rsidR="009661BA" w:rsidRPr="00B708D7">
              <w:rPr>
                <w:rFonts w:ascii="Arial" w:hAnsi="Arial" w:cs="Arial"/>
                <w:noProof/>
                <w:sz w:val="20"/>
                <w:szCs w:val="20"/>
              </w:rPr>
              <w:t>mental and physical health</w:t>
            </w:r>
          </w:p>
        </w:tc>
      </w:tr>
      <w:tr w:rsidR="000401B8" w14:paraId="747116AA" w14:textId="77777777" w:rsidTr="002533B6">
        <w:tc>
          <w:tcPr>
            <w:tcW w:w="686" w:type="dxa"/>
          </w:tcPr>
          <w:p w14:paraId="573E20EF" w14:textId="56574ED2" w:rsidR="000401B8" w:rsidRDefault="000401B8" w:rsidP="002533B6">
            <w:pPr>
              <w:jc w:val="center"/>
              <w:rPr>
                <w:rFonts w:ascii="Arial" w:hAnsi="Arial" w:cs="Arial"/>
                <w:color w:val="000000"/>
                <w:sz w:val="20"/>
              </w:rPr>
            </w:pPr>
            <w:r>
              <w:rPr>
                <w:rFonts w:ascii="Arial" w:hAnsi="Arial" w:cs="Arial"/>
                <w:color w:val="000000"/>
                <w:sz w:val="20"/>
              </w:rPr>
              <w:t>450</w:t>
            </w:r>
          </w:p>
        </w:tc>
        <w:tc>
          <w:tcPr>
            <w:tcW w:w="8385" w:type="dxa"/>
          </w:tcPr>
          <w:p w14:paraId="058257DB" w14:textId="3A089EE8" w:rsidR="000401B8" w:rsidRDefault="000401B8" w:rsidP="002533B6">
            <w:pPr>
              <w:jc w:val="both"/>
              <w:rPr>
                <w:rFonts w:ascii="Arial" w:hAnsi="Arial" w:cs="Arial"/>
                <w:color w:val="000000"/>
                <w:sz w:val="20"/>
              </w:rPr>
            </w:pPr>
            <w:r>
              <w:rPr>
                <w:rFonts w:ascii="Arial" w:hAnsi="Arial" w:cs="Arial"/>
                <w:noProof/>
                <w:sz w:val="20"/>
                <w:szCs w:val="20"/>
              </w:rPr>
              <w:t>Custodial right</w:t>
            </w:r>
            <w:r w:rsidRPr="00D61468">
              <w:rPr>
                <w:rFonts w:ascii="Arial" w:hAnsi="Arial" w:cs="Arial"/>
                <w:noProof/>
                <w:sz w:val="20"/>
                <w:szCs w:val="20"/>
              </w:rPr>
              <w:t>—</w:t>
            </w:r>
            <w:r w:rsidR="009661BA" w:rsidRPr="00B708D7">
              <w:rPr>
                <w:rFonts w:ascii="Arial" w:hAnsi="Arial" w:cs="Arial"/>
                <w:noProof/>
                <w:sz w:val="20"/>
                <w:szCs w:val="20"/>
              </w:rPr>
              <w:t>family, community, cultural and religious connections</w:t>
            </w:r>
          </w:p>
        </w:tc>
      </w:tr>
      <w:tr w:rsidR="000401B8" w14:paraId="34949A4D" w14:textId="77777777" w:rsidTr="002533B6">
        <w:tc>
          <w:tcPr>
            <w:tcW w:w="686" w:type="dxa"/>
          </w:tcPr>
          <w:p w14:paraId="317F7B1C" w14:textId="3AB7C067" w:rsidR="000401B8" w:rsidRDefault="000401B8" w:rsidP="002533B6">
            <w:pPr>
              <w:jc w:val="center"/>
              <w:rPr>
                <w:rFonts w:ascii="Arial" w:hAnsi="Arial" w:cs="Arial"/>
                <w:color w:val="000000"/>
                <w:sz w:val="20"/>
              </w:rPr>
            </w:pPr>
            <w:r>
              <w:rPr>
                <w:rFonts w:ascii="Arial" w:hAnsi="Arial" w:cs="Arial"/>
                <w:color w:val="000000"/>
                <w:sz w:val="20"/>
              </w:rPr>
              <w:t>451</w:t>
            </w:r>
          </w:p>
        </w:tc>
        <w:tc>
          <w:tcPr>
            <w:tcW w:w="8385" w:type="dxa"/>
          </w:tcPr>
          <w:p w14:paraId="02A2A4B0" w14:textId="56771392" w:rsidR="000401B8" w:rsidRDefault="000401B8" w:rsidP="002533B6">
            <w:pPr>
              <w:jc w:val="both"/>
              <w:rPr>
                <w:rFonts w:ascii="Arial" w:hAnsi="Arial" w:cs="Arial"/>
                <w:color w:val="000000"/>
                <w:sz w:val="20"/>
              </w:rPr>
            </w:pPr>
            <w:r>
              <w:rPr>
                <w:rFonts w:ascii="Arial" w:hAnsi="Arial" w:cs="Arial"/>
                <w:noProof/>
                <w:sz w:val="20"/>
                <w:szCs w:val="20"/>
              </w:rPr>
              <w:t>Custodial right</w:t>
            </w:r>
            <w:r w:rsidRPr="00D61468">
              <w:rPr>
                <w:rFonts w:ascii="Arial" w:hAnsi="Arial" w:cs="Arial"/>
                <w:noProof/>
                <w:sz w:val="20"/>
                <w:szCs w:val="20"/>
              </w:rPr>
              <w:t>—</w:t>
            </w:r>
            <w:r w:rsidR="009661BA" w:rsidRPr="00B708D7">
              <w:rPr>
                <w:rFonts w:ascii="Arial" w:hAnsi="Arial" w:cs="Arial"/>
                <w:noProof/>
                <w:sz w:val="20"/>
                <w:szCs w:val="20"/>
              </w:rPr>
              <w:t>Aboriginal children and young persons</w:t>
            </w:r>
          </w:p>
        </w:tc>
      </w:tr>
      <w:tr w:rsidR="000401B8" w14:paraId="163623A9" w14:textId="77777777" w:rsidTr="000401B8">
        <w:tc>
          <w:tcPr>
            <w:tcW w:w="686" w:type="dxa"/>
          </w:tcPr>
          <w:p w14:paraId="6EFFA50B" w14:textId="0575FEDD" w:rsidR="000401B8" w:rsidRDefault="000401B8" w:rsidP="002533B6">
            <w:pPr>
              <w:jc w:val="center"/>
              <w:rPr>
                <w:rFonts w:ascii="Arial" w:hAnsi="Arial" w:cs="Arial"/>
                <w:color w:val="000000"/>
                <w:sz w:val="20"/>
              </w:rPr>
            </w:pPr>
            <w:r>
              <w:rPr>
                <w:rFonts w:ascii="Arial" w:hAnsi="Arial" w:cs="Arial"/>
                <w:color w:val="000000"/>
                <w:sz w:val="20"/>
              </w:rPr>
              <w:t>452</w:t>
            </w:r>
          </w:p>
        </w:tc>
        <w:tc>
          <w:tcPr>
            <w:tcW w:w="8385" w:type="dxa"/>
          </w:tcPr>
          <w:p w14:paraId="606B7A0D" w14:textId="020D8851" w:rsidR="000401B8" w:rsidRDefault="000401B8" w:rsidP="002533B6">
            <w:pPr>
              <w:keepNext/>
              <w:keepLines/>
              <w:jc w:val="both"/>
              <w:rPr>
                <w:rFonts w:ascii="Arial" w:hAnsi="Arial" w:cs="Arial"/>
                <w:color w:val="000000"/>
                <w:sz w:val="20"/>
              </w:rPr>
            </w:pPr>
            <w:r>
              <w:rPr>
                <w:rFonts w:ascii="Arial" w:hAnsi="Arial" w:cs="Arial"/>
                <w:noProof/>
                <w:sz w:val="20"/>
                <w:szCs w:val="20"/>
              </w:rPr>
              <w:t>Custodial right</w:t>
            </w:r>
            <w:r w:rsidRPr="00D61468">
              <w:rPr>
                <w:rFonts w:ascii="Arial" w:hAnsi="Arial" w:cs="Arial"/>
                <w:noProof/>
                <w:sz w:val="20"/>
                <w:szCs w:val="20"/>
              </w:rPr>
              <w:t>—</w:t>
            </w:r>
            <w:r w:rsidR="009661BA" w:rsidRPr="00B708D7">
              <w:rPr>
                <w:rFonts w:ascii="Arial" w:hAnsi="Arial" w:cs="Arial"/>
                <w:noProof/>
                <w:sz w:val="20"/>
                <w:szCs w:val="20"/>
              </w:rPr>
              <w:t>being informed</w:t>
            </w:r>
          </w:p>
        </w:tc>
      </w:tr>
      <w:tr w:rsidR="000401B8" w14:paraId="5E11A233" w14:textId="77777777" w:rsidTr="000401B8">
        <w:tc>
          <w:tcPr>
            <w:tcW w:w="686" w:type="dxa"/>
          </w:tcPr>
          <w:p w14:paraId="3602C331" w14:textId="38E5A05B" w:rsidR="000401B8" w:rsidRDefault="000401B8" w:rsidP="002533B6">
            <w:pPr>
              <w:jc w:val="center"/>
              <w:rPr>
                <w:rFonts w:ascii="Arial" w:hAnsi="Arial" w:cs="Arial"/>
                <w:color w:val="000000"/>
                <w:sz w:val="20"/>
              </w:rPr>
            </w:pPr>
            <w:r>
              <w:rPr>
                <w:rFonts w:ascii="Arial" w:hAnsi="Arial" w:cs="Arial"/>
                <w:color w:val="000000"/>
                <w:sz w:val="20"/>
              </w:rPr>
              <w:t>453</w:t>
            </w:r>
          </w:p>
        </w:tc>
        <w:tc>
          <w:tcPr>
            <w:tcW w:w="8385" w:type="dxa"/>
          </w:tcPr>
          <w:p w14:paraId="2306FC81" w14:textId="18F7F4B2" w:rsidR="000401B8" w:rsidRDefault="000401B8" w:rsidP="002533B6">
            <w:pPr>
              <w:jc w:val="both"/>
              <w:rPr>
                <w:rFonts w:ascii="Arial" w:hAnsi="Arial" w:cs="Arial"/>
                <w:color w:val="000000"/>
                <w:sz w:val="20"/>
              </w:rPr>
            </w:pPr>
            <w:r>
              <w:rPr>
                <w:rFonts w:ascii="Arial" w:hAnsi="Arial" w:cs="Arial"/>
                <w:noProof/>
                <w:sz w:val="20"/>
                <w:szCs w:val="20"/>
              </w:rPr>
              <w:t>Custodial right</w:t>
            </w:r>
            <w:r w:rsidRPr="00D61468">
              <w:rPr>
                <w:rFonts w:ascii="Arial" w:hAnsi="Arial" w:cs="Arial"/>
                <w:noProof/>
                <w:sz w:val="20"/>
                <w:szCs w:val="20"/>
              </w:rPr>
              <w:t>—</w:t>
            </w:r>
            <w:r w:rsidR="009661BA" w:rsidRPr="00B708D7">
              <w:rPr>
                <w:rFonts w:ascii="Arial" w:hAnsi="Arial" w:cs="Arial"/>
                <w:noProof/>
                <w:sz w:val="20"/>
                <w:szCs w:val="20"/>
              </w:rPr>
              <w:t>children's and young persons' voices</w:t>
            </w:r>
          </w:p>
        </w:tc>
      </w:tr>
      <w:tr w:rsidR="000401B8" w14:paraId="22440ED0" w14:textId="77777777" w:rsidTr="000401B8">
        <w:tc>
          <w:tcPr>
            <w:tcW w:w="686" w:type="dxa"/>
          </w:tcPr>
          <w:p w14:paraId="6588675A" w14:textId="4F47B446" w:rsidR="000401B8" w:rsidRDefault="000401B8" w:rsidP="002533B6">
            <w:pPr>
              <w:jc w:val="center"/>
              <w:rPr>
                <w:rFonts w:ascii="Arial" w:hAnsi="Arial" w:cs="Arial"/>
                <w:color w:val="000000"/>
                <w:sz w:val="20"/>
              </w:rPr>
            </w:pPr>
            <w:r>
              <w:rPr>
                <w:rFonts w:ascii="Arial" w:hAnsi="Arial" w:cs="Arial"/>
                <w:color w:val="000000"/>
                <w:sz w:val="20"/>
              </w:rPr>
              <w:t>454</w:t>
            </w:r>
          </w:p>
        </w:tc>
        <w:tc>
          <w:tcPr>
            <w:tcW w:w="8385" w:type="dxa"/>
          </w:tcPr>
          <w:p w14:paraId="3CF1C5F5" w14:textId="5AA8C0C0" w:rsidR="000401B8" w:rsidRDefault="000401B8" w:rsidP="002533B6">
            <w:pPr>
              <w:jc w:val="both"/>
              <w:rPr>
                <w:rFonts w:ascii="Arial" w:hAnsi="Arial" w:cs="Arial"/>
                <w:color w:val="000000"/>
                <w:sz w:val="20"/>
              </w:rPr>
            </w:pPr>
            <w:r>
              <w:rPr>
                <w:rFonts w:ascii="Arial" w:hAnsi="Arial" w:cs="Arial"/>
                <w:noProof/>
                <w:sz w:val="20"/>
                <w:szCs w:val="20"/>
              </w:rPr>
              <w:t>Custodial right</w:t>
            </w:r>
            <w:r w:rsidRPr="00D61468">
              <w:rPr>
                <w:rFonts w:ascii="Arial" w:hAnsi="Arial" w:cs="Arial"/>
                <w:noProof/>
                <w:sz w:val="20"/>
                <w:szCs w:val="20"/>
              </w:rPr>
              <w:t>—</w:t>
            </w:r>
            <w:r w:rsidR="009661BA" w:rsidRPr="00B708D7">
              <w:rPr>
                <w:rFonts w:ascii="Arial" w:hAnsi="Arial" w:cs="Arial"/>
                <w:noProof/>
                <w:sz w:val="20"/>
                <w:szCs w:val="20"/>
              </w:rPr>
              <w:t>legal representation</w:t>
            </w:r>
          </w:p>
        </w:tc>
      </w:tr>
      <w:tr w:rsidR="000401B8" w14:paraId="7B431150" w14:textId="77777777" w:rsidTr="000401B8">
        <w:tc>
          <w:tcPr>
            <w:tcW w:w="686" w:type="dxa"/>
          </w:tcPr>
          <w:p w14:paraId="27F90DFE" w14:textId="6A1929ED" w:rsidR="000401B8" w:rsidRDefault="000401B8" w:rsidP="002533B6">
            <w:pPr>
              <w:jc w:val="center"/>
              <w:rPr>
                <w:rFonts w:ascii="Arial" w:hAnsi="Arial" w:cs="Arial"/>
                <w:color w:val="000000"/>
                <w:sz w:val="20"/>
              </w:rPr>
            </w:pPr>
            <w:r>
              <w:rPr>
                <w:rFonts w:ascii="Arial" w:hAnsi="Arial" w:cs="Arial"/>
                <w:color w:val="000000"/>
                <w:sz w:val="20"/>
              </w:rPr>
              <w:t>455</w:t>
            </w:r>
          </w:p>
        </w:tc>
        <w:tc>
          <w:tcPr>
            <w:tcW w:w="8385" w:type="dxa"/>
          </w:tcPr>
          <w:p w14:paraId="189A873E" w14:textId="3FAEFE0D" w:rsidR="000401B8" w:rsidRDefault="000401B8" w:rsidP="002533B6">
            <w:pPr>
              <w:jc w:val="both"/>
              <w:rPr>
                <w:rFonts w:ascii="Arial" w:hAnsi="Arial" w:cs="Arial"/>
                <w:color w:val="000000"/>
                <w:sz w:val="20"/>
              </w:rPr>
            </w:pPr>
            <w:r>
              <w:rPr>
                <w:rFonts w:ascii="Arial" w:hAnsi="Arial" w:cs="Arial"/>
                <w:noProof/>
                <w:sz w:val="20"/>
                <w:szCs w:val="20"/>
              </w:rPr>
              <w:t>Custodial right</w:t>
            </w:r>
            <w:r w:rsidR="009661BA" w:rsidRPr="00D61468">
              <w:rPr>
                <w:rFonts w:ascii="Arial" w:hAnsi="Arial" w:cs="Arial"/>
                <w:noProof/>
                <w:sz w:val="20"/>
                <w:szCs w:val="20"/>
              </w:rPr>
              <w:t>—</w:t>
            </w:r>
            <w:r w:rsidR="009661BA" w:rsidRPr="00B708D7">
              <w:rPr>
                <w:rFonts w:ascii="Arial" w:hAnsi="Arial" w:cs="Arial"/>
                <w:noProof/>
                <w:sz w:val="20"/>
                <w:szCs w:val="20"/>
              </w:rPr>
              <w:t>legal representation</w:t>
            </w:r>
          </w:p>
        </w:tc>
      </w:tr>
      <w:tr w:rsidR="000401B8" w14:paraId="769E0EFA" w14:textId="77777777" w:rsidTr="000401B8">
        <w:tc>
          <w:tcPr>
            <w:tcW w:w="686" w:type="dxa"/>
          </w:tcPr>
          <w:p w14:paraId="56FC2851" w14:textId="60245CA8" w:rsidR="000401B8" w:rsidRDefault="000401B8" w:rsidP="002533B6">
            <w:pPr>
              <w:jc w:val="center"/>
              <w:rPr>
                <w:rFonts w:ascii="Arial" w:hAnsi="Arial" w:cs="Arial"/>
                <w:color w:val="000000"/>
                <w:sz w:val="20"/>
              </w:rPr>
            </w:pPr>
            <w:r>
              <w:rPr>
                <w:rFonts w:ascii="Arial" w:hAnsi="Arial" w:cs="Arial"/>
                <w:color w:val="000000"/>
                <w:sz w:val="20"/>
              </w:rPr>
              <w:t>456</w:t>
            </w:r>
          </w:p>
        </w:tc>
        <w:tc>
          <w:tcPr>
            <w:tcW w:w="8385" w:type="dxa"/>
          </w:tcPr>
          <w:p w14:paraId="22A387D1" w14:textId="0BBC4B89" w:rsidR="000401B8" w:rsidRDefault="000401B8" w:rsidP="002533B6">
            <w:pPr>
              <w:jc w:val="both"/>
              <w:rPr>
                <w:rFonts w:ascii="Arial" w:hAnsi="Arial" w:cs="Arial"/>
                <w:color w:val="000000"/>
                <w:sz w:val="20"/>
              </w:rPr>
            </w:pPr>
            <w:r>
              <w:rPr>
                <w:rFonts w:ascii="Arial" w:hAnsi="Arial" w:cs="Arial"/>
                <w:noProof/>
                <w:sz w:val="20"/>
                <w:szCs w:val="20"/>
              </w:rPr>
              <w:t>Custodial right</w:t>
            </w:r>
            <w:r w:rsidR="009661BA" w:rsidRPr="00D61468">
              <w:rPr>
                <w:rFonts w:ascii="Arial" w:hAnsi="Arial" w:cs="Arial"/>
                <w:noProof/>
                <w:sz w:val="20"/>
                <w:szCs w:val="20"/>
              </w:rPr>
              <w:t>—</w:t>
            </w:r>
            <w:r w:rsidR="009661BA">
              <w:rPr>
                <w:rFonts w:ascii="Arial" w:hAnsi="Arial" w:cs="Arial"/>
                <w:noProof/>
                <w:sz w:val="20"/>
                <w:szCs w:val="20"/>
              </w:rPr>
              <w:t>external support</w:t>
            </w:r>
          </w:p>
        </w:tc>
      </w:tr>
      <w:tr w:rsidR="009661BA" w14:paraId="5B515FA4" w14:textId="77777777" w:rsidTr="002533B6">
        <w:tc>
          <w:tcPr>
            <w:tcW w:w="9071" w:type="dxa"/>
            <w:gridSpan w:val="2"/>
            <w:shd w:val="clear" w:color="auto" w:fill="000000" w:themeFill="text1"/>
          </w:tcPr>
          <w:p w14:paraId="527B329C" w14:textId="6DAB83DB" w:rsidR="009661BA" w:rsidRPr="008B71A5" w:rsidRDefault="009661BA" w:rsidP="002533B6">
            <w:pPr>
              <w:keepNext/>
              <w:keepLines/>
              <w:jc w:val="center"/>
              <w:rPr>
                <w:rFonts w:ascii="Arial" w:hAnsi="Arial" w:cs="Arial"/>
                <w:b/>
                <w:bCs/>
                <w:noProof/>
                <w:sz w:val="20"/>
                <w:szCs w:val="20"/>
              </w:rPr>
            </w:pPr>
            <w:r>
              <w:rPr>
                <w:rFonts w:ascii="Arial" w:hAnsi="Arial" w:cs="Arial"/>
                <w:b/>
                <w:bCs/>
                <w:noProof/>
                <w:sz w:val="20"/>
                <w:szCs w:val="20"/>
              </w:rPr>
              <w:t xml:space="preserve">Part 10.2, Division 2 </w:t>
            </w:r>
            <w:r w:rsidRPr="008B71A5">
              <w:rPr>
                <w:rFonts w:ascii="Arial" w:hAnsi="Arial" w:cs="Arial"/>
                <w:b/>
                <w:bCs/>
                <w:noProof/>
                <w:sz w:val="20"/>
                <w:szCs w:val="20"/>
              </w:rPr>
              <w:t xml:space="preserve">– </w:t>
            </w:r>
            <w:r>
              <w:rPr>
                <w:rFonts w:ascii="Arial" w:hAnsi="Arial" w:cs="Arial"/>
                <w:b/>
                <w:bCs/>
                <w:noProof/>
                <w:sz w:val="20"/>
                <w:szCs w:val="20"/>
              </w:rPr>
              <w:t>Responsibilities of children and young persons in YJCCs</w:t>
            </w:r>
          </w:p>
        </w:tc>
      </w:tr>
      <w:tr w:rsidR="000401B8" w14:paraId="3E51F1A1" w14:textId="77777777" w:rsidTr="000401B8">
        <w:tc>
          <w:tcPr>
            <w:tcW w:w="686" w:type="dxa"/>
          </w:tcPr>
          <w:p w14:paraId="28B1738C" w14:textId="1858966B" w:rsidR="000401B8" w:rsidRDefault="000401B8" w:rsidP="002533B6">
            <w:pPr>
              <w:jc w:val="center"/>
              <w:rPr>
                <w:rFonts w:ascii="Arial" w:hAnsi="Arial" w:cs="Arial"/>
                <w:color w:val="000000"/>
                <w:sz w:val="20"/>
              </w:rPr>
            </w:pPr>
            <w:r>
              <w:rPr>
                <w:rFonts w:ascii="Arial" w:hAnsi="Arial" w:cs="Arial"/>
                <w:color w:val="000000"/>
                <w:sz w:val="20"/>
              </w:rPr>
              <w:t>457</w:t>
            </w:r>
          </w:p>
        </w:tc>
        <w:tc>
          <w:tcPr>
            <w:tcW w:w="8385" w:type="dxa"/>
          </w:tcPr>
          <w:p w14:paraId="3AAA9CE6" w14:textId="3FD6F6EE" w:rsidR="000401B8" w:rsidRDefault="009661BA" w:rsidP="002533B6">
            <w:pPr>
              <w:jc w:val="both"/>
              <w:rPr>
                <w:rFonts w:ascii="Arial" w:hAnsi="Arial" w:cs="Arial"/>
                <w:color w:val="000000"/>
                <w:sz w:val="20"/>
              </w:rPr>
            </w:pPr>
            <w:r w:rsidRPr="00B708D7">
              <w:rPr>
                <w:rFonts w:ascii="Arial" w:hAnsi="Arial" w:cs="Arial"/>
                <w:noProof/>
                <w:sz w:val="20"/>
                <w:szCs w:val="20"/>
              </w:rPr>
              <w:t>Responsibility to comply with custodial rules</w:t>
            </w:r>
          </w:p>
        </w:tc>
      </w:tr>
      <w:tr w:rsidR="000401B8" w14:paraId="2C2FE6BD" w14:textId="77777777" w:rsidTr="000401B8">
        <w:tc>
          <w:tcPr>
            <w:tcW w:w="686" w:type="dxa"/>
          </w:tcPr>
          <w:p w14:paraId="68AF91AA" w14:textId="2A44D166" w:rsidR="000401B8" w:rsidRDefault="000401B8" w:rsidP="002533B6">
            <w:pPr>
              <w:jc w:val="center"/>
              <w:rPr>
                <w:rFonts w:ascii="Arial" w:hAnsi="Arial" w:cs="Arial"/>
                <w:color w:val="000000"/>
                <w:sz w:val="20"/>
              </w:rPr>
            </w:pPr>
            <w:r>
              <w:rPr>
                <w:rFonts w:ascii="Arial" w:hAnsi="Arial" w:cs="Arial"/>
                <w:color w:val="000000"/>
                <w:sz w:val="20"/>
              </w:rPr>
              <w:t>458</w:t>
            </w:r>
          </w:p>
        </w:tc>
        <w:tc>
          <w:tcPr>
            <w:tcW w:w="8385" w:type="dxa"/>
          </w:tcPr>
          <w:p w14:paraId="32742157" w14:textId="5877283F" w:rsidR="000401B8" w:rsidRDefault="009661BA" w:rsidP="002533B6">
            <w:pPr>
              <w:jc w:val="both"/>
              <w:rPr>
                <w:rFonts w:ascii="Arial" w:hAnsi="Arial" w:cs="Arial"/>
                <w:color w:val="000000"/>
                <w:sz w:val="20"/>
              </w:rPr>
            </w:pPr>
            <w:r w:rsidRPr="00B708D7">
              <w:rPr>
                <w:rFonts w:ascii="Arial" w:hAnsi="Arial" w:cs="Arial"/>
                <w:noProof/>
                <w:sz w:val="20"/>
                <w:szCs w:val="20"/>
              </w:rPr>
              <w:t>Commissioner for Youth Justice to make custodial rules</w:t>
            </w:r>
          </w:p>
        </w:tc>
      </w:tr>
      <w:tr w:rsidR="000401B8" w14:paraId="3DE8BB70" w14:textId="77777777" w:rsidTr="000401B8">
        <w:tc>
          <w:tcPr>
            <w:tcW w:w="686" w:type="dxa"/>
          </w:tcPr>
          <w:p w14:paraId="0FA4EA3A" w14:textId="44DE7769" w:rsidR="000401B8" w:rsidRDefault="000401B8" w:rsidP="002533B6">
            <w:pPr>
              <w:jc w:val="center"/>
              <w:rPr>
                <w:rFonts w:ascii="Arial" w:hAnsi="Arial" w:cs="Arial"/>
                <w:color w:val="000000"/>
                <w:sz w:val="20"/>
              </w:rPr>
            </w:pPr>
            <w:r>
              <w:rPr>
                <w:rFonts w:ascii="Arial" w:hAnsi="Arial" w:cs="Arial"/>
                <w:color w:val="000000"/>
                <w:sz w:val="20"/>
              </w:rPr>
              <w:t>459</w:t>
            </w:r>
          </w:p>
        </w:tc>
        <w:tc>
          <w:tcPr>
            <w:tcW w:w="8385" w:type="dxa"/>
          </w:tcPr>
          <w:p w14:paraId="44BA6606" w14:textId="53DB2820" w:rsidR="000401B8" w:rsidRPr="00D61468" w:rsidRDefault="009661BA" w:rsidP="002533B6">
            <w:pPr>
              <w:jc w:val="both"/>
              <w:rPr>
                <w:rFonts w:ascii="Arial" w:hAnsi="Arial" w:cs="Arial"/>
                <w:noProof/>
                <w:sz w:val="20"/>
                <w:szCs w:val="20"/>
              </w:rPr>
            </w:pPr>
            <w:r w:rsidRPr="00B708D7">
              <w:rPr>
                <w:rFonts w:ascii="Arial" w:hAnsi="Arial" w:cs="Arial"/>
                <w:noProof/>
                <w:sz w:val="20"/>
                <w:szCs w:val="20"/>
              </w:rPr>
              <w:t>Contravention of custodial rules</w:t>
            </w:r>
          </w:p>
        </w:tc>
      </w:tr>
    </w:tbl>
    <w:p w14:paraId="7CCB6336" w14:textId="77777777" w:rsidR="00B708D7" w:rsidRDefault="00B708D7" w:rsidP="00B708D7">
      <w:pPr>
        <w:jc w:val="both"/>
        <w:rPr>
          <w:rFonts w:ascii="Arial" w:hAnsi="Arial" w:cs="Arial"/>
          <w:sz w:val="20"/>
          <w:szCs w:val="20"/>
        </w:rPr>
      </w:pPr>
    </w:p>
    <w:p w14:paraId="0E5586AA" w14:textId="520843A3" w:rsidR="00883872" w:rsidRDefault="00883872" w:rsidP="00883872">
      <w:pPr>
        <w:pStyle w:val="Heading3"/>
        <w:spacing w:after="120" w:line="240" w:lineRule="auto"/>
        <w:rPr>
          <w:rFonts w:ascii="Arial" w:hAnsi="Arial" w:cs="Arial"/>
          <w:b/>
          <w:bCs/>
          <w:color w:val="000000"/>
          <w:sz w:val="20"/>
        </w:rPr>
      </w:pPr>
      <w:bookmarkStart w:id="165" w:name="_7.3.7_Treatment_of"/>
      <w:bookmarkEnd w:id="165"/>
      <w:r w:rsidRPr="00F51496">
        <w:rPr>
          <w:rFonts w:ascii="Arial" w:hAnsi="Arial" w:cs="Arial"/>
          <w:b/>
          <w:bCs/>
          <w:color w:val="000000"/>
          <w:sz w:val="20"/>
        </w:rPr>
        <w:t>7.</w:t>
      </w:r>
      <w:r>
        <w:rPr>
          <w:rFonts w:ascii="Arial" w:hAnsi="Arial" w:cs="Arial"/>
          <w:b/>
          <w:bCs/>
          <w:color w:val="000000"/>
          <w:sz w:val="20"/>
        </w:rPr>
        <w:t>3.7</w:t>
      </w:r>
      <w:r w:rsidRPr="00F51496">
        <w:rPr>
          <w:rFonts w:ascii="Arial" w:hAnsi="Arial" w:cs="Arial"/>
          <w:b/>
          <w:bCs/>
          <w:color w:val="000000"/>
          <w:sz w:val="20"/>
        </w:rPr>
        <w:tab/>
      </w:r>
      <w:r>
        <w:rPr>
          <w:rFonts w:ascii="Arial" w:hAnsi="Arial" w:cs="Arial"/>
          <w:b/>
          <w:bCs/>
          <w:color w:val="000000"/>
          <w:sz w:val="20"/>
        </w:rPr>
        <w:t>Treatment</w:t>
      </w:r>
      <w:r w:rsidRPr="00883872">
        <w:rPr>
          <w:rFonts w:ascii="Arial" w:hAnsi="Arial" w:cs="Arial"/>
          <w:b/>
          <w:bCs/>
          <w:color w:val="000000"/>
          <w:sz w:val="20"/>
        </w:rPr>
        <w:t xml:space="preserve"> of children in custody or in transit to custody</w:t>
      </w:r>
    </w:p>
    <w:p w14:paraId="4AA27364" w14:textId="01BBE255" w:rsidR="00A07E53" w:rsidRDefault="00A07E53" w:rsidP="00A07E53">
      <w:pPr>
        <w:jc w:val="both"/>
        <w:rPr>
          <w:rFonts w:ascii="Arial" w:hAnsi="Arial" w:cs="Arial"/>
          <w:sz w:val="20"/>
          <w:szCs w:val="20"/>
        </w:rPr>
      </w:pPr>
      <w:r>
        <w:rPr>
          <w:rFonts w:ascii="Arial" w:hAnsi="Arial" w:cs="Arial"/>
          <w:sz w:val="20"/>
          <w:szCs w:val="20"/>
        </w:rPr>
        <w:t>As from 30/09/2026 s.15</w:t>
      </w:r>
      <w:r>
        <w:rPr>
          <w:rFonts w:ascii="Arial" w:hAnsi="Arial" w:cs="Arial"/>
          <w:sz w:val="20"/>
          <w:szCs w:val="20"/>
        </w:rPr>
        <w:t>5</w:t>
      </w:r>
      <w:r>
        <w:rPr>
          <w:rFonts w:ascii="Arial" w:hAnsi="Arial" w:cs="Arial"/>
          <w:sz w:val="20"/>
          <w:szCs w:val="20"/>
        </w:rPr>
        <w:t xml:space="preserve"> YJA [previously in </w:t>
      </w:r>
      <w:r>
        <w:rPr>
          <w:rFonts w:ascii="Arial" w:hAnsi="Arial" w:cs="Arial"/>
          <w:sz w:val="20"/>
          <w:szCs w:val="20"/>
        </w:rPr>
        <w:t>rather</w:t>
      </w:r>
      <w:r>
        <w:rPr>
          <w:rFonts w:ascii="Arial" w:hAnsi="Arial" w:cs="Arial"/>
          <w:sz w:val="20"/>
          <w:szCs w:val="20"/>
        </w:rPr>
        <w:t xml:space="preserve"> different terms in ss.347 &amp; 347A CYFA] provides:</w:t>
      </w:r>
    </w:p>
    <w:p w14:paraId="6DD9F019" w14:textId="2A955AB0" w:rsidR="00A07E53" w:rsidRPr="005D0123" w:rsidRDefault="00A07E53" w:rsidP="00A07E53">
      <w:pPr>
        <w:pStyle w:val="DraftHeading1"/>
        <w:ind w:left="851" w:hanging="284"/>
        <w:jc w:val="both"/>
        <w:rPr>
          <w:rFonts w:ascii="Arial" w:hAnsi="Arial" w:cs="Arial"/>
          <w:b w:val="0"/>
          <w:sz w:val="20"/>
          <w:szCs w:val="16"/>
        </w:rPr>
      </w:pPr>
      <w:bookmarkStart w:id="166" w:name="_Toc222915091"/>
      <w:r w:rsidRPr="005D0123">
        <w:rPr>
          <w:rFonts w:ascii="Arial" w:hAnsi="Arial" w:cs="Arial"/>
          <w:sz w:val="20"/>
          <w:szCs w:val="16"/>
        </w:rPr>
        <w:t>155</w:t>
      </w:r>
      <w:r>
        <w:rPr>
          <w:rFonts w:ascii="Arial" w:hAnsi="Arial" w:cs="Arial"/>
          <w:sz w:val="20"/>
          <w:szCs w:val="16"/>
        </w:rPr>
        <w:t xml:space="preserve">   </w:t>
      </w:r>
      <w:r w:rsidRPr="005D0123">
        <w:rPr>
          <w:rFonts w:ascii="Arial" w:hAnsi="Arial" w:cs="Arial"/>
          <w:sz w:val="20"/>
          <w:szCs w:val="16"/>
        </w:rPr>
        <w:t>Placement of child in custody</w:t>
      </w:r>
      <w:bookmarkEnd w:id="166"/>
    </w:p>
    <w:p w14:paraId="5CDCDECC" w14:textId="7FD91561" w:rsidR="00A07E53" w:rsidRPr="005D0123" w:rsidRDefault="00A07E53" w:rsidP="00EB064B">
      <w:pPr>
        <w:pStyle w:val="DraftHeading2"/>
        <w:tabs>
          <w:tab w:val="right" w:pos="1247"/>
        </w:tabs>
        <w:spacing w:before="60"/>
        <w:ind w:left="1021" w:right="567" w:hanging="454"/>
        <w:jc w:val="both"/>
        <w:rPr>
          <w:rFonts w:ascii="Arial" w:hAnsi="Arial" w:cs="Arial"/>
          <w:sz w:val="20"/>
          <w:szCs w:val="16"/>
        </w:rPr>
      </w:pPr>
      <w:r w:rsidRPr="005D0123">
        <w:rPr>
          <w:rFonts w:ascii="Arial" w:hAnsi="Arial" w:cs="Arial"/>
          <w:sz w:val="20"/>
          <w:szCs w:val="16"/>
        </w:rPr>
        <w:t>(1)</w:t>
      </w:r>
      <w:r w:rsidRPr="005D0123">
        <w:rPr>
          <w:rFonts w:ascii="Arial" w:hAnsi="Arial" w:cs="Arial"/>
          <w:sz w:val="20"/>
          <w:szCs w:val="16"/>
        </w:rPr>
        <w:tab/>
      </w:r>
      <w:r>
        <w:rPr>
          <w:rFonts w:ascii="Arial" w:hAnsi="Arial" w:cs="Arial"/>
          <w:sz w:val="20"/>
          <w:szCs w:val="16"/>
        </w:rPr>
        <w:tab/>
      </w:r>
      <w:r w:rsidRPr="005D0123">
        <w:rPr>
          <w:rFonts w:ascii="Arial" w:hAnsi="Arial" w:cs="Arial"/>
          <w:sz w:val="20"/>
          <w:szCs w:val="16"/>
        </w:rPr>
        <w:t>A child who is remanded in custody by a court or bail justice must be placed in a youth justice custodial centre unless—</w:t>
      </w:r>
    </w:p>
    <w:p w14:paraId="205C31B8" w14:textId="4B15CF09" w:rsidR="00A07E53" w:rsidRDefault="00A07E53" w:rsidP="00EB064B">
      <w:pPr>
        <w:pStyle w:val="DraftHeading3"/>
        <w:tabs>
          <w:tab w:val="right" w:pos="1757"/>
        </w:tabs>
        <w:spacing w:before="0"/>
        <w:ind w:left="1475" w:right="567" w:hanging="454"/>
        <w:jc w:val="both"/>
        <w:rPr>
          <w:rFonts w:ascii="Arial" w:hAnsi="Arial" w:cs="Arial"/>
          <w:sz w:val="20"/>
          <w:szCs w:val="16"/>
        </w:rPr>
      </w:pPr>
      <w:r w:rsidRPr="005D0123">
        <w:rPr>
          <w:rFonts w:ascii="Arial" w:hAnsi="Arial" w:cs="Arial"/>
          <w:sz w:val="20"/>
          <w:szCs w:val="16"/>
        </w:rPr>
        <w:t>(a)</w:t>
      </w:r>
      <w:r w:rsidRPr="005D0123">
        <w:rPr>
          <w:rFonts w:ascii="Arial" w:hAnsi="Arial" w:cs="Arial"/>
          <w:sz w:val="20"/>
          <w:szCs w:val="16"/>
        </w:rPr>
        <w:tab/>
        <w:t>an order under subsection (2) applies; or</w:t>
      </w:r>
    </w:p>
    <w:p w14:paraId="0BEC321E" w14:textId="2F3778DA" w:rsidR="00A07E53" w:rsidRPr="005D0123" w:rsidRDefault="00A07E53" w:rsidP="00EB064B">
      <w:pPr>
        <w:pStyle w:val="DraftHeading3"/>
        <w:tabs>
          <w:tab w:val="right" w:pos="1757"/>
        </w:tabs>
        <w:spacing w:before="0"/>
        <w:ind w:left="1475" w:right="567" w:hanging="454"/>
        <w:jc w:val="both"/>
        <w:rPr>
          <w:rFonts w:ascii="Arial" w:hAnsi="Arial" w:cs="Arial"/>
          <w:sz w:val="20"/>
          <w:szCs w:val="16"/>
        </w:rPr>
      </w:pPr>
      <w:r w:rsidRPr="005D0123">
        <w:rPr>
          <w:rFonts w:ascii="Arial" w:hAnsi="Arial" w:cs="Arial"/>
          <w:sz w:val="20"/>
          <w:szCs w:val="16"/>
        </w:rPr>
        <w:t>(b)</w:t>
      </w:r>
      <w:r w:rsidRPr="005D0123">
        <w:rPr>
          <w:rFonts w:ascii="Arial" w:hAnsi="Arial" w:cs="Arial"/>
          <w:sz w:val="20"/>
          <w:szCs w:val="16"/>
        </w:rPr>
        <w:tab/>
        <w:t>the child is temporarily held or detained in a police gaol for no more than 2</w:t>
      </w:r>
      <w:r w:rsidRPr="00A07E53">
        <w:rPr>
          <w:rFonts w:ascii="Arial" w:hAnsi="Arial" w:cs="Arial"/>
          <w:color w:val="FFFFFF" w:themeColor="background1"/>
          <w:sz w:val="20"/>
          <w:szCs w:val="16"/>
        </w:rPr>
        <w:t> </w:t>
      </w:r>
      <w:r w:rsidRPr="005D0123">
        <w:rPr>
          <w:rFonts w:ascii="Arial" w:hAnsi="Arial" w:cs="Arial"/>
          <w:sz w:val="20"/>
          <w:szCs w:val="16"/>
        </w:rPr>
        <w:t>working days for the purposes of facilitating the transportation of the child to or from a court or a youth justice custodial centre.</w:t>
      </w:r>
    </w:p>
    <w:p w14:paraId="729AE0C6" w14:textId="3E03B4EA" w:rsidR="00A07E53" w:rsidRPr="005D0123" w:rsidRDefault="00A07E53" w:rsidP="00EB064B">
      <w:pPr>
        <w:pStyle w:val="DraftHeading2"/>
        <w:tabs>
          <w:tab w:val="right" w:pos="1247"/>
        </w:tabs>
        <w:spacing w:before="60"/>
        <w:ind w:left="1021" w:right="567" w:hanging="454"/>
        <w:jc w:val="both"/>
        <w:rPr>
          <w:rFonts w:ascii="Arial" w:hAnsi="Arial" w:cs="Arial"/>
          <w:sz w:val="20"/>
          <w:szCs w:val="16"/>
        </w:rPr>
      </w:pPr>
      <w:r w:rsidRPr="005D0123">
        <w:rPr>
          <w:rFonts w:ascii="Arial" w:hAnsi="Arial" w:cs="Arial"/>
          <w:sz w:val="20"/>
          <w:szCs w:val="16"/>
        </w:rPr>
        <w:t>(2)</w:t>
      </w:r>
      <w:r w:rsidRPr="005D0123">
        <w:rPr>
          <w:rFonts w:ascii="Arial" w:hAnsi="Arial" w:cs="Arial"/>
          <w:sz w:val="20"/>
          <w:szCs w:val="16"/>
        </w:rPr>
        <w:tab/>
        <w:t>A court or bail justice may order that a child be remanded in a police gaol if—</w:t>
      </w:r>
    </w:p>
    <w:p w14:paraId="3D63DAA2" w14:textId="3C189678" w:rsidR="00A07E53" w:rsidRDefault="00A07E53" w:rsidP="00EB064B">
      <w:pPr>
        <w:pStyle w:val="DraftHeading3"/>
        <w:numPr>
          <w:ilvl w:val="2"/>
          <w:numId w:val="27"/>
        </w:numPr>
        <w:tabs>
          <w:tab w:val="right" w:pos="1757"/>
        </w:tabs>
        <w:spacing w:before="0"/>
        <w:ind w:left="1475" w:right="567" w:hanging="454"/>
        <w:jc w:val="both"/>
        <w:rPr>
          <w:rFonts w:ascii="Arial" w:hAnsi="Arial" w:cs="Arial"/>
          <w:sz w:val="20"/>
          <w:szCs w:val="16"/>
        </w:rPr>
      </w:pPr>
      <w:r w:rsidRPr="005D0123">
        <w:rPr>
          <w:rFonts w:ascii="Arial" w:hAnsi="Arial" w:cs="Arial"/>
          <w:sz w:val="20"/>
          <w:szCs w:val="16"/>
        </w:rPr>
        <w:t>the period of remand is not more than 2</w:t>
      </w:r>
      <w:r w:rsidRPr="00293C2D">
        <w:rPr>
          <w:rFonts w:ascii="Arial" w:hAnsi="Arial" w:cs="Arial"/>
          <w:color w:val="FFFFFF" w:themeColor="background1"/>
          <w:sz w:val="20"/>
          <w:szCs w:val="16"/>
        </w:rPr>
        <w:t> </w:t>
      </w:r>
      <w:r w:rsidRPr="005D0123">
        <w:rPr>
          <w:rFonts w:ascii="Arial" w:hAnsi="Arial" w:cs="Arial"/>
          <w:sz w:val="20"/>
          <w:szCs w:val="16"/>
        </w:rPr>
        <w:t>working days; and</w:t>
      </w:r>
    </w:p>
    <w:p w14:paraId="4AE34503" w14:textId="623FDC82" w:rsidR="00A07E53" w:rsidRPr="00A07E53" w:rsidRDefault="00A07E53" w:rsidP="00EB064B">
      <w:pPr>
        <w:ind w:left="1475" w:right="567" w:hanging="454"/>
      </w:pPr>
      <w:r w:rsidRPr="005D0123">
        <w:rPr>
          <w:rFonts w:ascii="Arial" w:hAnsi="Arial" w:cs="Arial"/>
          <w:sz w:val="20"/>
          <w:szCs w:val="16"/>
        </w:rPr>
        <w:t>(b)</w:t>
      </w:r>
      <w:r w:rsidRPr="005D0123">
        <w:rPr>
          <w:rFonts w:ascii="Arial" w:hAnsi="Arial" w:cs="Arial"/>
          <w:sz w:val="20"/>
          <w:szCs w:val="16"/>
        </w:rPr>
        <w:tab/>
        <w:t>the proper venue of the court is in a prescribed region of the State.</w:t>
      </w:r>
    </w:p>
    <w:p w14:paraId="07CD066A" w14:textId="31C05C5D" w:rsidR="00293C2D" w:rsidRPr="005D0123" w:rsidRDefault="00293C2D" w:rsidP="00EB064B">
      <w:pPr>
        <w:pStyle w:val="DraftHeading3"/>
        <w:tabs>
          <w:tab w:val="right" w:pos="1757"/>
        </w:tabs>
        <w:ind w:left="1021" w:right="567" w:hanging="454"/>
        <w:jc w:val="both"/>
        <w:rPr>
          <w:rFonts w:ascii="Arial" w:hAnsi="Arial" w:cs="Arial"/>
          <w:sz w:val="20"/>
          <w:szCs w:val="16"/>
        </w:rPr>
      </w:pPr>
      <w:r>
        <w:rPr>
          <w:rFonts w:ascii="Arial" w:hAnsi="Arial" w:cs="Arial"/>
          <w:sz w:val="20"/>
          <w:szCs w:val="16"/>
        </w:rPr>
        <w:t>(3)</w:t>
      </w:r>
      <w:r>
        <w:rPr>
          <w:rFonts w:ascii="Arial" w:hAnsi="Arial" w:cs="Arial"/>
          <w:sz w:val="20"/>
          <w:szCs w:val="16"/>
        </w:rPr>
        <w:tab/>
      </w:r>
      <w:r w:rsidRPr="005D0123">
        <w:rPr>
          <w:rFonts w:ascii="Arial" w:hAnsi="Arial" w:cs="Arial"/>
          <w:sz w:val="20"/>
          <w:szCs w:val="16"/>
        </w:rPr>
        <w:t>A child to whom bail may be granted only by a court and who is detained in police custody pending being brought before the Children's Court must be placed in a youth justice custodial centre unless—</w:t>
      </w:r>
    </w:p>
    <w:p w14:paraId="75037A77" w14:textId="4D1CB947" w:rsidR="00A07E53" w:rsidRPr="005D0123" w:rsidRDefault="00A07E53" w:rsidP="00293C2D">
      <w:pPr>
        <w:pStyle w:val="DraftHeading3"/>
        <w:tabs>
          <w:tab w:val="right" w:pos="1757"/>
        </w:tabs>
        <w:spacing w:before="0"/>
        <w:ind w:left="1475" w:right="567" w:hanging="454"/>
        <w:jc w:val="both"/>
        <w:rPr>
          <w:rFonts w:ascii="Arial" w:hAnsi="Arial" w:cs="Arial"/>
          <w:sz w:val="20"/>
          <w:szCs w:val="16"/>
        </w:rPr>
      </w:pPr>
      <w:r w:rsidRPr="005D0123">
        <w:rPr>
          <w:rFonts w:ascii="Arial" w:hAnsi="Arial" w:cs="Arial"/>
          <w:sz w:val="20"/>
          <w:szCs w:val="16"/>
        </w:rPr>
        <w:t>(a)</w:t>
      </w:r>
      <w:r w:rsidRPr="005D0123">
        <w:rPr>
          <w:rFonts w:ascii="Arial" w:hAnsi="Arial" w:cs="Arial"/>
          <w:sz w:val="20"/>
          <w:szCs w:val="16"/>
        </w:rPr>
        <w:tab/>
        <w:t>the child is detained in a police gaol for no more than 2 working days and the proper venue of the Children's Court is in a prescribed region of the State; or</w:t>
      </w:r>
    </w:p>
    <w:p w14:paraId="217E0ABD" w14:textId="412B8F58" w:rsidR="00A07E53" w:rsidRPr="005D0123" w:rsidRDefault="00A07E53" w:rsidP="00293C2D">
      <w:pPr>
        <w:pStyle w:val="DraftHeading3"/>
        <w:tabs>
          <w:tab w:val="right" w:pos="1757"/>
        </w:tabs>
        <w:spacing w:before="0"/>
        <w:ind w:left="1475" w:right="567" w:hanging="454"/>
        <w:jc w:val="both"/>
        <w:rPr>
          <w:rFonts w:ascii="Arial" w:hAnsi="Arial" w:cs="Arial"/>
          <w:sz w:val="20"/>
          <w:szCs w:val="16"/>
        </w:rPr>
      </w:pPr>
      <w:r w:rsidRPr="005D0123">
        <w:rPr>
          <w:rFonts w:ascii="Arial" w:hAnsi="Arial" w:cs="Arial"/>
          <w:sz w:val="20"/>
          <w:szCs w:val="16"/>
        </w:rPr>
        <w:t>(b)</w:t>
      </w:r>
      <w:r w:rsidRPr="005D0123">
        <w:rPr>
          <w:rFonts w:ascii="Arial" w:hAnsi="Arial" w:cs="Arial"/>
          <w:sz w:val="20"/>
          <w:szCs w:val="16"/>
        </w:rPr>
        <w:tab/>
        <w:t>the child is temporarily held or detained in a police gaol for no more than 2</w:t>
      </w:r>
      <w:r w:rsidR="00293C2D" w:rsidRPr="00293C2D">
        <w:rPr>
          <w:rFonts w:ascii="Arial" w:hAnsi="Arial" w:cs="Arial"/>
          <w:color w:val="FFFFFF" w:themeColor="background1"/>
          <w:sz w:val="20"/>
          <w:szCs w:val="16"/>
        </w:rPr>
        <w:t> </w:t>
      </w:r>
      <w:r w:rsidRPr="005D0123">
        <w:rPr>
          <w:rFonts w:ascii="Arial" w:hAnsi="Arial" w:cs="Arial"/>
          <w:sz w:val="20"/>
          <w:szCs w:val="16"/>
        </w:rPr>
        <w:t>working days for the purposes of facilitating the transportation of the child to or from a court or a youth justice custodial centre.</w:t>
      </w:r>
    </w:p>
    <w:p w14:paraId="5CF3B2BC" w14:textId="77777777" w:rsidR="00A07E53" w:rsidRDefault="00A07E53" w:rsidP="00A07E53">
      <w:pPr>
        <w:jc w:val="both"/>
        <w:rPr>
          <w:rFonts w:ascii="Arial" w:hAnsi="Arial" w:cs="Arial"/>
          <w:sz w:val="20"/>
          <w:szCs w:val="20"/>
        </w:rPr>
      </w:pPr>
    </w:p>
    <w:p w14:paraId="4726B363" w14:textId="67C497D0" w:rsidR="00A07E53" w:rsidRPr="00293C2D" w:rsidRDefault="00293C2D" w:rsidP="00652421">
      <w:pPr>
        <w:pStyle w:val="Heading3"/>
        <w:spacing w:line="240" w:lineRule="auto"/>
        <w:rPr>
          <w:rFonts w:ascii="Arial" w:hAnsi="Arial" w:cs="Arial"/>
          <w:color w:val="000000"/>
          <w:sz w:val="20"/>
        </w:rPr>
      </w:pPr>
      <w:r w:rsidRPr="00293C2D">
        <w:rPr>
          <w:rFonts w:ascii="Arial" w:hAnsi="Arial" w:cs="Arial"/>
          <w:color w:val="000000"/>
          <w:sz w:val="20"/>
        </w:rPr>
        <w:t xml:space="preserve">In s.3(1) YJA “working day” </w:t>
      </w:r>
      <w:r w:rsidR="00D41893">
        <w:rPr>
          <w:rFonts w:ascii="Arial" w:hAnsi="Arial" w:cs="Arial"/>
          <w:color w:val="000000"/>
          <w:sz w:val="20"/>
        </w:rPr>
        <w:t xml:space="preserve">in relation to a court </w:t>
      </w:r>
      <w:r w:rsidRPr="00293C2D">
        <w:rPr>
          <w:rFonts w:ascii="Arial" w:hAnsi="Arial" w:cs="Arial"/>
          <w:color w:val="000000"/>
          <w:sz w:val="20"/>
        </w:rPr>
        <w:t xml:space="preserve">is defined as </w:t>
      </w:r>
      <w:r w:rsidR="00D41893">
        <w:rPr>
          <w:rFonts w:ascii="Arial" w:hAnsi="Arial" w:cs="Arial"/>
          <w:color w:val="000000"/>
          <w:sz w:val="20"/>
        </w:rPr>
        <w:t xml:space="preserve">“a day on which the offices </w:t>
      </w:r>
      <w:r w:rsidR="00652421">
        <w:rPr>
          <w:rFonts w:ascii="Arial" w:hAnsi="Arial" w:cs="Arial"/>
          <w:color w:val="000000"/>
          <w:sz w:val="20"/>
        </w:rPr>
        <w:t xml:space="preserve">are open”. </w:t>
      </w:r>
      <w:r w:rsidR="00652421">
        <w:rPr>
          <w:rFonts w:ascii="Arial" w:hAnsi="Arial" w:cs="Arial"/>
          <w:sz w:val="20"/>
        </w:rPr>
        <w:t xml:space="preserve">Regulation </w:t>
      </w:r>
      <w:r w:rsidR="000100ED">
        <w:rPr>
          <w:rFonts w:ascii="Arial" w:hAnsi="Arial" w:cs="Arial"/>
          <w:sz w:val="20"/>
        </w:rPr>
        <w:t>7</w:t>
      </w:r>
      <w:r w:rsidR="00652421">
        <w:rPr>
          <w:rFonts w:ascii="Arial" w:hAnsi="Arial" w:cs="Arial"/>
          <w:sz w:val="20"/>
        </w:rPr>
        <w:t xml:space="preserve"> &amp; Schedule </w:t>
      </w:r>
      <w:r w:rsidR="000100ED">
        <w:rPr>
          <w:rFonts w:ascii="Arial" w:hAnsi="Arial" w:cs="Arial"/>
          <w:sz w:val="20"/>
        </w:rPr>
        <w:t>2</w:t>
      </w:r>
      <w:r w:rsidR="00652421">
        <w:rPr>
          <w:rFonts w:ascii="Arial" w:hAnsi="Arial" w:cs="Arial"/>
          <w:sz w:val="20"/>
        </w:rPr>
        <w:t xml:space="preserve"> of the </w:t>
      </w:r>
      <w:r w:rsidR="000100ED">
        <w:rPr>
          <w:rFonts w:ascii="Arial" w:hAnsi="Arial" w:cs="Arial"/>
          <w:i/>
          <w:iCs/>
          <w:sz w:val="20"/>
        </w:rPr>
        <w:t>Youth Justice</w:t>
      </w:r>
      <w:r w:rsidR="00652421" w:rsidRPr="00652421">
        <w:rPr>
          <w:rFonts w:ascii="Arial" w:hAnsi="Arial" w:cs="Arial"/>
          <w:i/>
          <w:iCs/>
          <w:sz w:val="20"/>
        </w:rPr>
        <w:t xml:space="preserve"> Regulations 20</w:t>
      </w:r>
      <w:r w:rsidR="000100ED">
        <w:rPr>
          <w:rFonts w:ascii="Arial" w:hAnsi="Arial" w:cs="Arial"/>
          <w:i/>
          <w:iCs/>
          <w:sz w:val="20"/>
        </w:rPr>
        <w:t>25</w:t>
      </w:r>
      <w:r w:rsidR="00652421">
        <w:rPr>
          <w:rFonts w:ascii="Arial" w:hAnsi="Arial" w:cs="Arial"/>
          <w:sz w:val="20"/>
        </w:rPr>
        <w:t xml:space="preserve"> [S.R. No.</w:t>
      </w:r>
      <w:r w:rsidR="000100ED">
        <w:rPr>
          <w:rFonts w:ascii="Arial" w:hAnsi="Arial" w:cs="Arial"/>
          <w:sz w:val="20"/>
        </w:rPr>
        <w:t>80</w:t>
      </w:r>
      <w:r w:rsidR="00652421">
        <w:rPr>
          <w:rFonts w:ascii="Arial" w:hAnsi="Arial" w:cs="Arial"/>
          <w:sz w:val="20"/>
        </w:rPr>
        <w:t>/20</w:t>
      </w:r>
      <w:r w:rsidR="000100ED">
        <w:rPr>
          <w:rFonts w:ascii="Arial" w:hAnsi="Arial" w:cs="Arial"/>
          <w:sz w:val="20"/>
        </w:rPr>
        <w:t>25</w:t>
      </w:r>
      <w:r w:rsidR="00652421">
        <w:rPr>
          <w:rFonts w:ascii="Arial" w:hAnsi="Arial" w:cs="Arial"/>
          <w:sz w:val="20"/>
        </w:rPr>
        <w:t xml:space="preserve">] </w:t>
      </w:r>
      <w:r w:rsidR="000100ED">
        <w:rPr>
          <w:rFonts w:ascii="Arial" w:hAnsi="Arial" w:cs="Arial"/>
          <w:sz w:val="20"/>
        </w:rPr>
        <w:t xml:space="preserve">– as amended by  the </w:t>
      </w:r>
      <w:r w:rsidR="000100ED" w:rsidRPr="000100ED">
        <w:rPr>
          <w:rFonts w:ascii="Arial" w:hAnsi="Arial" w:cs="Arial"/>
          <w:i/>
          <w:iCs/>
          <w:sz w:val="20"/>
        </w:rPr>
        <w:t>Youth Justice Amendment Regulations 2026</w:t>
      </w:r>
      <w:r w:rsidR="000100ED">
        <w:rPr>
          <w:rFonts w:ascii="Arial" w:hAnsi="Arial" w:cs="Arial"/>
          <w:sz w:val="20"/>
        </w:rPr>
        <w:t xml:space="preserve"> [S.R. No.131/2026] – </w:t>
      </w:r>
      <w:r w:rsidR="00652421">
        <w:rPr>
          <w:rFonts w:ascii="Arial" w:hAnsi="Arial" w:cs="Arial"/>
          <w:sz w:val="20"/>
        </w:rPr>
        <w:t xml:space="preserve">list 48 councils, covering the whole of rural &amp; regional Victoria, whose municipal districts are </w:t>
      </w:r>
      <w:r w:rsidR="00652421">
        <w:rPr>
          <w:rFonts w:ascii="Arial" w:hAnsi="Arial" w:cs="Arial"/>
          <w:sz w:val="20"/>
        </w:rPr>
        <w:t>“</w:t>
      </w:r>
      <w:r w:rsidR="00652421">
        <w:rPr>
          <w:rFonts w:ascii="Arial" w:hAnsi="Arial" w:cs="Arial"/>
          <w:sz w:val="20"/>
        </w:rPr>
        <w:t>prescribed regions</w:t>
      </w:r>
      <w:r w:rsidR="00652421">
        <w:rPr>
          <w:rFonts w:ascii="Arial" w:hAnsi="Arial" w:cs="Arial"/>
          <w:sz w:val="20"/>
        </w:rPr>
        <w:t>”</w:t>
      </w:r>
      <w:r w:rsidR="00652421">
        <w:rPr>
          <w:rFonts w:ascii="Arial" w:hAnsi="Arial" w:cs="Arial"/>
          <w:sz w:val="20"/>
        </w:rPr>
        <w:t xml:space="preserve"> for the purposes of </w:t>
      </w:r>
      <w:r w:rsidR="00652421">
        <w:rPr>
          <w:rFonts w:ascii="Arial" w:hAnsi="Arial" w:cs="Arial"/>
          <w:sz w:val="20"/>
        </w:rPr>
        <w:t xml:space="preserve">s.155 YJA: see </w:t>
      </w:r>
      <w:r w:rsidR="00652421" w:rsidRPr="00652421">
        <w:rPr>
          <w:rFonts w:ascii="Arial" w:hAnsi="Arial" w:cs="Arial"/>
          <w:b/>
          <w:bCs/>
          <w:sz w:val="20"/>
          <w:shd w:val="clear" w:color="auto" w:fill="C5E0B3" w:themeFill="accent6" w:themeFillTint="66"/>
        </w:rPr>
        <w:t>section 9.1.1</w:t>
      </w:r>
      <w:r w:rsidR="00652421">
        <w:rPr>
          <w:rFonts w:ascii="Arial" w:hAnsi="Arial" w:cs="Arial"/>
          <w:sz w:val="20"/>
        </w:rPr>
        <w:t>.</w:t>
      </w:r>
    </w:p>
    <w:p w14:paraId="0AF7A2F2" w14:textId="77777777" w:rsidR="00A07E53" w:rsidRPr="00DE3C16" w:rsidRDefault="00A07E53" w:rsidP="00652421">
      <w:pPr>
        <w:pStyle w:val="Heading3"/>
        <w:spacing w:line="240" w:lineRule="auto"/>
        <w:rPr>
          <w:rFonts w:ascii="Arial" w:hAnsi="Arial" w:cs="Arial"/>
          <w:color w:val="000000"/>
          <w:sz w:val="20"/>
        </w:rPr>
      </w:pPr>
    </w:p>
    <w:p w14:paraId="76025F05" w14:textId="771959A9" w:rsidR="0057571E" w:rsidRPr="000438D8" w:rsidRDefault="00112A78" w:rsidP="00EB7AE3">
      <w:pPr>
        <w:keepNext/>
        <w:keepLines/>
        <w:shd w:val="clear" w:color="auto" w:fill="FFFFFF"/>
        <w:jc w:val="center"/>
        <w:rPr>
          <w:rFonts w:ascii="Arial" w:hAnsi="Arial" w:cs="Arial"/>
          <w:color w:val="141412"/>
          <w:sz w:val="20"/>
          <w:szCs w:val="20"/>
          <w:u w:val="single"/>
        </w:rPr>
      </w:pPr>
      <w:r>
        <w:rPr>
          <w:rFonts w:ascii="Arial" w:hAnsi="Arial" w:cs="Arial"/>
          <w:b/>
          <w:bCs/>
          <w:i/>
          <w:iCs/>
          <w:sz w:val="20"/>
          <w:szCs w:val="20"/>
          <w:u w:val="single"/>
        </w:rPr>
        <w:lastRenderedPageBreak/>
        <w:t>Powers to search child or young person held in custody in a youth justice custodial centre</w:t>
      </w:r>
    </w:p>
    <w:p w14:paraId="4113EDF7" w14:textId="77777777" w:rsidR="005E3E6B" w:rsidRDefault="005E3E6B" w:rsidP="005E3E6B">
      <w:pPr>
        <w:jc w:val="both"/>
        <w:rPr>
          <w:rFonts w:ascii="Arial" w:hAnsi="Arial" w:cs="Arial"/>
          <w:sz w:val="20"/>
          <w:szCs w:val="20"/>
        </w:rPr>
      </w:pPr>
    </w:p>
    <w:p w14:paraId="24D83256" w14:textId="5F75257D" w:rsidR="003A1F86" w:rsidRDefault="003A1F86" w:rsidP="003A1F86">
      <w:pPr>
        <w:jc w:val="both"/>
        <w:rPr>
          <w:rFonts w:ascii="Arial" w:hAnsi="Arial" w:cs="Arial"/>
          <w:sz w:val="20"/>
          <w:szCs w:val="20"/>
        </w:rPr>
      </w:pPr>
      <w:r>
        <w:rPr>
          <w:rFonts w:ascii="Arial" w:hAnsi="Arial" w:cs="Arial"/>
          <w:sz w:val="20"/>
          <w:szCs w:val="20"/>
        </w:rPr>
        <w:t xml:space="preserve">The previous provisions </w:t>
      </w:r>
      <w:r>
        <w:rPr>
          <w:rFonts w:ascii="Arial" w:hAnsi="Arial" w:cs="Arial"/>
          <w:sz w:val="20"/>
          <w:szCs w:val="20"/>
        </w:rPr>
        <w:t>formerly in Division 3 of Part 5.8 of the CYFA (ss.488A-488D) – headed “</w:t>
      </w:r>
      <w:r w:rsidRPr="005E3E6B">
        <w:rPr>
          <w:rFonts w:ascii="Arial" w:hAnsi="Arial" w:cs="Arial"/>
          <w:b/>
          <w:bCs/>
          <w:sz w:val="20"/>
          <w:szCs w:val="20"/>
        </w:rPr>
        <w:t>Searches of persons entering, leaving or within youth justice facilities and requirements on visitors</w:t>
      </w:r>
      <w:r>
        <w:rPr>
          <w:rFonts w:ascii="Arial" w:hAnsi="Arial" w:cs="Arial"/>
          <w:sz w:val="20"/>
          <w:szCs w:val="20"/>
        </w:rPr>
        <w:t xml:space="preserve">” – were repealed as and from 30/09/2026 by s.921 of the </w:t>
      </w:r>
      <w:r w:rsidRPr="00D610CE">
        <w:rPr>
          <w:rFonts w:ascii="Arial" w:hAnsi="Arial" w:cs="Arial"/>
          <w:i/>
          <w:iCs/>
          <w:sz w:val="20"/>
          <w:szCs w:val="20"/>
        </w:rPr>
        <w:t>Youth Justice Act 2024</w:t>
      </w:r>
      <w:r>
        <w:rPr>
          <w:rFonts w:ascii="Arial" w:hAnsi="Arial" w:cs="Arial"/>
          <w:sz w:val="20"/>
          <w:szCs w:val="20"/>
        </w:rPr>
        <w:t xml:space="preserve"> [YJA].</w:t>
      </w:r>
    </w:p>
    <w:p w14:paraId="3203BF63" w14:textId="77777777" w:rsidR="003A1F86" w:rsidRDefault="003A1F86" w:rsidP="003A1F86">
      <w:pPr>
        <w:jc w:val="both"/>
        <w:rPr>
          <w:rFonts w:ascii="Arial" w:hAnsi="Arial" w:cs="Arial"/>
          <w:sz w:val="20"/>
          <w:szCs w:val="20"/>
        </w:rPr>
      </w:pPr>
    </w:p>
    <w:p w14:paraId="16EC5FC2" w14:textId="3E9FC31C" w:rsidR="003A1F86" w:rsidRDefault="003A1F86" w:rsidP="00CD49FD">
      <w:pPr>
        <w:spacing w:after="120"/>
        <w:jc w:val="both"/>
        <w:rPr>
          <w:rFonts w:ascii="Arial" w:hAnsi="Arial" w:cs="Arial"/>
          <w:sz w:val="20"/>
          <w:szCs w:val="20"/>
        </w:rPr>
      </w:pPr>
      <w:r>
        <w:rPr>
          <w:rFonts w:ascii="Arial" w:hAnsi="Arial" w:cs="Arial"/>
          <w:sz w:val="20"/>
          <w:szCs w:val="20"/>
        </w:rPr>
        <w:t xml:space="preserve">As from 30/09/2026 significantly </w:t>
      </w:r>
      <w:r>
        <w:rPr>
          <w:rFonts w:ascii="Arial" w:hAnsi="Arial" w:cs="Arial"/>
          <w:sz w:val="20"/>
          <w:szCs w:val="20"/>
        </w:rPr>
        <w:t xml:space="preserve">expanded replacement provisions </w:t>
      </w:r>
      <w:r>
        <w:rPr>
          <w:rFonts w:ascii="Arial" w:hAnsi="Arial" w:cs="Arial"/>
          <w:sz w:val="20"/>
          <w:szCs w:val="20"/>
        </w:rPr>
        <w:t xml:space="preserve">governing the treatment of </w:t>
      </w:r>
      <w:r w:rsidR="00CD49FD">
        <w:rPr>
          <w:rFonts w:ascii="Arial" w:hAnsi="Arial" w:cs="Arial"/>
          <w:sz w:val="20"/>
          <w:szCs w:val="20"/>
        </w:rPr>
        <w:t xml:space="preserve">a </w:t>
      </w:r>
      <w:r>
        <w:rPr>
          <w:rFonts w:ascii="Arial" w:hAnsi="Arial" w:cs="Arial"/>
          <w:sz w:val="20"/>
          <w:szCs w:val="20"/>
        </w:rPr>
        <w:t xml:space="preserve">child </w:t>
      </w:r>
      <w:r w:rsidR="00CD49FD">
        <w:rPr>
          <w:rFonts w:ascii="Arial" w:hAnsi="Arial" w:cs="Arial"/>
          <w:sz w:val="20"/>
          <w:szCs w:val="20"/>
        </w:rPr>
        <w:t xml:space="preserve">or young person held </w:t>
      </w:r>
      <w:r>
        <w:rPr>
          <w:rFonts w:ascii="Arial" w:hAnsi="Arial" w:cs="Arial"/>
          <w:sz w:val="20"/>
          <w:szCs w:val="20"/>
        </w:rPr>
        <w:t xml:space="preserve">in custody </w:t>
      </w:r>
      <w:r w:rsidR="00CD49FD">
        <w:rPr>
          <w:rFonts w:ascii="Arial" w:hAnsi="Arial" w:cs="Arial"/>
          <w:sz w:val="20"/>
          <w:szCs w:val="20"/>
        </w:rPr>
        <w:t xml:space="preserve">in a YJCC </w:t>
      </w:r>
      <w:r>
        <w:rPr>
          <w:rFonts w:ascii="Arial" w:hAnsi="Arial" w:cs="Arial"/>
          <w:sz w:val="20"/>
          <w:szCs w:val="20"/>
        </w:rPr>
        <w:t>are in Chapter 10 YJA – “</w:t>
      </w:r>
      <w:r>
        <w:rPr>
          <w:rFonts w:ascii="Arial" w:hAnsi="Arial" w:cs="Arial"/>
          <w:b/>
          <w:bCs/>
          <w:sz w:val="20"/>
          <w:szCs w:val="20"/>
        </w:rPr>
        <w:t>Youth justice custody</w:t>
      </w:r>
      <w:r>
        <w:rPr>
          <w:rFonts w:ascii="Arial" w:hAnsi="Arial" w:cs="Arial"/>
          <w:sz w:val="20"/>
          <w:szCs w:val="20"/>
        </w:rPr>
        <w:t xml:space="preserve">” – and in particular in </w:t>
      </w:r>
      <w:r w:rsidR="00CD49FD">
        <w:rPr>
          <w:rFonts w:ascii="Arial" w:hAnsi="Arial" w:cs="Arial"/>
          <w:sz w:val="20"/>
          <w:szCs w:val="20"/>
        </w:rPr>
        <w:t xml:space="preserve">Parts 10.3 &amp; 10.4 YJA (ss.460-527). The stipulations more </w:t>
      </w:r>
      <w:r w:rsidR="00EB7AE3">
        <w:rPr>
          <w:rFonts w:ascii="Arial" w:hAnsi="Arial" w:cs="Arial"/>
          <w:sz w:val="20"/>
          <w:szCs w:val="20"/>
        </w:rPr>
        <w:t>specifically</w:t>
      </w:r>
      <w:r w:rsidR="00CD49FD">
        <w:rPr>
          <w:rFonts w:ascii="Arial" w:hAnsi="Arial" w:cs="Arial"/>
          <w:sz w:val="20"/>
          <w:szCs w:val="20"/>
        </w:rPr>
        <w:t xml:space="preserve"> governing searches of YJCC detainees are in </w:t>
      </w:r>
      <w:r>
        <w:rPr>
          <w:rFonts w:ascii="Arial" w:hAnsi="Arial" w:cs="Arial"/>
          <w:sz w:val="20"/>
          <w:szCs w:val="20"/>
        </w:rPr>
        <w:t xml:space="preserve">Divisions 4-6 of Part 10.4 </w:t>
      </w:r>
      <w:r w:rsidR="00EB7AE3">
        <w:rPr>
          <w:rFonts w:ascii="Arial" w:hAnsi="Arial" w:cs="Arial"/>
          <w:sz w:val="20"/>
          <w:szCs w:val="20"/>
        </w:rPr>
        <w:t xml:space="preserve">YJA </w:t>
      </w:r>
      <w:r>
        <w:rPr>
          <w:rFonts w:ascii="Arial" w:hAnsi="Arial" w:cs="Arial"/>
          <w:sz w:val="20"/>
          <w:szCs w:val="20"/>
        </w:rPr>
        <w:t>under the following headings:</w:t>
      </w:r>
    </w:p>
    <w:tbl>
      <w:tblPr>
        <w:tblStyle w:val="TableGrid"/>
        <w:tblW w:w="9071" w:type="dxa"/>
        <w:tblLook w:val="04A0" w:firstRow="1" w:lastRow="0" w:firstColumn="1" w:lastColumn="0" w:noHBand="0" w:noVBand="1"/>
      </w:tblPr>
      <w:tblGrid>
        <w:gridCol w:w="684"/>
        <w:gridCol w:w="8387"/>
      </w:tblGrid>
      <w:tr w:rsidR="008B71A5" w14:paraId="4D79B547" w14:textId="77777777" w:rsidTr="008B71A5">
        <w:tc>
          <w:tcPr>
            <w:tcW w:w="9071" w:type="dxa"/>
            <w:gridSpan w:val="2"/>
            <w:shd w:val="clear" w:color="auto" w:fill="000000" w:themeFill="text1"/>
          </w:tcPr>
          <w:p w14:paraId="3D35A14C" w14:textId="68A07129" w:rsidR="008B71A5" w:rsidRPr="008B71A5" w:rsidRDefault="000401B8" w:rsidP="009661BA">
            <w:pPr>
              <w:keepNext/>
              <w:keepLines/>
              <w:jc w:val="center"/>
              <w:rPr>
                <w:rFonts w:ascii="Arial" w:hAnsi="Arial" w:cs="Arial"/>
                <w:b/>
                <w:bCs/>
                <w:noProof/>
                <w:sz w:val="20"/>
                <w:szCs w:val="20"/>
              </w:rPr>
            </w:pPr>
            <w:r>
              <w:rPr>
                <w:rFonts w:ascii="Arial" w:hAnsi="Arial" w:cs="Arial"/>
                <w:b/>
                <w:bCs/>
                <w:noProof/>
                <w:sz w:val="20"/>
                <w:szCs w:val="20"/>
              </w:rPr>
              <w:t>Part 10.4 YJA – Prohibited actions</w:t>
            </w:r>
          </w:p>
        </w:tc>
      </w:tr>
      <w:tr w:rsidR="000401B8" w14:paraId="01EB625B" w14:textId="77777777" w:rsidTr="000401B8">
        <w:tc>
          <w:tcPr>
            <w:tcW w:w="9071" w:type="dxa"/>
            <w:gridSpan w:val="2"/>
            <w:shd w:val="clear" w:color="auto" w:fill="B2B2B2"/>
          </w:tcPr>
          <w:p w14:paraId="2BD0BCE5" w14:textId="123302F7" w:rsidR="000401B8" w:rsidRPr="008B71A5" w:rsidRDefault="000401B8" w:rsidP="009661BA">
            <w:pPr>
              <w:keepNext/>
              <w:keepLines/>
              <w:jc w:val="center"/>
              <w:rPr>
                <w:rFonts w:ascii="Arial" w:hAnsi="Arial" w:cs="Arial"/>
                <w:b/>
                <w:bCs/>
                <w:noProof/>
                <w:sz w:val="20"/>
                <w:szCs w:val="20"/>
              </w:rPr>
            </w:pPr>
            <w:r w:rsidRPr="008B71A5">
              <w:rPr>
                <w:rFonts w:ascii="Arial" w:hAnsi="Arial" w:cs="Arial"/>
                <w:b/>
                <w:bCs/>
                <w:noProof/>
                <w:sz w:val="20"/>
                <w:szCs w:val="20"/>
              </w:rPr>
              <w:t>Division 4</w:t>
            </w:r>
            <w:r>
              <w:rPr>
                <w:rFonts w:ascii="Arial" w:hAnsi="Arial" w:cs="Arial"/>
                <w:b/>
                <w:bCs/>
                <w:noProof/>
                <w:sz w:val="20"/>
                <w:szCs w:val="20"/>
              </w:rPr>
              <w:t xml:space="preserve"> </w:t>
            </w:r>
            <w:r w:rsidRPr="008B71A5">
              <w:rPr>
                <w:rFonts w:ascii="Arial" w:hAnsi="Arial" w:cs="Arial"/>
                <w:b/>
                <w:bCs/>
                <w:noProof/>
                <w:sz w:val="20"/>
                <w:szCs w:val="20"/>
              </w:rPr>
              <w:t>– Search of child or young person held in custody in a youth justice custodial centre [YJCC</w:t>
            </w:r>
            <w:r>
              <w:rPr>
                <w:rFonts w:ascii="Arial" w:hAnsi="Arial" w:cs="Arial"/>
                <w:b/>
                <w:bCs/>
                <w:noProof/>
                <w:sz w:val="20"/>
                <w:szCs w:val="20"/>
              </w:rPr>
              <w:t>]</w:t>
            </w:r>
          </w:p>
        </w:tc>
      </w:tr>
      <w:tr w:rsidR="008B71A5" w14:paraId="13EBEABF" w14:textId="77777777" w:rsidTr="00421BAA">
        <w:tc>
          <w:tcPr>
            <w:tcW w:w="684" w:type="dxa"/>
          </w:tcPr>
          <w:p w14:paraId="032EA26E" w14:textId="3D58CB3C" w:rsidR="008B71A5" w:rsidRDefault="008B71A5" w:rsidP="002631C3">
            <w:pPr>
              <w:jc w:val="center"/>
              <w:rPr>
                <w:rFonts w:ascii="Arial" w:hAnsi="Arial" w:cs="Arial"/>
                <w:color w:val="000000"/>
                <w:sz w:val="20"/>
              </w:rPr>
            </w:pPr>
            <w:r>
              <w:rPr>
                <w:rFonts w:ascii="Arial" w:hAnsi="Arial" w:cs="Arial"/>
                <w:color w:val="000000"/>
                <w:sz w:val="20"/>
              </w:rPr>
              <w:t>494</w:t>
            </w:r>
          </w:p>
        </w:tc>
        <w:tc>
          <w:tcPr>
            <w:tcW w:w="8387" w:type="dxa"/>
          </w:tcPr>
          <w:p w14:paraId="2F1A02D8" w14:textId="7004C22E" w:rsidR="008B71A5" w:rsidRDefault="00421BAA" w:rsidP="002631C3">
            <w:pPr>
              <w:jc w:val="both"/>
              <w:rPr>
                <w:rFonts w:ascii="Arial" w:hAnsi="Arial" w:cs="Arial"/>
                <w:color w:val="000000"/>
                <w:sz w:val="20"/>
              </w:rPr>
            </w:pPr>
            <w:r w:rsidRPr="00421BAA">
              <w:rPr>
                <w:rFonts w:ascii="Arial" w:hAnsi="Arial" w:cs="Arial"/>
                <w:noProof/>
                <w:sz w:val="20"/>
                <w:szCs w:val="20"/>
              </w:rPr>
              <w:t xml:space="preserve">Search of child or young person on entering or leaving a </w:t>
            </w:r>
            <w:r>
              <w:rPr>
                <w:rFonts w:ascii="Arial" w:hAnsi="Arial" w:cs="Arial"/>
                <w:noProof/>
                <w:sz w:val="20"/>
                <w:szCs w:val="20"/>
              </w:rPr>
              <w:t>YJCC</w:t>
            </w:r>
          </w:p>
        </w:tc>
      </w:tr>
      <w:tr w:rsidR="008B71A5" w14:paraId="6B890718" w14:textId="77777777" w:rsidTr="00421BAA">
        <w:tc>
          <w:tcPr>
            <w:tcW w:w="684" w:type="dxa"/>
          </w:tcPr>
          <w:p w14:paraId="5C99566F" w14:textId="00BF9F91" w:rsidR="008B71A5" w:rsidRDefault="00421BAA" w:rsidP="002631C3">
            <w:pPr>
              <w:jc w:val="center"/>
              <w:rPr>
                <w:rFonts w:ascii="Arial" w:hAnsi="Arial" w:cs="Arial"/>
                <w:color w:val="000000"/>
                <w:sz w:val="20"/>
              </w:rPr>
            </w:pPr>
            <w:r>
              <w:rPr>
                <w:rFonts w:ascii="Arial" w:hAnsi="Arial" w:cs="Arial"/>
                <w:color w:val="000000"/>
                <w:sz w:val="20"/>
              </w:rPr>
              <w:t>495</w:t>
            </w:r>
          </w:p>
        </w:tc>
        <w:tc>
          <w:tcPr>
            <w:tcW w:w="8387" w:type="dxa"/>
          </w:tcPr>
          <w:p w14:paraId="0195D13F" w14:textId="10333ADD" w:rsidR="008B71A5" w:rsidRDefault="00421BAA" w:rsidP="002631C3">
            <w:pPr>
              <w:jc w:val="both"/>
              <w:rPr>
                <w:rFonts w:ascii="Arial" w:hAnsi="Arial" w:cs="Arial"/>
                <w:color w:val="000000"/>
                <w:sz w:val="20"/>
              </w:rPr>
            </w:pPr>
            <w:r w:rsidRPr="00421BAA">
              <w:rPr>
                <w:rFonts w:ascii="Arial" w:hAnsi="Arial" w:cs="Arial"/>
                <w:noProof/>
                <w:sz w:val="20"/>
                <w:szCs w:val="20"/>
              </w:rPr>
              <w:t xml:space="preserve">Commissioner for Youth Justice </w:t>
            </w:r>
            <w:r>
              <w:rPr>
                <w:rFonts w:ascii="Arial" w:hAnsi="Arial" w:cs="Arial"/>
                <w:noProof/>
                <w:sz w:val="20"/>
                <w:szCs w:val="20"/>
              </w:rPr>
              <w:t xml:space="preserve">[CfYJ] </w:t>
            </w:r>
            <w:r w:rsidRPr="00421BAA">
              <w:rPr>
                <w:rFonts w:ascii="Arial" w:hAnsi="Arial" w:cs="Arial"/>
                <w:noProof/>
                <w:sz w:val="20"/>
                <w:szCs w:val="20"/>
              </w:rPr>
              <w:t>may order search</w:t>
            </w:r>
          </w:p>
        </w:tc>
      </w:tr>
      <w:tr w:rsidR="008B71A5" w14:paraId="6EF8DA98" w14:textId="77777777" w:rsidTr="00421BAA">
        <w:tc>
          <w:tcPr>
            <w:tcW w:w="684" w:type="dxa"/>
          </w:tcPr>
          <w:p w14:paraId="02E2202E" w14:textId="14DA73AD" w:rsidR="008B71A5" w:rsidRDefault="00421BAA" w:rsidP="002631C3">
            <w:pPr>
              <w:jc w:val="center"/>
              <w:rPr>
                <w:rFonts w:ascii="Arial" w:hAnsi="Arial" w:cs="Arial"/>
                <w:color w:val="000000"/>
                <w:sz w:val="20"/>
              </w:rPr>
            </w:pPr>
            <w:r>
              <w:rPr>
                <w:rFonts w:ascii="Arial" w:hAnsi="Arial" w:cs="Arial"/>
                <w:color w:val="000000"/>
                <w:sz w:val="20"/>
              </w:rPr>
              <w:t>496</w:t>
            </w:r>
          </w:p>
        </w:tc>
        <w:tc>
          <w:tcPr>
            <w:tcW w:w="8387" w:type="dxa"/>
          </w:tcPr>
          <w:p w14:paraId="37F9387D" w14:textId="193C4D3D" w:rsidR="008B71A5" w:rsidRDefault="00421BAA" w:rsidP="002631C3">
            <w:pPr>
              <w:jc w:val="both"/>
              <w:rPr>
                <w:rFonts w:ascii="Arial" w:hAnsi="Arial" w:cs="Arial"/>
                <w:color w:val="000000"/>
                <w:sz w:val="20"/>
              </w:rPr>
            </w:pPr>
            <w:r>
              <w:rPr>
                <w:rFonts w:ascii="Arial" w:hAnsi="Arial" w:cs="Arial"/>
                <w:color w:val="000000"/>
                <w:sz w:val="20"/>
              </w:rPr>
              <w:t>Search of area ordered under section 495</w:t>
            </w:r>
          </w:p>
        </w:tc>
      </w:tr>
      <w:tr w:rsidR="008B71A5" w14:paraId="0F5AD7CC" w14:textId="77777777" w:rsidTr="00421BAA">
        <w:tc>
          <w:tcPr>
            <w:tcW w:w="684" w:type="dxa"/>
          </w:tcPr>
          <w:p w14:paraId="5BE6D920" w14:textId="2C0F4C8E" w:rsidR="008B71A5" w:rsidRDefault="00421BAA" w:rsidP="002631C3">
            <w:pPr>
              <w:jc w:val="center"/>
              <w:rPr>
                <w:rFonts w:ascii="Arial" w:hAnsi="Arial" w:cs="Arial"/>
                <w:color w:val="000000"/>
                <w:sz w:val="20"/>
              </w:rPr>
            </w:pPr>
            <w:r>
              <w:rPr>
                <w:rFonts w:ascii="Arial" w:hAnsi="Arial" w:cs="Arial"/>
                <w:color w:val="000000"/>
                <w:sz w:val="20"/>
              </w:rPr>
              <w:t>497</w:t>
            </w:r>
          </w:p>
        </w:tc>
        <w:tc>
          <w:tcPr>
            <w:tcW w:w="8387" w:type="dxa"/>
          </w:tcPr>
          <w:p w14:paraId="42248DA5" w14:textId="60281C3E" w:rsidR="008B71A5" w:rsidRDefault="00421BAA" w:rsidP="002631C3">
            <w:pPr>
              <w:jc w:val="both"/>
              <w:rPr>
                <w:rFonts w:ascii="Arial" w:hAnsi="Arial" w:cs="Arial"/>
                <w:color w:val="000000"/>
                <w:sz w:val="20"/>
              </w:rPr>
            </w:pPr>
            <w:r w:rsidRPr="00421BAA">
              <w:rPr>
                <w:rFonts w:ascii="Arial" w:hAnsi="Arial" w:cs="Arial"/>
                <w:noProof/>
                <w:sz w:val="20"/>
                <w:szCs w:val="20"/>
              </w:rPr>
              <w:t xml:space="preserve">Unclothed search of child or young person held in custody in a </w:t>
            </w:r>
            <w:r>
              <w:rPr>
                <w:rFonts w:ascii="Arial" w:hAnsi="Arial" w:cs="Arial"/>
                <w:noProof/>
                <w:sz w:val="20"/>
                <w:szCs w:val="20"/>
              </w:rPr>
              <w:t>YJCC</w:t>
            </w:r>
          </w:p>
        </w:tc>
      </w:tr>
      <w:tr w:rsidR="00421BAA" w14:paraId="3D686C9D" w14:textId="77777777" w:rsidTr="00421BAA">
        <w:tc>
          <w:tcPr>
            <w:tcW w:w="684" w:type="dxa"/>
          </w:tcPr>
          <w:p w14:paraId="729173EA" w14:textId="4045B623" w:rsidR="00421BAA" w:rsidRDefault="00421BAA" w:rsidP="002631C3">
            <w:pPr>
              <w:jc w:val="center"/>
              <w:rPr>
                <w:rFonts w:ascii="Arial" w:hAnsi="Arial" w:cs="Arial"/>
                <w:color w:val="000000"/>
                <w:sz w:val="20"/>
              </w:rPr>
            </w:pPr>
            <w:r>
              <w:rPr>
                <w:rFonts w:ascii="Arial" w:hAnsi="Arial" w:cs="Arial"/>
                <w:color w:val="000000"/>
                <w:sz w:val="20"/>
              </w:rPr>
              <w:t>498</w:t>
            </w:r>
          </w:p>
        </w:tc>
        <w:tc>
          <w:tcPr>
            <w:tcW w:w="8387" w:type="dxa"/>
          </w:tcPr>
          <w:p w14:paraId="5118BF1C" w14:textId="2FD185F2" w:rsidR="00421BAA" w:rsidRDefault="00421BAA" w:rsidP="002631C3">
            <w:pPr>
              <w:jc w:val="both"/>
              <w:rPr>
                <w:rFonts w:ascii="Arial" w:hAnsi="Arial" w:cs="Arial"/>
                <w:color w:val="000000"/>
                <w:sz w:val="20"/>
              </w:rPr>
            </w:pPr>
            <w:r w:rsidRPr="00421BAA">
              <w:rPr>
                <w:rFonts w:ascii="Arial" w:hAnsi="Arial" w:cs="Arial"/>
                <w:noProof/>
                <w:sz w:val="20"/>
                <w:szCs w:val="20"/>
                <w:lang w:val="en-US"/>
              </w:rPr>
              <w:t>Use of reasonable force for unclothed searches must be authorised</w:t>
            </w:r>
          </w:p>
        </w:tc>
      </w:tr>
      <w:tr w:rsidR="00421BAA" w14:paraId="12D291C7" w14:textId="77777777" w:rsidTr="00421BAA">
        <w:tc>
          <w:tcPr>
            <w:tcW w:w="684" w:type="dxa"/>
          </w:tcPr>
          <w:p w14:paraId="59E0B82B" w14:textId="0089CA85" w:rsidR="00421BAA" w:rsidRDefault="00421BAA" w:rsidP="002631C3">
            <w:pPr>
              <w:jc w:val="center"/>
              <w:rPr>
                <w:rFonts w:ascii="Arial" w:hAnsi="Arial" w:cs="Arial"/>
                <w:color w:val="000000"/>
                <w:sz w:val="20"/>
              </w:rPr>
            </w:pPr>
            <w:r>
              <w:rPr>
                <w:rFonts w:ascii="Arial" w:hAnsi="Arial" w:cs="Arial"/>
                <w:color w:val="000000"/>
                <w:sz w:val="20"/>
              </w:rPr>
              <w:t>499</w:t>
            </w:r>
          </w:p>
        </w:tc>
        <w:tc>
          <w:tcPr>
            <w:tcW w:w="8387" w:type="dxa"/>
          </w:tcPr>
          <w:p w14:paraId="1D063957" w14:textId="41A1E400" w:rsidR="00421BAA" w:rsidRDefault="00421BAA" w:rsidP="002631C3">
            <w:pPr>
              <w:jc w:val="both"/>
              <w:rPr>
                <w:rFonts w:ascii="Arial" w:hAnsi="Arial" w:cs="Arial"/>
                <w:color w:val="000000"/>
                <w:sz w:val="20"/>
              </w:rPr>
            </w:pPr>
            <w:r w:rsidRPr="00421BAA">
              <w:rPr>
                <w:rFonts w:ascii="Arial" w:hAnsi="Arial" w:cs="Arial"/>
                <w:noProof/>
                <w:sz w:val="20"/>
                <w:szCs w:val="20"/>
                <w:lang w:val="en-US"/>
              </w:rPr>
              <w:t>General requirements for conducting search of child or young person held in custody in a</w:t>
            </w:r>
            <w:r>
              <w:rPr>
                <w:rFonts w:ascii="Arial" w:hAnsi="Arial" w:cs="Arial"/>
                <w:noProof/>
                <w:sz w:val="20"/>
                <w:szCs w:val="20"/>
                <w:lang w:val="en-US"/>
              </w:rPr>
              <w:t xml:space="preserve"> YJCC</w:t>
            </w:r>
          </w:p>
        </w:tc>
      </w:tr>
      <w:tr w:rsidR="00421BAA" w14:paraId="56358BDF" w14:textId="77777777" w:rsidTr="00421BAA">
        <w:tc>
          <w:tcPr>
            <w:tcW w:w="684" w:type="dxa"/>
          </w:tcPr>
          <w:p w14:paraId="13D163C9" w14:textId="5FC808F7" w:rsidR="00421BAA" w:rsidRDefault="00421BAA" w:rsidP="002631C3">
            <w:pPr>
              <w:jc w:val="center"/>
              <w:rPr>
                <w:rFonts w:ascii="Arial" w:hAnsi="Arial" w:cs="Arial"/>
                <w:color w:val="000000"/>
                <w:sz w:val="20"/>
              </w:rPr>
            </w:pPr>
            <w:r>
              <w:rPr>
                <w:rFonts w:ascii="Arial" w:hAnsi="Arial" w:cs="Arial"/>
                <w:color w:val="000000"/>
                <w:sz w:val="20"/>
              </w:rPr>
              <w:t>500</w:t>
            </w:r>
          </w:p>
        </w:tc>
        <w:tc>
          <w:tcPr>
            <w:tcW w:w="8387" w:type="dxa"/>
          </w:tcPr>
          <w:p w14:paraId="62EDC1ED" w14:textId="66486B7A" w:rsidR="00421BAA" w:rsidRDefault="00421BAA" w:rsidP="002631C3">
            <w:pPr>
              <w:jc w:val="both"/>
              <w:rPr>
                <w:rFonts w:ascii="Arial" w:hAnsi="Arial" w:cs="Arial"/>
                <w:color w:val="000000"/>
                <w:sz w:val="20"/>
              </w:rPr>
            </w:pPr>
            <w:r w:rsidRPr="00421BAA">
              <w:rPr>
                <w:rFonts w:ascii="Arial" w:hAnsi="Arial" w:cs="Arial"/>
                <w:noProof/>
                <w:sz w:val="20"/>
                <w:szCs w:val="20"/>
                <w:lang w:val="en-US"/>
              </w:rPr>
              <w:t>Sex or gender identity of officer conducting pat-down search or unclothed search of child or young person</w:t>
            </w:r>
          </w:p>
        </w:tc>
      </w:tr>
      <w:tr w:rsidR="00421BAA" w14:paraId="5C8E160C" w14:textId="77777777" w:rsidTr="00421BAA">
        <w:tc>
          <w:tcPr>
            <w:tcW w:w="684" w:type="dxa"/>
          </w:tcPr>
          <w:p w14:paraId="4A72F01D" w14:textId="0D8A3C02" w:rsidR="00421BAA" w:rsidRDefault="00421BAA" w:rsidP="002631C3">
            <w:pPr>
              <w:jc w:val="center"/>
              <w:rPr>
                <w:rFonts w:ascii="Arial" w:hAnsi="Arial" w:cs="Arial"/>
                <w:color w:val="000000"/>
                <w:sz w:val="20"/>
              </w:rPr>
            </w:pPr>
            <w:r>
              <w:rPr>
                <w:rFonts w:ascii="Arial" w:hAnsi="Arial" w:cs="Arial"/>
                <w:color w:val="000000"/>
                <w:sz w:val="20"/>
              </w:rPr>
              <w:t>501</w:t>
            </w:r>
          </w:p>
        </w:tc>
        <w:tc>
          <w:tcPr>
            <w:tcW w:w="8387" w:type="dxa"/>
          </w:tcPr>
          <w:p w14:paraId="36725E07" w14:textId="2E7D1312" w:rsidR="00421BAA" w:rsidRDefault="00421BAA" w:rsidP="002631C3">
            <w:pPr>
              <w:jc w:val="both"/>
              <w:rPr>
                <w:rFonts w:ascii="Arial" w:hAnsi="Arial" w:cs="Arial"/>
                <w:color w:val="000000"/>
                <w:sz w:val="20"/>
              </w:rPr>
            </w:pPr>
            <w:r w:rsidRPr="00421BAA">
              <w:rPr>
                <w:rFonts w:ascii="Arial" w:hAnsi="Arial" w:cs="Arial"/>
                <w:noProof/>
                <w:sz w:val="20"/>
                <w:szCs w:val="20"/>
                <w:lang w:val="en-US"/>
              </w:rPr>
              <w:t>Additional requirements for conduct of unclothed searches</w:t>
            </w:r>
          </w:p>
        </w:tc>
      </w:tr>
      <w:tr w:rsidR="00421BAA" w14:paraId="42FACC4A" w14:textId="77777777" w:rsidTr="00421BAA">
        <w:tc>
          <w:tcPr>
            <w:tcW w:w="684" w:type="dxa"/>
          </w:tcPr>
          <w:p w14:paraId="4F3F4B5A" w14:textId="3AE23D90" w:rsidR="00421BAA" w:rsidRDefault="00421BAA" w:rsidP="002631C3">
            <w:pPr>
              <w:jc w:val="center"/>
              <w:rPr>
                <w:rFonts w:ascii="Arial" w:hAnsi="Arial" w:cs="Arial"/>
                <w:color w:val="000000"/>
                <w:sz w:val="20"/>
              </w:rPr>
            </w:pPr>
            <w:r>
              <w:rPr>
                <w:rFonts w:ascii="Arial" w:hAnsi="Arial" w:cs="Arial"/>
                <w:color w:val="000000"/>
                <w:sz w:val="20"/>
              </w:rPr>
              <w:t>502</w:t>
            </w:r>
          </w:p>
        </w:tc>
        <w:tc>
          <w:tcPr>
            <w:tcW w:w="8387" w:type="dxa"/>
          </w:tcPr>
          <w:p w14:paraId="4A3A8B32" w14:textId="5AC95BF5" w:rsidR="00421BAA" w:rsidRDefault="00421BAA" w:rsidP="002631C3">
            <w:pPr>
              <w:jc w:val="both"/>
              <w:rPr>
                <w:rFonts w:ascii="Arial" w:hAnsi="Arial" w:cs="Arial"/>
                <w:color w:val="000000"/>
                <w:sz w:val="20"/>
              </w:rPr>
            </w:pPr>
            <w:r w:rsidRPr="00421BAA">
              <w:rPr>
                <w:rFonts w:ascii="Arial" w:hAnsi="Arial" w:cs="Arial"/>
                <w:noProof/>
                <w:sz w:val="20"/>
                <w:szCs w:val="20"/>
                <w:lang w:val="en-US"/>
              </w:rPr>
              <w:t>Actions after completion of an unclothed search</w:t>
            </w:r>
          </w:p>
        </w:tc>
      </w:tr>
      <w:tr w:rsidR="00421BAA" w14:paraId="080B3D2F" w14:textId="77777777" w:rsidTr="00421BAA">
        <w:tc>
          <w:tcPr>
            <w:tcW w:w="684" w:type="dxa"/>
          </w:tcPr>
          <w:p w14:paraId="073E69A1" w14:textId="09967DFB" w:rsidR="00421BAA" w:rsidRDefault="00421BAA" w:rsidP="002631C3">
            <w:pPr>
              <w:jc w:val="center"/>
              <w:rPr>
                <w:rFonts w:ascii="Arial" w:hAnsi="Arial" w:cs="Arial"/>
                <w:color w:val="000000"/>
                <w:sz w:val="20"/>
              </w:rPr>
            </w:pPr>
            <w:r>
              <w:rPr>
                <w:rFonts w:ascii="Arial" w:hAnsi="Arial" w:cs="Arial"/>
                <w:color w:val="000000"/>
                <w:sz w:val="20"/>
              </w:rPr>
              <w:t>503</w:t>
            </w:r>
          </w:p>
        </w:tc>
        <w:tc>
          <w:tcPr>
            <w:tcW w:w="8387" w:type="dxa"/>
          </w:tcPr>
          <w:p w14:paraId="0066EFD4" w14:textId="7D53B789" w:rsidR="00421BAA" w:rsidRDefault="00421BAA" w:rsidP="002631C3">
            <w:pPr>
              <w:jc w:val="both"/>
              <w:rPr>
                <w:rFonts w:ascii="Arial" w:hAnsi="Arial" w:cs="Arial"/>
                <w:color w:val="000000"/>
                <w:sz w:val="20"/>
              </w:rPr>
            </w:pPr>
            <w:r w:rsidRPr="00421BAA">
              <w:rPr>
                <w:rFonts w:ascii="Arial" w:hAnsi="Arial" w:cs="Arial"/>
                <w:noProof/>
                <w:sz w:val="20"/>
                <w:szCs w:val="20"/>
                <w:lang w:val="en-US"/>
              </w:rPr>
              <w:t>Child or young person to be informed about complaints and actions required after completion of unclothed search</w:t>
            </w:r>
          </w:p>
        </w:tc>
      </w:tr>
      <w:tr w:rsidR="00421BAA" w14:paraId="1B364FAE" w14:textId="77777777" w:rsidTr="00421BAA">
        <w:tc>
          <w:tcPr>
            <w:tcW w:w="684" w:type="dxa"/>
          </w:tcPr>
          <w:p w14:paraId="7E71D986" w14:textId="484F7F23" w:rsidR="00421BAA" w:rsidRDefault="00421BAA" w:rsidP="002631C3">
            <w:pPr>
              <w:jc w:val="center"/>
              <w:rPr>
                <w:rFonts w:ascii="Arial" w:hAnsi="Arial" w:cs="Arial"/>
                <w:color w:val="000000"/>
                <w:sz w:val="20"/>
              </w:rPr>
            </w:pPr>
            <w:r>
              <w:rPr>
                <w:rFonts w:ascii="Arial" w:hAnsi="Arial" w:cs="Arial"/>
                <w:color w:val="000000"/>
                <w:sz w:val="20"/>
              </w:rPr>
              <w:t>504</w:t>
            </w:r>
          </w:p>
        </w:tc>
        <w:tc>
          <w:tcPr>
            <w:tcW w:w="8387" w:type="dxa"/>
          </w:tcPr>
          <w:p w14:paraId="70B2ECE0" w14:textId="77F80550" w:rsidR="00421BAA" w:rsidRDefault="00421BAA" w:rsidP="002631C3">
            <w:pPr>
              <w:jc w:val="both"/>
              <w:rPr>
                <w:rFonts w:ascii="Arial" w:hAnsi="Arial" w:cs="Arial"/>
                <w:color w:val="000000"/>
                <w:sz w:val="20"/>
              </w:rPr>
            </w:pPr>
            <w:r w:rsidRPr="00421BAA">
              <w:rPr>
                <w:rFonts w:ascii="Arial" w:hAnsi="Arial" w:cs="Arial"/>
                <w:noProof/>
                <w:sz w:val="20"/>
                <w:szCs w:val="20"/>
              </w:rPr>
              <w:t>C</w:t>
            </w:r>
            <w:r>
              <w:rPr>
                <w:rFonts w:ascii="Arial" w:hAnsi="Arial" w:cs="Arial"/>
                <w:noProof/>
                <w:sz w:val="20"/>
                <w:szCs w:val="20"/>
              </w:rPr>
              <w:t>fYJ</w:t>
            </w:r>
            <w:r w:rsidRPr="00421BAA">
              <w:rPr>
                <w:rFonts w:ascii="Arial" w:hAnsi="Arial" w:cs="Arial"/>
                <w:noProof/>
                <w:sz w:val="20"/>
                <w:szCs w:val="20"/>
              </w:rPr>
              <w:t xml:space="preserve"> may order search to be terminated</w:t>
            </w:r>
          </w:p>
        </w:tc>
      </w:tr>
      <w:tr w:rsidR="00421BAA" w14:paraId="35AD77C3" w14:textId="77777777" w:rsidTr="00421BAA">
        <w:tc>
          <w:tcPr>
            <w:tcW w:w="684" w:type="dxa"/>
          </w:tcPr>
          <w:p w14:paraId="45908EA0" w14:textId="02B4A1FF" w:rsidR="00421BAA" w:rsidRDefault="00421BAA" w:rsidP="002631C3">
            <w:pPr>
              <w:jc w:val="center"/>
              <w:rPr>
                <w:rFonts w:ascii="Arial" w:hAnsi="Arial" w:cs="Arial"/>
                <w:color w:val="000000"/>
                <w:sz w:val="20"/>
              </w:rPr>
            </w:pPr>
            <w:r>
              <w:rPr>
                <w:rFonts w:ascii="Arial" w:hAnsi="Arial" w:cs="Arial"/>
                <w:color w:val="000000"/>
                <w:sz w:val="20"/>
              </w:rPr>
              <w:t>504A</w:t>
            </w:r>
          </w:p>
        </w:tc>
        <w:tc>
          <w:tcPr>
            <w:tcW w:w="8387" w:type="dxa"/>
          </w:tcPr>
          <w:p w14:paraId="55BC58F4" w14:textId="11553EFC" w:rsidR="00421BAA" w:rsidRDefault="00421BAA" w:rsidP="002631C3">
            <w:pPr>
              <w:jc w:val="both"/>
              <w:rPr>
                <w:rFonts w:ascii="Arial" w:hAnsi="Arial" w:cs="Arial"/>
                <w:color w:val="000000"/>
                <w:sz w:val="20"/>
              </w:rPr>
            </w:pPr>
            <w:r>
              <w:rPr>
                <w:rFonts w:ascii="Arial" w:hAnsi="Arial" w:cs="Arial"/>
                <w:color w:val="000000"/>
                <w:sz w:val="20"/>
              </w:rPr>
              <w:t>Publication of information – unclothed searches</w:t>
            </w:r>
          </w:p>
        </w:tc>
      </w:tr>
      <w:tr w:rsidR="00421BAA" w14:paraId="16B4098A" w14:textId="77777777" w:rsidTr="000401B8">
        <w:tc>
          <w:tcPr>
            <w:tcW w:w="9071" w:type="dxa"/>
            <w:gridSpan w:val="2"/>
            <w:shd w:val="clear" w:color="auto" w:fill="B2B2B2"/>
          </w:tcPr>
          <w:p w14:paraId="3B5A6A7D" w14:textId="1B8BE636" w:rsidR="00421BAA" w:rsidRPr="008B71A5" w:rsidRDefault="00421BAA" w:rsidP="002631C3">
            <w:pPr>
              <w:jc w:val="center"/>
              <w:rPr>
                <w:rFonts w:ascii="Arial" w:hAnsi="Arial" w:cs="Arial"/>
                <w:b/>
                <w:bCs/>
                <w:noProof/>
                <w:sz w:val="20"/>
                <w:szCs w:val="20"/>
              </w:rPr>
            </w:pPr>
            <w:r w:rsidRPr="008B71A5">
              <w:rPr>
                <w:rFonts w:ascii="Arial" w:hAnsi="Arial" w:cs="Arial"/>
                <w:b/>
                <w:bCs/>
                <w:noProof/>
                <w:sz w:val="20"/>
                <w:szCs w:val="20"/>
              </w:rPr>
              <w:t xml:space="preserve">Division </w:t>
            </w:r>
            <w:r>
              <w:rPr>
                <w:rFonts w:ascii="Arial" w:hAnsi="Arial" w:cs="Arial"/>
                <w:b/>
                <w:bCs/>
                <w:noProof/>
                <w:sz w:val="20"/>
                <w:szCs w:val="20"/>
              </w:rPr>
              <w:t>5</w:t>
            </w:r>
            <w:r w:rsidRPr="008B71A5">
              <w:rPr>
                <w:rFonts w:ascii="Arial" w:hAnsi="Arial" w:cs="Arial"/>
                <w:b/>
                <w:bCs/>
                <w:noProof/>
                <w:sz w:val="20"/>
                <w:szCs w:val="20"/>
              </w:rPr>
              <w:t xml:space="preserve"> – </w:t>
            </w:r>
            <w:r>
              <w:rPr>
                <w:rFonts w:ascii="Arial" w:hAnsi="Arial" w:cs="Arial"/>
                <w:b/>
                <w:bCs/>
                <w:noProof/>
                <w:sz w:val="20"/>
                <w:szCs w:val="20"/>
              </w:rPr>
              <w:t>General requirements applying to use of force</w:t>
            </w:r>
          </w:p>
        </w:tc>
      </w:tr>
      <w:tr w:rsidR="00421BAA" w14:paraId="30029FC5" w14:textId="77777777" w:rsidTr="00421BAA">
        <w:tc>
          <w:tcPr>
            <w:tcW w:w="684" w:type="dxa"/>
          </w:tcPr>
          <w:p w14:paraId="76738F0E" w14:textId="4B0C2D90" w:rsidR="00421BAA" w:rsidRDefault="00421BAA" w:rsidP="002631C3">
            <w:pPr>
              <w:jc w:val="center"/>
              <w:rPr>
                <w:rFonts w:ascii="Arial" w:hAnsi="Arial" w:cs="Arial"/>
                <w:color w:val="000000"/>
                <w:sz w:val="20"/>
              </w:rPr>
            </w:pPr>
            <w:r>
              <w:rPr>
                <w:rFonts w:ascii="Arial" w:hAnsi="Arial" w:cs="Arial"/>
                <w:color w:val="000000"/>
                <w:sz w:val="20"/>
              </w:rPr>
              <w:t>505</w:t>
            </w:r>
          </w:p>
        </w:tc>
        <w:tc>
          <w:tcPr>
            <w:tcW w:w="8387" w:type="dxa"/>
          </w:tcPr>
          <w:p w14:paraId="4A440F0F" w14:textId="17972856" w:rsidR="00421BAA" w:rsidRDefault="00421BAA" w:rsidP="002631C3">
            <w:pPr>
              <w:jc w:val="both"/>
              <w:rPr>
                <w:rFonts w:ascii="Arial" w:hAnsi="Arial" w:cs="Arial"/>
                <w:color w:val="000000"/>
                <w:sz w:val="20"/>
              </w:rPr>
            </w:pPr>
            <w:r>
              <w:rPr>
                <w:rFonts w:ascii="Arial" w:hAnsi="Arial" w:cs="Arial"/>
                <w:color w:val="000000"/>
                <w:sz w:val="20"/>
              </w:rPr>
              <w:t>General requirements applying to use of force</w:t>
            </w:r>
          </w:p>
        </w:tc>
      </w:tr>
      <w:tr w:rsidR="00421BAA" w14:paraId="492C8B14" w14:textId="77777777" w:rsidTr="00421BAA">
        <w:tc>
          <w:tcPr>
            <w:tcW w:w="684" w:type="dxa"/>
          </w:tcPr>
          <w:p w14:paraId="36533DD7" w14:textId="2E855176" w:rsidR="00421BAA" w:rsidRDefault="00421BAA" w:rsidP="002631C3">
            <w:pPr>
              <w:jc w:val="center"/>
              <w:rPr>
                <w:rFonts w:ascii="Arial" w:hAnsi="Arial" w:cs="Arial"/>
                <w:color w:val="000000"/>
                <w:sz w:val="20"/>
              </w:rPr>
            </w:pPr>
            <w:r>
              <w:rPr>
                <w:rFonts w:ascii="Arial" w:hAnsi="Arial" w:cs="Arial"/>
                <w:color w:val="000000"/>
                <w:sz w:val="20"/>
              </w:rPr>
              <w:t>506</w:t>
            </w:r>
          </w:p>
        </w:tc>
        <w:tc>
          <w:tcPr>
            <w:tcW w:w="8387" w:type="dxa"/>
          </w:tcPr>
          <w:p w14:paraId="327838EC" w14:textId="705F7566" w:rsidR="00421BAA" w:rsidRDefault="00421BAA" w:rsidP="002631C3">
            <w:pPr>
              <w:jc w:val="both"/>
              <w:rPr>
                <w:rFonts w:ascii="Arial" w:hAnsi="Arial" w:cs="Arial"/>
                <w:color w:val="000000"/>
                <w:sz w:val="20"/>
              </w:rPr>
            </w:pPr>
            <w:r w:rsidRPr="00421BAA">
              <w:rPr>
                <w:rFonts w:ascii="Arial" w:hAnsi="Arial" w:cs="Arial"/>
                <w:noProof/>
                <w:sz w:val="20"/>
                <w:szCs w:val="20"/>
                <w:lang w:val="en-US"/>
              </w:rPr>
              <w:t>Actions to be taken after child or young person subjected to any use of force</w:t>
            </w:r>
          </w:p>
        </w:tc>
      </w:tr>
      <w:tr w:rsidR="00421BAA" w14:paraId="45FF25B5" w14:textId="77777777" w:rsidTr="00421BAA">
        <w:tc>
          <w:tcPr>
            <w:tcW w:w="684" w:type="dxa"/>
          </w:tcPr>
          <w:p w14:paraId="087D154F" w14:textId="5A10CFC5" w:rsidR="00421BAA" w:rsidRDefault="00421BAA" w:rsidP="002631C3">
            <w:pPr>
              <w:jc w:val="center"/>
              <w:rPr>
                <w:rFonts w:ascii="Arial" w:hAnsi="Arial" w:cs="Arial"/>
                <w:color w:val="000000"/>
                <w:sz w:val="20"/>
              </w:rPr>
            </w:pPr>
            <w:r>
              <w:rPr>
                <w:rFonts w:ascii="Arial" w:hAnsi="Arial" w:cs="Arial"/>
                <w:color w:val="000000"/>
                <w:sz w:val="20"/>
              </w:rPr>
              <w:t>507</w:t>
            </w:r>
          </w:p>
        </w:tc>
        <w:tc>
          <w:tcPr>
            <w:tcW w:w="8387" w:type="dxa"/>
          </w:tcPr>
          <w:p w14:paraId="41A73092" w14:textId="62A97A01" w:rsidR="00421BAA" w:rsidRDefault="00421BAA" w:rsidP="002631C3">
            <w:pPr>
              <w:jc w:val="both"/>
              <w:rPr>
                <w:rFonts w:ascii="Arial" w:hAnsi="Arial" w:cs="Arial"/>
                <w:color w:val="000000"/>
                <w:sz w:val="20"/>
              </w:rPr>
            </w:pPr>
            <w:r w:rsidRPr="00421BAA">
              <w:rPr>
                <w:rFonts w:ascii="Arial" w:hAnsi="Arial" w:cs="Arial"/>
                <w:noProof/>
                <w:sz w:val="20"/>
                <w:szCs w:val="20"/>
                <w:lang w:val="en-US"/>
              </w:rPr>
              <w:t>Child or young person to be informed of rights to complain and requirements under this Division</w:t>
            </w:r>
          </w:p>
        </w:tc>
      </w:tr>
      <w:tr w:rsidR="00421BAA" w14:paraId="544FF27F" w14:textId="77777777" w:rsidTr="000401B8">
        <w:tc>
          <w:tcPr>
            <w:tcW w:w="9071" w:type="dxa"/>
            <w:gridSpan w:val="2"/>
            <w:shd w:val="clear" w:color="auto" w:fill="B2B2B2"/>
          </w:tcPr>
          <w:p w14:paraId="314F8FE4" w14:textId="1EDD4D3A" w:rsidR="00421BAA" w:rsidRPr="008B71A5" w:rsidRDefault="00421BAA" w:rsidP="002631C3">
            <w:pPr>
              <w:jc w:val="center"/>
              <w:rPr>
                <w:rFonts w:ascii="Arial" w:hAnsi="Arial" w:cs="Arial"/>
                <w:b/>
                <w:bCs/>
                <w:noProof/>
                <w:sz w:val="20"/>
                <w:szCs w:val="20"/>
              </w:rPr>
            </w:pPr>
            <w:r w:rsidRPr="008B71A5">
              <w:rPr>
                <w:rFonts w:ascii="Arial" w:hAnsi="Arial" w:cs="Arial"/>
                <w:b/>
                <w:bCs/>
                <w:noProof/>
                <w:sz w:val="20"/>
                <w:szCs w:val="20"/>
              </w:rPr>
              <w:t xml:space="preserve">Division </w:t>
            </w:r>
            <w:r>
              <w:rPr>
                <w:rFonts w:ascii="Arial" w:hAnsi="Arial" w:cs="Arial"/>
                <w:b/>
                <w:bCs/>
                <w:noProof/>
                <w:sz w:val="20"/>
                <w:szCs w:val="20"/>
              </w:rPr>
              <w:t>6</w:t>
            </w:r>
            <w:r w:rsidRPr="008B71A5">
              <w:rPr>
                <w:rFonts w:ascii="Arial" w:hAnsi="Arial" w:cs="Arial"/>
                <w:b/>
                <w:bCs/>
                <w:noProof/>
                <w:sz w:val="20"/>
                <w:szCs w:val="20"/>
              </w:rPr>
              <w:t xml:space="preserve"> – </w:t>
            </w:r>
            <w:r>
              <w:rPr>
                <w:rFonts w:ascii="Arial" w:hAnsi="Arial" w:cs="Arial"/>
                <w:b/>
                <w:bCs/>
                <w:noProof/>
                <w:sz w:val="20"/>
                <w:szCs w:val="20"/>
              </w:rPr>
              <w:t>Search of any other person in a YJCC</w:t>
            </w:r>
          </w:p>
        </w:tc>
      </w:tr>
      <w:tr w:rsidR="00421BAA" w14:paraId="607A3BEF" w14:textId="77777777" w:rsidTr="00421BAA">
        <w:tc>
          <w:tcPr>
            <w:tcW w:w="684" w:type="dxa"/>
          </w:tcPr>
          <w:p w14:paraId="39E0DD78" w14:textId="549627BE" w:rsidR="00421BAA" w:rsidRDefault="00421BAA" w:rsidP="002631C3">
            <w:pPr>
              <w:jc w:val="center"/>
              <w:rPr>
                <w:rFonts w:ascii="Arial" w:hAnsi="Arial" w:cs="Arial"/>
                <w:color w:val="000000"/>
                <w:sz w:val="20"/>
              </w:rPr>
            </w:pPr>
            <w:r>
              <w:rPr>
                <w:rFonts w:ascii="Arial" w:hAnsi="Arial" w:cs="Arial"/>
                <w:color w:val="000000"/>
                <w:sz w:val="20"/>
              </w:rPr>
              <w:t>508</w:t>
            </w:r>
          </w:p>
        </w:tc>
        <w:tc>
          <w:tcPr>
            <w:tcW w:w="8387" w:type="dxa"/>
          </w:tcPr>
          <w:p w14:paraId="029D1D50" w14:textId="228D0935" w:rsidR="00421BAA" w:rsidRDefault="00421BAA" w:rsidP="002631C3">
            <w:pPr>
              <w:jc w:val="both"/>
              <w:rPr>
                <w:rFonts w:ascii="Arial" w:hAnsi="Arial" w:cs="Arial"/>
                <w:color w:val="000000"/>
                <w:sz w:val="20"/>
              </w:rPr>
            </w:pPr>
            <w:r w:rsidRPr="00421BAA">
              <w:rPr>
                <w:rFonts w:ascii="Arial" w:hAnsi="Arial" w:cs="Arial"/>
                <w:noProof/>
                <w:sz w:val="20"/>
                <w:szCs w:val="20"/>
              </w:rPr>
              <w:t xml:space="preserve">Search of any person on entering or leaving a </w:t>
            </w:r>
            <w:r>
              <w:rPr>
                <w:rFonts w:ascii="Arial" w:hAnsi="Arial" w:cs="Arial"/>
                <w:noProof/>
                <w:sz w:val="20"/>
                <w:szCs w:val="20"/>
              </w:rPr>
              <w:t>YJCC</w:t>
            </w:r>
          </w:p>
        </w:tc>
      </w:tr>
      <w:tr w:rsidR="00421BAA" w14:paraId="17DD1D05" w14:textId="77777777" w:rsidTr="00421BAA">
        <w:tc>
          <w:tcPr>
            <w:tcW w:w="684" w:type="dxa"/>
          </w:tcPr>
          <w:p w14:paraId="073EAA16" w14:textId="499BAFE0" w:rsidR="00421BAA" w:rsidRDefault="00421BAA" w:rsidP="002631C3">
            <w:pPr>
              <w:jc w:val="center"/>
              <w:rPr>
                <w:rFonts w:ascii="Arial" w:hAnsi="Arial" w:cs="Arial"/>
                <w:color w:val="000000"/>
                <w:sz w:val="20"/>
              </w:rPr>
            </w:pPr>
            <w:r>
              <w:rPr>
                <w:rFonts w:ascii="Arial" w:hAnsi="Arial" w:cs="Arial"/>
                <w:color w:val="000000"/>
                <w:sz w:val="20"/>
              </w:rPr>
              <w:t>509</w:t>
            </w:r>
          </w:p>
        </w:tc>
        <w:tc>
          <w:tcPr>
            <w:tcW w:w="8387" w:type="dxa"/>
          </w:tcPr>
          <w:p w14:paraId="0A0FB69B" w14:textId="69FF1832" w:rsidR="00421BAA" w:rsidRDefault="00421BAA" w:rsidP="002631C3">
            <w:pPr>
              <w:jc w:val="both"/>
              <w:rPr>
                <w:rFonts w:ascii="Arial" w:hAnsi="Arial" w:cs="Arial"/>
                <w:color w:val="000000"/>
                <w:sz w:val="20"/>
              </w:rPr>
            </w:pPr>
            <w:r>
              <w:rPr>
                <w:rFonts w:ascii="Arial" w:hAnsi="Arial" w:cs="Arial"/>
                <w:noProof/>
                <w:sz w:val="20"/>
                <w:szCs w:val="20"/>
              </w:rPr>
              <w:t>C</w:t>
            </w:r>
            <w:r w:rsidRPr="00421BAA">
              <w:rPr>
                <w:rFonts w:ascii="Arial" w:hAnsi="Arial" w:cs="Arial"/>
                <w:noProof/>
                <w:sz w:val="20"/>
                <w:szCs w:val="20"/>
              </w:rPr>
              <w:t>fY</w:t>
            </w:r>
            <w:r>
              <w:rPr>
                <w:rFonts w:ascii="Arial" w:hAnsi="Arial" w:cs="Arial"/>
                <w:noProof/>
                <w:sz w:val="20"/>
                <w:szCs w:val="20"/>
              </w:rPr>
              <w:t>J</w:t>
            </w:r>
            <w:r w:rsidRPr="00421BAA">
              <w:rPr>
                <w:rFonts w:ascii="Arial" w:hAnsi="Arial" w:cs="Arial"/>
                <w:noProof/>
                <w:sz w:val="20"/>
                <w:szCs w:val="20"/>
              </w:rPr>
              <w:t xml:space="preserve"> may order search</w:t>
            </w:r>
          </w:p>
        </w:tc>
      </w:tr>
      <w:tr w:rsidR="00421BAA" w14:paraId="61259691" w14:textId="77777777" w:rsidTr="00421BAA">
        <w:tc>
          <w:tcPr>
            <w:tcW w:w="684" w:type="dxa"/>
          </w:tcPr>
          <w:p w14:paraId="17EE8D2A" w14:textId="33B97B65" w:rsidR="00421BAA" w:rsidRDefault="00421BAA" w:rsidP="002631C3">
            <w:pPr>
              <w:jc w:val="center"/>
              <w:rPr>
                <w:rFonts w:ascii="Arial" w:hAnsi="Arial" w:cs="Arial"/>
                <w:color w:val="000000"/>
                <w:sz w:val="20"/>
              </w:rPr>
            </w:pPr>
            <w:r>
              <w:rPr>
                <w:rFonts w:ascii="Arial" w:hAnsi="Arial" w:cs="Arial"/>
                <w:color w:val="000000"/>
                <w:sz w:val="20"/>
              </w:rPr>
              <w:t>510</w:t>
            </w:r>
          </w:p>
        </w:tc>
        <w:tc>
          <w:tcPr>
            <w:tcW w:w="8387" w:type="dxa"/>
          </w:tcPr>
          <w:p w14:paraId="35AA4BAA" w14:textId="281A254B" w:rsidR="00421BAA" w:rsidRDefault="00421BAA" w:rsidP="002631C3">
            <w:pPr>
              <w:jc w:val="both"/>
              <w:rPr>
                <w:rFonts w:ascii="Arial" w:hAnsi="Arial" w:cs="Arial"/>
                <w:color w:val="000000"/>
                <w:sz w:val="20"/>
              </w:rPr>
            </w:pPr>
            <w:r w:rsidRPr="00421BAA">
              <w:rPr>
                <w:rFonts w:ascii="Arial" w:hAnsi="Arial" w:cs="Arial"/>
                <w:noProof/>
                <w:sz w:val="20"/>
                <w:szCs w:val="20"/>
                <w:lang w:val="en-US"/>
              </w:rPr>
              <w:t xml:space="preserve">General requirements for search of a person other than a child or young person detained in a </w:t>
            </w:r>
            <w:r>
              <w:rPr>
                <w:rFonts w:ascii="Arial" w:hAnsi="Arial" w:cs="Arial"/>
                <w:noProof/>
                <w:sz w:val="20"/>
                <w:szCs w:val="20"/>
                <w:lang w:val="en-US"/>
              </w:rPr>
              <w:t>YJCC</w:t>
            </w:r>
          </w:p>
        </w:tc>
      </w:tr>
      <w:tr w:rsidR="00421BAA" w14:paraId="3B83B679" w14:textId="77777777" w:rsidTr="00421BAA">
        <w:tc>
          <w:tcPr>
            <w:tcW w:w="684" w:type="dxa"/>
          </w:tcPr>
          <w:p w14:paraId="45583B7C" w14:textId="682D0F54" w:rsidR="00421BAA" w:rsidRDefault="00421BAA" w:rsidP="002631C3">
            <w:pPr>
              <w:jc w:val="center"/>
              <w:rPr>
                <w:rFonts w:ascii="Arial" w:hAnsi="Arial" w:cs="Arial"/>
                <w:color w:val="000000"/>
                <w:sz w:val="20"/>
              </w:rPr>
            </w:pPr>
            <w:r>
              <w:rPr>
                <w:rFonts w:ascii="Arial" w:hAnsi="Arial" w:cs="Arial"/>
                <w:color w:val="000000"/>
                <w:sz w:val="20"/>
              </w:rPr>
              <w:t>511</w:t>
            </w:r>
          </w:p>
        </w:tc>
        <w:tc>
          <w:tcPr>
            <w:tcW w:w="8387" w:type="dxa"/>
          </w:tcPr>
          <w:p w14:paraId="64EEE2E7" w14:textId="5A1410B6" w:rsidR="00421BAA" w:rsidRDefault="00421BAA" w:rsidP="002631C3">
            <w:pPr>
              <w:jc w:val="both"/>
              <w:rPr>
                <w:rFonts w:ascii="Arial" w:hAnsi="Arial" w:cs="Arial"/>
                <w:color w:val="000000"/>
                <w:sz w:val="20"/>
              </w:rPr>
            </w:pPr>
            <w:r w:rsidRPr="00421BAA">
              <w:rPr>
                <w:rFonts w:ascii="Arial" w:hAnsi="Arial" w:cs="Arial"/>
                <w:noProof/>
                <w:sz w:val="20"/>
                <w:szCs w:val="20"/>
                <w:lang w:val="en-US"/>
              </w:rPr>
              <w:t>Sex or gender identity of officer conducting pat-down search</w:t>
            </w:r>
          </w:p>
        </w:tc>
      </w:tr>
      <w:tr w:rsidR="00421BAA" w14:paraId="6FA4E205" w14:textId="77777777" w:rsidTr="00421BAA">
        <w:tc>
          <w:tcPr>
            <w:tcW w:w="684" w:type="dxa"/>
          </w:tcPr>
          <w:p w14:paraId="670BA32B" w14:textId="4AC01F62" w:rsidR="00421BAA" w:rsidRDefault="00421BAA" w:rsidP="002631C3">
            <w:pPr>
              <w:jc w:val="center"/>
              <w:rPr>
                <w:rFonts w:ascii="Arial" w:hAnsi="Arial" w:cs="Arial"/>
                <w:color w:val="000000"/>
                <w:sz w:val="20"/>
              </w:rPr>
            </w:pPr>
            <w:r>
              <w:rPr>
                <w:rFonts w:ascii="Arial" w:hAnsi="Arial" w:cs="Arial"/>
                <w:color w:val="000000"/>
                <w:sz w:val="20"/>
              </w:rPr>
              <w:t>512</w:t>
            </w:r>
          </w:p>
        </w:tc>
        <w:tc>
          <w:tcPr>
            <w:tcW w:w="8387" w:type="dxa"/>
          </w:tcPr>
          <w:p w14:paraId="447FA334" w14:textId="413145B4" w:rsidR="00421BAA" w:rsidRPr="00421BAA" w:rsidRDefault="00421BAA" w:rsidP="002631C3">
            <w:pPr>
              <w:jc w:val="both"/>
              <w:rPr>
                <w:rFonts w:ascii="Arial" w:hAnsi="Arial" w:cs="Arial"/>
                <w:noProof/>
                <w:sz w:val="20"/>
                <w:szCs w:val="20"/>
                <w:lang w:val="en-US"/>
              </w:rPr>
            </w:pPr>
            <w:r w:rsidRPr="00421BAA">
              <w:rPr>
                <w:rFonts w:ascii="Arial" w:hAnsi="Arial" w:cs="Arial"/>
                <w:noProof/>
                <w:sz w:val="20"/>
                <w:szCs w:val="20"/>
              </w:rPr>
              <w:t>Consequences of refusal to submit to search</w:t>
            </w:r>
          </w:p>
        </w:tc>
      </w:tr>
      <w:tr w:rsidR="00421BAA" w14:paraId="669F0969" w14:textId="77777777" w:rsidTr="00421BAA">
        <w:tc>
          <w:tcPr>
            <w:tcW w:w="684" w:type="dxa"/>
          </w:tcPr>
          <w:p w14:paraId="4440AF07" w14:textId="1925D961" w:rsidR="00421BAA" w:rsidRDefault="00421BAA" w:rsidP="002631C3">
            <w:pPr>
              <w:jc w:val="center"/>
              <w:rPr>
                <w:rFonts w:ascii="Arial" w:hAnsi="Arial" w:cs="Arial"/>
                <w:color w:val="000000"/>
                <w:sz w:val="20"/>
              </w:rPr>
            </w:pPr>
            <w:r>
              <w:rPr>
                <w:rFonts w:ascii="Arial" w:hAnsi="Arial" w:cs="Arial"/>
                <w:color w:val="000000"/>
                <w:sz w:val="20"/>
              </w:rPr>
              <w:t>513</w:t>
            </w:r>
          </w:p>
        </w:tc>
        <w:tc>
          <w:tcPr>
            <w:tcW w:w="8387" w:type="dxa"/>
          </w:tcPr>
          <w:p w14:paraId="00876E4C" w14:textId="491335B6" w:rsidR="00421BAA" w:rsidRPr="00421BAA" w:rsidRDefault="00421BAA" w:rsidP="002631C3">
            <w:pPr>
              <w:jc w:val="both"/>
              <w:rPr>
                <w:rFonts w:ascii="Arial" w:hAnsi="Arial" w:cs="Arial"/>
                <w:noProof/>
                <w:sz w:val="20"/>
                <w:szCs w:val="20"/>
                <w:lang w:val="en-US"/>
              </w:rPr>
            </w:pPr>
            <w:r w:rsidRPr="00421BAA">
              <w:rPr>
                <w:rFonts w:ascii="Arial" w:hAnsi="Arial" w:cs="Arial"/>
                <w:noProof/>
                <w:sz w:val="20"/>
                <w:szCs w:val="20"/>
              </w:rPr>
              <w:t>C</w:t>
            </w:r>
            <w:r>
              <w:rPr>
                <w:rFonts w:ascii="Arial" w:hAnsi="Arial" w:cs="Arial"/>
                <w:noProof/>
                <w:sz w:val="20"/>
                <w:szCs w:val="20"/>
              </w:rPr>
              <w:t>fYJ</w:t>
            </w:r>
            <w:r w:rsidRPr="00421BAA">
              <w:rPr>
                <w:rFonts w:ascii="Arial" w:hAnsi="Arial" w:cs="Arial"/>
                <w:noProof/>
                <w:sz w:val="20"/>
                <w:szCs w:val="20"/>
              </w:rPr>
              <w:t xml:space="preserve"> may order search of any person to be terminated</w:t>
            </w:r>
          </w:p>
        </w:tc>
      </w:tr>
    </w:tbl>
    <w:p w14:paraId="25524C72" w14:textId="77777777" w:rsidR="00DD2F8A" w:rsidRDefault="00DD2F8A" w:rsidP="00DD2F8A">
      <w:pPr>
        <w:rPr>
          <w:rFonts w:ascii="Arial" w:hAnsi="Arial" w:cs="Arial"/>
          <w:sz w:val="20"/>
          <w:szCs w:val="20"/>
        </w:rPr>
      </w:pPr>
    </w:p>
    <w:p w14:paraId="49DAA046" w14:textId="58EE5B34" w:rsidR="00EB7AE3" w:rsidRDefault="00EB7AE3" w:rsidP="00EB7AE3">
      <w:pPr>
        <w:jc w:val="both"/>
        <w:rPr>
          <w:rFonts w:ascii="Arial" w:hAnsi="Arial" w:cs="Arial"/>
          <w:color w:val="000000"/>
          <w:sz w:val="20"/>
        </w:rPr>
      </w:pPr>
      <w:r>
        <w:rPr>
          <w:rFonts w:ascii="Arial" w:hAnsi="Arial" w:cs="Arial"/>
          <w:sz w:val="20"/>
          <w:szCs w:val="20"/>
        </w:rPr>
        <w:t>In summary, a</w:t>
      </w:r>
      <w:r>
        <w:rPr>
          <w:rFonts w:ascii="Arial" w:hAnsi="Arial" w:cs="Arial"/>
          <w:sz w:val="20"/>
          <w:szCs w:val="20"/>
        </w:rPr>
        <w:t xml:space="preserve"> child or young person held in custody in a YJCC must submit to</w:t>
      </w:r>
      <w:r>
        <w:rPr>
          <w:rFonts w:ascii="Arial" w:hAnsi="Arial" w:cs="Arial"/>
          <w:color w:val="000000"/>
          <w:sz w:val="20"/>
        </w:rPr>
        <w:t>–</w:t>
      </w:r>
    </w:p>
    <w:p w14:paraId="63438714" w14:textId="77777777" w:rsidR="00EB7AE3" w:rsidRDefault="00EB7AE3" w:rsidP="005E74B4">
      <w:pPr>
        <w:pStyle w:val="ListParagraph"/>
        <w:numPr>
          <w:ilvl w:val="0"/>
          <w:numId w:val="31"/>
        </w:numPr>
        <w:spacing w:before="40" w:after="0" w:line="240" w:lineRule="auto"/>
        <w:ind w:left="357" w:hanging="357"/>
        <w:contextualSpacing w:val="0"/>
        <w:jc w:val="both"/>
        <w:rPr>
          <w:rFonts w:ascii="Arial" w:hAnsi="Arial" w:cs="Arial"/>
          <w:sz w:val="20"/>
          <w:szCs w:val="20"/>
        </w:rPr>
      </w:pPr>
      <w:r w:rsidRPr="00483BF3">
        <w:rPr>
          <w:rFonts w:ascii="Arial" w:hAnsi="Arial" w:cs="Arial"/>
          <w:sz w:val="20"/>
          <w:szCs w:val="20"/>
        </w:rPr>
        <w:t xml:space="preserve">a </w:t>
      </w:r>
      <w:r w:rsidRPr="00483BF3">
        <w:rPr>
          <w:rFonts w:ascii="Arial" w:hAnsi="Arial" w:cs="Arial"/>
          <w:b/>
          <w:bCs/>
          <w:sz w:val="20"/>
          <w:szCs w:val="20"/>
        </w:rPr>
        <w:t>screening search</w:t>
      </w:r>
      <w:r w:rsidRPr="00483BF3">
        <w:rPr>
          <w:rFonts w:ascii="Arial" w:hAnsi="Arial" w:cs="Arial"/>
          <w:sz w:val="20"/>
          <w:szCs w:val="20"/>
        </w:rPr>
        <w:t xml:space="preserve"> or a </w:t>
      </w:r>
      <w:r>
        <w:rPr>
          <w:rFonts w:ascii="Arial" w:hAnsi="Arial" w:cs="Arial"/>
          <w:b/>
          <w:bCs/>
          <w:sz w:val="20"/>
          <w:szCs w:val="20"/>
        </w:rPr>
        <w:t>pat-down</w:t>
      </w:r>
      <w:r w:rsidRPr="00483BF3">
        <w:rPr>
          <w:rFonts w:ascii="Arial" w:hAnsi="Arial" w:cs="Arial"/>
          <w:b/>
          <w:bCs/>
          <w:sz w:val="20"/>
          <w:szCs w:val="20"/>
        </w:rPr>
        <w:t xml:space="preserve"> search</w:t>
      </w:r>
      <w:r w:rsidRPr="00483BF3">
        <w:rPr>
          <w:rFonts w:ascii="Arial" w:hAnsi="Arial" w:cs="Arial"/>
          <w:sz w:val="20"/>
          <w:szCs w:val="20"/>
        </w:rPr>
        <w:t xml:space="preserve"> under s.4</w:t>
      </w:r>
      <w:r>
        <w:rPr>
          <w:rFonts w:ascii="Arial" w:hAnsi="Arial" w:cs="Arial"/>
          <w:sz w:val="20"/>
          <w:szCs w:val="20"/>
        </w:rPr>
        <w:t>94</w:t>
      </w:r>
      <w:r w:rsidRPr="00483BF3">
        <w:rPr>
          <w:rFonts w:ascii="Arial" w:hAnsi="Arial" w:cs="Arial"/>
          <w:sz w:val="20"/>
          <w:szCs w:val="20"/>
        </w:rPr>
        <w:t xml:space="preserve"> </w:t>
      </w:r>
      <w:r>
        <w:rPr>
          <w:rFonts w:ascii="Arial" w:hAnsi="Arial" w:cs="Arial"/>
          <w:sz w:val="20"/>
          <w:szCs w:val="20"/>
        </w:rPr>
        <w:t xml:space="preserve">YJA </w:t>
      </w:r>
      <w:r w:rsidRPr="00483BF3">
        <w:rPr>
          <w:rFonts w:ascii="Arial" w:hAnsi="Arial" w:cs="Arial"/>
          <w:sz w:val="20"/>
          <w:szCs w:val="20"/>
        </w:rPr>
        <w:t>upon entering or leaving the remand centre if so asked;</w:t>
      </w:r>
    </w:p>
    <w:p w14:paraId="30A1E874" w14:textId="77777777" w:rsidR="00EB7AE3" w:rsidRDefault="00EB7AE3" w:rsidP="005E74B4">
      <w:pPr>
        <w:pStyle w:val="ListParagraph"/>
        <w:numPr>
          <w:ilvl w:val="0"/>
          <w:numId w:val="31"/>
        </w:numPr>
        <w:spacing w:before="40" w:after="0" w:line="240" w:lineRule="auto"/>
        <w:ind w:left="357" w:hanging="357"/>
        <w:contextualSpacing w:val="0"/>
        <w:jc w:val="both"/>
        <w:rPr>
          <w:rFonts w:ascii="Arial" w:hAnsi="Arial" w:cs="Arial"/>
          <w:sz w:val="20"/>
          <w:szCs w:val="20"/>
        </w:rPr>
      </w:pPr>
      <w:r w:rsidRPr="00483BF3">
        <w:rPr>
          <w:rFonts w:ascii="Arial" w:hAnsi="Arial" w:cs="Arial"/>
          <w:sz w:val="20"/>
          <w:szCs w:val="20"/>
        </w:rPr>
        <w:t xml:space="preserve">a </w:t>
      </w:r>
      <w:r w:rsidRPr="00483BF3">
        <w:rPr>
          <w:rFonts w:ascii="Arial" w:hAnsi="Arial" w:cs="Arial"/>
          <w:b/>
          <w:bCs/>
          <w:sz w:val="20"/>
          <w:szCs w:val="20"/>
        </w:rPr>
        <w:t>screening search</w:t>
      </w:r>
      <w:r w:rsidRPr="00483BF3">
        <w:rPr>
          <w:rFonts w:ascii="Arial" w:hAnsi="Arial" w:cs="Arial"/>
          <w:sz w:val="20"/>
          <w:szCs w:val="20"/>
        </w:rPr>
        <w:t xml:space="preserve"> or a </w:t>
      </w:r>
      <w:r>
        <w:rPr>
          <w:rFonts w:ascii="Arial" w:hAnsi="Arial" w:cs="Arial"/>
          <w:b/>
          <w:bCs/>
          <w:sz w:val="20"/>
          <w:szCs w:val="20"/>
        </w:rPr>
        <w:t>pat-down</w:t>
      </w:r>
      <w:r w:rsidRPr="00483BF3">
        <w:rPr>
          <w:rFonts w:ascii="Arial" w:hAnsi="Arial" w:cs="Arial"/>
          <w:b/>
          <w:bCs/>
          <w:sz w:val="20"/>
          <w:szCs w:val="20"/>
        </w:rPr>
        <w:t xml:space="preserve"> search</w:t>
      </w:r>
      <w:r w:rsidRPr="00483BF3">
        <w:rPr>
          <w:rFonts w:ascii="Arial" w:hAnsi="Arial" w:cs="Arial"/>
          <w:sz w:val="20"/>
          <w:szCs w:val="20"/>
        </w:rPr>
        <w:t xml:space="preserve"> under s.4</w:t>
      </w:r>
      <w:r>
        <w:rPr>
          <w:rFonts w:ascii="Arial" w:hAnsi="Arial" w:cs="Arial"/>
          <w:sz w:val="20"/>
          <w:szCs w:val="20"/>
        </w:rPr>
        <w:t>95(b)</w:t>
      </w:r>
      <w:r w:rsidRPr="00483BF3">
        <w:rPr>
          <w:rFonts w:ascii="Arial" w:hAnsi="Arial" w:cs="Arial"/>
          <w:sz w:val="20"/>
          <w:szCs w:val="20"/>
        </w:rPr>
        <w:t xml:space="preserve"> </w:t>
      </w:r>
      <w:r>
        <w:rPr>
          <w:rFonts w:ascii="Arial" w:hAnsi="Arial" w:cs="Arial"/>
          <w:sz w:val="20"/>
          <w:szCs w:val="20"/>
        </w:rPr>
        <w:t>YJA at any time if ordered by the Commissioner for Youth Justice</w:t>
      </w:r>
      <w:r w:rsidRPr="00483BF3">
        <w:rPr>
          <w:rFonts w:ascii="Arial" w:hAnsi="Arial" w:cs="Arial"/>
          <w:sz w:val="20"/>
          <w:szCs w:val="20"/>
        </w:rPr>
        <w:t>;</w:t>
      </w:r>
    </w:p>
    <w:p w14:paraId="5242F114" w14:textId="78A6E40D" w:rsidR="005E74B4" w:rsidRDefault="00EB7AE3" w:rsidP="005E74B4">
      <w:pPr>
        <w:pStyle w:val="ListParagraph"/>
        <w:numPr>
          <w:ilvl w:val="0"/>
          <w:numId w:val="31"/>
        </w:numPr>
        <w:spacing w:before="40" w:after="0" w:line="240" w:lineRule="auto"/>
        <w:ind w:left="357" w:hanging="357"/>
        <w:contextualSpacing w:val="0"/>
        <w:jc w:val="both"/>
        <w:rPr>
          <w:rFonts w:ascii="Arial" w:hAnsi="Arial" w:cs="Arial"/>
          <w:sz w:val="20"/>
          <w:szCs w:val="20"/>
        </w:rPr>
      </w:pPr>
      <w:r w:rsidRPr="00FC511B">
        <w:rPr>
          <w:rFonts w:ascii="Arial" w:hAnsi="Arial" w:cs="Arial"/>
          <w:sz w:val="20"/>
          <w:szCs w:val="20"/>
        </w:rPr>
        <w:t xml:space="preserve">an </w:t>
      </w:r>
      <w:r w:rsidRPr="00FC511B">
        <w:rPr>
          <w:rFonts w:ascii="Arial" w:hAnsi="Arial" w:cs="Arial"/>
          <w:b/>
          <w:bCs/>
          <w:sz w:val="20"/>
          <w:szCs w:val="20"/>
        </w:rPr>
        <w:t>unclothed search</w:t>
      </w:r>
      <w:r w:rsidRPr="00FC511B">
        <w:rPr>
          <w:rFonts w:ascii="Arial" w:hAnsi="Arial" w:cs="Arial"/>
          <w:sz w:val="20"/>
          <w:szCs w:val="20"/>
        </w:rPr>
        <w:t xml:space="preserve"> under s.4</w:t>
      </w:r>
      <w:r>
        <w:rPr>
          <w:rFonts w:ascii="Arial" w:hAnsi="Arial" w:cs="Arial"/>
          <w:sz w:val="20"/>
          <w:szCs w:val="20"/>
        </w:rPr>
        <w:t>97</w:t>
      </w:r>
      <w:r w:rsidRPr="00FC511B">
        <w:rPr>
          <w:rFonts w:ascii="Arial" w:hAnsi="Arial" w:cs="Arial"/>
          <w:sz w:val="20"/>
          <w:szCs w:val="20"/>
        </w:rPr>
        <w:t xml:space="preserve"> </w:t>
      </w:r>
      <w:r>
        <w:rPr>
          <w:rFonts w:ascii="Arial" w:hAnsi="Arial" w:cs="Arial"/>
          <w:sz w:val="20"/>
          <w:szCs w:val="20"/>
        </w:rPr>
        <w:t xml:space="preserve">YJA </w:t>
      </w:r>
      <w:r w:rsidR="005E74B4">
        <w:rPr>
          <w:rFonts w:ascii="Arial" w:hAnsi="Arial" w:cs="Arial"/>
          <w:sz w:val="20"/>
          <w:szCs w:val="20"/>
        </w:rPr>
        <w:t xml:space="preserve">but </w:t>
      </w:r>
      <w:r w:rsidRPr="00FC511B">
        <w:rPr>
          <w:rFonts w:ascii="Arial" w:hAnsi="Arial" w:cs="Arial"/>
          <w:sz w:val="20"/>
          <w:szCs w:val="20"/>
        </w:rPr>
        <w:t>only if</w:t>
      </w:r>
      <w:r w:rsidR="005E74B4">
        <w:rPr>
          <w:rFonts w:ascii="Arial" w:hAnsi="Arial" w:cs="Arial"/>
          <w:sz w:val="20"/>
          <w:szCs w:val="20"/>
        </w:rPr>
        <w:t>–</w:t>
      </w:r>
    </w:p>
    <w:p w14:paraId="1E0BAE62" w14:textId="2E0C5AEC" w:rsidR="005E74B4" w:rsidRDefault="000F2CF6" w:rsidP="005E74B4">
      <w:pPr>
        <w:pStyle w:val="ListParagraph"/>
        <w:numPr>
          <w:ilvl w:val="0"/>
          <w:numId w:val="131"/>
        </w:numPr>
        <w:spacing w:after="0" w:line="240" w:lineRule="auto"/>
        <w:contextualSpacing w:val="0"/>
        <w:jc w:val="both"/>
        <w:rPr>
          <w:rFonts w:ascii="Arial" w:hAnsi="Arial" w:cs="Arial"/>
          <w:sz w:val="20"/>
          <w:szCs w:val="20"/>
        </w:rPr>
      </w:pPr>
      <w:r>
        <w:rPr>
          <w:rFonts w:ascii="Arial" w:hAnsi="Arial" w:cs="Arial"/>
          <w:sz w:val="20"/>
          <w:szCs w:val="20"/>
        </w:rPr>
        <w:t>i</w:t>
      </w:r>
      <w:r w:rsidR="005E74B4">
        <w:rPr>
          <w:rFonts w:ascii="Arial" w:hAnsi="Arial" w:cs="Arial"/>
          <w:sz w:val="20"/>
          <w:szCs w:val="20"/>
        </w:rPr>
        <w:t>t has been authorised by the Commissioner for Youth Justice [CfYJ]</w:t>
      </w:r>
      <w:r>
        <w:rPr>
          <w:rFonts w:ascii="Arial" w:hAnsi="Arial" w:cs="Arial"/>
          <w:sz w:val="20"/>
          <w:szCs w:val="20"/>
        </w:rPr>
        <w:t>; and</w:t>
      </w:r>
    </w:p>
    <w:p w14:paraId="71019975" w14:textId="0C43C8A0" w:rsidR="005E74B4" w:rsidRPr="005E74B4" w:rsidRDefault="000F2CF6" w:rsidP="005E74B4">
      <w:pPr>
        <w:pStyle w:val="ListParagraph"/>
        <w:numPr>
          <w:ilvl w:val="0"/>
          <w:numId w:val="131"/>
        </w:numPr>
        <w:spacing w:after="0" w:line="240" w:lineRule="auto"/>
        <w:contextualSpacing w:val="0"/>
        <w:jc w:val="both"/>
        <w:rPr>
          <w:rFonts w:ascii="Arial" w:hAnsi="Arial" w:cs="Arial"/>
          <w:sz w:val="20"/>
          <w:szCs w:val="20"/>
        </w:rPr>
      </w:pPr>
      <w:r>
        <w:rPr>
          <w:rFonts w:ascii="Arial" w:hAnsi="Arial" w:cs="Arial"/>
          <w:sz w:val="20"/>
          <w:szCs w:val="20"/>
        </w:rPr>
        <w:t>t</w:t>
      </w:r>
      <w:r w:rsidR="005E74B4">
        <w:rPr>
          <w:rFonts w:ascii="Arial" w:hAnsi="Arial" w:cs="Arial"/>
          <w:sz w:val="20"/>
          <w:szCs w:val="20"/>
        </w:rPr>
        <w:t>he</w:t>
      </w:r>
      <w:r w:rsidR="00EB7AE3" w:rsidRPr="005E74B4">
        <w:rPr>
          <w:rFonts w:ascii="Arial" w:hAnsi="Arial" w:cs="Arial"/>
          <w:sz w:val="20"/>
          <w:szCs w:val="20"/>
        </w:rPr>
        <w:t xml:space="preserve"> Commissioner </w:t>
      </w:r>
      <w:r w:rsidR="005E74B4">
        <w:rPr>
          <w:rFonts w:ascii="Arial" w:hAnsi="Arial" w:cs="Arial"/>
          <w:sz w:val="20"/>
          <w:szCs w:val="20"/>
        </w:rPr>
        <w:t xml:space="preserve">believes </w:t>
      </w:r>
      <w:r w:rsidR="005E74B4">
        <w:rPr>
          <w:rFonts w:ascii="Arial" w:hAnsi="Arial" w:cs="Arial"/>
          <w:sz w:val="20"/>
          <w:szCs w:val="20"/>
        </w:rPr>
        <w:t>on reasonable grounds that</w:t>
      </w:r>
      <w:r w:rsidR="005E74B4" w:rsidRPr="00FC511B">
        <w:rPr>
          <w:rFonts w:ascii="Arial" w:hAnsi="Arial" w:cs="Arial"/>
          <w:color w:val="000000"/>
          <w:sz w:val="20"/>
        </w:rPr>
        <w:t>–</w:t>
      </w:r>
    </w:p>
    <w:p w14:paraId="52936F17" w14:textId="77777777" w:rsidR="005E74B4" w:rsidRDefault="005E74B4" w:rsidP="005E74B4">
      <w:pPr>
        <w:pStyle w:val="ListParagraph"/>
        <w:numPr>
          <w:ilvl w:val="0"/>
          <w:numId w:val="129"/>
        </w:numPr>
        <w:spacing w:after="0" w:line="240" w:lineRule="auto"/>
        <w:ind w:left="1077" w:hanging="357"/>
        <w:jc w:val="both"/>
        <w:rPr>
          <w:rFonts w:ascii="Arial" w:hAnsi="Arial" w:cs="Arial"/>
          <w:sz w:val="20"/>
          <w:szCs w:val="20"/>
        </w:rPr>
      </w:pPr>
      <w:r>
        <w:rPr>
          <w:rFonts w:ascii="Arial" w:hAnsi="Arial" w:cs="Arial"/>
          <w:sz w:val="20"/>
          <w:szCs w:val="20"/>
        </w:rPr>
        <w:t>the child or young person has concealed something on their body</w:t>
      </w:r>
      <w:r w:rsidRPr="00483BF3">
        <w:rPr>
          <w:rFonts w:ascii="Arial" w:hAnsi="Arial" w:cs="Arial"/>
          <w:sz w:val="20"/>
          <w:szCs w:val="20"/>
        </w:rPr>
        <w:t xml:space="preserve">; </w:t>
      </w:r>
      <w:r>
        <w:rPr>
          <w:rFonts w:ascii="Arial" w:hAnsi="Arial" w:cs="Arial"/>
          <w:sz w:val="20"/>
          <w:szCs w:val="20"/>
        </w:rPr>
        <w:t>and</w:t>
      </w:r>
    </w:p>
    <w:p w14:paraId="33E66EA3" w14:textId="21137CD4" w:rsidR="005E74B4" w:rsidRPr="0037052C" w:rsidRDefault="005E74B4" w:rsidP="005E74B4">
      <w:pPr>
        <w:pStyle w:val="ListParagraph"/>
        <w:numPr>
          <w:ilvl w:val="0"/>
          <w:numId w:val="129"/>
        </w:numPr>
        <w:spacing w:after="0" w:line="240" w:lineRule="auto"/>
        <w:ind w:left="1077" w:hanging="357"/>
        <w:jc w:val="both"/>
        <w:rPr>
          <w:rFonts w:ascii="Arial" w:hAnsi="Arial" w:cs="Arial"/>
          <w:sz w:val="20"/>
          <w:szCs w:val="20"/>
        </w:rPr>
      </w:pPr>
      <w:r>
        <w:rPr>
          <w:rFonts w:ascii="Arial" w:hAnsi="Arial" w:cs="Arial"/>
          <w:sz w:val="20"/>
          <w:szCs w:val="20"/>
        </w:rPr>
        <w:t>an unclothed search to locate any concealed thing is necessary in the interests of–</w:t>
      </w:r>
    </w:p>
    <w:p w14:paraId="27E3E7A4" w14:textId="3AA3AE29" w:rsidR="005E74B4" w:rsidRDefault="005E74B4" w:rsidP="005E74B4">
      <w:pPr>
        <w:pStyle w:val="ListParagraph"/>
        <w:numPr>
          <w:ilvl w:val="0"/>
          <w:numId w:val="130"/>
        </w:numPr>
        <w:spacing w:after="0" w:line="240" w:lineRule="auto"/>
        <w:ind w:left="1440" w:hanging="357"/>
        <w:jc w:val="both"/>
        <w:rPr>
          <w:rFonts w:ascii="Arial" w:hAnsi="Arial" w:cs="Arial"/>
          <w:sz w:val="20"/>
          <w:szCs w:val="20"/>
        </w:rPr>
      </w:pPr>
      <w:r>
        <w:rPr>
          <w:rFonts w:ascii="Arial" w:hAnsi="Arial" w:cs="Arial"/>
          <w:sz w:val="20"/>
          <w:szCs w:val="20"/>
        </w:rPr>
        <w:t>the security of the YJCC; or</w:t>
      </w:r>
    </w:p>
    <w:p w14:paraId="4916F3E3" w14:textId="1CD47332" w:rsidR="00EB7AE3" w:rsidRPr="000F2CF6" w:rsidRDefault="005E74B4" w:rsidP="000F2CF6">
      <w:pPr>
        <w:pStyle w:val="ListParagraph"/>
        <w:numPr>
          <w:ilvl w:val="0"/>
          <w:numId w:val="130"/>
        </w:numPr>
        <w:spacing w:after="0" w:line="240" w:lineRule="auto"/>
        <w:ind w:left="1440" w:hanging="357"/>
        <w:jc w:val="both"/>
        <w:rPr>
          <w:rFonts w:ascii="Arial" w:hAnsi="Arial" w:cs="Arial"/>
          <w:sz w:val="20"/>
          <w:szCs w:val="20"/>
        </w:rPr>
      </w:pPr>
      <w:r>
        <w:rPr>
          <w:rFonts w:ascii="Arial" w:hAnsi="Arial" w:cs="Arial"/>
          <w:sz w:val="20"/>
          <w:szCs w:val="20"/>
        </w:rPr>
        <w:t>the health, safety or wellbeing of the child or young person who would be the subject of the search or any other person in the YJCC; and</w:t>
      </w:r>
    </w:p>
    <w:p w14:paraId="6C30E24B" w14:textId="6D2D54C8" w:rsidR="000F2CF6" w:rsidRDefault="000F2CF6" w:rsidP="000F2CF6">
      <w:pPr>
        <w:pStyle w:val="ListParagraph"/>
        <w:numPr>
          <w:ilvl w:val="0"/>
          <w:numId w:val="129"/>
        </w:numPr>
        <w:spacing w:after="0" w:line="240" w:lineRule="auto"/>
        <w:ind w:left="1077" w:hanging="357"/>
        <w:jc w:val="both"/>
        <w:rPr>
          <w:rFonts w:ascii="Arial" w:hAnsi="Arial" w:cs="Arial"/>
          <w:sz w:val="20"/>
          <w:szCs w:val="20"/>
        </w:rPr>
      </w:pPr>
      <w:r w:rsidRPr="000F2CF6">
        <w:rPr>
          <w:rFonts w:ascii="Arial" w:hAnsi="Arial" w:cs="Arial"/>
          <w:sz w:val="20"/>
          <w:szCs w:val="20"/>
        </w:rPr>
        <w:t>the unclothed search is necessary as a last resort having regard to the child’s or young person’s individual characteristics and background</w:t>
      </w:r>
      <w:r>
        <w:rPr>
          <w:rFonts w:ascii="Arial" w:hAnsi="Arial" w:cs="Arial"/>
          <w:sz w:val="20"/>
          <w:szCs w:val="20"/>
        </w:rPr>
        <w:t>…; and</w:t>
      </w:r>
    </w:p>
    <w:p w14:paraId="64F0A8A7" w14:textId="6E5022F8" w:rsidR="000F2CF6" w:rsidRPr="005E74B4" w:rsidRDefault="000F2CF6" w:rsidP="000F2CF6">
      <w:pPr>
        <w:pStyle w:val="ListParagraph"/>
        <w:numPr>
          <w:ilvl w:val="0"/>
          <w:numId w:val="131"/>
        </w:numPr>
        <w:spacing w:after="0" w:line="240" w:lineRule="auto"/>
        <w:contextualSpacing w:val="0"/>
        <w:jc w:val="both"/>
        <w:rPr>
          <w:rFonts w:ascii="Arial" w:hAnsi="Arial" w:cs="Arial"/>
          <w:sz w:val="20"/>
          <w:szCs w:val="20"/>
        </w:rPr>
      </w:pPr>
      <w:r>
        <w:rPr>
          <w:rFonts w:ascii="Arial" w:hAnsi="Arial" w:cs="Arial"/>
          <w:sz w:val="20"/>
          <w:szCs w:val="20"/>
        </w:rPr>
        <w:t xml:space="preserve">the Commissioner </w:t>
      </w:r>
      <w:r w:rsidRPr="000F2CF6">
        <w:rPr>
          <w:rFonts w:ascii="Arial" w:hAnsi="Arial" w:cs="Arial"/>
          <w:sz w:val="20"/>
          <w:szCs w:val="20"/>
        </w:rPr>
        <w:t>i</w:t>
      </w:r>
      <w:r>
        <w:rPr>
          <w:rFonts w:ascii="Arial" w:hAnsi="Arial" w:cs="Arial"/>
          <w:sz w:val="20"/>
          <w:szCs w:val="20"/>
        </w:rPr>
        <w:t>s satisfied that a screening search (including one conducted with the assistance of all reasonably available technology) and a pat-down search have first been considered and used if safe to do so.</w:t>
      </w:r>
    </w:p>
    <w:p w14:paraId="60C6DCC1" w14:textId="7F82F34B" w:rsidR="000F2CF6" w:rsidRPr="000F2CF6" w:rsidRDefault="000F2CF6" w:rsidP="000F2CF6">
      <w:pPr>
        <w:jc w:val="both"/>
        <w:rPr>
          <w:rFonts w:ascii="Arial" w:hAnsi="Arial" w:cs="Arial"/>
          <w:sz w:val="20"/>
          <w:szCs w:val="20"/>
        </w:rPr>
      </w:pPr>
    </w:p>
    <w:p w14:paraId="25B42DC1" w14:textId="606E2043" w:rsidR="00536117" w:rsidRPr="000438D8" w:rsidRDefault="00DD2F8A" w:rsidP="00536117">
      <w:pPr>
        <w:shd w:val="clear" w:color="auto" w:fill="FFFFFF"/>
        <w:jc w:val="center"/>
        <w:rPr>
          <w:rFonts w:ascii="Arial" w:hAnsi="Arial" w:cs="Arial"/>
          <w:color w:val="141412"/>
          <w:sz w:val="20"/>
          <w:szCs w:val="20"/>
          <w:u w:val="single"/>
        </w:rPr>
      </w:pPr>
      <w:r>
        <w:rPr>
          <w:rFonts w:ascii="Arial" w:hAnsi="Arial" w:cs="Arial"/>
          <w:b/>
          <w:bCs/>
          <w:i/>
          <w:iCs/>
          <w:sz w:val="20"/>
          <w:szCs w:val="20"/>
          <w:u w:val="single"/>
        </w:rPr>
        <w:lastRenderedPageBreak/>
        <w:t>T</w:t>
      </w:r>
      <w:r w:rsidR="00536117">
        <w:rPr>
          <w:rFonts w:ascii="Arial" w:hAnsi="Arial" w:cs="Arial"/>
          <w:b/>
          <w:bCs/>
          <w:i/>
          <w:iCs/>
          <w:sz w:val="20"/>
          <w:szCs w:val="20"/>
          <w:u w:val="single"/>
        </w:rPr>
        <w:t>reatment of a child or young person temporarily detained in a police gaol or in the custody of a transfer officer (incl</w:t>
      </w:r>
      <w:r w:rsidR="0037052C">
        <w:rPr>
          <w:rFonts w:ascii="Arial" w:hAnsi="Arial" w:cs="Arial"/>
          <w:b/>
          <w:bCs/>
          <w:i/>
          <w:iCs/>
          <w:sz w:val="20"/>
          <w:szCs w:val="20"/>
          <w:u w:val="single"/>
        </w:rPr>
        <w:t>uding</w:t>
      </w:r>
      <w:r w:rsidR="00536117">
        <w:rPr>
          <w:rFonts w:ascii="Arial" w:hAnsi="Arial" w:cs="Arial"/>
          <w:b/>
          <w:bCs/>
          <w:i/>
          <w:iCs/>
          <w:sz w:val="20"/>
          <w:szCs w:val="20"/>
          <w:u w:val="single"/>
        </w:rPr>
        <w:t xml:space="preserve"> power to </w:t>
      </w:r>
      <w:r w:rsidR="00FD6F4F">
        <w:rPr>
          <w:rFonts w:ascii="Arial" w:hAnsi="Arial" w:cs="Arial"/>
          <w:b/>
          <w:bCs/>
          <w:i/>
          <w:iCs/>
          <w:sz w:val="20"/>
          <w:szCs w:val="20"/>
          <w:u w:val="single"/>
        </w:rPr>
        <w:t xml:space="preserve">conduct an unclothed search of </w:t>
      </w:r>
      <w:r w:rsidR="00C83229">
        <w:rPr>
          <w:rFonts w:ascii="Arial" w:hAnsi="Arial" w:cs="Arial"/>
          <w:b/>
          <w:bCs/>
          <w:i/>
          <w:iCs/>
          <w:sz w:val="20"/>
          <w:szCs w:val="20"/>
          <w:u w:val="single"/>
        </w:rPr>
        <w:t>such</w:t>
      </w:r>
      <w:r w:rsidR="00536117">
        <w:rPr>
          <w:rFonts w:ascii="Arial" w:hAnsi="Arial" w:cs="Arial"/>
          <w:b/>
          <w:bCs/>
          <w:i/>
          <w:iCs/>
          <w:sz w:val="20"/>
          <w:szCs w:val="20"/>
          <w:u w:val="single"/>
        </w:rPr>
        <w:t xml:space="preserve"> person</w:t>
      </w:r>
      <w:r w:rsidR="00FD6F4F">
        <w:rPr>
          <w:rFonts w:ascii="Arial" w:hAnsi="Arial" w:cs="Arial"/>
          <w:b/>
          <w:bCs/>
          <w:i/>
          <w:iCs/>
          <w:sz w:val="20"/>
          <w:szCs w:val="20"/>
          <w:u w:val="single"/>
        </w:rPr>
        <w:t>)</w:t>
      </w:r>
    </w:p>
    <w:p w14:paraId="209140B4" w14:textId="77777777" w:rsidR="0012742E" w:rsidRDefault="0012742E" w:rsidP="00536117">
      <w:pPr>
        <w:jc w:val="both"/>
        <w:rPr>
          <w:rFonts w:ascii="Arial" w:hAnsi="Arial" w:cs="Arial"/>
          <w:sz w:val="20"/>
          <w:szCs w:val="20"/>
        </w:rPr>
      </w:pPr>
    </w:p>
    <w:p w14:paraId="59304CD7" w14:textId="49130A55" w:rsidR="00FD6F4F" w:rsidRDefault="008B38A9" w:rsidP="00795809">
      <w:pPr>
        <w:jc w:val="both"/>
        <w:rPr>
          <w:rFonts w:ascii="Arial" w:hAnsi="Arial" w:cs="Arial"/>
          <w:sz w:val="20"/>
          <w:szCs w:val="20"/>
        </w:rPr>
      </w:pPr>
      <w:r>
        <w:rPr>
          <w:rFonts w:ascii="Arial" w:hAnsi="Arial" w:cs="Arial"/>
          <w:sz w:val="20"/>
          <w:szCs w:val="20"/>
        </w:rPr>
        <w:t xml:space="preserve">As from 30/09/2026 </w:t>
      </w:r>
      <w:r w:rsidR="00536117">
        <w:rPr>
          <w:rFonts w:ascii="Arial" w:hAnsi="Arial" w:cs="Arial"/>
          <w:sz w:val="20"/>
          <w:szCs w:val="20"/>
        </w:rPr>
        <w:t xml:space="preserve">Part 11.2 YJA (ss.573-591) governs the treatment of </w:t>
      </w:r>
      <w:r w:rsidR="00FD6F4F">
        <w:rPr>
          <w:rFonts w:ascii="Arial" w:hAnsi="Arial" w:cs="Arial"/>
          <w:sz w:val="20"/>
          <w:szCs w:val="20"/>
        </w:rPr>
        <w:t xml:space="preserve">a child or young person </w:t>
      </w:r>
      <w:r w:rsidR="00F4386C">
        <w:rPr>
          <w:rFonts w:ascii="Arial" w:hAnsi="Arial" w:cs="Arial"/>
          <w:sz w:val="20"/>
          <w:szCs w:val="20"/>
        </w:rPr>
        <w:t>temporarily detained in a police gaol or in the custody of a transfer officer</w:t>
      </w:r>
      <w:r w:rsidR="00FD6F4F">
        <w:rPr>
          <w:rFonts w:ascii="Arial" w:hAnsi="Arial" w:cs="Arial"/>
          <w:sz w:val="20"/>
          <w:szCs w:val="20"/>
        </w:rPr>
        <w:t xml:space="preserve"> </w:t>
      </w:r>
      <w:r w:rsidR="00F4386C">
        <w:rPr>
          <w:rFonts w:ascii="Arial" w:hAnsi="Arial" w:cs="Arial"/>
          <w:sz w:val="20"/>
          <w:szCs w:val="20"/>
        </w:rPr>
        <w:t xml:space="preserve">(defined in s.3(1) as meaning a police officer, a protective services officer or a person authorised under s.9A(1B) of the </w:t>
      </w:r>
      <w:r w:rsidR="00F4386C" w:rsidRPr="00FD6F4F">
        <w:rPr>
          <w:rFonts w:ascii="Arial" w:hAnsi="Arial" w:cs="Arial"/>
          <w:i/>
          <w:iCs/>
          <w:sz w:val="20"/>
          <w:szCs w:val="20"/>
        </w:rPr>
        <w:t>Corrections Act 1986</w:t>
      </w:r>
      <w:r w:rsidR="00F4386C">
        <w:rPr>
          <w:rFonts w:ascii="Arial" w:hAnsi="Arial" w:cs="Arial"/>
          <w:sz w:val="20"/>
          <w:szCs w:val="20"/>
        </w:rPr>
        <w:t xml:space="preserve"> to carry out the transport of a person) </w:t>
      </w:r>
      <w:r w:rsidR="00FD6F4F">
        <w:rPr>
          <w:rFonts w:ascii="Arial" w:hAnsi="Arial" w:cs="Arial"/>
          <w:sz w:val="20"/>
          <w:szCs w:val="20"/>
        </w:rPr>
        <w:t>under the headings</w:t>
      </w:r>
      <w:r w:rsidR="00DD2F8A">
        <w:rPr>
          <w:rFonts w:ascii="Arial" w:hAnsi="Arial" w:cs="Arial"/>
          <w:sz w:val="20"/>
          <w:szCs w:val="20"/>
        </w:rPr>
        <w:t xml:space="preserve"> listed below</w:t>
      </w:r>
      <w:r w:rsidR="00FD6F4F">
        <w:rPr>
          <w:rFonts w:ascii="Arial" w:hAnsi="Arial" w:cs="Arial"/>
          <w:sz w:val="20"/>
          <w:szCs w:val="20"/>
        </w:rPr>
        <w:t xml:space="preserve">. The Part includes provisions in ss.581-587 YJA relating to an unclothed search of a child in a police gaol or in the custody of a transfer officer. However, Part 11.2 YJA does not </w:t>
      </w:r>
      <w:r w:rsidR="00FD6F4F">
        <w:rPr>
          <w:rFonts w:ascii="Arial" w:hAnsi="Arial" w:cs="Arial"/>
          <w:color w:val="000000"/>
          <w:sz w:val="20"/>
        </w:rPr>
        <w:t xml:space="preserve">apply to a </w:t>
      </w:r>
      <w:r w:rsidR="00FD6F4F" w:rsidRPr="00B65C68">
        <w:rPr>
          <w:rFonts w:ascii="Arial" w:hAnsi="Arial" w:cs="Arial"/>
          <w:noProof/>
          <w:sz w:val="20"/>
          <w:szCs w:val="20"/>
          <w:lang w:val="en-US"/>
        </w:rPr>
        <w:t>child held in custody in police gaol under</w:t>
      </w:r>
      <w:r w:rsidR="00EB064B">
        <w:rPr>
          <w:rFonts w:ascii="Arial" w:hAnsi="Arial" w:cs="Arial"/>
          <w:noProof/>
          <w:sz w:val="20"/>
          <w:szCs w:val="20"/>
          <w:lang w:val="en-US"/>
        </w:rPr>
        <w:t xml:space="preserve"> the</w:t>
      </w:r>
      <w:r w:rsidR="00FD6F4F" w:rsidRPr="00B65C68">
        <w:rPr>
          <w:rFonts w:ascii="Arial" w:hAnsi="Arial" w:cs="Arial"/>
          <w:noProof/>
          <w:sz w:val="20"/>
          <w:szCs w:val="20"/>
          <w:lang w:val="en-US"/>
        </w:rPr>
        <w:t xml:space="preserve"> </w:t>
      </w:r>
      <w:r w:rsidR="00FD6F4F" w:rsidRPr="00B65C68">
        <w:rPr>
          <w:rFonts w:ascii="Arial" w:hAnsi="Arial" w:cs="Arial"/>
          <w:i/>
          <w:iCs/>
          <w:noProof/>
          <w:sz w:val="20"/>
          <w:szCs w:val="20"/>
          <w:lang w:val="en-US"/>
        </w:rPr>
        <w:t>Terrorism (Community Protection) Act 2003</w:t>
      </w:r>
      <w:r w:rsidR="00FD6F4F">
        <w:rPr>
          <w:rFonts w:ascii="Arial" w:hAnsi="Arial" w:cs="Arial"/>
          <w:i/>
          <w:iCs/>
          <w:noProof/>
          <w:sz w:val="20"/>
          <w:szCs w:val="20"/>
          <w:lang w:val="en-US"/>
        </w:rPr>
        <w:t xml:space="preserve">. </w:t>
      </w:r>
    </w:p>
    <w:p w14:paraId="10BBB075" w14:textId="77777777" w:rsidR="00FD6F4F" w:rsidRDefault="00FD6F4F" w:rsidP="00795809">
      <w:pPr>
        <w:jc w:val="both"/>
        <w:rPr>
          <w:rFonts w:ascii="Arial" w:hAnsi="Arial" w:cs="Arial"/>
          <w:sz w:val="20"/>
          <w:szCs w:val="20"/>
        </w:rPr>
      </w:pPr>
    </w:p>
    <w:tbl>
      <w:tblPr>
        <w:tblStyle w:val="TableGrid"/>
        <w:tblW w:w="9071" w:type="dxa"/>
        <w:tblLook w:val="04A0" w:firstRow="1" w:lastRow="0" w:firstColumn="1" w:lastColumn="0" w:noHBand="0" w:noVBand="1"/>
      </w:tblPr>
      <w:tblGrid>
        <w:gridCol w:w="686"/>
        <w:gridCol w:w="8385"/>
      </w:tblGrid>
      <w:tr w:rsidR="00D61468" w14:paraId="020D8414" w14:textId="77777777" w:rsidTr="00D61468">
        <w:tc>
          <w:tcPr>
            <w:tcW w:w="9071" w:type="dxa"/>
            <w:gridSpan w:val="2"/>
            <w:shd w:val="clear" w:color="auto" w:fill="000000" w:themeFill="text1"/>
          </w:tcPr>
          <w:p w14:paraId="69266C16" w14:textId="55C619F1" w:rsidR="00D61468" w:rsidRPr="008B71A5" w:rsidRDefault="00D61468" w:rsidP="00104360">
            <w:pPr>
              <w:keepNext/>
              <w:keepLines/>
              <w:jc w:val="center"/>
              <w:rPr>
                <w:rFonts w:ascii="Arial" w:hAnsi="Arial" w:cs="Arial"/>
                <w:b/>
                <w:bCs/>
                <w:noProof/>
                <w:sz w:val="20"/>
                <w:szCs w:val="20"/>
              </w:rPr>
            </w:pPr>
            <w:r>
              <w:rPr>
                <w:rFonts w:ascii="Arial" w:hAnsi="Arial" w:cs="Arial"/>
                <w:b/>
                <w:bCs/>
                <w:noProof/>
                <w:sz w:val="20"/>
                <w:szCs w:val="20"/>
              </w:rPr>
              <w:t>Part 11.2</w:t>
            </w:r>
            <w:r w:rsidR="00C83229">
              <w:rPr>
                <w:rFonts w:ascii="Arial" w:hAnsi="Arial" w:cs="Arial"/>
                <w:b/>
                <w:bCs/>
                <w:noProof/>
                <w:sz w:val="20"/>
                <w:szCs w:val="20"/>
              </w:rPr>
              <w:t xml:space="preserve"> YJA</w:t>
            </w:r>
            <w:r>
              <w:rPr>
                <w:rFonts w:ascii="Arial" w:hAnsi="Arial" w:cs="Arial"/>
                <w:b/>
                <w:bCs/>
                <w:noProof/>
                <w:sz w:val="20"/>
                <w:szCs w:val="20"/>
              </w:rPr>
              <w:t xml:space="preserve"> </w:t>
            </w:r>
            <w:r w:rsidRPr="008B71A5">
              <w:rPr>
                <w:rFonts w:ascii="Arial" w:hAnsi="Arial" w:cs="Arial"/>
                <w:b/>
                <w:bCs/>
                <w:noProof/>
                <w:sz w:val="20"/>
                <w:szCs w:val="20"/>
              </w:rPr>
              <w:t xml:space="preserve">– </w:t>
            </w:r>
            <w:r>
              <w:rPr>
                <w:rFonts w:ascii="Arial" w:hAnsi="Arial" w:cs="Arial"/>
                <w:b/>
                <w:bCs/>
                <w:noProof/>
                <w:sz w:val="20"/>
                <w:szCs w:val="20"/>
              </w:rPr>
              <w:t>Children detained in police gaols or in custody of transfer officer</w:t>
            </w:r>
          </w:p>
        </w:tc>
      </w:tr>
      <w:tr w:rsidR="00C83229" w14:paraId="3BBD92C3" w14:textId="77777777" w:rsidTr="00C83229">
        <w:tc>
          <w:tcPr>
            <w:tcW w:w="9071" w:type="dxa"/>
            <w:gridSpan w:val="2"/>
            <w:shd w:val="clear" w:color="auto" w:fill="B2B2B2"/>
          </w:tcPr>
          <w:p w14:paraId="143120A2" w14:textId="202D7DB5" w:rsidR="00C83229" w:rsidRPr="008B71A5" w:rsidRDefault="00C83229" w:rsidP="00104360">
            <w:pPr>
              <w:keepNext/>
              <w:keepLines/>
              <w:jc w:val="center"/>
              <w:rPr>
                <w:rFonts w:ascii="Arial" w:hAnsi="Arial" w:cs="Arial"/>
                <w:b/>
                <w:bCs/>
                <w:noProof/>
                <w:sz w:val="20"/>
                <w:szCs w:val="20"/>
              </w:rPr>
            </w:pPr>
            <w:r w:rsidRPr="008B71A5">
              <w:rPr>
                <w:rFonts w:ascii="Arial" w:hAnsi="Arial" w:cs="Arial"/>
                <w:b/>
                <w:bCs/>
                <w:noProof/>
                <w:sz w:val="20"/>
                <w:szCs w:val="20"/>
              </w:rPr>
              <w:t xml:space="preserve">Division </w:t>
            </w:r>
            <w:r>
              <w:rPr>
                <w:rFonts w:ascii="Arial" w:hAnsi="Arial" w:cs="Arial"/>
                <w:b/>
                <w:bCs/>
                <w:noProof/>
                <w:sz w:val="20"/>
                <w:szCs w:val="20"/>
              </w:rPr>
              <w:t xml:space="preserve">1 </w:t>
            </w:r>
            <w:r w:rsidRPr="008B71A5">
              <w:rPr>
                <w:rFonts w:ascii="Arial" w:hAnsi="Arial" w:cs="Arial"/>
                <w:b/>
                <w:bCs/>
                <w:noProof/>
                <w:sz w:val="20"/>
                <w:szCs w:val="20"/>
              </w:rPr>
              <w:t xml:space="preserve">– </w:t>
            </w:r>
            <w:r>
              <w:rPr>
                <w:rFonts w:ascii="Arial" w:hAnsi="Arial" w:cs="Arial"/>
                <w:b/>
                <w:bCs/>
                <w:noProof/>
                <w:sz w:val="20"/>
                <w:szCs w:val="20"/>
              </w:rPr>
              <w:t>Application of Part 11.2</w:t>
            </w:r>
          </w:p>
        </w:tc>
      </w:tr>
      <w:tr w:rsidR="00D61468" w14:paraId="7AD6DAE1" w14:textId="77777777" w:rsidTr="00B65C68">
        <w:tc>
          <w:tcPr>
            <w:tcW w:w="686" w:type="dxa"/>
          </w:tcPr>
          <w:p w14:paraId="2550D086" w14:textId="0AD19796" w:rsidR="00D61468" w:rsidRDefault="00D61468" w:rsidP="002533B6">
            <w:pPr>
              <w:jc w:val="center"/>
              <w:rPr>
                <w:rFonts w:ascii="Arial" w:hAnsi="Arial" w:cs="Arial"/>
                <w:color w:val="000000"/>
                <w:sz w:val="20"/>
              </w:rPr>
            </w:pPr>
            <w:r>
              <w:rPr>
                <w:rFonts w:ascii="Arial" w:hAnsi="Arial" w:cs="Arial"/>
                <w:color w:val="000000"/>
                <w:sz w:val="20"/>
              </w:rPr>
              <w:t>574</w:t>
            </w:r>
          </w:p>
        </w:tc>
        <w:tc>
          <w:tcPr>
            <w:tcW w:w="8385" w:type="dxa"/>
          </w:tcPr>
          <w:p w14:paraId="285C5FE0" w14:textId="2E39403C" w:rsidR="00D61468" w:rsidRDefault="00B65C68" w:rsidP="002533B6">
            <w:pPr>
              <w:jc w:val="both"/>
              <w:rPr>
                <w:rFonts w:ascii="Arial" w:hAnsi="Arial" w:cs="Arial"/>
                <w:color w:val="000000"/>
                <w:sz w:val="20"/>
              </w:rPr>
            </w:pPr>
            <w:r>
              <w:rPr>
                <w:rFonts w:ascii="Arial" w:hAnsi="Arial" w:cs="Arial"/>
                <w:color w:val="000000"/>
                <w:sz w:val="20"/>
              </w:rPr>
              <w:t xml:space="preserve">No application of Part 11.2 to a </w:t>
            </w:r>
            <w:r w:rsidRPr="00B65C68">
              <w:rPr>
                <w:rFonts w:ascii="Arial" w:hAnsi="Arial" w:cs="Arial"/>
                <w:noProof/>
                <w:sz w:val="20"/>
                <w:szCs w:val="20"/>
                <w:lang w:val="en-US"/>
              </w:rPr>
              <w:t xml:space="preserve">child held in custody in police gaol under </w:t>
            </w:r>
            <w:r w:rsidRPr="00B65C68">
              <w:rPr>
                <w:rFonts w:ascii="Arial" w:hAnsi="Arial" w:cs="Arial"/>
                <w:i/>
                <w:iCs/>
                <w:noProof/>
                <w:sz w:val="20"/>
                <w:szCs w:val="20"/>
                <w:lang w:val="en-US"/>
              </w:rPr>
              <w:t>Terrorism (Community Protection) Act 2003</w:t>
            </w:r>
          </w:p>
        </w:tc>
      </w:tr>
      <w:tr w:rsidR="00B65C68" w14:paraId="40A708F8" w14:textId="77777777" w:rsidTr="00B65C68">
        <w:tc>
          <w:tcPr>
            <w:tcW w:w="686" w:type="dxa"/>
          </w:tcPr>
          <w:p w14:paraId="15FC8038" w14:textId="4A181721" w:rsidR="00B65C68" w:rsidRDefault="00B65C68" w:rsidP="002533B6">
            <w:pPr>
              <w:jc w:val="center"/>
              <w:rPr>
                <w:rFonts w:ascii="Arial" w:hAnsi="Arial" w:cs="Arial"/>
                <w:color w:val="000000"/>
                <w:sz w:val="20"/>
              </w:rPr>
            </w:pPr>
            <w:r>
              <w:rPr>
                <w:rFonts w:ascii="Arial" w:hAnsi="Arial" w:cs="Arial"/>
                <w:color w:val="000000"/>
                <w:sz w:val="20"/>
              </w:rPr>
              <w:t>575</w:t>
            </w:r>
          </w:p>
        </w:tc>
        <w:tc>
          <w:tcPr>
            <w:tcW w:w="8385" w:type="dxa"/>
          </w:tcPr>
          <w:p w14:paraId="12CF9580" w14:textId="542558B7" w:rsidR="00B65C68" w:rsidRDefault="00B65C68" w:rsidP="002533B6">
            <w:pPr>
              <w:jc w:val="both"/>
              <w:rPr>
                <w:rFonts w:ascii="Arial" w:hAnsi="Arial" w:cs="Arial"/>
                <w:color w:val="000000"/>
                <w:sz w:val="20"/>
              </w:rPr>
            </w:pPr>
            <w:r w:rsidRPr="00B65C68">
              <w:rPr>
                <w:rFonts w:ascii="Arial" w:hAnsi="Arial" w:cs="Arial"/>
                <w:color w:val="000000"/>
                <w:sz w:val="20"/>
              </w:rPr>
              <w:t xml:space="preserve">Disapplication of provisions of </w:t>
            </w:r>
            <w:r>
              <w:rPr>
                <w:rFonts w:ascii="Arial" w:hAnsi="Arial" w:cs="Arial"/>
                <w:color w:val="000000"/>
                <w:sz w:val="20"/>
              </w:rPr>
              <w:t xml:space="preserve">ss.9CB, 104AH &amp; 104DD of </w:t>
            </w:r>
            <w:r w:rsidRPr="00B65C68">
              <w:rPr>
                <w:rFonts w:ascii="Arial" w:hAnsi="Arial" w:cs="Arial"/>
                <w:color w:val="000000"/>
                <w:sz w:val="20"/>
              </w:rPr>
              <w:t xml:space="preserve">the </w:t>
            </w:r>
            <w:r w:rsidRPr="00B65C68">
              <w:rPr>
                <w:rFonts w:ascii="Arial" w:hAnsi="Arial" w:cs="Arial"/>
                <w:i/>
                <w:iCs/>
                <w:color w:val="000000"/>
                <w:sz w:val="20"/>
              </w:rPr>
              <w:t>Corrections Act 1986</w:t>
            </w:r>
          </w:p>
        </w:tc>
      </w:tr>
      <w:tr w:rsidR="00B65C68" w14:paraId="7E0A36F6" w14:textId="77777777" w:rsidTr="00B65C68">
        <w:tc>
          <w:tcPr>
            <w:tcW w:w="686" w:type="dxa"/>
          </w:tcPr>
          <w:p w14:paraId="47AAAAB4" w14:textId="1725F60D" w:rsidR="00B65C68" w:rsidRDefault="00B65C68" w:rsidP="002533B6">
            <w:pPr>
              <w:jc w:val="center"/>
              <w:rPr>
                <w:rFonts w:ascii="Arial" w:hAnsi="Arial" w:cs="Arial"/>
                <w:color w:val="000000"/>
                <w:sz w:val="20"/>
              </w:rPr>
            </w:pPr>
            <w:r>
              <w:rPr>
                <w:rFonts w:ascii="Arial" w:hAnsi="Arial" w:cs="Arial"/>
                <w:color w:val="000000"/>
                <w:sz w:val="20"/>
              </w:rPr>
              <w:t>576</w:t>
            </w:r>
          </w:p>
        </w:tc>
        <w:tc>
          <w:tcPr>
            <w:tcW w:w="8385" w:type="dxa"/>
          </w:tcPr>
          <w:p w14:paraId="7963A051" w14:textId="629726C3" w:rsidR="00B65C68" w:rsidRDefault="00B65C68" w:rsidP="002533B6">
            <w:pPr>
              <w:jc w:val="both"/>
              <w:rPr>
                <w:rFonts w:ascii="Arial" w:hAnsi="Arial" w:cs="Arial"/>
                <w:color w:val="000000"/>
                <w:sz w:val="20"/>
              </w:rPr>
            </w:pPr>
            <w:r w:rsidRPr="00B65C68">
              <w:rPr>
                <w:rFonts w:ascii="Arial" w:hAnsi="Arial" w:cs="Arial"/>
                <w:noProof/>
                <w:sz w:val="20"/>
                <w:szCs w:val="20"/>
              </w:rPr>
              <w:t>Authority of police custody officer supervisors and police custody officers</w:t>
            </w:r>
          </w:p>
        </w:tc>
      </w:tr>
      <w:tr w:rsidR="00C83229" w14:paraId="2F3BCC09" w14:textId="77777777" w:rsidTr="00C83229">
        <w:tc>
          <w:tcPr>
            <w:tcW w:w="9071" w:type="dxa"/>
            <w:gridSpan w:val="2"/>
            <w:shd w:val="clear" w:color="auto" w:fill="B2B2B2"/>
          </w:tcPr>
          <w:p w14:paraId="03BAC59D" w14:textId="774A7FFB" w:rsidR="00C83229" w:rsidRPr="008B71A5" w:rsidRDefault="00C83229" w:rsidP="00C83229">
            <w:pPr>
              <w:jc w:val="center"/>
              <w:rPr>
                <w:rFonts w:ascii="Arial" w:hAnsi="Arial" w:cs="Arial"/>
                <w:b/>
                <w:bCs/>
                <w:noProof/>
                <w:sz w:val="20"/>
                <w:szCs w:val="20"/>
              </w:rPr>
            </w:pPr>
            <w:r w:rsidRPr="008B71A5">
              <w:rPr>
                <w:rFonts w:ascii="Arial" w:hAnsi="Arial" w:cs="Arial"/>
                <w:b/>
                <w:bCs/>
                <w:noProof/>
                <w:sz w:val="20"/>
                <w:szCs w:val="20"/>
              </w:rPr>
              <w:t xml:space="preserve">Division </w:t>
            </w:r>
            <w:r>
              <w:rPr>
                <w:rFonts w:ascii="Arial" w:hAnsi="Arial" w:cs="Arial"/>
                <w:b/>
                <w:bCs/>
                <w:noProof/>
                <w:sz w:val="20"/>
                <w:szCs w:val="20"/>
              </w:rPr>
              <w:t xml:space="preserve">2 </w:t>
            </w:r>
            <w:r w:rsidRPr="008B71A5">
              <w:rPr>
                <w:rFonts w:ascii="Arial" w:hAnsi="Arial" w:cs="Arial"/>
                <w:b/>
                <w:bCs/>
                <w:noProof/>
                <w:sz w:val="20"/>
                <w:szCs w:val="20"/>
              </w:rPr>
              <w:t xml:space="preserve">– </w:t>
            </w:r>
            <w:r>
              <w:rPr>
                <w:rFonts w:ascii="Arial" w:hAnsi="Arial" w:cs="Arial"/>
                <w:b/>
                <w:bCs/>
                <w:noProof/>
                <w:sz w:val="20"/>
                <w:szCs w:val="20"/>
              </w:rPr>
              <w:t>Prohibited actions</w:t>
            </w:r>
          </w:p>
        </w:tc>
      </w:tr>
      <w:tr w:rsidR="00D61468" w14:paraId="0EF365F7" w14:textId="77777777" w:rsidTr="00B65C68">
        <w:tc>
          <w:tcPr>
            <w:tcW w:w="686" w:type="dxa"/>
          </w:tcPr>
          <w:p w14:paraId="1944F962" w14:textId="7165BE93" w:rsidR="00D61468" w:rsidRDefault="00C83229" w:rsidP="002533B6">
            <w:pPr>
              <w:jc w:val="center"/>
              <w:rPr>
                <w:rFonts w:ascii="Arial" w:hAnsi="Arial" w:cs="Arial"/>
                <w:color w:val="000000"/>
                <w:sz w:val="20"/>
              </w:rPr>
            </w:pPr>
            <w:r>
              <w:rPr>
                <w:rFonts w:ascii="Arial" w:hAnsi="Arial" w:cs="Arial"/>
                <w:color w:val="000000"/>
                <w:sz w:val="20"/>
              </w:rPr>
              <w:t>577</w:t>
            </w:r>
          </w:p>
        </w:tc>
        <w:tc>
          <w:tcPr>
            <w:tcW w:w="8385" w:type="dxa"/>
          </w:tcPr>
          <w:p w14:paraId="061FD9CE" w14:textId="7EED735B" w:rsidR="00C83229" w:rsidRDefault="00D61468" w:rsidP="00C83229">
            <w:pPr>
              <w:jc w:val="both"/>
              <w:rPr>
                <w:rFonts w:ascii="Arial" w:hAnsi="Arial" w:cs="Arial"/>
                <w:color w:val="000000"/>
                <w:sz w:val="20"/>
              </w:rPr>
            </w:pPr>
            <w:r>
              <w:rPr>
                <w:rFonts w:ascii="Arial" w:hAnsi="Arial" w:cs="Arial"/>
                <w:color w:val="000000"/>
                <w:sz w:val="20"/>
              </w:rPr>
              <w:t>Prohibited actions</w:t>
            </w:r>
            <w:r w:rsidR="00C83229">
              <w:rPr>
                <w:rFonts w:ascii="Arial" w:hAnsi="Arial" w:cs="Arial"/>
                <w:color w:val="000000"/>
                <w:sz w:val="20"/>
              </w:rPr>
              <w:t>: (a) physical force for discipline; (b) corporal punishment; (c) psychological pressure; (d) physical or emotional abuse; (e) discriminatory treatment.</w:t>
            </w:r>
          </w:p>
        </w:tc>
      </w:tr>
      <w:tr w:rsidR="00C83229" w14:paraId="4A58308B" w14:textId="77777777" w:rsidTr="002533B6">
        <w:tc>
          <w:tcPr>
            <w:tcW w:w="9071" w:type="dxa"/>
            <w:gridSpan w:val="2"/>
            <w:shd w:val="clear" w:color="auto" w:fill="B2B2B2"/>
          </w:tcPr>
          <w:p w14:paraId="5FDD5D7B" w14:textId="5E53E44B" w:rsidR="00C83229" w:rsidRPr="008B71A5" w:rsidRDefault="00C83229" w:rsidP="002533B6">
            <w:pPr>
              <w:jc w:val="center"/>
              <w:rPr>
                <w:rFonts w:ascii="Arial" w:hAnsi="Arial" w:cs="Arial"/>
                <w:b/>
                <w:bCs/>
                <w:noProof/>
                <w:sz w:val="20"/>
                <w:szCs w:val="20"/>
              </w:rPr>
            </w:pPr>
            <w:r w:rsidRPr="008B71A5">
              <w:rPr>
                <w:rFonts w:ascii="Arial" w:hAnsi="Arial" w:cs="Arial"/>
                <w:b/>
                <w:bCs/>
                <w:noProof/>
                <w:sz w:val="20"/>
                <w:szCs w:val="20"/>
              </w:rPr>
              <w:t xml:space="preserve">Division </w:t>
            </w:r>
            <w:r>
              <w:rPr>
                <w:rFonts w:ascii="Arial" w:hAnsi="Arial" w:cs="Arial"/>
                <w:b/>
                <w:bCs/>
                <w:noProof/>
                <w:sz w:val="20"/>
                <w:szCs w:val="20"/>
              </w:rPr>
              <w:t xml:space="preserve">3 </w:t>
            </w:r>
            <w:r w:rsidRPr="008B71A5">
              <w:rPr>
                <w:rFonts w:ascii="Arial" w:hAnsi="Arial" w:cs="Arial"/>
                <w:b/>
                <w:bCs/>
                <w:noProof/>
                <w:sz w:val="20"/>
                <w:szCs w:val="20"/>
              </w:rPr>
              <w:t xml:space="preserve">– </w:t>
            </w:r>
            <w:r>
              <w:rPr>
                <w:rFonts w:ascii="Arial" w:hAnsi="Arial" w:cs="Arial"/>
                <w:b/>
                <w:bCs/>
                <w:noProof/>
                <w:sz w:val="20"/>
                <w:szCs w:val="20"/>
              </w:rPr>
              <w:t>Use of force in police gaol or in custody of transfer officer under transfer authority</w:t>
            </w:r>
          </w:p>
        </w:tc>
      </w:tr>
      <w:tr w:rsidR="00B65C68" w14:paraId="2F3B68A5" w14:textId="77777777" w:rsidTr="00B65C68">
        <w:tc>
          <w:tcPr>
            <w:tcW w:w="686" w:type="dxa"/>
          </w:tcPr>
          <w:p w14:paraId="1700007D" w14:textId="6CB84BE0" w:rsidR="00B65C68" w:rsidRDefault="00B65C68" w:rsidP="002533B6">
            <w:pPr>
              <w:jc w:val="center"/>
              <w:rPr>
                <w:rFonts w:ascii="Arial" w:hAnsi="Arial" w:cs="Arial"/>
                <w:color w:val="000000"/>
                <w:sz w:val="20"/>
              </w:rPr>
            </w:pPr>
            <w:r>
              <w:rPr>
                <w:rFonts w:ascii="Arial" w:hAnsi="Arial" w:cs="Arial"/>
                <w:color w:val="000000"/>
                <w:sz w:val="20"/>
              </w:rPr>
              <w:t>578</w:t>
            </w:r>
          </w:p>
        </w:tc>
        <w:tc>
          <w:tcPr>
            <w:tcW w:w="8385" w:type="dxa"/>
          </w:tcPr>
          <w:p w14:paraId="761F70E8" w14:textId="530490B4" w:rsidR="00B65C68" w:rsidRDefault="00B65C68" w:rsidP="002533B6">
            <w:pPr>
              <w:jc w:val="both"/>
              <w:rPr>
                <w:rFonts w:ascii="Arial" w:hAnsi="Arial" w:cs="Arial"/>
                <w:color w:val="000000"/>
                <w:sz w:val="20"/>
              </w:rPr>
            </w:pPr>
            <w:r w:rsidRPr="00A834AA">
              <w:rPr>
                <w:rFonts w:ascii="Arial" w:hAnsi="Arial" w:cs="Arial"/>
                <w:noProof/>
                <w:sz w:val="20"/>
                <w:szCs w:val="20"/>
                <w:lang w:val="en-US"/>
              </w:rPr>
              <w:t>Use of force prohibited in certain circumstances</w:t>
            </w:r>
          </w:p>
        </w:tc>
      </w:tr>
      <w:tr w:rsidR="00B65C68" w14:paraId="0F1D3432" w14:textId="77777777" w:rsidTr="00B65C68">
        <w:tc>
          <w:tcPr>
            <w:tcW w:w="686" w:type="dxa"/>
          </w:tcPr>
          <w:p w14:paraId="366B2218" w14:textId="3D4F92AD" w:rsidR="00B65C68" w:rsidRDefault="00B65C68" w:rsidP="002533B6">
            <w:pPr>
              <w:jc w:val="center"/>
              <w:rPr>
                <w:rFonts w:ascii="Arial" w:hAnsi="Arial" w:cs="Arial"/>
                <w:color w:val="000000"/>
                <w:sz w:val="20"/>
              </w:rPr>
            </w:pPr>
            <w:r>
              <w:rPr>
                <w:rFonts w:ascii="Arial" w:hAnsi="Arial" w:cs="Arial"/>
                <w:color w:val="000000"/>
                <w:sz w:val="20"/>
              </w:rPr>
              <w:t>579</w:t>
            </w:r>
          </w:p>
        </w:tc>
        <w:tc>
          <w:tcPr>
            <w:tcW w:w="8385" w:type="dxa"/>
          </w:tcPr>
          <w:p w14:paraId="4707BE52" w14:textId="580DD7F9" w:rsidR="00B65C68" w:rsidRDefault="00B65C68" w:rsidP="002533B6">
            <w:pPr>
              <w:jc w:val="both"/>
              <w:rPr>
                <w:rFonts w:ascii="Arial" w:hAnsi="Arial" w:cs="Arial"/>
                <w:color w:val="000000"/>
                <w:sz w:val="20"/>
              </w:rPr>
            </w:pPr>
            <w:r w:rsidRPr="00A834AA">
              <w:rPr>
                <w:rFonts w:ascii="Arial" w:hAnsi="Arial" w:cs="Arial"/>
                <w:noProof/>
                <w:sz w:val="20"/>
                <w:szCs w:val="20"/>
                <w:lang w:val="en-US"/>
              </w:rPr>
              <w:t>Prohibited physical restraint techniques in police gaols or in custody of a transfer officer under transfer authority</w:t>
            </w:r>
          </w:p>
        </w:tc>
      </w:tr>
      <w:tr w:rsidR="00B65C68" w14:paraId="482BC921" w14:textId="77777777" w:rsidTr="00B65C68">
        <w:tc>
          <w:tcPr>
            <w:tcW w:w="686" w:type="dxa"/>
          </w:tcPr>
          <w:p w14:paraId="35EF2F14" w14:textId="00AB895F" w:rsidR="00B65C68" w:rsidRDefault="00B65C68" w:rsidP="002533B6">
            <w:pPr>
              <w:jc w:val="center"/>
              <w:rPr>
                <w:rFonts w:ascii="Arial" w:hAnsi="Arial" w:cs="Arial"/>
                <w:color w:val="000000"/>
                <w:sz w:val="20"/>
              </w:rPr>
            </w:pPr>
            <w:r>
              <w:rPr>
                <w:rFonts w:ascii="Arial" w:hAnsi="Arial" w:cs="Arial"/>
                <w:color w:val="000000"/>
                <w:sz w:val="20"/>
              </w:rPr>
              <w:t>580</w:t>
            </w:r>
          </w:p>
        </w:tc>
        <w:tc>
          <w:tcPr>
            <w:tcW w:w="8385" w:type="dxa"/>
          </w:tcPr>
          <w:p w14:paraId="33EDE30A" w14:textId="2AE84147" w:rsidR="00B65C68" w:rsidRDefault="00B65C68" w:rsidP="002533B6">
            <w:pPr>
              <w:jc w:val="both"/>
              <w:rPr>
                <w:rFonts w:ascii="Arial" w:hAnsi="Arial" w:cs="Arial"/>
                <w:color w:val="000000"/>
                <w:sz w:val="20"/>
              </w:rPr>
            </w:pPr>
            <w:r w:rsidRPr="00A834AA">
              <w:rPr>
                <w:rFonts w:ascii="Arial" w:hAnsi="Arial" w:cs="Arial"/>
                <w:noProof/>
                <w:sz w:val="20"/>
                <w:szCs w:val="20"/>
                <w:lang w:val="en-US"/>
              </w:rPr>
              <w:t>Use of instruments of restraint prohibited except in certain circumstances</w:t>
            </w:r>
          </w:p>
        </w:tc>
      </w:tr>
      <w:tr w:rsidR="00C83229" w14:paraId="565BA651" w14:textId="77777777" w:rsidTr="002533B6">
        <w:tc>
          <w:tcPr>
            <w:tcW w:w="9071" w:type="dxa"/>
            <w:gridSpan w:val="2"/>
            <w:shd w:val="clear" w:color="auto" w:fill="B2B2B2"/>
          </w:tcPr>
          <w:p w14:paraId="380296B0" w14:textId="267DFB27" w:rsidR="00C83229" w:rsidRPr="008B71A5" w:rsidRDefault="00C83229" w:rsidP="002533B6">
            <w:pPr>
              <w:jc w:val="center"/>
              <w:rPr>
                <w:rFonts w:ascii="Arial" w:hAnsi="Arial" w:cs="Arial"/>
                <w:b/>
                <w:bCs/>
                <w:noProof/>
                <w:sz w:val="20"/>
                <w:szCs w:val="20"/>
              </w:rPr>
            </w:pPr>
            <w:r w:rsidRPr="008B71A5">
              <w:rPr>
                <w:rFonts w:ascii="Arial" w:hAnsi="Arial" w:cs="Arial"/>
                <w:b/>
                <w:bCs/>
                <w:noProof/>
                <w:sz w:val="20"/>
                <w:szCs w:val="20"/>
              </w:rPr>
              <w:t xml:space="preserve">Division </w:t>
            </w:r>
            <w:r>
              <w:rPr>
                <w:rFonts w:ascii="Arial" w:hAnsi="Arial" w:cs="Arial"/>
                <w:b/>
                <w:bCs/>
                <w:noProof/>
                <w:sz w:val="20"/>
                <w:szCs w:val="20"/>
              </w:rPr>
              <w:t>4</w:t>
            </w:r>
            <w:r w:rsidRPr="008B71A5">
              <w:rPr>
                <w:rFonts w:ascii="Arial" w:hAnsi="Arial" w:cs="Arial"/>
                <w:b/>
                <w:bCs/>
                <w:noProof/>
                <w:sz w:val="20"/>
                <w:szCs w:val="20"/>
              </w:rPr>
              <w:t xml:space="preserve">– </w:t>
            </w:r>
            <w:r>
              <w:rPr>
                <w:rFonts w:ascii="Arial" w:hAnsi="Arial" w:cs="Arial"/>
                <w:b/>
                <w:bCs/>
                <w:noProof/>
                <w:sz w:val="20"/>
                <w:szCs w:val="20"/>
              </w:rPr>
              <w:t>Unclothed searches</w:t>
            </w:r>
          </w:p>
        </w:tc>
      </w:tr>
      <w:tr w:rsidR="00B65C68" w14:paraId="6D4E8C9E" w14:textId="77777777" w:rsidTr="00B65C68">
        <w:tc>
          <w:tcPr>
            <w:tcW w:w="686" w:type="dxa"/>
          </w:tcPr>
          <w:p w14:paraId="7B9B7DB0" w14:textId="4D01A9B1" w:rsidR="00B65C68" w:rsidRDefault="00B65C68" w:rsidP="002533B6">
            <w:pPr>
              <w:jc w:val="center"/>
              <w:rPr>
                <w:rFonts w:ascii="Arial" w:hAnsi="Arial" w:cs="Arial"/>
                <w:color w:val="000000"/>
                <w:sz w:val="20"/>
              </w:rPr>
            </w:pPr>
            <w:r>
              <w:rPr>
                <w:rFonts w:ascii="Arial" w:hAnsi="Arial" w:cs="Arial"/>
                <w:color w:val="000000"/>
                <w:sz w:val="20"/>
              </w:rPr>
              <w:t>581</w:t>
            </w:r>
          </w:p>
        </w:tc>
        <w:tc>
          <w:tcPr>
            <w:tcW w:w="8385" w:type="dxa"/>
          </w:tcPr>
          <w:p w14:paraId="1731D1E9" w14:textId="0AD99118" w:rsidR="00B65C68" w:rsidRDefault="00B65C68" w:rsidP="002533B6">
            <w:pPr>
              <w:jc w:val="both"/>
              <w:rPr>
                <w:rFonts w:ascii="Arial" w:hAnsi="Arial" w:cs="Arial"/>
                <w:color w:val="000000"/>
                <w:sz w:val="20"/>
              </w:rPr>
            </w:pPr>
            <w:r w:rsidRPr="00A834AA">
              <w:rPr>
                <w:rFonts w:ascii="Arial" w:hAnsi="Arial" w:cs="Arial"/>
                <w:noProof/>
                <w:sz w:val="20"/>
                <w:szCs w:val="20"/>
              </w:rPr>
              <w:t>Unclothed search of child held in custody in a police gaol</w:t>
            </w:r>
          </w:p>
        </w:tc>
      </w:tr>
      <w:tr w:rsidR="00B65C68" w14:paraId="600D28B0" w14:textId="77777777" w:rsidTr="00B65C68">
        <w:tc>
          <w:tcPr>
            <w:tcW w:w="686" w:type="dxa"/>
          </w:tcPr>
          <w:p w14:paraId="792E9551" w14:textId="5427E989" w:rsidR="00B65C68" w:rsidRDefault="00B65C68" w:rsidP="002533B6">
            <w:pPr>
              <w:jc w:val="center"/>
              <w:rPr>
                <w:rFonts w:ascii="Arial" w:hAnsi="Arial" w:cs="Arial"/>
                <w:color w:val="000000"/>
                <w:sz w:val="20"/>
              </w:rPr>
            </w:pPr>
            <w:r>
              <w:rPr>
                <w:rFonts w:ascii="Arial" w:hAnsi="Arial" w:cs="Arial"/>
                <w:color w:val="000000"/>
                <w:sz w:val="20"/>
              </w:rPr>
              <w:t>582</w:t>
            </w:r>
          </w:p>
        </w:tc>
        <w:tc>
          <w:tcPr>
            <w:tcW w:w="8385" w:type="dxa"/>
          </w:tcPr>
          <w:p w14:paraId="0B2330A0" w14:textId="0C67F9F1" w:rsidR="00B65C68" w:rsidRDefault="00B65C68" w:rsidP="002533B6">
            <w:pPr>
              <w:jc w:val="both"/>
              <w:rPr>
                <w:rFonts w:ascii="Arial" w:hAnsi="Arial" w:cs="Arial"/>
                <w:color w:val="000000"/>
                <w:sz w:val="20"/>
              </w:rPr>
            </w:pPr>
            <w:r w:rsidRPr="00A834AA">
              <w:rPr>
                <w:rFonts w:ascii="Arial" w:hAnsi="Arial" w:cs="Arial"/>
                <w:noProof/>
                <w:sz w:val="20"/>
                <w:szCs w:val="20"/>
                <w:lang w:val="en-US"/>
              </w:rPr>
              <w:t>Use of reasonable force for unclothed searches must be authorised</w:t>
            </w:r>
          </w:p>
        </w:tc>
      </w:tr>
      <w:tr w:rsidR="00B65C68" w14:paraId="1C01927B" w14:textId="77777777" w:rsidTr="00B65C68">
        <w:tc>
          <w:tcPr>
            <w:tcW w:w="686" w:type="dxa"/>
          </w:tcPr>
          <w:p w14:paraId="26B15E67" w14:textId="53B0B4F1" w:rsidR="00B65C68" w:rsidRDefault="00B65C68" w:rsidP="002533B6">
            <w:pPr>
              <w:jc w:val="center"/>
              <w:rPr>
                <w:rFonts w:ascii="Arial" w:hAnsi="Arial" w:cs="Arial"/>
                <w:color w:val="000000"/>
                <w:sz w:val="20"/>
              </w:rPr>
            </w:pPr>
            <w:r>
              <w:rPr>
                <w:rFonts w:ascii="Arial" w:hAnsi="Arial" w:cs="Arial"/>
                <w:color w:val="000000"/>
                <w:sz w:val="20"/>
              </w:rPr>
              <w:t>583</w:t>
            </w:r>
          </w:p>
        </w:tc>
        <w:tc>
          <w:tcPr>
            <w:tcW w:w="8385" w:type="dxa"/>
          </w:tcPr>
          <w:p w14:paraId="7D7F698F" w14:textId="64BD6C62" w:rsidR="00B65C68" w:rsidRDefault="00B65C68" w:rsidP="002533B6">
            <w:pPr>
              <w:jc w:val="both"/>
              <w:rPr>
                <w:rFonts w:ascii="Arial" w:hAnsi="Arial" w:cs="Arial"/>
                <w:color w:val="000000"/>
                <w:sz w:val="20"/>
              </w:rPr>
            </w:pPr>
            <w:r w:rsidRPr="00A834AA">
              <w:rPr>
                <w:rFonts w:ascii="Arial" w:hAnsi="Arial" w:cs="Arial"/>
                <w:noProof/>
                <w:sz w:val="20"/>
                <w:szCs w:val="20"/>
                <w:lang w:val="en-US"/>
              </w:rPr>
              <w:t>Requirements before conducting unclothed searches in police gaols</w:t>
            </w:r>
          </w:p>
        </w:tc>
      </w:tr>
      <w:tr w:rsidR="00B65C68" w14:paraId="3EB03536" w14:textId="77777777" w:rsidTr="00B65C68">
        <w:tc>
          <w:tcPr>
            <w:tcW w:w="686" w:type="dxa"/>
          </w:tcPr>
          <w:p w14:paraId="7E312D13" w14:textId="1F133740" w:rsidR="00B65C68" w:rsidRDefault="00B65C68" w:rsidP="002533B6">
            <w:pPr>
              <w:jc w:val="center"/>
              <w:rPr>
                <w:rFonts w:ascii="Arial" w:hAnsi="Arial" w:cs="Arial"/>
                <w:color w:val="000000"/>
                <w:sz w:val="20"/>
              </w:rPr>
            </w:pPr>
            <w:r>
              <w:rPr>
                <w:rFonts w:ascii="Arial" w:hAnsi="Arial" w:cs="Arial"/>
                <w:color w:val="000000"/>
                <w:sz w:val="20"/>
              </w:rPr>
              <w:t>584</w:t>
            </w:r>
          </w:p>
        </w:tc>
        <w:tc>
          <w:tcPr>
            <w:tcW w:w="8385" w:type="dxa"/>
          </w:tcPr>
          <w:p w14:paraId="3F9B2A3D" w14:textId="5952BFF0" w:rsidR="00B65C68" w:rsidRDefault="00B65C68" w:rsidP="002533B6">
            <w:pPr>
              <w:jc w:val="both"/>
              <w:rPr>
                <w:rFonts w:ascii="Arial" w:hAnsi="Arial" w:cs="Arial"/>
                <w:color w:val="000000"/>
                <w:sz w:val="20"/>
              </w:rPr>
            </w:pPr>
            <w:r w:rsidRPr="00A834AA">
              <w:rPr>
                <w:rFonts w:ascii="Arial" w:hAnsi="Arial" w:cs="Arial"/>
                <w:noProof/>
                <w:sz w:val="20"/>
                <w:szCs w:val="20"/>
              </w:rPr>
              <w:t>Conduct of unclothed searches in police gaols</w:t>
            </w:r>
          </w:p>
        </w:tc>
      </w:tr>
      <w:tr w:rsidR="00B65C68" w14:paraId="16E0190E" w14:textId="77777777" w:rsidTr="00B65C68">
        <w:tc>
          <w:tcPr>
            <w:tcW w:w="686" w:type="dxa"/>
          </w:tcPr>
          <w:p w14:paraId="484E114A" w14:textId="3F520986" w:rsidR="00B65C68" w:rsidRDefault="00B65C68" w:rsidP="002533B6">
            <w:pPr>
              <w:jc w:val="center"/>
              <w:rPr>
                <w:rFonts w:ascii="Arial" w:hAnsi="Arial" w:cs="Arial"/>
                <w:color w:val="000000"/>
                <w:sz w:val="20"/>
              </w:rPr>
            </w:pPr>
            <w:r>
              <w:rPr>
                <w:rFonts w:ascii="Arial" w:hAnsi="Arial" w:cs="Arial"/>
                <w:color w:val="000000"/>
                <w:sz w:val="20"/>
              </w:rPr>
              <w:t>585</w:t>
            </w:r>
          </w:p>
        </w:tc>
        <w:tc>
          <w:tcPr>
            <w:tcW w:w="8385" w:type="dxa"/>
          </w:tcPr>
          <w:p w14:paraId="75FA1AB9" w14:textId="7806EB73" w:rsidR="00B65C68" w:rsidRPr="00A834AA" w:rsidRDefault="00B65C68" w:rsidP="002533B6">
            <w:pPr>
              <w:jc w:val="both"/>
              <w:rPr>
                <w:rFonts w:ascii="Arial" w:hAnsi="Arial" w:cs="Arial"/>
                <w:noProof/>
                <w:sz w:val="20"/>
                <w:szCs w:val="20"/>
              </w:rPr>
            </w:pPr>
            <w:r w:rsidRPr="00A834AA">
              <w:rPr>
                <w:rFonts w:ascii="Arial" w:hAnsi="Arial" w:cs="Arial"/>
                <w:noProof/>
                <w:sz w:val="20"/>
                <w:szCs w:val="20"/>
                <w:lang w:val="en-US"/>
              </w:rPr>
              <w:t>Sex or gender identity of officer conducting unclothed search of child held in custody in a police gaol</w:t>
            </w:r>
          </w:p>
        </w:tc>
      </w:tr>
      <w:tr w:rsidR="00B65C68" w14:paraId="1886E7E0" w14:textId="77777777" w:rsidTr="00B65C68">
        <w:tc>
          <w:tcPr>
            <w:tcW w:w="686" w:type="dxa"/>
          </w:tcPr>
          <w:p w14:paraId="52872EC1" w14:textId="5FA7ECB6" w:rsidR="00B65C68" w:rsidRDefault="00B65C68" w:rsidP="002533B6">
            <w:pPr>
              <w:jc w:val="center"/>
              <w:rPr>
                <w:rFonts w:ascii="Arial" w:hAnsi="Arial" w:cs="Arial"/>
                <w:color w:val="000000"/>
                <w:sz w:val="20"/>
              </w:rPr>
            </w:pPr>
            <w:r>
              <w:rPr>
                <w:rFonts w:ascii="Arial" w:hAnsi="Arial" w:cs="Arial"/>
                <w:color w:val="000000"/>
                <w:sz w:val="20"/>
              </w:rPr>
              <w:t>586</w:t>
            </w:r>
          </w:p>
        </w:tc>
        <w:tc>
          <w:tcPr>
            <w:tcW w:w="8385" w:type="dxa"/>
          </w:tcPr>
          <w:p w14:paraId="2719816D" w14:textId="1E9C021A" w:rsidR="00B65C68" w:rsidRPr="00A834AA" w:rsidRDefault="00B65C68" w:rsidP="002533B6">
            <w:pPr>
              <w:jc w:val="both"/>
              <w:rPr>
                <w:rFonts w:ascii="Arial" w:hAnsi="Arial" w:cs="Arial"/>
                <w:noProof/>
                <w:sz w:val="20"/>
                <w:szCs w:val="20"/>
              </w:rPr>
            </w:pPr>
            <w:r w:rsidRPr="00A834AA">
              <w:rPr>
                <w:rFonts w:ascii="Arial" w:hAnsi="Arial" w:cs="Arial"/>
                <w:noProof/>
                <w:sz w:val="20"/>
                <w:szCs w:val="20"/>
                <w:lang w:val="en-US"/>
              </w:rPr>
              <w:t>Actions after completion of an unclothed search</w:t>
            </w:r>
          </w:p>
        </w:tc>
      </w:tr>
      <w:tr w:rsidR="00B65C68" w14:paraId="20B52E5A" w14:textId="77777777" w:rsidTr="00B65C68">
        <w:tc>
          <w:tcPr>
            <w:tcW w:w="686" w:type="dxa"/>
          </w:tcPr>
          <w:p w14:paraId="095F16D7" w14:textId="7D47054C" w:rsidR="00B65C68" w:rsidRDefault="00B65C68" w:rsidP="002533B6">
            <w:pPr>
              <w:jc w:val="center"/>
              <w:rPr>
                <w:rFonts w:ascii="Arial" w:hAnsi="Arial" w:cs="Arial"/>
                <w:color w:val="000000"/>
                <w:sz w:val="20"/>
              </w:rPr>
            </w:pPr>
            <w:r>
              <w:rPr>
                <w:rFonts w:ascii="Arial" w:hAnsi="Arial" w:cs="Arial"/>
                <w:color w:val="000000"/>
                <w:sz w:val="20"/>
              </w:rPr>
              <w:t>587</w:t>
            </w:r>
          </w:p>
        </w:tc>
        <w:tc>
          <w:tcPr>
            <w:tcW w:w="8385" w:type="dxa"/>
          </w:tcPr>
          <w:p w14:paraId="1FFBFA11" w14:textId="2541C38E" w:rsidR="00B65C68" w:rsidRPr="00A834AA" w:rsidRDefault="00B65C68" w:rsidP="002533B6">
            <w:pPr>
              <w:jc w:val="both"/>
              <w:rPr>
                <w:rFonts w:ascii="Arial" w:hAnsi="Arial" w:cs="Arial"/>
                <w:noProof/>
                <w:sz w:val="20"/>
                <w:szCs w:val="20"/>
              </w:rPr>
            </w:pPr>
            <w:r w:rsidRPr="00A834AA">
              <w:rPr>
                <w:rFonts w:ascii="Arial" w:hAnsi="Arial" w:cs="Arial"/>
                <w:noProof/>
                <w:sz w:val="20"/>
                <w:szCs w:val="20"/>
                <w:lang w:val="en-US"/>
              </w:rPr>
              <w:t>Child to be informed about complaints and actions required after unclothed search</w:t>
            </w:r>
          </w:p>
        </w:tc>
      </w:tr>
      <w:tr w:rsidR="00C83229" w14:paraId="6D7863A4" w14:textId="77777777" w:rsidTr="002533B6">
        <w:tc>
          <w:tcPr>
            <w:tcW w:w="9071" w:type="dxa"/>
            <w:gridSpan w:val="2"/>
            <w:shd w:val="clear" w:color="auto" w:fill="B2B2B2"/>
          </w:tcPr>
          <w:p w14:paraId="32A48B15" w14:textId="50E00C42" w:rsidR="00C83229" w:rsidRPr="008B71A5" w:rsidRDefault="00C83229" w:rsidP="002533B6">
            <w:pPr>
              <w:jc w:val="center"/>
              <w:rPr>
                <w:rFonts w:ascii="Arial" w:hAnsi="Arial" w:cs="Arial"/>
                <w:b/>
                <w:bCs/>
                <w:noProof/>
                <w:sz w:val="20"/>
                <w:szCs w:val="20"/>
              </w:rPr>
            </w:pPr>
            <w:r w:rsidRPr="008B71A5">
              <w:rPr>
                <w:rFonts w:ascii="Arial" w:hAnsi="Arial" w:cs="Arial"/>
                <w:b/>
                <w:bCs/>
                <w:noProof/>
                <w:sz w:val="20"/>
                <w:szCs w:val="20"/>
              </w:rPr>
              <w:t xml:space="preserve">Division </w:t>
            </w:r>
            <w:r w:rsidR="00DD2F8A">
              <w:rPr>
                <w:rFonts w:ascii="Arial" w:hAnsi="Arial" w:cs="Arial"/>
                <w:b/>
                <w:bCs/>
                <w:noProof/>
                <w:sz w:val="20"/>
                <w:szCs w:val="20"/>
              </w:rPr>
              <w:t>5</w:t>
            </w:r>
            <w:r w:rsidRPr="008B71A5">
              <w:rPr>
                <w:rFonts w:ascii="Arial" w:hAnsi="Arial" w:cs="Arial"/>
                <w:b/>
                <w:bCs/>
                <w:noProof/>
                <w:sz w:val="20"/>
                <w:szCs w:val="20"/>
              </w:rPr>
              <w:t xml:space="preserve">– </w:t>
            </w:r>
            <w:r w:rsidR="00DD2F8A">
              <w:rPr>
                <w:rFonts w:ascii="Arial" w:hAnsi="Arial" w:cs="Arial"/>
                <w:b/>
                <w:bCs/>
                <w:noProof/>
                <w:sz w:val="20"/>
                <w:szCs w:val="20"/>
              </w:rPr>
              <w:t>General requirements for use of force</w:t>
            </w:r>
          </w:p>
        </w:tc>
      </w:tr>
      <w:tr w:rsidR="00D61468" w14:paraId="65C0A5D3" w14:textId="77777777" w:rsidTr="00B65C68">
        <w:tc>
          <w:tcPr>
            <w:tcW w:w="686" w:type="dxa"/>
          </w:tcPr>
          <w:p w14:paraId="75371C83" w14:textId="4362AEB4" w:rsidR="00D61468" w:rsidRDefault="00B65C68" w:rsidP="002533B6">
            <w:pPr>
              <w:jc w:val="center"/>
              <w:rPr>
                <w:rFonts w:ascii="Arial" w:hAnsi="Arial" w:cs="Arial"/>
                <w:color w:val="000000"/>
                <w:sz w:val="20"/>
              </w:rPr>
            </w:pPr>
            <w:r>
              <w:rPr>
                <w:rFonts w:ascii="Arial" w:hAnsi="Arial" w:cs="Arial"/>
                <w:color w:val="000000"/>
                <w:sz w:val="20"/>
              </w:rPr>
              <w:t>588</w:t>
            </w:r>
          </w:p>
        </w:tc>
        <w:tc>
          <w:tcPr>
            <w:tcW w:w="8385" w:type="dxa"/>
          </w:tcPr>
          <w:p w14:paraId="5E4DB25E" w14:textId="53137C1E" w:rsidR="00D61468" w:rsidRDefault="00B65C68" w:rsidP="002533B6">
            <w:pPr>
              <w:jc w:val="both"/>
              <w:rPr>
                <w:rFonts w:ascii="Arial" w:hAnsi="Arial" w:cs="Arial"/>
                <w:color w:val="000000"/>
                <w:sz w:val="20"/>
              </w:rPr>
            </w:pPr>
            <w:r w:rsidRPr="00A834AA">
              <w:rPr>
                <w:rFonts w:ascii="Arial" w:hAnsi="Arial" w:cs="Arial"/>
                <w:noProof/>
                <w:sz w:val="20"/>
                <w:szCs w:val="20"/>
                <w:lang w:val="en-US"/>
              </w:rPr>
              <w:t>General requirements applying to use of force</w:t>
            </w:r>
          </w:p>
        </w:tc>
      </w:tr>
      <w:tr w:rsidR="00D61468" w14:paraId="17D39B73" w14:textId="77777777" w:rsidTr="00B65C68">
        <w:tc>
          <w:tcPr>
            <w:tcW w:w="686" w:type="dxa"/>
          </w:tcPr>
          <w:p w14:paraId="1BDE6595" w14:textId="047D85C2" w:rsidR="00D61468" w:rsidRDefault="00B65C68" w:rsidP="002533B6">
            <w:pPr>
              <w:jc w:val="center"/>
              <w:rPr>
                <w:rFonts w:ascii="Arial" w:hAnsi="Arial" w:cs="Arial"/>
                <w:color w:val="000000"/>
                <w:sz w:val="20"/>
              </w:rPr>
            </w:pPr>
            <w:r>
              <w:rPr>
                <w:rFonts w:ascii="Arial" w:hAnsi="Arial" w:cs="Arial"/>
                <w:color w:val="000000"/>
                <w:sz w:val="20"/>
              </w:rPr>
              <w:t>589</w:t>
            </w:r>
          </w:p>
        </w:tc>
        <w:tc>
          <w:tcPr>
            <w:tcW w:w="8385" w:type="dxa"/>
          </w:tcPr>
          <w:p w14:paraId="3DEBBD8D" w14:textId="5311B062" w:rsidR="00D61468" w:rsidRDefault="00B65C68" w:rsidP="002533B6">
            <w:pPr>
              <w:jc w:val="both"/>
              <w:rPr>
                <w:rFonts w:ascii="Arial" w:hAnsi="Arial" w:cs="Arial"/>
                <w:color w:val="000000"/>
                <w:sz w:val="20"/>
              </w:rPr>
            </w:pPr>
            <w:r w:rsidRPr="00A834AA">
              <w:rPr>
                <w:rFonts w:ascii="Arial" w:hAnsi="Arial" w:cs="Arial"/>
                <w:noProof/>
                <w:sz w:val="20"/>
                <w:szCs w:val="20"/>
                <w:lang w:val="en-US"/>
              </w:rPr>
              <w:t>Actions to be taken after child held in custody in police gaol is subjected to use of force under Part</w:t>
            </w:r>
            <w:r>
              <w:rPr>
                <w:rFonts w:ascii="Arial" w:hAnsi="Arial" w:cs="Arial"/>
                <w:noProof/>
                <w:sz w:val="20"/>
                <w:szCs w:val="20"/>
                <w:lang w:val="en-US"/>
              </w:rPr>
              <w:t xml:space="preserve"> 11.2</w:t>
            </w:r>
          </w:p>
        </w:tc>
      </w:tr>
      <w:tr w:rsidR="00B65C68" w14:paraId="02939068" w14:textId="77777777" w:rsidTr="00B65C68">
        <w:tc>
          <w:tcPr>
            <w:tcW w:w="686" w:type="dxa"/>
          </w:tcPr>
          <w:p w14:paraId="1630FD7E" w14:textId="362396E4" w:rsidR="00B65C68" w:rsidRDefault="00B65C68" w:rsidP="002533B6">
            <w:pPr>
              <w:jc w:val="center"/>
              <w:rPr>
                <w:rFonts w:ascii="Arial" w:hAnsi="Arial" w:cs="Arial"/>
                <w:color w:val="000000"/>
                <w:sz w:val="20"/>
              </w:rPr>
            </w:pPr>
            <w:r>
              <w:rPr>
                <w:rFonts w:ascii="Arial" w:hAnsi="Arial" w:cs="Arial"/>
                <w:color w:val="000000"/>
                <w:sz w:val="20"/>
              </w:rPr>
              <w:t>590</w:t>
            </w:r>
          </w:p>
        </w:tc>
        <w:tc>
          <w:tcPr>
            <w:tcW w:w="8385" w:type="dxa"/>
          </w:tcPr>
          <w:p w14:paraId="70798FEE" w14:textId="6B99A0B8" w:rsidR="00B65C68" w:rsidRDefault="00B65C68" w:rsidP="002533B6">
            <w:pPr>
              <w:jc w:val="both"/>
              <w:rPr>
                <w:rFonts w:ascii="Arial" w:hAnsi="Arial" w:cs="Arial"/>
                <w:color w:val="000000"/>
                <w:sz w:val="20"/>
              </w:rPr>
            </w:pPr>
            <w:r w:rsidRPr="00A834AA">
              <w:rPr>
                <w:rFonts w:ascii="Arial" w:hAnsi="Arial" w:cs="Arial"/>
                <w:noProof/>
                <w:sz w:val="20"/>
                <w:szCs w:val="20"/>
                <w:lang w:val="en-US"/>
              </w:rPr>
              <w:t>Actions to be taken after child or young person in custody of transfer officer under transfer authority is subjected to use of force under Part</w:t>
            </w:r>
            <w:r>
              <w:rPr>
                <w:rFonts w:ascii="Arial" w:hAnsi="Arial" w:cs="Arial"/>
                <w:noProof/>
                <w:sz w:val="20"/>
                <w:szCs w:val="20"/>
                <w:lang w:val="en-US"/>
              </w:rPr>
              <w:t xml:space="preserve"> 11.2</w:t>
            </w:r>
          </w:p>
        </w:tc>
      </w:tr>
      <w:tr w:rsidR="00D61468" w14:paraId="65B96972" w14:textId="77777777" w:rsidTr="00B65C68">
        <w:tc>
          <w:tcPr>
            <w:tcW w:w="686" w:type="dxa"/>
          </w:tcPr>
          <w:p w14:paraId="2363E899" w14:textId="3689A0EC" w:rsidR="00D61468" w:rsidRDefault="00D61468" w:rsidP="002533B6">
            <w:pPr>
              <w:jc w:val="center"/>
              <w:rPr>
                <w:rFonts w:ascii="Arial" w:hAnsi="Arial" w:cs="Arial"/>
                <w:color w:val="000000"/>
                <w:sz w:val="20"/>
              </w:rPr>
            </w:pPr>
            <w:r>
              <w:rPr>
                <w:rFonts w:ascii="Arial" w:hAnsi="Arial" w:cs="Arial"/>
                <w:color w:val="000000"/>
                <w:sz w:val="20"/>
              </w:rPr>
              <w:t>591</w:t>
            </w:r>
          </w:p>
        </w:tc>
        <w:tc>
          <w:tcPr>
            <w:tcW w:w="8385" w:type="dxa"/>
          </w:tcPr>
          <w:p w14:paraId="4ADEF067" w14:textId="0AF71352" w:rsidR="00D61468" w:rsidRDefault="00B65C68" w:rsidP="002533B6">
            <w:pPr>
              <w:jc w:val="both"/>
              <w:rPr>
                <w:rFonts w:ascii="Arial" w:hAnsi="Arial" w:cs="Arial"/>
                <w:color w:val="000000"/>
                <w:sz w:val="20"/>
              </w:rPr>
            </w:pPr>
            <w:r w:rsidRPr="00A834AA">
              <w:rPr>
                <w:rFonts w:ascii="Arial" w:hAnsi="Arial" w:cs="Arial"/>
                <w:noProof/>
                <w:sz w:val="20"/>
                <w:szCs w:val="20"/>
                <w:lang w:val="en-US"/>
              </w:rPr>
              <w:t xml:space="preserve">Child to be informed of rights to complain and entitlements under </w:t>
            </w:r>
            <w:r>
              <w:rPr>
                <w:rFonts w:ascii="Arial" w:hAnsi="Arial" w:cs="Arial"/>
                <w:noProof/>
                <w:sz w:val="20"/>
                <w:szCs w:val="20"/>
                <w:lang w:val="en-US"/>
              </w:rPr>
              <w:t>ss.588-590 YJA</w:t>
            </w:r>
          </w:p>
        </w:tc>
      </w:tr>
    </w:tbl>
    <w:p w14:paraId="1A39A153" w14:textId="77777777" w:rsidR="00883872" w:rsidRDefault="00883872" w:rsidP="00883872">
      <w:pPr>
        <w:ind w:left="720" w:hanging="720"/>
        <w:jc w:val="both"/>
        <w:rPr>
          <w:rFonts w:ascii="Arial" w:hAnsi="Arial" w:cs="Arial"/>
          <w:sz w:val="20"/>
          <w:szCs w:val="20"/>
        </w:rPr>
      </w:pPr>
    </w:p>
    <w:p w14:paraId="2FEE9A8F" w14:textId="77777777" w:rsidR="00883872" w:rsidRPr="000510E3" w:rsidRDefault="00883872" w:rsidP="00883872">
      <w:pPr>
        <w:ind w:left="720" w:hanging="720"/>
        <w:jc w:val="center"/>
        <w:rPr>
          <w:rFonts w:ascii="Arial" w:hAnsi="Arial" w:cs="Arial"/>
          <w:b/>
          <w:bCs/>
        </w:rPr>
      </w:pPr>
      <w:r w:rsidRPr="000510E3">
        <w:rPr>
          <w:rFonts w:ascii="Arial" w:hAnsi="Arial" w:cs="Arial"/>
          <w:b/>
          <w:bCs/>
        </w:rPr>
        <w:t>THE REST OF THIS PAGE IS BLANK</w:t>
      </w:r>
    </w:p>
    <w:p w14:paraId="6FAC3CA2" w14:textId="77777777" w:rsidR="00883872" w:rsidRDefault="00883872" w:rsidP="00883872">
      <w:pPr>
        <w:rPr>
          <w:rFonts w:ascii="Arial" w:hAnsi="Arial" w:cs="Arial"/>
          <w:sz w:val="20"/>
          <w:szCs w:val="20"/>
        </w:rPr>
      </w:pPr>
    </w:p>
    <w:p w14:paraId="66D99DA9" w14:textId="77777777" w:rsidR="00EF7345" w:rsidRDefault="00EF7345">
      <w:pPr>
        <w:rPr>
          <w:rFonts w:ascii="Arial" w:hAnsi="Arial" w:cs="Arial"/>
          <w:b/>
          <w:bCs/>
          <w:color w:val="000000"/>
          <w:kern w:val="28"/>
          <w:szCs w:val="20"/>
          <w:lang w:val="en-GB"/>
        </w:rPr>
      </w:pPr>
      <w:bookmarkStart w:id="167" w:name="_7.4_&quot;Police_Cautioning"/>
      <w:bookmarkEnd w:id="167"/>
      <w:r>
        <w:rPr>
          <w:rFonts w:ascii="Arial" w:hAnsi="Arial" w:cs="Arial"/>
          <w:b/>
          <w:bCs/>
          <w:color w:val="000000"/>
        </w:rPr>
        <w:br w:type="page"/>
      </w:r>
    </w:p>
    <w:p w14:paraId="115A4A8B" w14:textId="667663A5" w:rsidR="00E55C9B" w:rsidRPr="00F51496" w:rsidRDefault="00E55C9B" w:rsidP="00E55C9B">
      <w:pPr>
        <w:pStyle w:val="Heading2"/>
        <w:tabs>
          <w:tab w:val="left" w:pos="567"/>
        </w:tabs>
        <w:spacing w:line="240" w:lineRule="auto"/>
        <w:rPr>
          <w:rFonts w:ascii="Arial" w:hAnsi="Arial" w:cs="Arial"/>
          <w:b/>
          <w:bCs/>
          <w:color w:val="000000"/>
        </w:rPr>
      </w:pPr>
      <w:r w:rsidRPr="00F51496">
        <w:rPr>
          <w:rFonts w:ascii="Arial" w:hAnsi="Arial" w:cs="Arial"/>
          <w:b/>
          <w:bCs/>
          <w:color w:val="000000"/>
        </w:rPr>
        <w:lastRenderedPageBreak/>
        <w:t>7.</w:t>
      </w:r>
      <w:r>
        <w:rPr>
          <w:rFonts w:ascii="Arial" w:hAnsi="Arial" w:cs="Arial"/>
          <w:b/>
          <w:bCs/>
          <w:color w:val="000000"/>
        </w:rPr>
        <w:t>4</w:t>
      </w:r>
      <w:r w:rsidRPr="00F51496">
        <w:rPr>
          <w:rFonts w:ascii="Arial" w:hAnsi="Arial" w:cs="Arial"/>
          <w:b/>
          <w:bCs/>
          <w:color w:val="000000"/>
        </w:rPr>
        <w:tab/>
      </w:r>
      <w:r w:rsidR="00F47486">
        <w:rPr>
          <w:rFonts w:ascii="Arial" w:hAnsi="Arial" w:cs="Arial"/>
          <w:b/>
          <w:bCs/>
          <w:color w:val="000000"/>
        </w:rPr>
        <w:t xml:space="preserve">Police Diversion </w:t>
      </w:r>
      <w:r w:rsidR="00DC27CE">
        <w:rPr>
          <w:rFonts w:ascii="Arial" w:hAnsi="Arial" w:cs="Arial"/>
          <w:b/>
          <w:bCs/>
          <w:color w:val="000000"/>
        </w:rPr>
        <w:t>of</w:t>
      </w:r>
      <w:r w:rsidR="006C0BB2">
        <w:rPr>
          <w:rFonts w:ascii="Arial" w:hAnsi="Arial" w:cs="Arial"/>
          <w:b/>
          <w:bCs/>
          <w:color w:val="000000"/>
        </w:rPr>
        <w:t xml:space="preserve"> children</w:t>
      </w:r>
      <w:r w:rsidRPr="00F51496">
        <w:rPr>
          <w:rFonts w:ascii="Arial" w:hAnsi="Arial" w:cs="Arial"/>
          <w:b/>
          <w:bCs/>
          <w:color w:val="000000"/>
        </w:rPr>
        <w:t xml:space="preserve"> from </w:t>
      </w:r>
      <w:r w:rsidR="006C0BB2">
        <w:rPr>
          <w:rFonts w:ascii="Arial" w:hAnsi="Arial" w:cs="Arial"/>
          <w:b/>
          <w:bCs/>
          <w:color w:val="000000"/>
        </w:rPr>
        <w:t>the justice system</w:t>
      </w:r>
    </w:p>
    <w:p w14:paraId="4FEA6600" w14:textId="77777777" w:rsidR="00E55C9B" w:rsidRPr="009C310D" w:rsidRDefault="00E55C9B" w:rsidP="00E55C9B">
      <w:pPr>
        <w:jc w:val="both"/>
        <w:rPr>
          <w:rFonts w:ascii="Arial" w:hAnsi="Arial" w:cs="Arial"/>
          <w:color w:val="000000"/>
          <w:sz w:val="20"/>
          <w:szCs w:val="20"/>
        </w:rPr>
      </w:pPr>
    </w:p>
    <w:p w14:paraId="1FBE84B8" w14:textId="7FD69746" w:rsidR="00647134" w:rsidRDefault="00E55C9B" w:rsidP="00647134">
      <w:pPr>
        <w:jc w:val="both"/>
        <w:rPr>
          <w:rFonts w:ascii="Arial" w:hAnsi="Arial" w:cs="Arial"/>
          <w:color w:val="000000"/>
          <w:sz w:val="20"/>
          <w:szCs w:val="20"/>
        </w:rPr>
      </w:pPr>
      <w:r w:rsidRPr="00D81EFC">
        <w:rPr>
          <w:rFonts w:ascii="Arial" w:hAnsi="Arial" w:cs="Arial"/>
          <w:color w:val="000000"/>
          <w:sz w:val="20"/>
        </w:rPr>
        <w:t xml:space="preserve">Not all offences committed by identified young offenders </w:t>
      </w:r>
      <w:r w:rsidR="00647134">
        <w:rPr>
          <w:rFonts w:ascii="Arial" w:hAnsi="Arial" w:cs="Arial"/>
          <w:color w:val="000000"/>
          <w:sz w:val="20"/>
        </w:rPr>
        <w:t xml:space="preserve">necessarily </w:t>
      </w:r>
      <w:r w:rsidRPr="00D81EFC">
        <w:rPr>
          <w:rFonts w:ascii="Arial" w:hAnsi="Arial" w:cs="Arial"/>
          <w:color w:val="000000"/>
          <w:sz w:val="20"/>
        </w:rPr>
        <w:t xml:space="preserve">result in court proceedings. </w:t>
      </w:r>
      <w:r w:rsidR="00647134">
        <w:rPr>
          <w:rFonts w:ascii="Arial" w:hAnsi="Arial" w:cs="Arial"/>
          <w:color w:val="000000"/>
          <w:sz w:val="20"/>
        </w:rPr>
        <w:t>Before</w:t>
      </w:r>
      <w:r w:rsidR="00647134" w:rsidRPr="00647134">
        <w:rPr>
          <w:rFonts w:ascii="Arial" w:hAnsi="Arial" w:cs="Arial"/>
          <w:color w:val="FFFFFF" w:themeColor="background1"/>
          <w:sz w:val="20"/>
        </w:rPr>
        <w:t> </w:t>
      </w:r>
      <w:r w:rsidR="00F47486">
        <w:rPr>
          <w:rFonts w:ascii="Arial" w:hAnsi="Arial" w:cs="Arial"/>
          <w:color w:val="000000"/>
          <w:sz w:val="20"/>
        </w:rPr>
        <w:t>30/09/2026 there had been an informal “</w:t>
      </w:r>
      <w:r w:rsidR="00F47486" w:rsidRPr="00647134">
        <w:rPr>
          <w:rFonts w:ascii="Arial" w:hAnsi="Arial" w:cs="Arial"/>
          <w:b/>
          <w:bCs/>
          <w:color w:val="000000"/>
          <w:sz w:val="20"/>
        </w:rPr>
        <w:t>police cautioning program</w:t>
      </w:r>
      <w:r w:rsidR="00F47486">
        <w:rPr>
          <w:rFonts w:ascii="Arial" w:hAnsi="Arial" w:cs="Arial"/>
          <w:color w:val="000000"/>
          <w:sz w:val="20"/>
        </w:rPr>
        <w:t xml:space="preserve">” </w:t>
      </w:r>
      <w:r w:rsidR="00647134">
        <w:rPr>
          <w:rFonts w:ascii="Arial" w:hAnsi="Arial" w:cs="Arial"/>
          <w:color w:val="000000"/>
          <w:sz w:val="20"/>
        </w:rPr>
        <w:t xml:space="preserve">in operation in Victoria </w:t>
      </w:r>
      <w:r w:rsidR="00EF7345">
        <w:rPr>
          <w:rFonts w:ascii="Arial" w:hAnsi="Arial" w:cs="Arial"/>
          <w:color w:val="000000"/>
          <w:sz w:val="20"/>
        </w:rPr>
        <w:t xml:space="preserve">for many years </w:t>
      </w:r>
      <w:r w:rsidR="00647134">
        <w:rPr>
          <w:rFonts w:ascii="Arial" w:hAnsi="Arial" w:cs="Arial"/>
          <w:color w:val="000000"/>
          <w:sz w:val="20"/>
        </w:rPr>
        <w:t xml:space="preserve">which did not have a specific legislative basis. </w:t>
      </w:r>
      <w:r w:rsidR="00647134" w:rsidRPr="00647134">
        <w:rPr>
          <w:rFonts w:ascii="Arial" w:hAnsi="Arial" w:cs="Arial"/>
          <w:color w:val="000000"/>
          <w:sz w:val="20"/>
          <w:szCs w:val="20"/>
        </w:rPr>
        <w:t xml:space="preserve">One of the </w:t>
      </w:r>
      <w:r w:rsidR="00647134">
        <w:rPr>
          <w:rFonts w:ascii="Arial" w:hAnsi="Arial" w:cs="Arial"/>
          <w:color w:val="000000"/>
          <w:sz w:val="20"/>
          <w:szCs w:val="20"/>
        </w:rPr>
        <w:t xml:space="preserve">“main </w:t>
      </w:r>
      <w:r w:rsidR="00647134" w:rsidRPr="00647134">
        <w:rPr>
          <w:rFonts w:ascii="Arial" w:hAnsi="Arial" w:cs="Arial"/>
          <w:color w:val="000000"/>
          <w:sz w:val="20"/>
          <w:szCs w:val="20"/>
        </w:rPr>
        <w:t>purposes</w:t>
      </w:r>
      <w:r w:rsidR="00647134">
        <w:rPr>
          <w:rFonts w:ascii="Arial" w:hAnsi="Arial" w:cs="Arial"/>
          <w:color w:val="000000"/>
          <w:sz w:val="20"/>
          <w:szCs w:val="20"/>
        </w:rPr>
        <w:t>”</w:t>
      </w:r>
      <w:r w:rsidR="00647134" w:rsidRPr="00647134">
        <w:rPr>
          <w:rFonts w:ascii="Arial" w:hAnsi="Arial" w:cs="Arial"/>
          <w:color w:val="000000"/>
          <w:sz w:val="20"/>
          <w:szCs w:val="20"/>
        </w:rPr>
        <w:t xml:space="preserve"> of the </w:t>
      </w:r>
      <w:r w:rsidR="00647134" w:rsidRPr="00647134">
        <w:rPr>
          <w:rFonts w:ascii="Arial" w:hAnsi="Arial" w:cs="Arial"/>
          <w:i/>
          <w:iCs/>
          <w:color w:val="000000"/>
          <w:sz w:val="20"/>
          <w:szCs w:val="20"/>
        </w:rPr>
        <w:t>Youth Justice Act 2024</w:t>
      </w:r>
      <w:r w:rsidR="00647134" w:rsidRPr="00647134">
        <w:rPr>
          <w:rFonts w:ascii="Arial" w:hAnsi="Arial" w:cs="Arial"/>
          <w:color w:val="000000"/>
          <w:sz w:val="20"/>
          <w:szCs w:val="20"/>
        </w:rPr>
        <w:t xml:space="preserve"> </w:t>
      </w:r>
      <w:r w:rsidR="00647134">
        <w:rPr>
          <w:rFonts w:ascii="Arial" w:hAnsi="Arial" w:cs="Arial"/>
          <w:color w:val="000000"/>
          <w:sz w:val="20"/>
          <w:szCs w:val="20"/>
        </w:rPr>
        <w:t>[YJA] – contained in s.1(1)(e)(i) &amp; (ii) – is:</w:t>
      </w:r>
    </w:p>
    <w:p w14:paraId="7ADC661E" w14:textId="0D246875" w:rsidR="00647134" w:rsidRPr="00647134" w:rsidRDefault="00647134" w:rsidP="00647134">
      <w:pPr>
        <w:spacing w:before="60"/>
        <w:ind w:left="567" w:right="567"/>
        <w:jc w:val="both"/>
        <w:rPr>
          <w:rFonts w:ascii="Arial" w:hAnsi="Arial" w:cs="Arial"/>
          <w:sz w:val="20"/>
          <w:szCs w:val="20"/>
        </w:rPr>
      </w:pPr>
      <w:r>
        <w:rPr>
          <w:rFonts w:ascii="Arial" w:hAnsi="Arial" w:cs="Arial"/>
          <w:color w:val="000000"/>
          <w:sz w:val="20"/>
          <w:szCs w:val="20"/>
        </w:rPr>
        <w:t>“</w:t>
      </w:r>
      <w:r w:rsidRPr="00647134">
        <w:rPr>
          <w:rFonts w:ascii="Arial" w:hAnsi="Arial" w:cs="Arial"/>
          <w:sz w:val="20"/>
          <w:szCs w:val="20"/>
        </w:rPr>
        <w:t>to establish a scheme that provides alternative processes to a court proceeding for dealing with children who are alleged to have committed offences, including the use of</w:t>
      </w:r>
      <w:r>
        <w:rPr>
          <w:rFonts w:ascii="Arial" w:hAnsi="Arial" w:cs="Arial"/>
          <w:sz w:val="20"/>
          <w:szCs w:val="20"/>
        </w:rPr>
        <w:t xml:space="preserve"> (i) </w:t>
      </w:r>
      <w:r w:rsidRPr="00647134">
        <w:rPr>
          <w:rFonts w:ascii="Arial" w:hAnsi="Arial" w:cs="Arial"/>
          <w:b/>
          <w:bCs/>
          <w:sz w:val="20"/>
          <w:szCs w:val="20"/>
        </w:rPr>
        <w:t>youth warnings and youth cautions</w:t>
      </w:r>
      <w:r>
        <w:rPr>
          <w:rFonts w:ascii="Arial" w:hAnsi="Arial" w:cs="Arial"/>
          <w:sz w:val="20"/>
          <w:szCs w:val="20"/>
        </w:rPr>
        <w:t xml:space="preserve"> </w:t>
      </w:r>
      <w:r w:rsidRPr="00647134">
        <w:rPr>
          <w:rFonts w:ascii="Arial" w:hAnsi="Arial" w:cs="Arial"/>
          <w:sz w:val="20"/>
          <w:szCs w:val="20"/>
        </w:rPr>
        <w:t>and</w:t>
      </w:r>
      <w:r>
        <w:rPr>
          <w:rFonts w:ascii="Arial" w:hAnsi="Arial" w:cs="Arial"/>
          <w:sz w:val="20"/>
          <w:szCs w:val="20"/>
        </w:rPr>
        <w:t xml:space="preserve"> (ii) </w:t>
      </w:r>
      <w:r w:rsidRPr="00647134">
        <w:rPr>
          <w:rFonts w:ascii="Arial" w:hAnsi="Arial" w:cs="Arial"/>
          <w:b/>
          <w:bCs/>
          <w:sz w:val="20"/>
          <w:szCs w:val="20"/>
        </w:rPr>
        <w:t>early diversion group conferences</w:t>
      </w:r>
      <w:r>
        <w:rPr>
          <w:rFonts w:ascii="Arial" w:hAnsi="Arial" w:cs="Arial"/>
          <w:sz w:val="20"/>
          <w:szCs w:val="20"/>
        </w:rPr>
        <w:t>”.</w:t>
      </w:r>
    </w:p>
    <w:p w14:paraId="05108AF2" w14:textId="77777777" w:rsidR="000C1184" w:rsidRPr="005C2371" w:rsidRDefault="000C1184" w:rsidP="000C1184">
      <w:pPr>
        <w:jc w:val="both"/>
        <w:rPr>
          <w:rFonts w:ascii="Arial" w:hAnsi="Arial" w:cs="Arial"/>
          <w:color w:val="000000"/>
          <w:sz w:val="20"/>
        </w:rPr>
      </w:pPr>
    </w:p>
    <w:tbl>
      <w:tblPr>
        <w:tblStyle w:val="TableGrid"/>
        <w:tblW w:w="9128" w:type="dxa"/>
        <w:tblLook w:val="04A0" w:firstRow="1" w:lastRow="0" w:firstColumn="1" w:lastColumn="0" w:noHBand="0" w:noVBand="1"/>
      </w:tblPr>
      <w:tblGrid>
        <w:gridCol w:w="9128"/>
      </w:tblGrid>
      <w:tr w:rsidR="000C1184" w:rsidRPr="00BD4366" w14:paraId="66B89FA3" w14:textId="77777777" w:rsidTr="00826C41">
        <w:tc>
          <w:tcPr>
            <w:tcW w:w="9128" w:type="dxa"/>
            <w:shd w:val="clear" w:color="auto" w:fill="000000" w:themeFill="text1"/>
          </w:tcPr>
          <w:p w14:paraId="66AF1B56" w14:textId="75B42E58" w:rsidR="000C1184" w:rsidRPr="00BD4366" w:rsidRDefault="000C1184" w:rsidP="00826C41">
            <w:pPr>
              <w:jc w:val="center"/>
              <w:rPr>
                <w:rFonts w:ascii="Arial" w:hAnsi="Arial" w:cs="Arial"/>
                <w:b/>
                <w:bCs/>
                <w:sz w:val="20"/>
              </w:rPr>
            </w:pPr>
            <w:r>
              <w:rPr>
                <w:rFonts w:ascii="Arial" w:hAnsi="Arial" w:cs="Arial"/>
                <w:b/>
                <w:bCs/>
                <w:sz w:val="20"/>
              </w:rPr>
              <w:t>YOUTH WARNINGS, YOUTH CAUTIONS AND EARLY DIVERSION GROUP CONFERENCES UNDER YJA PROVISIONS COMMENCING ON 30/09/2026</w:t>
            </w:r>
          </w:p>
        </w:tc>
      </w:tr>
    </w:tbl>
    <w:p w14:paraId="0886D592" w14:textId="77777777" w:rsidR="000C1184" w:rsidRDefault="000C1184" w:rsidP="006145CF">
      <w:pPr>
        <w:jc w:val="both"/>
        <w:rPr>
          <w:rFonts w:ascii="Arial" w:hAnsi="Arial" w:cs="Arial"/>
          <w:color w:val="000000"/>
          <w:sz w:val="20"/>
        </w:rPr>
      </w:pPr>
    </w:p>
    <w:p w14:paraId="52D478B4" w14:textId="04B369B1" w:rsidR="006145CF" w:rsidRDefault="006145CF" w:rsidP="006145CF">
      <w:pPr>
        <w:jc w:val="both"/>
        <w:rPr>
          <w:rFonts w:ascii="Arial" w:hAnsi="Arial" w:cs="Arial"/>
          <w:color w:val="000000"/>
          <w:sz w:val="20"/>
        </w:rPr>
      </w:pPr>
      <w:r>
        <w:rPr>
          <w:rFonts w:ascii="Arial" w:hAnsi="Arial" w:cs="Arial"/>
          <w:color w:val="000000"/>
          <w:sz w:val="20"/>
        </w:rPr>
        <w:t>Chapter 4 of the YJA – entitled “</w:t>
      </w:r>
      <w:r w:rsidRPr="006145CF">
        <w:rPr>
          <w:rFonts w:ascii="Arial" w:hAnsi="Arial" w:cs="Arial"/>
          <w:b/>
          <w:bCs/>
          <w:color w:val="000000"/>
          <w:sz w:val="20"/>
        </w:rPr>
        <w:t>Diverting children from the justice system</w:t>
      </w:r>
      <w:r>
        <w:rPr>
          <w:rFonts w:ascii="Arial" w:hAnsi="Arial" w:cs="Arial"/>
          <w:color w:val="000000"/>
          <w:sz w:val="20"/>
        </w:rPr>
        <w:t xml:space="preserve">” – contains </w:t>
      </w:r>
      <w:r w:rsidR="005259FC">
        <w:rPr>
          <w:rFonts w:ascii="Arial" w:hAnsi="Arial" w:cs="Arial"/>
          <w:color w:val="000000"/>
          <w:sz w:val="20"/>
        </w:rPr>
        <w:t>4 methods by which a police officer dealing with a child who is alleged to have committed an offence may decide to divert the child from the justice system:</w:t>
      </w:r>
    </w:p>
    <w:p w14:paraId="4468AAD0" w14:textId="174A575D" w:rsidR="00F31D0B" w:rsidRDefault="00F31D0B">
      <w:pPr>
        <w:pStyle w:val="ListParagraph"/>
        <w:numPr>
          <w:ilvl w:val="0"/>
          <w:numId w:val="102"/>
        </w:numPr>
        <w:spacing w:after="0" w:line="240" w:lineRule="auto"/>
        <w:ind w:left="357" w:hanging="357"/>
        <w:jc w:val="both"/>
        <w:rPr>
          <w:rFonts w:ascii="Arial" w:hAnsi="Arial" w:cs="Arial"/>
          <w:color w:val="000000"/>
          <w:sz w:val="20"/>
        </w:rPr>
      </w:pPr>
      <w:r w:rsidRPr="00F31D0B">
        <w:rPr>
          <w:rFonts w:ascii="Arial" w:hAnsi="Arial" w:cs="Arial"/>
          <w:b/>
          <w:bCs/>
          <w:color w:val="000000"/>
          <w:sz w:val="20"/>
        </w:rPr>
        <w:t>Take no action</w:t>
      </w:r>
    </w:p>
    <w:p w14:paraId="79F2DD9A" w14:textId="67245E03" w:rsidR="00F47486" w:rsidRDefault="00F31D0B">
      <w:pPr>
        <w:pStyle w:val="ListParagraph"/>
        <w:numPr>
          <w:ilvl w:val="0"/>
          <w:numId w:val="102"/>
        </w:numPr>
        <w:spacing w:after="0" w:line="240" w:lineRule="auto"/>
        <w:ind w:left="357" w:hanging="357"/>
        <w:jc w:val="both"/>
        <w:rPr>
          <w:rFonts w:ascii="Arial" w:hAnsi="Arial" w:cs="Arial"/>
          <w:color w:val="000000"/>
          <w:sz w:val="20"/>
        </w:rPr>
      </w:pPr>
      <w:r w:rsidRPr="00F31D0B">
        <w:rPr>
          <w:rFonts w:ascii="Arial" w:hAnsi="Arial" w:cs="Arial"/>
          <w:b/>
          <w:bCs/>
          <w:color w:val="000000"/>
          <w:sz w:val="20"/>
        </w:rPr>
        <w:t xml:space="preserve">Give </w:t>
      </w:r>
      <w:r w:rsidR="005259FC" w:rsidRPr="005259FC">
        <w:rPr>
          <w:rFonts w:ascii="Arial" w:hAnsi="Arial" w:cs="Arial"/>
          <w:b/>
          <w:bCs/>
          <w:color w:val="000000"/>
          <w:sz w:val="20"/>
        </w:rPr>
        <w:t>a y</w:t>
      </w:r>
      <w:r w:rsidR="006145CF" w:rsidRPr="005259FC">
        <w:rPr>
          <w:rFonts w:ascii="Arial" w:hAnsi="Arial" w:cs="Arial"/>
          <w:b/>
          <w:bCs/>
          <w:color w:val="000000"/>
          <w:sz w:val="20"/>
        </w:rPr>
        <w:t>outh warning</w:t>
      </w:r>
      <w:r>
        <w:rPr>
          <w:rFonts w:ascii="Arial" w:hAnsi="Arial" w:cs="Arial"/>
          <w:color w:val="000000"/>
          <w:sz w:val="20"/>
        </w:rPr>
        <w:t xml:space="preserve"> under Part 4.2</w:t>
      </w:r>
    </w:p>
    <w:p w14:paraId="2B6371A2" w14:textId="1CB78634" w:rsidR="006145CF" w:rsidRDefault="00F31D0B">
      <w:pPr>
        <w:pStyle w:val="ListParagraph"/>
        <w:numPr>
          <w:ilvl w:val="0"/>
          <w:numId w:val="102"/>
        </w:numPr>
        <w:spacing w:after="0" w:line="240" w:lineRule="auto"/>
        <w:ind w:left="357" w:hanging="357"/>
        <w:jc w:val="both"/>
        <w:rPr>
          <w:rFonts w:ascii="Arial" w:hAnsi="Arial" w:cs="Arial"/>
          <w:color w:val="000000"/>
          <w:sz w:val="20"/>
        </w:rPr>
      </w:pPr>
      <w:r w:rsidRPr="00F31D0B">
        <w:rPr>
          <w:rFonts w:ascii="Arial" w:hAnsi="Arial" w:cs="Arial"/>
          <w:b/>
          <w:bCs/>
          <w:color w:val="000000"/>
          <w:sz w:val="20"/>
        </w:rPr>
        <w:t>Give</w:t>
      </w:r>
      <w:r w:rsidR="006145CF">
        <w:rPr>
          <w:rFonts w:ascii="Arial" w:hAnsi="Arial" w:cs="Arial"/>
          <w:color w:val="000000"/>
          <w:sz w:val="20"/>
        </w:rPr>
        <w:t xml:space="preserve"> </w:t>
      </w:r>
      <w:r w:rsidR="005259FC" w:rsidRPr="005259FC">
        <w:rPr>
          <w:rFonts w:ascii="Arial" w:hAnsi="Arial" w:cs="Arial"/>
          <w:b/>
          <w:bCs/>
          <w:color w:val="000000"/>
          <w:sz w:val="20"/>
        </w:rPr>
        <w:t>a y</w:t>
      </w:r>
      <w:r w:rsidR="006145CF" w:rsidRPr="005259FC">
        <w:rPr>
          <w:rFonts w:ascii="Arial" w:hAnsi="Arial" w:cs="Arial"/>
          <w:b/>
          <w:bCs/>
          <w:color w:val="000000"/>
          <w:sz w:val="20"/>
        </w:rPr>
        <w:t>outh caution</w:t>
      </w:r>
      <w:r>
        <w:rPr>
          <w:rFonts w:ascii="Arial" w:hAnsi="Arial" w:cs="Arial"/>
          <w:color w:val="000000"/>
          <w:sz w:val="20"/>
        </w:rPr>
        <w:t xml:space="preserve"> under Part 4.3</w:t>
      </w:r>
    </w:p>
    <w:p w14:paraId="2BDD4D4B" w14:textId="0BCBDD8C" w:rsidR="006145CF" w:rsidRPr="006145CF" w:rsidRDefault="00F31D0B">
      <w:pPr>
        <w:pStyle w:val="ListParagraph"/>
        <w:numPr>
          <w:ilvl w:val="0"/>
          <w:numId w:val="102"/>
        </w:numPr>
        <w:spacing w:after="0" w:line="240" w:lineRule="auto"/>
        <w:ind w:left="357" w:hanging="357"/>
        <w:jc w:val="both"/>
        <w:rPr>
          <w:rFonts w:ascii="Arial" w:hAnsi="Arial" w:cs="Arial"/>
          <w:color w:val="000000"/>
          <w:sz w:val="20"/>
        </w:rPr>
      </w:pPr>
      <w:r w:rsidRPr="00F31D0B">
        <w:rPr>
          <w:rFonts w:ascii="Arial" w:hAnsi="Arial" w:cs="Arial"/>
          <w:b/>
          <w:bCs/>
          <w:color w:val="000000"/>
          <w:sz w:val="20"/>
        </w:rPr>
        <w:t>Refer the child to</w:t>
      </w:r>
      <w:r w:rsidR="006145CF" w:rsidRPr="00F31D0B">
        <w:rPr>
          <w:rFonts w:ascii="Arial" w:hAnsi="Arial" w:cs="Arial"/>
          <w:b/>
          <w:bCs/>
          <w:color w:val="000000"/>
          <w:sz w:val="20"/>
        </w:rPr>
        <w:t xml:space="preserve"> </w:t>
      </w:r>
      <w:r w:rsidR="005259FC" w:rsidRPr="00F31D0B">
        <w:rPr>
          <w:rFonts w:ascii="Arial" w:hAnsi="Arial" w:cs="Arial"/>
          <w:b/>
          <w:bCs/>
          <w:color w:val="000000"/>
          <w:sz w:val="20"/>
        </w:rPr>
        <w:t>an</w:t>
      </w:r>
      <w:r w:rsidR="005259FC" w:rsidRPr="005259FC">
        <w:rPr>
          <w:rFonts w:ascii="Arial" w:hAnsi="Arial" w:cs="Arial"/>
          <w:b/>
          <w:bCs/>
          <w:color w:val="000000"/>
          <w:sz w:val="20"/>
        </w:rPr>
        <w:t xml:space="preserve"> e</w:t>
      </w:r>
      <w:r w:rsidR="006145CF" w:rsidRPr="005259FC">
        <w:rPr>
          <w:rFonts w:ascii="Arial" w:hAnsi="Arial" w:cs="Arial"/>
          <w:b/>
          <w:bCs/>
          <w:color w:val="000000"/>
          <w:sz w:val="20"/>
        </w:rPr>
        <w:t>arly diversion group conference</w:t>
      </w:r>
      <w:r w:rsidR="005259FC" w:rsidRPr="005259FC">
        <w:rPr>
          <w:rFonts w:ascii="Arial" w:hAnsi="Arial" w:cs="Arial"/>
          <w:b/>
          <w:bCs/>
          <w:color w:val="000000"/>
          <w:sz w:val="20"/>
        </w:rPr>
        <w:t xml:space="preserve"> [EDGC]</w:t>
      </w:r>
      <w:r>
        <w:rPr>
          <w:rFonts w:ascii="Arial" w:hAnsi="Arial" w:cs="Arial"/>
          <w:color w:val="000000"/>
          <w:sz w:val="20"/>
        </w:rPr>
        <w:t xml:space="preserve"> under Part 4.4.</w:t>
      </w:r>
    </w:p>
    <w:p w14:paraId="28A0BA7E" w14:textId="71D22CE7" w:rsidR="00647134" w:rsidRDefault="00647134" w:rsidP="006145CF">
      <w:pPr>
        <w:jc w:val="both"/>
        <w:rPr>
          <w:rFonts w:ascii="Arial" w:hAnsi="Arial" w:cs="Arial"/>
          <w:color w:val="000000"/>
          <w:sz w:val="20"/>
        </w:rPr>
      </w:pPr>
    </w:p>
    <w:p w14:paraId="22F71964" w14:textId="1E97B137" w:rsidR="000C1184" w:rsidRDefault="000C1184" w:rsidP="005259FC">
      <w:pPr>
        <w:jc w:val="both"/>
        <w:rPr>
          <w:rFonts w:ascii="Arial" w:hAnsi="Arial" w:cs="Arial"/>
          <w:color w:val="000000"/>
          <w:sz w:val="20"/>
        </w:rPr>
      </w:pPr>
      <w:r>
        <w:rPr>
          <w:rFonts w:ascii="Arial" w:hAnsi="Arial" w:cs="Arial"/>
          <w:color w:val="000000"/>
          <w:sz w:val="20"/>
        </w:rPr>
        <w:t xml:space="preserve">Section 92(1) YJA provides </w:t>
      </w:r>
      <w:r w:rsidR="005259FC">
        <w:rPr>
          <w:rFonts w:ascii="Arial" w:hAnsi="Arial" w:cs="Arial"/>
          <w:color w:val="000000"/>
          <w:sz w:val="20"/>
        </w:rPr>
        <w:t>the following</w:t>
      </w:r>
      <w:r>
        <w:rPr>
          <w:rFonts w:ascii="Arial" w:hAnsi="Arial" w:cs="Arial"/>
          <w:color w:val="000000"/>
          <w:sz w:val="20"/>
        </w:rPr>
        <w:t xml:space="preserve"> hierarchy of options for a police officer dealing with a child who is alleged to have committed an offence</w:t>
      </w:r>
      <w:r w:rsidR="00D0508C">
        <w:rPr>
          <w:rFonts w:ascii="Arial" w:hAnsi="Arial" w:cs="Arial"/>
          <w:color w:val="000000"/>
          <w:sz w:val="20"/>
        </w:rPr>
        <w:t>–</w:t>
      </w:r>
    </w:p>
    <w:p w14:paraId="74EC28D7" w14:textId="75BC13BA" w:rsidR="000C1184" w:rsidRDefault="00D0508C">
      <w:pPr>
        <w:pStyle w:val="ListParagraph"/>
        <w:numPr>
          <w:ilvl w:val="0"/>
          <w:numId w:val="103"/>
        </w:numPr>
        <w:spacing w:after="0" w:line="240" w:lineRule="auto"/>
        <w:ind w:left="357" w:hanging="357"/>
        <w:jc w:val="both"/>
        <w:rPr>
          <w:rFonts w:ascii="Arial" w:hAnsi="Arial" w:cs="Arial"/>
          <w:color w:val="000000"/>
          <w:sz w:val="20"/>
        </w:rPr>
      </w:pPr>
      <w:r w:rsidRPr="005259FC">
        <w:rPr>
          <w:rFonts w:ascii="Arial" w:hAnsi="Arial" w:cs="Arial"/>
          <w:b/>
          <w:bCs/>
          <w:color w:val="000000"/>
          <w:sz w:val="20"/>
        </w:rPr>
        <w:t>t</w:t>
      </w:r>
      <w:r w:rsidR="000C1184" w:rsidRPr="005259FC">
        <w:rPr>
          <w:rFonts w:ascii="Arial" w:hAnsi="Arial" w:cs="Arial"/>
          <w:b/>
          <w:bCs/>
          <w:color w:val="000000"/>
          <w:sz w:val="20"/>
        </w:rPr>
        <w:t>ake no action</w:t>
      </w:r>
      <w:r w:rsidR="000C1184">
        <w:rPr>
          <w:rFonts w:ascii="Arial" w:hAnsi="Arial" w:cs="Arial"/>
          <w:color w:val="000000"/>
          <w:sz w:val="20"/>
        </w:rPr>
        <w:t xml:space="preserve"> under the YJA or any other Act or law against the child;</w:t>
      </w:r>
    </w:p>
    <w:p w14:paraId="1652AD4C" w14:textId="7E0C76EC" w:rsidR="000C1184" w:rsidRDefault="00D0508C">
      <w:pPr>
        <w:pStyle w:val="ListParagraph"/>
        <w:numPr>
          <w:ilvl w:val="0"/>
          <w:numId w:val="103"/>
        </w:numPr>
        <w:spacing w:after="0" w:line="240" w:lineRule="auto"/>
        <w:ind w:left="357" w:hanging="357"/>
        <w:jc w:val="both"/>
        <w:rPr>
          <w:rFonts w:ascii="Arial" w:hAnsi="Arial" w:cs="Arial"/>
          <w:color w:val="000000"/>
          <w:sz w:val="20"/>
        </w:rPr>
      </w:pPr>
      <w:r>
        <w:rPr>
          <w:rFonts w:ascii="Arial" w:hAnsi="Arial" w:cs="Arial"/>
          <w:color w:val="000000"/>
          <w:sz w:val="20"/>
        </w:rPr>
        <w:t>i</w:t>
      </w:r>
      <w:r w:rsidR="000C1184">
        <w:rPr>
          <w:rFonts w:ascii="Arial" w:hAnsi="Arial" w:cs="Arial"/>
          <w:color w:val="000000"/>
          <w:sz w:val="20"/>
        </w:rPr>
        <w:t xml:space="preserve">f (a) is clearly inappropriate, give a </w:t>
      </w:r>
      <w:r w:rsidR="000C1184" w:rsidRPr="005259FC">
        <w:rPr>
          <w:rFonts w:ascii="Arial" w:hAnsi="Arial" w:cs="Arial"/>
          <w:b/>
          <w:bCs/>
          <w:color w:val="000000"/>
          <w:sz w:val="20"/>
        </w:rPr>
        <w:t>youth warning</w:t>
      </w:r>
      <w:r w:rsidR="000C1184">
        <w:rPr>
          <w:rFonts w:ascii="Arial" w:hAnsi="Arial" w:cs="Arial"/>
          <w:color w:val="000000"/>
          <w:sz w:val="20"/>
        </w:rPr>
        <w:t xml:space="preserve"> to the child for the alleged offence;</w:t>
      </w:r>
    </w:p>
    <w:p w14:paraId="75A1200A" w14:textId="46092C9C" w:rsidR="000C1184" w:rsidRDefault="00D0508C">
      <w:pPr>
        <w:pStyle w:val="ListParagraph"/>
        <w:numPr>
          <w:ilvl w:val="0"/>
          <w:numId w:val="103"/>
        </w:numPr>
        <w:spacing w:after="0" w:line="240" w:lineRule="auto"/>
        <w:ind w:left="357" w:hanging="357"/>
        <w:jc w:val="both"/>
        <w:rPr>
          <w:rFonts w:ascii="Arial" w:hAnsi="Arial" w:cs="Arial"/>
          <w:color w:val="000000"/>
          <w:sz w:val="20"/>
        </w:rPr>
      </w:pPr>
      <w:r>
        <w:rPr>
          <w:rFonts w:ascii="Arial" w:hAnsi="Arial" w:cs="Arial"/>
          <w:color w:val="000000"/>
          <w:sz w:val="20"/>
        </w:rPr>
        <w:t>i</w:t>
      </w:r>
      <w:r w:rsidR="000C1184">
        <w:rPr>
          <w:rFonts w:ascii="Arial" w:hAnsi="Arial" w:cs="Arial"/>
          <w:color w:val="000000"/>
          <w:sz w:val="20"/>
        </w:rPr>
        <w:t xml:space="preserve">f </w:t>
      </w:r>
      <w:r>
        <w:rPr>
          <w:rFonts w:ascii="Arial" w:hAnsi="Arial" w:cs="Arial"/>
          <w:color w:val="000000"/>
          <w:sz w:val="20"/>
        </w:rPr>
        <w:t xml:space="preserve">(a) &amp; </w:t>
      </w:r>
      <w:r w:rsidR="000C1184">
        <w:rPr>
          <w:rFonts w:ascii="Arial" w:hAnsi="Arial" w:cs="Arial"/>
          <w:color w:val="000000"/>
          <w:sz w:val="20"/>
        </w:rPr>
        <w:t xml:space="preserve">(b) </w:t>
      </w:r>
      <w:r>
        <w:rPr>
          <w:rFonts w:ascii="Arial" w:hAnsi="Arial" w:cs="Arial"/>
          <w:color w:val="000000"/>
          <w:sz w:val="20"/>
        </w:rPr>
        <w:t>are</w:t>
      </w:r>
      <w:r w:rsidR="000C1184">
        <w:rPr>
          <w:rFonts w:ascii="Arial" w:hAnsi="Arial" w:cs="Arial"/>
          <w:color w:val="000000"/>
          <w:sz w:val="20"/>
        </w:rPr>
        <w:t xml:space="preserve"> clearly inappropriate, give a </w:t>
      </w:r>
      <w:r w:rsidR="000C1184" w:rsidRPr="005259FC">
        <w:rPr>
          <w:rFonts w:ascii="Arial" w:hAnsi="Arial" w:cs="Arial"/>
          <w:b/>
          <w:bCs/>
          <w:color w:val="000000"/>
          <w:sz w:val="20"/>
        </w:rPr>
        <w:t>youth caution</w:t>
      </w:r>
      <w:r w:rsidR="000C1184">
        <w:rPr>
          <w:rFonts w:ascii="Arial" w:hAnsi="Arial" w:cs="Arial"/>
          <w:color w:val="000000"/>
          <w:sz w:val="20"/>
        </w:rPr>
        <w:t xml:space="preserve"> to the child for the alleged offence;</w:t>
      </w:r>
    </w:p>
    <w:p w14:paraId="53A6A899" w14:textId="0DB17FB2" w:rsidR="000C1184" w:rsidRDefault="00D0508C">
      <w:pPr>
        <w:pStyle w:val="ListParagraph"/>
        <w:numPr>
          <w:ilvl w:val="0"/>
          <w:numId w:val="103"/>
        </w:numPr>
        <w:spacing w:after="0" w:line="240" w:lineRule="auto"/>
        <w:ind w:left="357" w:hanging="357"/>
        <w:jc w:val="both"/>
        <w:rPr>
          <w:rFonts w:ascii="Arial" w:hAnsi="Arial" w:cs="Arial"/>
          <w:color w:val="000000"/>
          <w:sz w:val="20"/>
        </w:rPr>
      </w:pPr>
      <w:r>
        <w:rPr>
          <w:rFonts w:ascii="Arial" w:hAnsi="Arial" w:cs="Arial"/>
          <w:color w:val="000000"/>
          <w:sz w:val="20"/>
        </w:rPr>
        <w:t>i</w:t>
      </w:r>
      <w:r w:rsidR="000C1184">
        <w:rPr>
          <w:rFonts w:ascii="Arial" w:hAnsi="Arial" w:cs="Arial"/>
          <w:color w:val="000000"/>
          <w:sz w:val="20"/>
        </w:rPr>
        <w:t xml:space="preserve">f </w:t>
      </w:r>
      <w:r>
        <w:rPr>
          <w:rFonts w:ascii="Arial" w:hAnsi="Arial" w:cs="Arial"/>
          <w:color w:val="000000"/>
          <w:sz w:val="20"/>
        </w:rPr>
        <w:t xml:space="preserve">(a), </w:t>
      </w:r>
      <w:r w:rsidR="000C1184">
        <w:rPr>
          <w:rFonts w:ascii="Arial" w:hAnsi="Arial" w:cs="Arial"/>
          <w:color w:val="000000"/>
          <w:sz w:val="20"/>
        </w:rPr>
        <w:t>(b)</w:t>
      </w:r>
      <w:r>
        <w:rPr>
          <w:rFonts w:ascii="Arial" w:hAnsi="Arial" w:cs="Arial"/>
          <w:color w:val="000000"/>
          <w:sz w:val="20"/>
        </w:rPr>
        <w:t xml:space="preserve"> &amp; (c) are</w:t>
      </w:r>
      <w:r w:rsidR="000C1184">
        <w:rPr>
          <w:rFonts w:ascii="Arial" w:hAnsi="Arial" w:cs="Arial"/>
          <w:color w:val="000000"/>
          <w:sz w:val="20"/>
        </w:rPr>
        <w:t xml:space="preserve"> clearly inappropriate, </w:t>
      </w:r>
      <w:r>
        <w:rPr>
          <w:rFonts w:ascii="Arial" w:hAnsi="Arial" w:cs="Arial"/>
          <w:color w:val="000000"/>
          <w:sz w:val="20"/>
        </w:rPr>
        <w:t>refer</w:t>
      </w:r>
      <w:r w:rsidR="000C1184">
        <w:rPr>
          <w:rFonts w:ascii="Arial" w:hAnsi="Arial" w:cs="Arial"/>
          <w:color w:val="000000"/>
          <w:sz w:val="20"/>
        </w:rPr>
        <w:t xml:space="preserve"> the child </w:t>
      </w:r>
      <w:r>
        <w:rPr>
          <w:rFonts w:ascii="Arial" w:hAnsi="Arial" w:cs="Arial"/>
          <w:color w:val="000000"/>
          <w:sz w:val="20"/>
        </w:rPr>
        <w:t xml:space="preserve">to participate in an </w:t>
      </w:r>
      <w:r w:rsidR="005259FC">
        <w:rPr>
          <w:rFonts w:ascii="Arial" w:hAnsi="Arial" w:cs="Arial"/>
          <w:color w:val="000000"/>
          <w:sz w:val="20"/>
        </w:rPr>
        <w:t>EDGC</w:t>
      </w:r>
      <w:r>
        <w:rPr>
          <w:rFonts w:ascii="Arial" w:hAnsi="Arial" w:cs="Arial"/>
          <w:color w:val="000000"/>
          <w:sz w:val="20"/>
        </w:rPr>
        <w:t xml:space="preserve"> </w:t>
      </w:r>
      <w:r w:rsidR="000C1184">
        <w:rPr>
          <w:rFonts w:ascii="Arial" w:hAnsi="Arial" w:cs="Arial"/>
          <w:color w:val="000000"/>
          <w:sz w:val="20"/>
        </w:rPr>
        <w:t>for the alleged offence;</w:t>
      </w:r>
    </w:p>
    <w:p w14:paraId="2AFDE585" w14:textId="7F4FE731" w:rsidR="00D0508C" w:rsidRPr="000C1184" w:rsidRDefault="00D0508C">
      <w:pPr>
        <w:pStyle w:val="ListParagraph"/>
        <w:numPr>
          <w:ilvl w:val="0"/>
          <w:numId w:val="103"/>
        </w:numPr>
        <w:spacing w:after="0" w:line="240" w:lineRule="auto"/>
        <w:ind w:left="357" w:hanging="357"/>
        <w:jc w:val="both"/>
        <w:rPr>
          <w:rFonts w:ascii="Arial" w:hAnsi="Arial" w:cs="Arial"/>
          <w:color w:val="000000"/>
          <w:sz w:val="20"/>
        </w:rPr>
      </w:pPr>
      <w:r>
        <w:rPr>
          <w:rFonts w:ascii="Arial" w:hAnsi="Arial" w:cs="Arial"/>
          <w:color w:val="000000"/>
          <w:sz w:val="20"/>
        </w:rPr>
        <w:t xml:space="preserve">if (a), (b), (c) &amp; (d) are clearly </w:t>
      </w:r>
      <w:r w:rsidRPr="000C1184">
        <w:rPr>
          <w:rFonts w:ascii="Arial" w:hAnsi="Arial" w:cs="Arial"/>
          <w:sz w:val="20"/>
          <w:szCs w:val="20"/>
        </w:rPr>
        <w:t>inappropriate, commence a criminal proceeding against the child for the alleged offence.</w:t>
      </w:r>
    </w:p>
    <w:p w14:paraId="07AF170C" w14:textId="70B92FCE" w:rsidR="000C1184" w:rsidRDefault="00D0508C" w:rsidP="00F31D0B">
      <w:pPr>
        <w:spacing w:before="60"/>
        <w:jc w:val="both"/>
        <w:rPr>
          <w:rFonts w:ascii="Arial" w:hAnsi="Arial" w:cs="Arial"/>
          <w:color w:val="000000"/>
          <w:sz w:val="20"/>
        </w:rPr>
      </w:pPr>
      <w:r>
        <w:rPr>
          <w:rFonts w:ascii="Arial" w:hAnsi="Arial" w:cs="Arial"/>
          <w:color w:val="000000"/>
          <w:sz w:val="20"/>
        </w:rPr>
        <w:t xml:space="preserve">Section 92(2) YJA sets out the following matters to which </w:t>
      </w:r>
      <w:r w:rsidR="006B40B4">
        <w:rPr>
          <w:rFonts w:ascii="Arial" w:hAnsi="Arial" w:cs="Arial"/>
          <w:color w:val="000000"/>
          <w:sz w:val="20"/>
        </w:rPr>
        <w:t>a</w:t>
      </w:r>
      <w:r>
        <w:rPr>
          <w:rFonts w:ascii="Arial" w:hAnsi="Arial" w:cs="Arial"/>
          <w:color w:val="000000"/>
          <w:sz w:val="20"/>
        </w:rPr>
        <w:t xml:space="preserve"> police officer must have regard in deciding whether an action in the hierarchy of options in s.92(1) is “clearly inappropriate”:</w:t>
      </w:r>
    </w:p>
    <w:p w14:paraId="21A281D0" w14:textId="544D9F4F" w:rsidR="00D0508C" w:rsidRPr="00D0508C" w:rsidRDefault="00D0508C">
      <w:pPr>
        <w:pStyle w:val="ListParagraph"/>
        <w:numPr>
          <w:ilvl w:val="0"/>
          <w:numId w:val="104"/>
        </w:numPr>
        <w:spacing w:after="0" w:line="240" w:lineRule="auto"/>
        <w:ind w:left="357" w:hanging="357"/>
        <w:jc w:val="both"/>
        <w:rPr>
          <w:rFonts w:ascii="Arial" w:hAnsi="Arial" w:cs="Arial"/>
          <w:sz w:val="20"/>
          <w:szCs w:val="20"/>
        </w:rPr>
      </w:pPr>
      <w:r w:rsidRPr="00D0508C">
        <w:rPr>
          <w:rFonts w:ascii="Arial" w:hAnsi="Arial" w:cs="Arial"/>
          <w:color w:val="000000"/>
          <w:sz w:val="20"/>
        </w:rPr>
        <w:t xml:space="preserve">the nature and </w:t>
      </w:r>
      <w:r w:rsidRPr="00D0508C">
        <w:rPr>
          <w:rFonts w:ascii="Arial" w:hAnsi="Arial" w:cs="Arial"/>
          <w:sz w:val="20"/>
          <w:szCs w:val="20"/>
        </w:rPr>
        <w:t>seriousness of the alleged offending;</w:t>
      </w:r>
    </w:p>
    <w:p w14:paraId="47F31A88" w14:textId="1D0B926F" w:rsidR="00D0508C" w:rsidRPr="00D0508C" w:rsidRDefault="00D0508C">
      <w:pPr>
        <w:pStyle w:val="ListParagraph"/>
        <w:numPr>
          <w:ilvl w:val="0"/>
          <w:numId w:val="104"/>
        </w:numPr>
        <w:spacing w:after="0" w:line="240" w:lineRule="auto"/>
        <w:ind w:left="357" w:hanging="357"/>
        <w:jc w:val="both"/>
        <w:rPr>
          <w:rFonts w:ascii="Arial" w:hAnsi="Arial" w:cs="Arial"/>
          <w:color w:val="000000"/>
          <w:sz w:val="20"/>
        </w:rPr>
      </w:pPr>
      <w:r w:rsidRPr="000C1184">
        <w:rPr>
          <w:rFonts w:ascii="Arial" w:hAnsi="Arial" w:cs="Arial"/>
          <w:sz w:val="20"/>
          <w:szCs w:val="20"/>
        </w:rPr>
        <w:t>the number, frequency and nature of findings of guilt or convictions (if any) in respect of the child;</w:t>
      </w:r>
    </w:p>
    <w:p w14:paraId="188473CD" w14:textId="65E96B73" w:rsidR="00D0508C" w:rsidRPr="00D0508C" w:rsidRDefault="00D0508C">
      <w:pPr>
        <w:pStyle w:val="ListParagraph"/>
        <w:numPr>
          <w:ilvl w:val="0"/>
          <w:numId w:val="104"/>
        </w:numPr>
        <w:spacing w:after="0" w:line="240" w:lineRule="auto"/>
        <w:ind w:left="357" w:hanging="357"/>
        <w:jc w:val="both"/>
        <w:rPr>
          <w:rFonts w:ascii="Arial" w:hAnsi="Arial" w:cs="Arial"/>
          <w:color w:val="000000"/>
          <w:sz w:val="20"/>
        </w:rPr>
      </w:pPr>
      <w:r w:rsidRPr="000C1184">
        <w:rPr>
          <w:rFonts w:ascii="Arial" w:hAnsi="Arial" w:cs="Arial"/>
          <w:sz w:val="20"/>
          <w:szCs w:val="20"/>
        </w:rPr>
        <w:t>any previous conduct of the child relevant to the alleged offending, including but not limited to whether the child has acknowledged responsibility or shown remorse for their behaviour;</w:t>
      </w:r>
    </w:p>
    <w:p w14:paraId="1DC9B127" w14:textId="3B66552A" w:rsidR="00D0508C" w:rsidRPr="00D0508C" w:rsidRDefault="00D0508C">
      <w:pPr>
        <w:pStyle w:val="ListParagraph"/>
        <w:numPr>
          <w:ilvl w:val="0"/>
          <w:numId w:val="104"/>
        </w:numPr>
        <w:spacing w:after="0" w:line="240" w:lineRule="auto"/>
        <w:ind w:left="357" w:hanging="357"/>
        <w:jc w:val="both"/>
        <w:rPr>
          <w:rFonts w:ascii="Arial" w:hAnsi="Arial" w:cs="Arial"/>
          <w:color w:val="000000"/>
          <w:sz w:val="20"/>
        </w:rPr>
      </w:pPr>
      <w:r w:rsidRPr="000C1184">
        <w:rPr>
          <w:rFonts w:ascii="Arial" w:hAnsi="Arial" w:cs="Arial"/>
          <w:sz w:val="20"/>
          <w:szCs w:val="20"/>
        </w:rPr>
        <w:t>any harm caused to the victim (if any) of the alleged offending.</w:t>
      </w:r>
    </w:p>
    <w:p w14:paraId="5284CDBD" w14:textId="0A6D90C1" w:rsidR="00D0508C" w:rsidRDefault="006B40B4" w:rsidP="006B40B4">
      <w:pPr>
        <w:spacing w:before="60"/>
        <w:jc w:val="both"/>
        <w:rPr>
          <w:rFonts w:ascii="Arial" w:hAnsi="Arial" w:cs="Arial"/>
          <w:color w:val="000000"/>
          <w:sz w:val="20"/>
        </w:rPr>
      </w:pPr>
      <w:r>
        <w:rPr>
          <w:rFonts w:ascii="Arial" w:hAnsi="Arial" w:cs="Arial"/>
          <w:color w:val="000000"/>
          <w:sz w:val="20"/>
        </w:rPr>
        <w:t>Section 93 YJA requires a police officer to make a formal record of reasons if he or she decides that a youth warning, a youth caution or a</w:t>
      </w:r>
      <w:r w:rsidR="00F31D0B">
        <w:rPr>
          <w:rFonts w:ascii="Arial" w:hAnsi="Arial" w:cs="Arial"/>
          <w:color w:val="000000"/>
          <w:sz w:val="20"/>
        </w:rPr>
        <w:t>n EDGC</w:t>
      </w:r>
      <w:r>
        <w:rPr>
          <w:rFonts w:ascii="Arial" w:hAnsi="Arial" w:cs="Arial"/>
          <w:color w:val="000000"/>
          <w:sz w:val="20"/>
        </w:rPr>
        <w:t xml:space="preserve"> is “clearly inappropriate”.</w:t>
      </w:r>
    </w:p>
    <w:p w14:paraId="7FD817C6" w14:textId="77777777" w:rsidR="000C1184" w:rsidRPr="000C1184" w:rsidRDefault="000C1184" w:rsidP="000C1184">
      <w:pPr>
        <w:rPr>
          <w:rFonts w:ascii="Arial" w:hAnsi="Arial" w:cs="Arial"/>
          <w:sz w:val="20"/>
          <w:szCs w:val="20"/>
        </w:rPr>
      </w:pPr>
    </w:p>
    <w:p w14:paraId="56897B5B" w14:textId="785542BA" w:rsidR="006B40B4" w:rsidRPr="006B40B4" w:rsidRDefault="006B40B4" w:rsidP="006B40B4">
      <w:pPr>
        <w:spacing w:after="120"/>
        <w:jc w:val="both"/>
        <w:rPr>
          <w:rFonts w:ascii="Arial" w:hAnsi="Arial" w:cs="Arial"/>
          <w:b/>
          <w:bCs/>
          <w:color w:val="000000"/>
          <w:sz w:val="20"/>
          <w:szCs w:val="20"/>
        </w:rPr>
      </w:pPr>
      <w:r w:rsidRPr="00421938">
        <w:rPr>
          <w:rFonts w:ascii="Arial" w:hAnsi="Arial" w:cs="Arial"/>
          <w:b/>
          <w:bCs/>
          <w:color w:val="000000"/>
          <w:sz w:val="20"/>
          <w:szCs w:val="20"/>
        </w:rPr>
        <w:t>Part 4.2 – Youth warnings</w:t>
      </w:r>
      <w:r>
        <w:rPr>
          <w:rFonts w:ascii="Arial" w:hAnsi="Arial" w:cs="Arial"/>
          <w:color w:val="000000"/>
          <w:sz w:val="20"/>
          <w:szCs w:val="20"/>
        </w:rPr>
        <w:t xml:space="preserve"> – and </w:t>
      </w:r>
      <w:r w:rsidRPr="00421938">
        <w:rPr>
          <w:rFonts w:ascii="Arial" w:hAnsi="Arial" w:cs="Arial"/>
          <w:b/>
          <w:bCs/>
          <w:color w:val="000000"/>
          <w:sz w:val="20"/>
          <w:szCs w:val="20"/>
        </w:rPr>
        <w:t>Part 4.3 – Youth cautions</w:t>
      </w:r>
      <w:r>
        <w:rPr>
          <w:rFonts w:ascii="Arial" w:hAnsi="Arial" w:cs="Arial"/>
          <w:color w:val="000000"/>
          <w:sz w:val="20"/>
          <w:szCs w:val="20"/>
        </w:rPr>
        <w:t xml:space="preserve"> </w:t>
      </w:r>
      <w:r w:rsidR="00421938">
        <w:rPr>
          <w:rFonts w:ascii="Arial" w:hAnsi="Arial" w:cs="Arial"/>
          <w:color w:val="000000"/>
          <w:sz w:val="20"/>
          <w:szCs w:val="20"/>
        </w:rPr>
        <w:t xml:space="preserve">(a more formal process than Youth warnings) </w:t>
      </w:r>
      <w:r>
        <w:rPr>
          <w:rFonts w:ascii="Arial" w:hAnsi="Arial" w:cs="Arial"/>
          <w:color w:val="000000"/>
          <w:sz w:val="20"/>
          <w:szCs w:val="20"/>
        </w:rPr>
        <w:t>– contain stipulation</w:t>
      </w:r>
      <w:r w:rsidR="00753A80">
        <w:rPr>
          <w:rFonts w:ascii="Arial" w:hAnsi="Arial" w:cs="Arial"/>
          <w:color w:val="000000"/>
          <w:sz w:val="20"/>
          <w:szCs w:val="20"/>
        </w:rPr>
        <w:t xml:space="preserve">s </w:t>
      </w:r>
      <w:r w:rsidR="00421938">
        <w:rPr>
          <w:rFonts w:ascii="Arial" w:hAnsi="Arial" w:cs="Arial"/>
          <w:color w:val="000000"/>
          <w:sz w:val="20"/>
          <w:szCs w:val="20"/>
        </w:rPr>
        <w:t xml:space="preserve">in the following sections of the YJA </w:t>
      </w:r>
      <w:r w:rsidR="00753A80">
        <w:rPr>
          <w:rFonts w:ascii="Arial" w:hAnsi="Arial" w:cs="Arial"/>
          <w:color w:val="000000"/>
          <w:sz w:val="20"/>
          <w:szCs w:val="20"/>
        </w:rPr>
        <w:t>under the following headings</w:t>
      </w:r>
      <w:r>
        <w:rPr>
          <w:rFonts w:ascii="Arial" w:hAnsi="Arial" w:cs="Arial"/>
          <w:color w:val="000000"/>
          <w:sz w:val="20"/>
          <w:szCs w:val="20"/>
        </w:rPr>
        <w:t>:</w:t>
      </w:r>
    </w:p>
    <w:tbl>
      <w:tblPr>
        <w:tblStyle w:val="TableGrid"/>
        <w:tblW w:w="9060" w:type="dxa"/>
        <w:tblLook w:val="04A0" w:firstRow="1" w:lastRow="0" w:firstColumn="1" w:lastColumn="0" w:noHBand="0" w:noVBand="1"/>
      </w:tblPr>
      <w:tblGrid>
        <w:gridCol w:w="567"/>
        <w:gridCol w:w="3963"/>
        <w:gridCol w:w="6"/>
        <w:gridCol w:w="567"/>
        <w:gridCol w:w="3957"/>
      </w:tblGrid>
      <w:tr w:rsidR="006B40B4" w:rsidRPr="006B40B4" w14:paraId="1012CA77" w14:textId="77777777" w:rsidTr="006B40B4">
        <w:tc>
          <w:tcPr>
            <w:tcW w:w="4530" w:type="dxa"/>
            <w:gridSpan w:val="2"/>
            <w:shd w:val="clear" w:color="auto" w:fill="000000" w:themeFill="text1"/>
          </w:tcPr>
          <w:p w14:paraId="2302CF7F" w14:textId="6AE5D6F6" w:rsidR="006B40B4" w:rsidRPr="006B40B4" w:rsidRDefault="006B40B4" w:rsidP="006B40B4">
            <w:pPr>
              <w:jc w:val="center"/>
              <w:rPr>
                <w:rFonts w:ascii="Arial" w:hAnsi="Arial" w:cs="Arial"/>
                <w:b/>
                <w:bCs/>
                <w:color w:val="FFFFFF" w:themeColor="background1"/>
                <w:sz w:val="20"/>
                <w:szCs w:val="20"/>
              </w:rPr>
            </w:pPr>
            <w:r w:rsidRPr="006B40B4">
              <w:rPr>
                <w:rFonts w:ascii="Arial" w:hAnsi="Arial" w:cs="Arial"/>
                <w:b/>
                <w:bCs/>
                <w:color w:val="FFFFFF" w:themeColor="background1"/>
                <w:sz w:val="20"/>
                <w:szCs w:val="20"/>
              </w:rPr>
              <w:t>YOUTH WARNINGS</w:t>
            </w:r>
          </w:p>
        </w:tc>
        <w:tc>
          <w:tcPr>
            <w:tcW w:w="4530" w:type="dxa"/>
            <w:gridSpan w:val="3"/>
            <w:shd w:val="clear" w:color="auto" w:fill="000000" w:themeFill="text1"/>
          </w:tcPr>
          <w:p w14:paraId="2DC23FB5" w14:textId="33F0BC4D" w:rsidR="00421938" w:rsidRPr="006B40B4" w:rsidRDefault="006B40B4" w:rsidP="00421938">
            <w:pPr>
              <w:jc w:val="center"/>
              <w:rPr>
                <w:rFonts w:ascii="Arial" w:hAnsi="Arial" w:cs="Arial"/>
                <w:b/>
                <w:bCs/>
                <w:color w:val="FFFFFF" w:themeColor="background1"/>
                <w:sz w:val="20"/>
                <w:szCs w:val="20"/>
              </w:rPr>
            </w:pPr>
            <w:r w:rsidRPr="006B40B4">
              <w:rPr>
                <w:rFonts w:ascii="Arial" w:hAnsi="Arial" w:cs="Arial"/>
                <w:b/>
                <w:bCs/>
                <w:color w:val="FFFFFF" w:themeColor="background1"/>
                <w:sz w:val="20"/>
                <w:szCs w:val="20"/>
              </w:rPr>
              <w:t>YOUTH CAUTIONS</w:t>
            </w:r>
          </w:p>
        </w:tc>
      </w:tr>
      <w:tr w:rsidR="006B40B4" w14:paraId="2F768E5E" w14:textId="77777777" w:rsidTr="006B40B4">
        <w:tc>
          <w:tcPr>
            <w:tcW w:w="567" w:type="dxa"/>
          </w:tcPr>
          <w:p w14:paraId="3BEDE430" w14:textId="314C6AD0" w:rsidR="006B40B4" w:rsidRDefault="00753A80" w:rsidP="006B40B4">
            <w:pPr>
              <w:jc w:val="center"/>
              <w:rPr>
                <w:rFonts w:ascii="Arial" w:hAnsi="Arial" w:cs="Arial"/>
                <w:b/>
                <w:bCs/>
                <w:color w:val="000000"/>
                <w:sz w:val="20"/>
                <w:szCs w:val="20"/>
              </w:rPr>
            </w:pPr>
            <w:r>
              <w:rPr>
                <w:rFonts w:ascii="Arial" w:hAnsi="Arial" w:cs="Arial"/>
                <w:b/>
                <w:bCs/>
                <w:color w:val="000000"/>
                <w:sz w:val="20"/>
                <w:szCs w:val="20"/>
              </w:rPr>
              <w:t>94</w:t>
            </w:r>
          </w:p>
        </w:tc>
        <w:tc>
          <w:tcPr>
            <w:tcW w:w="3969" w:type="dxa"/>
            <w:gridSpan w:val="2"/>
          </w:tcPr>
          <w:p w14:paraId="3057DEAE" w14:textId="03437735" w:rsidR="006B40B4" w:rsidRDefault="00753A80" w:rsidP="006B40B4">
            <w:pPr>
              <w:jc w:val="both"/>
              <w:rPr>
                <w:rFonts w:ascii="Arial" w:hAnsi="Arial" w:cs="Arial"/>
                <w:b/>
                <w:bCs/>
                <w:color w:val="000000"/>
                <w:sz w:val="20"/>
                <w:szCs w:val="20"/>
              </w:rPr>
            </w:pPr>
            <w:r>
              <w:rPr>
                <w:rFonts w:ascii="Arial" w:hAnsi="Arial" w:cs="Arial"/>
                <w:b/>
                <w:bCs/>
                <w:color w:val="000000"/>
                <w:sz w:val="20"/>
                <w:szCs w:val="20"/>
              </w:rPr>
              <w:t>Objects</w:t>
            </w:r>
          </w:p>
        </w:tc>
        <w:tc>
          <w:tcPr>
            <w:tcW w:w="567" w:type="dxa"/>
          </w:tcPr>
          <w:p w14:paraId="36067980" w14:textId="0793E59D" w:rsidR="006B40B4" w:rsidRDefault="00421938" w:rsidP="006B40B4">
            <w:pPr>
              <w:jc w:val="center"/>
              <w:rPr>
                <w:rFonts w:ascii="Arial" w:hAnsi="Arial" w:cs="Arial"/>
                <w:b/>
                <w:bCs/>
                <w:color w:val="000000"/>
                <w:sz w:val="20"/>
                <w:szCs w:val="20"/>
              </w:rPr>
            </w:pPr>
            <w:r>
              <w:rPr>
                <w:rFonts w:ascii="Arial" w:hAnsi="Arial" w:cs="Arial"/>
                <w:b/>
                <w:bCs/>
                <w:color w:val="000000"/>
                <w:sz w:val="20"/>
                <w:szCs w:val="20"/>
              </w:rPr>
              <w:t>102</w:t>
            </w:r>
          </w:p>
        </w:tc>
        <w:tc>
          <w:tcPr>
            <w:tcW w:w="3957" w:type="dxa"/>
          </w:tcPr>
          <w:p w14:paraId="316FF77F" w14:textId="1E2BEB5A" w:rsidR="006B40B4" w:rsidRDefault="00421938" w:rsidP="006B40B4">
            <w:pPr>
              <w:jc w:val="both"/>
              <w:rPr>
                <w:rFonts w:ascii="Arial" w:hAnsi="Arial" w:cs="Arial"/>
                <w:b/>
                <w:bCs/>
                <w:color w:val="000000"/>
                <w:sz w:val="20"/>
                <w:szCs w:val="20"/>
              </w:rPr>
            </w:pPr>
            <w:r>
              <w:rPr>
                <w:rFonts w:ascii="Arial" w:hAnsi="Arial" w:cs="Arial"/>
                <w:b/>
                <w:bCs/>
                <w:color w:val="000000"/>
                <w:sz w:val="20"/>
                <w:szCs w:val="20"/>
              </w:rPr>
              <w:t>Objects</w:t>
            </w:r>
          </w:p>
        </w:tc>
      </w:tr>
      <w:tr w:rsidR="006B40B4" w14:paraId="4C06BD7A" w14:textId="77777777" w:rsidTr="006B40B4">
        <w:tc>
          <w:tcPr>
            <w:tcW w:w="567" w:type="dxa"/>
          </w:tcPr>
          <w:p w14:paraId="72406DB5" w14:textId="77CB6A30" w:rsidR="006B40B4" w:rsidRDefault="00753A80" w:rsidP="006B40B4">
            <w:pPr>
              <w:jc w:val="center"/>
              <w:rPr>
                <w:rFonts w:ascii="Arial" w:hAnsi="Arial" w:cs="Arial"/>
                <w:b/>
                <w:bCs/>
                <w:color w:val="000000"/>
                <w:sz w:val="20"/>
                <w:szCs w:val="20"/>
              </w:rPr>
            </w:pPr>
            <w:r>
              <w:rPr>
                <w:rFonts w:ascii="Arial" w:hAnsi="Arial" w:cs="Arial"/>
                <w:b/>
                <w:bCs/>
                <w:color w:val="000000"/>
                <w:sz w:val="20"/>
                <w:szCs w:val="20"/>
              </w:rPr>
              <w:t>95</w:t>
            </w:r>
          </w:p>
        </w:tc>
        <w:tc>
          <w:tcPr>
            <w:tcW w:w="3969" w:type="dxa"/>
            <w:gridSpan w:val="2"/>
          </w:tcPr>
          <w:p w14:paraId="2CBDB67C" w14:textId="75FC2FC7" w:rsidR="006B40B4" w:rsidRDefault="00753A80" w:rsidP="006B40B4">
            <w:pPr>
              <w:jc w:val="both"/>
              <w:rPr>
                <w:rFonts w:ascii="Arial" w:hAnsi="Arial" w:cs="Arial"/>
                <w:b/>
                <w:bCs/>
                <w:color w:val="000000"/>
                <w:sz w:val="20"/>
                <w:szCs w:val="20"/>
              </w:rPr>
            </w:pPr>
            <w:r>
              <w:rPr>
                <w:rFonts w:ascii="Arial" w:hAnsi="Arial" w:cs="Arial"/>
                <w:b/>
                <w:bCs/>
                <w:color w:val="000000"/>
                <w:sz w:val="20"/>
                <w:szCs w:val="20"/>
              </w:rPr>
              <w:t xml:space="preserve">Police officer may give </w:t>
            </w:r>
            <w:r w:rsidR="00421938">
              <w:rPr>
                <w:rFonts w:ascii="Arial" w:hAnsi="Arial" w:cs="Arial"/>
                <w:b/>
                <w:bCs/>
                <w:color w:val="000000"/>
                <w:sz w:val="20"/>
                <w:szCs w:val="20"/>
              </w:rPr>
              <w:t>youth warning to child</w:t>
            </w:r>
          </w:p>
        </w:tc>
        <w:tc>
          <w:tcPr>
            <w:tcW w:w="567" w:type="dxa"/>
          </w:tcPr>
          <w:p w14:paraId="050E8519" w14:textId="6D432DB3" w:rsidR="006B40B4" w:rsidRDefault="00421938" w:rsidP="006B40B4">
            <w:pPr>
              <w:jc w:val="center"/>
              <w:rPr>
                <w:rFonts w:ascii="Arial" w:hAnsi="Arial" w:cs="Arial"/>
                <w:b/>
                <w:bCs/>
                <w:color w:val="000000"/>
                <w:sz w:val="20"/>
                <w:szCs w:val="20"/>
              </w:rPr>
            </w:pPr>
            <w:r>
              <w:rPr>
                <w:rFonts w:ascii="Arial" w:hAnsi="Arial" w:cs="Arial"/>
                <w:b/>
                <w:bCs/>
                <w:color w:val="000000"/>
                <w:sz w:val="20"/>
                <w:szCs w:val="20"/>
              </w:rPr>
              <w:t>103</w:t>
            </w:r>
          </w:p>
        </w:tc>
        <w:tc>
          <w:tcPr>
            <w:tcW w:w="3957" w:type="dxa"/>
          </w:tcPr>
          <w:p w14:paraId="1914BF97" w14:textId="753C5ECE" w:rsidR="006B40B4" w:rsidRDefault="00421938" w:rsidP="006B40B4">
            <w:pPr>
              <w:jc w:val="both"/>
              <w:rPr>
                <w:rFonts w:ascii="Arial" w:hAnsi="Arial" w:cs="Arial"/>
                <w:b/>
                <w:bCs/>
                <w:color w:val="000000"/>
                <w:sz w:val="20"/>
                <w:szCs w:val="20"/>
              </w:rPr>
            </w:pPr>
            <w:r>
              <w:rPr>
                <w:rFonts w:ascii="Arial" w:hAnsi="Arial" w:cs="Arial"/>
                <w:b/>
                <w:bCs/>
                <w:color w:val="000000"/>
                <w:sz w:val="20"/>
                <w:szCs w:val="20"/>
              </w:rPr>
              <w:t>Youth caution may be given to child</w:t>
            </w:r>
          </w:p>
        </w:tc>
      </w:tr>
      <w:tr w:rsidR="00421938" w14:paraId="0FBD8907" w14:textId="77777777" w:rsidTr="006B40B4">
        <w:tc>
          <w:tcPr>
            <w:tcW w:w="567" w:type="dxa"/>
          </w:tcPr>
          <w:p w14:paraId="399FBEF2" w14:textId="3F9D3039"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96</w:t>
            </w:r>
          </w:p>
        </w:tc>
        <w:tc>
          <w:tcPr>
            <w:tcW w:w="3969" w:type="dxa"/>
            <w:gridSpan w:val="2"/>
          </w:tcPr>
          <w:p w14:paraId="406D2AA6" w14:textId="6DB8A23D"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Eligibility of child for youth warning</w:t>
            </w:r>
          </w:p>
        </w:tc>
        <w:tc>
          <w:tcPr>
            <w:tcW w:w="567" w:type="dxa"/>
          </w:tcPr>
          <w:p w14:paraId="3709E8E3" w14:textId="319D78FE"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104</w:t>
            </w:r>
          </w:p>
        </w:tc>
        <w:tc>
          <w:tcPr>
            <w:tcW w:w="3957" w:type="dxa"/>
          </w:tcPr>
          <w:p w14:paraId="12382A5A" w14:textId="49740CDA" w:rsidR="00421938" w:rsidRPr="00421938" w:rsidRDefault="00421938" w:rsidP="00421938">
            <w:pPr>
              <w:jc w:val="both"/>
              <w:rPr>
                <w:rFonts w:ascii="Arial" w:hAnsi="Arial" w:cs="Arial"/>
                <w:color w:val="000000"/>
                <w:sz w:val="20"/>
                <w:szCs w:val="20"/>
              </w:rPr>
            </w:pPr>
            <w:r>
              <w:rPr>
                <w:rFonts w:ascii="Arial" w:hAnsi="Arial" w:cs="Arial"/>
                <w:b/>
                <w:bCs/>
                <w:color w:val="000000"/>
                <w:sz w:val="20"/>
                <w:szCs w:val="20"/>
              </w:rPr>
              <w:t>Eligibility of child for youth caution</w:t>
            </w:r>
          </w:p>
        </w:tc>
      </w:tr>
      <w:tr w:rsidR="00421938" w14:paraId="73E461DA" w14:textId="77777777" w:rsidTr="006B40B4">
        <w:tc>
          <w:tcPr>
            <w:tcW w:w="567" w:type="dxa"/>
          </w:tcPr>
          <w:p w14:paraId="753E8C35" w14:textId="0EE1099B"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97</w:t>
            </w:r>
          </w:p>
        </w:tc>
        <w:tc>
          <w:tcPr>
            <w:tcW w:w="3969" w:type="dxa"/>
            <w:gridSpan w:val="2"/>
          </w:tcPr>
          <w:p w14:paraId="7B95D612" w14:textId="5FF4DC1A"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Timing</w:t>
            </w:r>
          </w:p>
        </w:tc>
        <w:tc>
          <w:tcPr>
            <w:tcW w:w="567" w:type="dxa"/>
          </w:tcPr>
          <w:p w14:paraId="3E426474" w14:textId="6C1E7A08"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107</w:t>
            </w:r>
          </w:p>
        </w:tc>
        <w:tc>
          <w:tcPr>
            <w:tcW w:w="3957" w:type="dxa"/>
          </w:tcPr>
          <w:p w14:paraId="14148FFC" w14:textId="71C9A611"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Timing</w:t>
            </w:r>
          </w:p>
        </w:tc>
      </w:tr>
      <w:tr w:rsidR="00D30C9F" w14:paraId="2B8457F6" w14:textId="77777777" w:rsidTr="006B40B4">
        <w:tc>
          <w:tcPr>
            <w:tcW w:w="567" w:type="dxa"/>
            <w:vMerge w:val="restart"/>
          </w:tcPr>
          <w:p w14:paraId="1B8AE7F3" w14:textId="03D54340" w:rsidR="00D30C9F" w:rsidRDefault="00D30C9F" w:rsidP="00421938">
            <w:pPr>
              <w:jc w:val="center"/>
              <w:rPr>
                <w:rFonts w:ascii="Arial" w:hAnsi="Arial" w:cs="Arial"/>
                <w:b/>
                <w:bCs/>
                <w:color w:val="000000"/>
                <w:sz w:val="20"/>
                <w:szCs w:val="20"/>
              </w:rPr>
            </w:pPr>
            <w:r>
              <w:rPr>
                <w:rFonts w:ascii="Arial" w:hAnsi="Arial" w:cs="Arial"/>
                <w:b/>
                <w:bCs/>
                <w:color w:val="000000"/>
                <w:sz w:val="20"/>
                <w:szCs w:val="20"/>
              </w:rPr>
              <w:t>98</w:t>
            </w:r>
          </w:p>
        </w:tc>
        <w:tc>
          <w:tcPr>
            <w:tcW w:w="3969" w:type="dxa"/>
            <w:gridSpan w:val="2"/>
            <w:vMerge w:val="restart"/>
          </w:tcPr>
          <w:p w14:paraId="3AF12394" w14:textId="53FDDB7A" w:rsidR="00D30C9F" w:rsidRDefault="00D30C9F" w:rsidP="00421938">
            <w:pPr>
              <w:jc w:val="both"/>
              <w:rPr>
                <w:rFonts w:ascii="Arial" w:hAnsi="Arial" w:cs="Arial"/>
                <w:b/>
                <w:bCs/>
                <w:color w:val="000000"/>
                <w:sz w:val="20"/>
                <w:szCs w:val="20"/>
              </w:rPr>
            </w:pPr>
            <w:r>
              <w:rPr>
                <w:rFonts w:ascii="Arial" w:hAnsi="Arial" w:cs="Arial"/>
                <w:b/>
                <w:bCs/>
                <w:color w:val="000000"/>
                <w:sz w:val="20"/>
                <w:szCs w:val="20"/>
              </w:rPr>
              <w:t>Place and form for giving youth warning</w:t>
            </w:r>
          </w:p>
        </w:tc>
        <w:tc>
          <w:tcPr>
            <w:tcW w:w="567" w:type="dxa"/>
          </w:tcPr>
          <w:p w14:paraId="4FEEB77C" w14:textId="12D52998" w:rsidR="00D30C9F" w:rsidRDefault="00D30C9F" w:rsidP="00421938">
            <w:pPr>
              <w:jc w:val="center"/>
              <w:rPr>
                <w:rFonts w:ascii="Arial" w:hAnsi="Arial" w:cs="Arial"/>
                <w:b/>
                <w:bCs/>
                <w:color w:val="000000"/>
                <w:sz w:val="20"/>
                <w:szCs w:val="20"/>
              </w:rPr>
            </w:pPr>
            <w:r>
              <w:rPr>
                <w:rFonts w:ascii="Arial" w:hAnsi="Arial" w:cs="Arial"/>
                <w:b/>
                <w:bCs/>
                <w:color w:val="000000"/>
                <w:sz w:val="20"/>
                <w:szCs w:val="20"/>
              </w:rPr>
              <w:t>112</w:t>
            </w:r>
          </w:p>
        </w:tc>
        <w:tc>
          <w:tcPr>
            <w:tcW w:w="3957" w:type="dxa"/>
          </w:tcPr>
          <w:p w14:paraId="1401FE45" w14:textId="3E5134CB" w:rsidR="00D30C9F" w:rsidRDefault="00D30C9F" w:rsidP="00421938">
            <w:pPr>
              <w:jc w:val="both"/>
              <w:rPr>
                <w:rFonts w:ascii="Arial" w:hAnsi="Arial" w:cs="Arial"/>
                <w:b/>
                <w:bCs/>
                <w:color w:val="000000"/>
                <w:sz w:val="20"/>
                <w:szCs w:val="20"/>
              </w:rPr>
            </w:pPr>
            <w:r>
              <w:rPr>
                <w:rFonts w:ascii="Arial" w:hAnsi="Arial" w:cs="Arial"/>
                <w:b/>
                <w:bCs/>
                <w:color w:val="000000"/>
                <w:sz w:val="20"/>
                <w:szCs w:val="20"/>
              </w:rPr>
              <w:t>Place for giving youth caution</w:t>
            </w:r>
          </w:p>
        </w:tc>
      </w:tr>
      <w:tr w:rsidR="00D30C9F" w14:paraId="12649DB1" w14:textId="77777777" w:rsidTr="006B40B4">
        <w:tc>
          <w:tcPr>
            <w:tcW w:w="567" w:type="dxa"/>
            <w:vMerge/>
          </w:tcPr>
          <w:p w14:paraId="60195FA1" w14:textId="77777777" w:rsidR="00D30C9F" w:rsidRDefault="00D30C9F" w:rsidP="00421938">
            <w:pPr>
              <w:jc w:val="center"/>
              <w:rPr>
                <w:rFonts w:ascii="Arial" w:hAnsi="Arial" w:cs="Arial"/>
                <w:b/>
                <w:bCs/>
                <w:color w:val="000000"/>
                <w:sz w:val="20"/>
                <w:szCs w:val="20"/>
              </w:rPr>
            </w:pPr>
          </w:p>
        </w:tc>
        <w:tc>
          <w:tcPr>
            <w:tcW w:w="3969" w:type="dxa"/>
            <w:gridSpan w:val="2"/>
            <w:vMerge/>
          </w:tcPr>
          <w:p w14:paraId="48768EDC" w14:textId="77777777" w:rsidR="00D30C9F" w:rsidRDefault="00D30C9F" w:rsidP="00421938">
            <w:pPr>
              <w:jc w:val="both"/>
              <w:rPr>
                <w:rFonts w:ascii="Arial" w:hAnsi="Arial" w:cs="Arial"/>
                <w:b/>
                <w:bCs/>
                <w:color w:val="000000"/>
                <w:sz w:val="20"/>
                <w:szCs w:val="20"/>
              </w:rPr>
            </w:pPr>
          </w:p>
        </w:tc>
        <w:tc>
          <w:tcPr>
            <w:tcW w:w="567" w:type="dxa"/>
          </w:tcPr>
          <w:p w14:paraId="075372EE" w14:textId="2C663578" w:rsidR="00D30C9F" w:rsidRDefault="00D30C9F" w:rsidP="00421938">
            <w:pPr>
              <w:jc w:val="center"/>
              <w:rPr>
                <w:rFonts w:ascii="Arial" w:hAnsi="Arial" w:cs="Arial"/>
                <w:b/>
                <w:bCs/>
                <w:color w:val="000000"/>
                <w:sz w:val="20"/>
                <w:szCs w:val="20"/>
              </w:rPr>
            </w:pPr>
            <w:r>
              <w:rPr>
                <w:rFonts w:ascii="Arial" w:hAnsi="Arial" w:cs="Arial"/>
                <w:b/>
                <w:bCs/>
                <w:color w:val="000000"/>
                <w:sz w:val="20"/>
                <w:szCs w:val="20"/>
              </w:rPr>
              <w:t>113</w:t>
            </w:r>
          </w:p>
        </w:tc>
        <w:tc>
          <w:tcPr>
            <w:tcW w:w="3957" w:type="dxa"/>
          </w:tcPr>
          <w:p w14:paraId="276CC23E" w14:textId="53BABF7E" w:rsidR="00D30C9F" w:rsidRDefault="00D30C9F" w:rsidP="00421938">
            <w:pPr>
              <w:jc w:val="both"/>
              <w:rPr>
                <w:rFonts w:ascii="Arial" w:hAnsi="Arial" w:cs="Arial"/>
                <w:b/>
                <w:bCs/>
                <w:color w:val="000000"/>
                <w:sz w:val="20"/>
                <w:szCs w:val="20"/>
              </w:rPr>
            </w:pPr>
            <w:r>
              <w:rPr>
                <w:rFonts w:ascii="Arial" w:hAnsi="Arial" w:cs="Arial"/>
                <w:b/>
                <w:bCs/>
                <w:color w:val="000000"/>
                <w:sz w:val="20"/>
                <w:szCs w:val="20"/>
              </w:rPr>
              <w:t>Form of youth caution</w:t>
            </w:r>
          </w:p>
        </w:tc>
      </w:tr>
      <w:tr w:rsidR="00421938" w14:paraId="652E6EAC" w14:textId="77777777" w:rsidTr="006B40B4">
        <w:tc>
          <w:tcPr>
            <w:tcW w:w="567" w:type="dxa"/>
          </w:tcPr>
          <w:p w14:paraId="20E9990D" w14:textId="0ADF30BC"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99</w:t>
            </w:r>
          </w:p>
        </w:tc>
        <w:tc>
          <w:tcPr>
            <w:tcW w:w="3969" w:type="dxa"/>
            <w:gridSpan w:val="2"/>
          </w:tcPr>
          <w:p w14:paraId="3CA14829" w14:textId="4CE9463A"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Explanation</w:t>
            </w:r>
          </w:p>
        </w:tc>
        <w:tc>
          <w:tcPr>
            <w:tcW w:w="567" w:type="dxa"/>
          </w:tcPr>
          <w:p w14:paraId="125A2ED4" w14:textId="6EB85F3A"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105</w:t>
            </w:r>
          </w:p>
        </w:tc>
        <w:tc>
          <w:tcPr>
            <w:tcW w:w="3957" w:type="dxa"/>
          </w:tcPr>
          <w:p w14:paraId="28C33E01" w14:textId="5617722E"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Explanation</w:t>
            </w:r>
          </w:p>
        </w:tc>
      </w:tr>
      <w:tr w:rsidR="00421938" w14:paraId="2C0A3512" w14:textId="77777777" w:rsidTr="006B40B4">
        <w:tc>
          <w:tcPr>
            <w:tcW w:w="567" w:type="dxa"/>
          </w:tcPr>
          <w:p w14:paraId="51E66986" w14:textId="7A09420E"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100</w:t>
            </w:r>
          </w:p>
        </w:tc>
        <w:tc>
          <w:tcPr>
            <w:tcW w:w="3969" w:type="dxa"/>
            <w:gridSpan w:val="2"/>
          </w:tcPr>
          <w:p w14:paraId="0F6B2B20" w14:textId="5C842DF2"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Parent may be notified</w:t>
            </w:r>
          </w:p>
        </w:tc>
        <w:tc>
          <w:tcPr>
            <w:tcW w:w="567" w:type="dxa"/>
          </w:tcPr>
          <w:p w14:paraId="1D621E41" w14:textId="3A93EDF1"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114</w:t>
            </w:r>
          </w:p>
        </w:tc>
        <w:tc>
          <w:tcPr>
            <w:tcW w:w="3957" w:type="dxa"/>
          </w:tcPr>
          <w:p w14:paraId="582F5CDB" w14:textId="5003AAD3"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Parent may be notified</w:t>
            </w:r>
          </w:p>
        </w:tc>
      </w:tr>
      <w:tr w:rsidR="00421938" w14:paraId="68D29DBE" w14:textId="77777777" w:rsidTr="006B40B4">
        <w:tc>
          <w:tcPr>
            <w:tcW w:w="567" w:type="dxa"/>
          </w:tcPr>
          <w:p w14:paraId="57660562" w14:textId="3AF3ABCD"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101</w:t>
            </w:r>
          </w:p>
        </w:tc>
        <w:tc>
          <w:tcPr>
            <w:tcW w:w="3969" w:type="dxa"/>
            <w:gridSpan w:val="2"/>
          </w:tcPr>
          <w:p w14:paraId="7FE96E5E" w14:textId="15EA13BB"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Record</w:t>
            </w:r>
          </w:p>
        </w:tc>
        <w:tc>
          <w:tcPr>
            <w:tcW w:w="567" w:type="dxa"/>
          </w:tcPr>
          <w:p w14:paraId="393C1053" w14:textId="0E066B9D"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115</w:t>
            </w:r>
          </w:p>
        </w:tc>
        <w:tc>
          <w:tcPr>
            <w:tcW w:w="3957" w:type="dxa"/>
          </w:tcPr>
          <w:p w14:paraId="504B0383" w14:textId="135F2F0C"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Record</w:t>
            </w:r>
          </w:p>
        </w:tc>
      </w:tr>
      <w:tr w:rsidR="00421938" w14:paraId="6D3C4956" w14:textId="77777777" w:rsidTr="006B40B4">
        <w:tc>
          <w:tcPr>
            <w:tcW w:w="567" w:type="dxa"/>
          </w:tcPr>
          <w:p w14:paraId="23ACE194" w14:textId="77777777" w:rsidR="00421938" w:rsidRDefault="00421938" w:rsidP="00421938">
            <w:pPr>
              <w:jc w:val="center"/>
              <w:rPr>
                <w:rFonts w:ascii="Arial" w:hAnsi="Arial" w:cs="Arial"/>
                <w:b/>
                <w:bCs/>
                <w:color w:val="000000"/>
                <w:sz w:val="20"/>
                <w:szCs w:val="20"/>
              </w:rPr>
            </w:pPr>
          </w:p>
        </w:tc>
        <w:tc>
          <w:tcPr>
            <w:tcW w:w="3969" w:type="dxa"/>
            <w:gridSpan w:val="2"/>
          </w:tcPr>
          <w:p w14:paraId="3A56AC7A" w14:textId="77777777" w:rsidR="00421938" w:rsidRDefault="00421938" w:rsidP="00421938">
            <w:pPr>
              <w:jc w:val="both"/>
              <w:rPr>
                <w:rFonts w:ascii="Arial" w:hAnsi="Arial" w:cs="Arial"/>
                <w:b/>
                <w:bCs/>
                <w:color w:val="000000"/>
                <w:sz w:val="20"/>
                <w:szCs w:val="20"/>
              </w:rPr>
            </w:pPr>
          </w:p>
        </w:tc>
        <w:tc>
          <w:tcPr>
            <w:tcW w:w="567" w:type="dxa"/>
          </w:tcPr>
          <w:p w14:paraId="2A23A9A0" w14:textId="028C0BC6"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106</w:t>
            </w:r>
          </w:p>
        </w:tc>
        <w:tc>
          <w:tcPr>
            <w:tcW w:w="3957" w:type="dxa"/>
          </w:tcPr>
          <w:p w14:paraId="352F28C8" w14:textId="6902EC0E"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Consent of child</w:t>
            </w:r>
          </w:p>
        </w:tc>
      </w:tr>
      <w:tr w:rsidR="00421938" w14:paraId="1B78B0BF" w14:textId="77777777" w:rsidTr="006B40B4">
        <w:tc>
          <w:tcPr>
            <w:tcW w:w="567" w:type="dxa"/>
          </w:tcPr>
          <w:p w14:paraId="51D57735" w14:textId="77777777" w:rsidR="00421938" w:rsidRDefault="00421938" w:rsidP="00421938">
            <w:pPr>
              <w:jc w:val="center"/>
              <w:rPr>
                <w:rFonts w:ascii="Arial" w:hAnsi="Arial" w:cs="Arial"/>
                <w:b/>
                <w:bCs/>
                <w:color w:val="000000"/>
                <w:sz w:val="20"/>
                <w:szCs w:val="20"/>
              </w:rPr>
            </w:pPr>
          </w:p>
        </w:tc>
        <w:tc>
          <w:tcPr>
            <w:tcW w:w="3969" w:type="dxa"/>
            <w:gridSpan w:val="2"/>
          </w:tcPr>
          <w:p w14:paraId="054B02A6" w14:textId="77777777" w:rsidR="00421938" w:rsidRDefault="00421938" w:rsidP="00421938">
            <w:pPr>
              <w:jc w:val="both"/>
              <w:rPr>
                <w:rFonts w:ascii="Arial" w:hAnsi="Arial" w:cs="Arial"/>
                <w:b/>
                <w:bCs/>
                <w:color w:val="000000"/>
                <w:sz w:val="20"/>
                <w:szCs w:val="20"/>
              </w:rPr>
            </w:pPr>
          </w:p>
        </w:tc>
        <w:tc>
          <w:tcPr>
            <w:tcW w:w="567" w:type="dxa"/>
          </w:tcPr>
          <w:p w14:paraId="29B15E57" w14:textId="2794AAB7"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108</w:t>
            </w:r>
          </w:p>
        </w:tc>
        <w:tc>
          <w:tcPr>
            <w:tcW w:w="3957" w:type="dxa"/>
          </w:tcPr>
          <w:p w14:paraId="147D06C0" w14:textId="4F195D43"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Persons who may give a youth caution other than a cautioning police officer</w:t>
            </w:r>
          </w:p>
        </w:tc>
      </w:tr>
      <w:tr w:rsidR="00421938" w14:paraId="469BAF9A" w14:textId="77777777" w:rsidTr="006B40B4">
        <w:tc>
          <w:tcPr>
            <w:tcW w:w="567" w:type="dxa"/>
          </w:tcPr>
          <w:p w14:paraId="372BBE0A" w14:textId="77777777" w:rsidR="00421938" w:rsidRDefault="00421938" w:rsidP="00421938">
            <w:pPr>
              <w:jc w:val="center"/>
              <w:rPr>
                <w:rFonts w:ascii="Arial" w:hAnsi="Arial" w:cs="Arial"/>
                <w:b/>
                <w:bCs/>
                <w:color w:val="000000"/>
                <w:sz w:val="20"/>
                <w:szCs w:val="20"/>
              </w:rPr>
            </w:pPr>
          </w:p>
        </w:tc>
        <w:tc>
          <w:tcPr>
            <w:tcW w:w="3969" w:type="dxa"/>
            <w:gridSpan w:val="2"/>
          </w:tcPr>
          <w:p w14:paraId="24265908" w14:textId="77777777" w:rsidR="00421938" w:rsidRDefault="00421938" w:rsidP="00421938">
            <w:pPr>
              <w:jc w:val="both"/>
              <w:rPr>
                <w:rFonts w:ascii="Arial" w:hAnsi="Arial" w:cs="Arial"/>
                <w:b/>
                <w:bCs/>
                <w:color w:val="000000"/>
                <w:sz w:val="20"/>
                <w:szCs w:val="20"/>
              </w:rPr>
            </w:pPr>
          </w:p>
        </w:tc>
        <w:tc>
          <w:tcPr>
            <w:tcW w:w="567" w:type="dxa"/>
          </w:tcPr>
          <w:p w14:paraId="6E3241C0" w14:textId="40A732B8"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109</w:t>
            </w:r>
          </w:p>
        </w:tc>
        <w:tc>
          <w:tcPr>
            <w:tcW w:w="3957" w:type="dxa"/>
          </w:tcPr>
          <w:p w14:paraId="19114549" w14:textId="5A464630"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Persons to attend giving of youth caution</w:t>
            </w:r>
          </w:p>
        </w:tc>
      </w:tr>
      <w:tr w:rsidR="00421938" w14:paraId="414704D9" w14:textId="77777777" w:rsidTr="006B40B4">
        <w:tc>
          <w:tcPr>
            <w:tcW w:w="567" w:type="dxa"/>
          </w:tcPr>
          <w:p w14:paraId="7BFCF7D0" w14:textId="77777777" w:rsidR="00421938" w:rsidRDefault="00421938" w:rsidP="00421938">
            <w:pPr>
              <w:jc w:val="center"/>
              <w:rPr>
                <w:rFonts w:ascii="Arial" w:hAnsi="Arial" w:cs="Arial"/>
                <w:b/>
                <w:bCs/>
                <w:color w:val="000000"/>
                <w:sz w:val="20"/>
                <w:szCs w:val="20"/>
              </w:rPr>
            </w:pPr>
          </w:p>
        </w:tc>
        <w:tc>
          <w:tcPr>
            <w:tcW w:w="3969" w:type="dxa"/>
            <w:gridSpan w:val="2"/>
          </w:tcPr>
          <w:p w14:paraId="32BBDA07" w14:textId="77777777" w:rsidR="00421938" w:rsidRDefault="00421938" w:rsidP="00421938">
            <w:pPr>
              <w:jc w:val="both"/>
              <w:rPr>
                <w:rFonts w:ascii="Arial" w:hAnsi="Arial" w:cs="Arial"/>
                <w:b/>
                <w:bCs/>
                <w:color w:val="000000"/>
                <w:sz w:val="20"/>
                <w:szCs w:val="20"/>
              </w:rPr>
            </w:pPr>
          </w:p>
        </w:tc>
        <w:tc>
          <w:tcPr>
            <w:tcW w:w="567" w:type="dxa"/>
          </w:tcPr>
          <w:p w14:paraId="6BA814EF" w14:textId="0BC81259"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110</w:t>
            </w:r>
          </w:p>
        </w:tc>
        <w:tc>
          <w:tcPr>
            <w:tcW w:w="3957" w:type="dxa"/>
          </w:tcPr>
          <w:p w14:paraId="2A37FF39" w14:textId="60FA776C"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Victim statement may be given to child</w:t>
            </w:r>
          </w:p>
        </w:tc>
      </w:tr>
      <w:tr w:rsidR="00421938" w14:paraId="4B16124B" w14:textId="77777777" w:rsidTr="006B40B4">
        <w:tc>
          <w:tcPr>
            <w:tcW w:w="567" w:type="dxa"/>
          </w:tcPr>
          <w:p w14:paraId="74369CE1" w14:textId="77777777" w:rsidR="00421938" w:rsidRDefault="00421938" w:rsidP="00421938">
            <w:pPr>
              <w:jc w:val="center"/>
              <w:rPr>
                <w:rFonts w:ascii="Arial" w:hAnsi="Arial" w:cs="Arial"/>
                <w:b/>
                <w:bCs/>
                <w:color w:val="000000"/>
                <w:sz w:val="20"/>
                <w:szCs w:val="20"/>
              </w:rPr>
            </w:pPr>
          </w:p>
        </w:tc>
        <w:tc>
          <w:tcPr>
            <w:tcW w:w="3969" w:type="dxa"/>
            <w:gridSpan w:val="2"/>
          </w:tcPr>
          <w:p w14:paraId="6E2D5C38" w14:textId="77777777" w:rsidR="00421938" w:rsidRDefault="00421938" w:rsidP="00421938">
            <w:pPr>
              <w:jc w:val="both"/>
              <w:rPr>
                <w:rFonts w:ascii="Arial" w:hAnsi="Arial" w:cs="Arial"/>
                <w:b/>
                <w:bCs/>
                <w:color w:val="000000"/>
                <w:sz w:val="20"/>
                <w:szCs w:val="20"/>
              </w:rPr>
            </w:pPr>
          </w:p>
        </w:tc>
        <w:tc>
          <w:tcPr>
            <w:tcW w:w="567" w:type="dxa"/>
          </w:tcPr>
          <w:p w14:paraId="5D37D38B" w14:textId="0D3484DB" w:rsidR="00421938" w:rsidRDefault="00421938" w:rsidP="00421938">
            <w:pPr>
              <w:jc w:val="center"/>
              <w:rPr>
                <w:rFonts w:ascii="Arial" w:hAnsi="Arial" w:cs="Arial"/>
                <w:b/>
                <w:bCs/>
                <w:color w:val="000000"/>
                <w:sz w:val="20"/>
                <w:szCs w:val="20"/>
              </w:rPr>
            </w:pPr>
            <w:r>
              <w:rPr>
                <w:rFonts w:ascii="Arial" w:hAnsi="Arial" w:cs="Arial"/>
                <w:b/>
                <w:bCs/>
                <w:color w:val="000000"/>
                <w:sz w:val="20"/>
                <w:szCs w:val="20"/>
              </w:rPr>
              <w:t>111</w:t>
            </w:r>
          </w:p>
        </w:tc>
        <w:tc>
          <w:tcPr>
            <w:tcW w:w="3957" w:type="dxa"/>
          </w:tcPr>
          <w:p w14:paraId="41BB576F" w14:textId="461F9F5E" w:rsidR="00421938" w:rsidRDefault="00421938" w:rsidP="00421938">
            <w:pPr>
              <w:jc w:val="both"/>
              <w:rPr>
                <w:rFonts w:ascii="Arial" w:hAnsi="Arial" w:cs="Arial"/>
                <w:b/>
                <w:bCs/>
                <w:color w:val="000000"/>
                <w:sz w:val="20"/>
                <w:szCs w:val="20"/>
              </w:rPr>
            </w:pPr>
            <w:r>
              <w:rPr>
                <w:rFonts w:ascii="Arial" w:hAnsi="Arial" w:cs="Arial"/>
                <w:b/>
                <w:bCs/>
                <w:color w:val="000000"/>
                <w:sz w:val="20"/>
                <w:szCs w:val="20"/>
              </w:rPr>
              <w:t>Person giving youth caution may request apology or make referral</w:t>
            </w:r>
          </w:p>
        </w:tc>
      </w:tr>
    </w:tbl>
    <w:p w14:paraId="0A9142FF" w14:textId="4A4FA321" w:rsidR="000C1184" w:rsidRDefault="000C1184" w:rsidP="00753A80">
      <w:pPr>
        <w:jc w:val="both"/>
        <w:rPr>
          <w:rFonts w:ascii="Arial" w:hAnsi="Arial" w:cs="Arial"/>
          <w:color w:val="000000"/>
          <w:sz w:val="20"/>
          <w:szCs w:val="20"/>
        </w:rPr>
      </w:pPr>
    </w:p>
    <w:p w14:paraId="16EA5A1C" w14:textId="0070DA2A" w:rsidR="006B40B4" w:rsidRDefault="00421938" w:rsidP="00753A80">
      <w:pPr>
        <w:jc w:val="both"/>
        <w:rPr>
          <w:rFonts w:ascii="Arial" w:hAnsi="Arial" w:cs="Arial"/>
          <w:color w:val="000000"/>
          <w:sz w:val="20"/>
          <w:szCs w:val="20"/>
        </w:rPr>
      </w:pPr>
      <w:r w:rsidRPr="00D30C9F">
        <w:rPr>
          <w:rFonts w:ascii="Arial" w:hAnsi="Arial" w:cs="Arial"/>
          <w:b/>
          <w:bCs/>
          <w:color w:val="000000"/>
          <w:sz w:val="20"/>
          <w:szCs w:val="20"/>
        </w:rPr>
        <w:t>Part 4.4 (ss.116-</w:t>
      </w:r>
      <w:r w:rsidR="00D30C9F" w:rsidRPr="00D30C9F">
        <w:rPr>
          <w:rFonts w:ascii="Arial" w:hAnsi="Arial" w:cs="Arial"/>
          <w:b/>
          <w:bCs/>
          <w:color w:val="000000"/>
          <w:sz w:val="20"/>
          <w:szCs w:val="20"/>
        </w:rPr>
        <w:t>135</w:t>
      </w:r>
      <w:r w:rsidR="00D30C9F">
        <w:rPr>
          <w:rFonts w:ascii="Arial" w:hAnsi="Arial" w:cs="Arial"/>
          <w:b/>
          <w:bCs/>
          <w:color w:val="000000"/>
          <w:sz w:val="20"/>
          <w:szCs w:val="20"/>
        </w:rPr>
        <w:t>)</w:t>
      </w:r>
      <w:r w:rsidR="00D30C9F" w:rsidRPr="00D30C9F">
        <w:rPr>
          <w:rFonts w:ascii="Arial" w:hAnsi="Arial" w:cs="Arial"/>
          <w:b/>
          <w:bCs/>
          <w:color w:val="000000"/>
          <w:sz w:val="20"/>
          <w:szCs w:val="20"/>
        </w:rPr>
        <w:t xml:space="preserve"> YJA</w:t>
      </w:r>
      <w:r w:rsidR="00D30C9F">
        <w:rPr>
          <w:rFonts w:ascii="Arial" w:hAnsi="Arial" w:cs="Arial"/>
          <w:color w:val="000000"/>
          <w:sz w:val="20"/>
          <w:szCs w:val="20"/>
        </w:rPr>
        <w:t xml:space="preserve"> </w:t>
      </w:r>
      <w:r>
        <w:rPr>
          <w:rFonts w:ascii="Arial" w:hAnsi="Arial" w:cs="Arial"/>
          <w:color w:val="000000"/>
          <w:sz w:val="20"/>
          <w:szCs w:val="20"/>
        </w:rPr>
        <w:t>govern</w:t>
      </w:r>
      <w:r w:rsidR="005259FC">
        <w:rPr>
          <w:rFonts w:ascii="Arial" w:hAnsi="Arial" w:cs="Arial"/>
          <w:color w:val="000000"/>
          <w:sz w:val="20"/>
          <w:szCs w:val="20"/>
        </w:rPr>
        <w:t>s</w:t>
      </w:r>
      <w:r>
        <w:rPr>
          <w:rFonts w:ascii="Arial" w:hAnsi="Arial" w:cs="Arial"/>
          <w:color w:val="000000"/>
          <w:sz w:val="20"/>
          <w:szCs w:val="20"/>
        </w:rPr>
        <w:t xml:space="preserve"> </w:t>
      </w:r>
      <w:r w:rsidR="00D30C9F" w:rsidRPr="00F31D0B">
        <w:rPr>
          <w:rFonts w:ascii="Arial" w:hAnsi="Arial" w:cs="Arial"/>
          <w:b/>
          <w:bCs/>
          <w:color w:val="000000"/>
          <w:sz w:val="20"/>
          <w:szCs w:val="20"/>
        </w:rPr>
        <w:t>e</w:t>
      </w:r>
      <w:r w:rsidRPr="00F31D0B">
        <w:rPr>
          <w:rFonts w:ascii="Arial" w:hAnsi="Arial" w:cs="Arial"/>
          <w:b/>
          <w:bCs/>
          <w:color w:val="000000"/>
          <w:sz w:val="20"/>
          <w:szCs w:val="20"/>
        </w:rPr>
        <w:t xml:space="preserve">arly diversion </w:t>
      </w:r>
      <w:r w:rsidR="00D30C9F" w:rsidRPr="00F31D0B">
        <w:rPr>
          <w:rFonts w:ascii="Arial" w:hAnsi="Arial" w:cs="Arial"/>
          <w:b/>
          <w:bCs/>
          <w:color w:val="000000"/>
          <w:sz w:val="20"/>
          <w:szCs w:val="20"/>
        </w:rPr>
        <w:t>g</w:t>
      </w:r>
      <w:r w:rsidRPr="00F31D0B">
        <w:rPr>
          <w:rFonts w:ascii="Arial" w:hAnsi="Arial" w:cs="Arial"/>
          <w:b/>
          <w:bCs/>
          <w:color w:val="000000"/>
          <w:sz w:val="20"/>
          <w:szCs w:val="20"/>
        </w:rPr>
        <w:t>roup conferences</w:t>
      </w:r>
      <w:r w:rsidR="005259FC" w:rsidRPr="00F31D0B">
        <w:rPr>
          <w:rFonts w:ascii="Arial" w:hAnsi="Arial" w:cs="Arial"/>
          <w:b/>
          <w:bCs/>
          <w:color w:val="000000"/>
          <w:sz w:val="20"/>
          <w:szCs w:val="20"/>
        </w:rPr>
        <w:t xml:space="preserve"> [EDGC]</w:t>
      </w:r>
      <w:r w:rsidR="00D30C9F">
        <w:rPr>
          <w:rFonts w:ascii="Arial" w:hAnsi="Arial" w:cs="Arial"/>
          <w:color w:val="000000"/>
          <w:sz w:val="20"/>
          <w:szCs w:val="20"/>
        </w:rPr>
        <w:t xml:space="preserve">. The objects of an </w:t>
      </w:r>
      <w:r w:rsidR="005259FC">
        <w:rPr>
          <w:rFonts w:ascii="Arial" w:hAnsi="Arial" w:cs="Arial"/>
          <w:color w:val="000000"/>
          <w:sz w:val="20"/>
          <w:szCs w:val="20"/>
        </w:rPr>
        <w:t>EDGC</w:t>
      </w:r>
      <w:r w:rsidR="00D30C9F">
        <w:rPr>
          <w:rFonts w:ascii="Arial" w:hAnsi="Arial" w:cs="Arial"/>
          <w:color w:val="000000"/>
          <w:sz w:val="20"/>
          <w:szCs w:val="20"/>
        </w:rPr>
        <w:t xml:space="preserve"> are set out in s.116 YJA as follows:</w:t>
      </w:r>
    </w:p>
    <w:p w14:paraId="1E33A0F5" w14:textId="4D5BFDD3" w:rsidR="00D30C9F" w:rsidRPr="00D30C9F" w:rsidRDefault="00D30C9F">
      <w:pPr>
        <w:pStyle w:val="ListParagraph"/>
        <w:numPr>
          <w:ilvl w:val="0"/>
          <w:numId w:val="105"/>
        </w:numPr>
        <w:spacing w:after="0" w:line="240" w:lineRule="auto"/>
        <w:ind w:left="357" w:hanging="357"/>
        <w:jc w:val="both"/>
        <w:rPr>
          <w:rFonts w:ascii="Arial" w:hAnsi="Arial" w:cs="Arial"/>
          <w:sz w:val="20"/>
          <w:szCs w:val="20"/>
        </w:rPr>
      </w:pPr>
      <w:r w:rsidRPr="00D30C9F">
        <w:rPr>
          <w:rFonts w:ascii="Arial" w:hAnsi="Arial" w:cs="Arial"/>
          <w:sz w:val="20"/>
          <w:szCs w:val="16"/>
        </w:rPr>
        <w:t>to support the early diversion of a child from the criminal justice system; and</w:t>
      </w:r>
    </w:p>
    <w:p w14:paraId="7FDA5C44" w14:textId="5ACDCDD1" w:rsidR="00D30C9F" w:rsidRPr="00D30C9F" w:rsidRDefault="00D30C9F">
      <w:pPr>
        <w:pStyle w:val="ListParagraph"/>
        <w:numPr>
          <w:ilvl w:val="0"/>
          <w:numId w:val="105"/>
        </w:numPr>
        <w:spacing w:after="0" w:line="240" w:lineRule="auto"/>
        <w:ind w:left="357" w:hanging="357"/>
        <w:jc w:val="both"/>
        <w:rPr>
          <w:rFonts w:ascii="Arial" w:hAnsi="Arial" w:cs="Arial"/>
          <w:sz w:val="20"/>
          <w:szCs w:val="20"/>
        </w:rPr>
      </w:pPr>
      <w:r w:rsidRPr="00D30C9F">
        <w:rPr>
          <w:rFonts w:ascii="Arial" w:hAnsi="Arial" w:cs="Arial"/>
          <w:sz w:val="20"/>
          <w:szCs w:val="16"/>
        </w:rPr>
        <w:t>to reduce the likelihood of a child having further contact with the criminal justice system; and</w:t>
      </w:r>
    </w:p>
    <w:p w14:paraId="3B919651" w14:textId="5E1384C6" w:rsidR="00D30C9F" w:rsidRPr="00D30C9F" w:rsidRDefault="00D30C9F">
      <w:pPr>
        <w:pStyle w:val="ListParagraph"/>
        <w:numPr>
          <w:ilvl w:val="0"/>
          <w:numId w:val="105"/>
        </w:numPr>
        <w:spacing w:after="0" w:line="240" w:lineRule="auto"/>
        <w:ind w:left="357" w:hanging="357"/>
        <w:jc w:val="both"/>
        <w:rPr>
          <w:rFonts w:ascii="Arial" w:hAnsi="Arial" w:cs="Arial"/>
          <w:sz w:val="20"/>
          <w:szCs w:val="20"/>
        </w:rPr>
      </w:pPr>
      <w:r w:rsidRPr="00D30C9F">
        <w:rPr>
          <w:rFonts w:ascii="Arial" w:hAnsi="Arial" w:cs="Arial"/>
          <w:sz w:val="20"/>
          <w:szCs w:val="16"/>
        </w:rPr>
        <w:t>to promote community safety; and</w:t>
      </w:r>
    </w:p>
    <w:p w14:paraId="0F8259CE" w14:textId="19CE49E6" w:rsidR="00D30C9F" w:rsidRPr="00D0508C" w:rsidRDefault="00D30C9F">
      <w:pPr>
        <w:pStyle w:val="ListParagraph"/>
        <w:numPr>
          <w:ilvl w:val="0"/>
          <w:numId w:val="105"/>
        </w:numPr>
        <w:spacing w:after="0" w:line="240" w:lineRule="auto"/>
        <w:ind w:left="357" w:hanging="357"/>
        <w:jc w:val="both"/>
        <w:rPr>
          <w:rFonts w:ascii="Arial" w:hAnsi="Arial" w:cs="Arial"/>
          <w:sz w:val="20"/>
          <w:szCs w:val="20"/>
        </w:rPr>
      </w:pPr>
      <w:r w:rsidRPr="00D30C9F">
        <w:rPr>
          <w:rFonts w:ascii="Arial" w:hAnsi="Arial" w:cs="Arial"/>
          <w:sz w:val="20"/>
          <w:szCs w:val="16"/>
        </w:rPr>
        <w:t>to provide a safe, supportive and solution-focussed process which assists a child to—</w:t>
      </w:r>
    </w:p>
    <w:p w14:paraId="02BC6595" w14:textId="3CC01F29" w:rsidR="00D30C9F" w:rsidRPr="00D30C9F" w:rsidRDefault="00D30C9F">
      <w:pPr>
        <w:pStyle w:val="ListParagraph"/>
        <w:numPr>
          <w:ilvl w:val="0"/>
          <w:numId w:val="106"/>
        </w:numPr>
        <w:ind w:left="714" w:hanging="357"/>
        <w:jc w:val="both"/>
        <w:rPr>
          <w:rFonts w:ascii="Arial" w:hAnsi="Arial" w:cs="Arial"/>
          <w:color w:val="000000"/>
          <w:sz w:val="20"/>
          <w:szCs w:val="20"/>
        </w:rPr>
      </w:pPr>
      <w:r w:rsidRPr="00D30C9F">
        <w:rPr>
          <w:rFonts w:ascii="Arial" w:hAnsi="Arial" w:cs="Arial"/>
          <w:sz w:val="20"/>
          <w:szCs w:val="16"/>
        </w:rPr>
        <w:t>repair any harm to themselves, any victims of their alleged offending, their families and their community; and</w:t>
      </w:r>
    </w:p>
    <w:p w14:paraId="6ECEEBD6" w14:textId="570847E3" w:rsidR="00D30C9F" w:rsidRPr="00D30C9F" w:rsidRDefault="00D30C9F">
      <w:pPr>
        <w:pStyle w:val="ListParagraph"/>
        <w:numPr>
          <w:ilvl w:val="0"/>
          <w:numId w:val="106"/>
        </w:numPr>
        <w:ind w:left="714" w:hanging="357"/>
        <w:jc w:val="both"/>
        <w:rPr>
          <w:rFonts w:ascii="Arial" w:hAnsi="Arial" w:cs="Arial"/>
          <w:color w:val="000000"/>
          <w:sz w:val="20"/>
          <w:szCs w:val="20"/>
        </w:rPr>
      </w:pPr>
      <w:r w:rsidRPr="00D30C9F">
        <w:rPr>
          <w:rFonts w:ascii="Arial" w:hAnsi="Arial" w:cs="Arial"/>
          <w:sz w:val="20"/>
          <w:szCs w:val="16"/>
        </w:rPr>
        <w:t>self-reflect; and</w:t>
      </w:r>
    </w:p>
    <w:p w14:paraId="5A824C91" w14:textId="50A30D71" w:rsidR="00D30C9F" w:rsidRPr="00D30C9F" w:rsidRDefault="00D30C9F">
      <w:pPr>
        <w:pStyle w:val="ListParagraph"/>
        <w:numPr>
          <w:ilvl w:val="0"/>
          <w:numId w:val="106"/>
        </w:numPr>
        <w:ind w:left="714" w:hanging="357"/>
        <w:jc w:val="both"/>
        <w:rPr>
          <w:rFonts w:ascii="Arial" w:hAnsi="Arial" w:cs="Arial"/>
          <w:color w:val="000000"/>
          <w:sz w:val="20"/>
          <w:szCs w:val="20"/>
        </w:rPr>
      </w:pPr>
      <w:r w:rsidRPr="00D30C9F">
        <w:rPr>
          <w:rFonts w:ascii="Arial" w:hAnsi="Arial" w:cs="Arial"/>
          <w:sz w:val="20"/>
          <w:szCs w:val="16"/>
        </w:rPr>
        <w:t>restore and strengthen relationships with members of their family and their community; and</w:t>
      </w:r>
    </w:p>
    <w:p w14:paraId="4DF4B85D" w14:textId="283461EE" w:rsidR="00D30C9F" w:rsidRPr="00D0508C" w:rsidRDefault="00D30C9F">
      <w:pPr>
        <w:pStyle w:val="ListParagraph"/>
        <w:numPr>
          <w:ilvl w:val="0"/>
          <w:numId w:val="105"/>
        </w:numPr>
        <w:spacing w:after="0" w:line="240" w:lineRule="auto"/>
        <w:ind w:left="357" w:hanging="357"/>
        <w:jc w:val="both"/>
        <w:rPr>
          <w:rFonts w:ascii="Arial" w:hAnsi="Arial" w:cs="Arial"/>
          <w:sz w:val="20"/>
          <w:szCs w:val="20"/>
        </w:rPr>
      </w:pPr>
      <w:r w:rsidRPr="00D30C9F">
        <w:rPr>
          <w:rFonts w:ascii="Arial" w:hAnsi="Arial" w:cs="Arial"/>
          <w:sz w:val="20"/>
          <w:szCs w:val="16"/>
        </w:rPr>
        <w:t>to engage parents and persons of significance in a child's life and any organisations or agencies that have responsibility for a child to—</w:t>
      </w:r>
    </w:p>
    <w:p w14:paraId="2128F54F" w14:textId="73D901B1" w:rsidR="00D30C9F" w:rsidRPr="00D30C9F" w:rsidRDefault="00D30C9F">
      <w:pPr>
        <w:pStyle w:val="ListParagraph"/>
        <w:numPr>
          <w:ilvl w:val="0"/>
          <w:numId w:val="107"/>
        </w:numPr>
        <w:spacing w:after="0" w:line="240" w:lineRule="auto"/>
        <w:ind w:left="714" w:hanging="357"/>
        <w:jc w:val="both"/>
        <w:rPr>
          <w:rFonts w:ascii="Arial" w:hAnsi="Arial" w:cs="Arial"/>
          <w:color w:val="000000"/>
          <w:sz w:val="20"/>
          <w:szCs w:val="20"/>
        </w:rPr>
      </w:pPr>
      <w:r w:rsidRPr="00D30C9F">
        <w:rPr>
          <w:rFonts w:ascii="Arial" w:hAnsi="Arial" w:cs="Arial"/>
          <w:sz w:val="20"/>
          <w:szCs w:val="16"/>
        </w:rPr>
        <w:t>address the underlying causes of the child's conduct; and</w:t>
      </w:r>
    </w:p>
    <w:p w14:paraId="407BBDD1" w14:textId="1F44BB44" w:rsidR="00D30C9F" w:rsidRPr="00D30C9F" w:rsidRDefault="00D30C9F">
      <w:pPr>
        <w:pStyle w:val="ListParagraph"/>
        <w:numPr>
          <w:ilvl w:val="0"/>
          <w:numId w:val="107"/>
        </w:numPr>
        <w:spacing w:after="0" w:line="240" w:lineRule="auto"/>
        <w:ind w:left="714" w:hanging="357"/>
        <w:jc w:val="both"/>
        <w:rPr>
          <w:rFonts w:ascii="Arial" w:hAnsi="Arial" w:cs="Arial"/>
          <w:color w:val="000000"/>
          <w:sz w:val="20"/>
          <w:szCs w:val="20"/>
        </w:rPr>
      </w:pPr>
      <w:r w:rsidRPr="00D30C9F">
        <w:rPr>
          <w:rFonts w:ascii="Arial" w:hAnsi="Arial" w:cs="Arial"/>
          <w:sz w:val="20"/>
          <w:szCs w:val="16"/>
        </w:rPr>
        <w:t>support the child's rehabilitation and positive development; and</w:t>
      </w:r>
    </w:p>
    <w:p w14:paraId="5418249B" w14:textId="718B7427" w:rsidR="00D30C9F" w:rsidRPr="00D0508C" w:rsidRDefault="00D30C9F">
      <w:pPr>
        <w:pStyle w:val="ListParagraph"/>
        <w:numPr>
          <w:ilvl w:val="0"/>
          <w:numId w:val="105"/>
        </w:numPr>
        <w:spacing w:after="0" w:line="240" w:lineRule="auto"/>
        <w:ind w:left="357" w:hanging="357"/>
        <w:jc w:val="both"/>
        <w:rPr>
          <w:rFonts w:ascii="Arial" w:hAnsi="Arial" w:cs="Arial"/>
          <w:sz w:val="20"/>
          <w:szCs w:val="20"/>
        </w:rPr>
      </w:pPr>
      <w:r w:rsidRPr="00D30C9F">
        <w:rPr>
          <w:rFonts w:ascii="Arial" w:hAnsi="Arial" w:cs="Arial"/>
          <w:sz w:val="20"/>
          <w:szCs w:val="16"/>
        </w:rPr>
        <w:t>to give any victim of a child's alleged offending the opportunity to express their experience of the child's conduct and the impact of the child's conduct</w:t>
      </w:r>
      <w:r w:rsidRPr="00D30C9F">
        <w:rPr>
          <w:rFonts w:ascii="Arial" w:hAnsi="Arial" w:cs="Arial"/>
          <w:i/>
          <w:sz w:val="20"/>
          <w:szCs w:val="16"/>
        </w:rPr>
        <w:t xml:space="preserve"> </w:t>
      </w:r>
      <w:r w:rsidRPr="00D30C9F">
        <w:rPr>
          <w:rFonts w:ascii="Arial" w:hAnsi="Arial" w:cs="Arial"/>
          <w:sz w:val="20"/>
          <w:szCs w:val="16"/>
        </w:rPr>
        <w:t>on them; and</w:t>
      </w:r>
    </w:p>
    <w:p w14:paraId="3D412274" w14:textId="0DF84030" w:rsidR="00D30C9F" w:rsidRPr="00D0508C" w:rsidRDefault="00D30C9F">
      <w:pPr>
        <w:pStyle w:val="ListParagraph"/>
        <w:numPr>
          <w:ilvl w:val="0"/>
          <w:numId w:val="105"/>
        </w:numPr>
        <w:spacing w:after="0" w:line="240" w:lineRule="auto"/>
        <w:ind w:left="357" w:hanging="357"/>
        <w:jc w:val="both"/>
        <w:rPr>
          <w:rFonts w:ascii="Arial" w:hAnsi="Arial" w:cs="Arial"/>
          <w:sz w:val="20"/>
          <w:szCs w:val="20"/>
        </w:rPr>
      </w:pPr>
      <w:r w:rsidRPr="00D30C9F">
        <w:rPr>
          <w:rFonts w:ascii="Arial" w:hAnsi="Arial" w:cs="Arial"/>
          <w:sz w:val="20"/>
          <w:szCs w:val="16"/>
        </w:rPr>
        <w:t>to finalise an early diversion outcome plan for a child.</w:t>
      </w:r>
    </w:p>
    <w:p w14:paraId="1F692E7B" w14:textId="77777777" w:rsidR="00D30C9F" w:rsidRDefault="00D30C9F" w:rsidP="00753A80">
      <w:pPr>
        <w:jc w:val="both"/>
        <w:rPr>
          <w:rFonts w:ascii="Arial" w:hAnsi="Arial" w:cs="Arial"/>
          <w:color w:val="000000"/>
          <w:sz w:val="20"/>
          <w:szCs w:val="20"/>
        </w:rPr>
      </w:pPr>
    </w:p>
    <w:p w14:paraId="044E23FE" w14:textId="118961D5" w:rsidR="005259FC" w:rsidRPr="005259FC" w:rsidRDefault="005259FC" w:rsidP="005259FC">
      <w:pPr>
        <w:jc w:val="both"/>
        <w:rPr>
          <w:rFonts w:ascii="Arial" w:hAnsi="Arial" w:cs="Arial"/>
          <w:b/>
          <w:bCs/>
          <w:color w:val="FF0000"/>
          <w:sz w:val="20"/>
          <w:szCs w:val="20"/>
          <w:lang w:val="en-US"/>
        </w:rPr>
      </w:pPr>
      <w:r w:rsidRPr="005259FC">
        <w:rPr>
          <w:rFonts w:ascii="Arial" w:hAnsi="Arial" w:cs="Arial"/>
          <w:b/>
          <w:bCs/>
          <w:color w:val="FF0000"/>
          <w:sz w:val="20"/>
          <w:szCs w:val="20"/>
          <w:lang w:val="en-US"/>
        </w:rPr>
        <w:t>It is important to note that despite the inclusion of ss.116-135 in the YJA, the availability of EDGCs is subject to funding, including funding for the appointment of approved service providers.</w:t>
      </w:r>
    </w:p>
    <w:p w14:paraId="473C5DC4" w14:textId="77777777" w:rsidR="005259FC" w:rsidRDefault="005259FC" w:rsidP="00753A80">
      <w:pPr>
        <w:jc w:val="both"/>
        <w:rPr>
          <w:rFonts w:ascii="Arial" w:hAnsi="Arial" w:cs="Arial"/>
          <w:color w:val="000000"/>
          <w:sz w:val="20"/>
        </w:rPr>
      </w:pPr>
    </w:p>
    <w:p w14:paraId="6C136DB5" w14:textId="3E3D4049" w:rsidR="002D12D5" w:rsidRDefault="002D12D5" w:rsidP="002D12D5">
      <w:pPr>
        <w:spacing w:after="120"/>
        <w:jc w:val="both"/>
        <w:rPr>
          <w:rFonts w:ascii="Arial" w:hAnsi="Arial" w:cs="Arial"/>
          <w:color w:val="000000"/>
          <w:sz w:val="20"/>
        </w:rPr>
      </w:pPr>
      <w:r w:rsidRPr="002D12D5">
        <w:rPr>
          <w:rFonts w:ascii="Arial" w:hAnsi="Arial" w:cs="Arial"/>
          <w:b/>
          <w:bCs/>
          <w:color w:val="000000"/>
          <w:sz w:val="20"/>
        </w:rPr>
        <w:t>Part 4.6 (ss.139-146) YJA</w:t>
      </w:r>
      <w:r w:rsidRPr="002D12D5">
        <w:rPr>
          <w:rFonts w:ascii="Arial" w:hAnsi="Arial" w:cs="Arial"/>
          <w:color w:val="000000"/>
          <w:sz w:val="20"/>
        </w:rPr>
        <w:t xml:space="preserve"> </w:t>
      </w:r>
      <w:r>
        <w:rPr>
          <w:rFonts w:ascii="Arial" w:hAnsi="Arial" w:cs="Arial"/>
          <w:color w:val="000000"/>
          <w:sz w:val="20"/>
        </w:rPr>
        <w:t>details the effect of youth warnings, youth cautions and EDGCs as follows:</w:t>
      </w:r>
    </w:p>
    <w:tbl>
      <w:tblPr>
        <w:tblStyle w:val="TableGrid"/>
        <w:tblW w:w="9071" w:type="dxa"/>
        <w:tblLook w:val="04A0" w:firstRow="1" w:lastRow="0" w:firstColumn="1" w:lastColumn="0" w:noHBand="0" w:noVBand="1"/>
      </w:tblPr>
      <w:tblGrid>
        <w:gridCol w:w="1134"/>
        <w:gridCol w:w="7937"/>
      </w:tblGrid>
      <w:tr w:rsidR="002D12D5" w14:paraId="5A874D10" w14:textId="77777777" w:rsidTr="002D12D5">
        <w:tc>
          <w:tcPr>
            <w:tcW w:w="1134" w:type="dxa"/>
          </w:tcPr>
          <w:p w14:paraId="03966AB6" w14:textId="6597FE1B" w:rsidR="002D12D5" w:rsidRPr="002D12D5" w:rsidRDefault="002D12D5" w:rsidP="002D12D5">
            <w:pPr>
              <w:jc w:val="center"/>
              <w:rPr>
                <w:rFonts w:ascii="Arial" w:hAnsi="Arial" w:cs="Arial"/>
                <w:b/>
                <w:bCs/>
                <w:color w:val="000000"/>
                <w:sz w:val="20"/>
              </w:rPr>
            </w:pPr>
            <w:r w:rsidRPr="002D12D5">
              <w:rPr>
                <w:rFonts w:ascii="Arial" w:hAnsi="Arial" w:cs="Arial"/>
                <w:b/>
                <w:bCs/>
                <w:color w:val="000000"/>
                <w:sz w:val="20"/>
              </w:rPr>
              <w:t>139</w:t>
            </w:r>
          </w:p>
        </w:tc>
        <w:tc>
          <w:tcPr>
            <w:tcW w:w="7937" w:type="dxa"/>
          </w:tcPr>
          <w:p w14:paraId="3C887899" w14:textId="1226DF40" w:rsidR="002D12D5" w:rsidRPr="002D12D5" w:rsidRDefault="002D12D5" w:rsidP="00753A80">
            <w:pPr>
              <w:jc w:val="both"/>
              <w:rPr>
                <w:rFonts w:ascii="Arial" w:hAnsi="Arial" w:cs="Arial"/>
                <w:b/>
                <w:bCs/>
                <w:color w:val="000000"/>
                <w:sz w:val="20"/>
              </w:rPr>
            </w:pPr>
            <w:r w:rsidRPr="002D12D5">
              <w:rPr>
                <w:rFonts w:ascii="Arial" w:hAnsi="Arial" w:cs="Arial"/>
                <w:b/>
                <w:bCs/>
                <w:color w:val="000000"/>
                <w:sz w:val="20"/>
              </w:rPr>
              <w:t>They are not recorded on the child’s criminal record or criminal history</w:t>
            </w:r>
          </w:p>
        </w:tc>
      </w:tr>
      <w:tr w:rsidR="002D12D5" w14:paraId="36D09E3C" w14:textId="77777777" w:rsidTr="002D12D5">
        <w:tc>
          <w:tcPr>
            <w:tcW w:w="1134" w:type="dxa"/>
          </w:tcPr>
          <w:p w14:paraId="40EF0562" w14:textId="4FD59FA5" w:rsidR="002D12D5" w:rsidRPr="002D12D5" w:rsidRDefault="002D12D5" w:rsidP="002D12D5">
            <w:pPr>
              <w:jc w:val="center"/>
              <w:rPr>
                <w:rFonts w:ascii="Arial" w:hAnsi="Arial" w:cs="Arial"/>
                <w:b/>
                <w:bCs/>
                <w:color w:val="000000"/>
                <w:sz w:val="20"/>
              </w:rPr>
            </w:pPr>
            <w:r>
              <w:rPr>
                <w:rFonts w:ascii="Arial" w:hAnsi="Arial" w:cs="Arial"/>
                <w:b/>
                <w:bCs/>
                <w:color w:val="000000"/>
                <w:sz w:val="20"/>
              </w:rPr>
              <w:t>140</w:t>
            </w:r>
          </w:p>
        </w:tc>
        <w:tc>
          <w:tcPr>
            <w:tcW w:w="7937" w:type="dxa"/>
          </w:tcPr>
          <w:p w14:paraId="2CAE53C6" w14:textId="7BC2C20D" w:rsidR="002D12D5" w:rsidRPr="002D12D5" w:rsidRDefault="002D12D5" w:rsidP="00753A80">
            <w:pPr>
              <w:jc w:val="both"/>
              <w:rPr>
                <w:rFonts w:ascii="Arial" w:hAnsi="Arial" w:cs="Arial"/>
                <w:b/>
                <w:bCs/>
                <w:color w:val="000000"/>
                <w:sz w:val="20"/>
              </w:rPr>
            </w:pPr>
            <w:r>
              <w:rPr>
                <w:rFonts w:ascii="Arial" w:hAnsi="Arial" w:cs="Arial"/>
                <w:b/>
                <w:bCs/>
                <w:color w:val="000000"/>
                <w:sz w:val="20"/>
              </w:rPr>
              <w:t>No further action or criminal proceeding can be taken</w:t>
            </w:r>
          </w:p>
        </w:tc>
      </w:tr>
      <w:tr w:rsidR="002D12D5" w14:paraId="5F1A496C" w14:textId="77777777" w:rsidTr="002D12D5">
        <w:tc>
          <w:tcPr>
            <w:tcW w:w="1134" w:type="dxa"/>
          </w:tcPr>
          <w:p w14:paraId="11C4BC30" w14:textId="024E6DDB" w:rsidR="002D12D5" w:rsidRPr="002D12D5" w:rsidRDefault="002D12D5" w:rsidP="002D12D5">
            <w:pPr>
              <w:jc w:val="center"/>
              <w:rPr>
                <w:rFonts w:ascii="Arial" w:hAnsi="Arial" w:cs="Arial"/>
                <w:b/>
                <w:bCs/>
                <w:color w:val="000000"/>
                <w:sz w:val="20"/>
              </w:rPr>
            </w:pPr>
            <w:r>
              <w:rPr>
                <w:rFonts w:ascii="Arial" w:hAnsi="Arial" w:cs="Arial"/>
                <w:b/>
                <w:bCs/>
                <w:color w:val="000000"/>
                <w:sz w:val="20"/>
              </w:rPr>
              <w:t>141</w:t>
            </w:r>
          </w:p>
        </w:tc>
        <w:tc>
          <w:tcPr>
            <w:tcW w:w="7937" w:type="dxa"/>
          </w:tcPr>
          <w:p w14:paraId="437448D1" w14:textId="799B71A4" w:rsidR="002D12D5" w:rsidRPr="002D12D5" w:rsidRDefault="002D12D5" w:rsidP="00753A80">
            <w:pPr>
              <w:jc w:val="both"/>
              <w:rPr>
                <w:rFonts w:ascii="Arial" w:hAnsi="Arial" w:cs="Arial"/>
                <w:b/>
                <w:bCs/>
                <w:color w:val="000000"/>
                <w:sz w:val="20"/>
              </w:rPr>
            </w:pPr>
            <w:r>
              <w:rPr>
                <w:rFonts w:ascii="Arial" w:hAnsi="Arial" w:cs="Arial"/>
                <w:b/>
                <w:bCs/>
                <w:color w:val="000000"/>
                <w:sz w:val="20"/>
              </w:rPr>
              <w:t xml:space="preserve">If a </w:t>
            </w:r>
            <w:r w:rsidRPr="002D12D5">
              <w:rPr>
                <w:rFonts w:ascii="Arial" w:hAnsi="Arial" w:cs="Arial"/>
                <w:b/>
                <w:bCs/>
                <w:color w:val="000000"/>
                <w:sz w:val="20"/>
              </w:rPr>
              <w:t xml:space="preserve">court proceeding has been commenced against a child, the child may be referred back to be given a youth </w:t>
            </w:r>
            <w:r w:rsidRPr="002D12D5">
              <w:rPr>
                <w:rFonts w:ascii="Arial" w:hAnsi="Arial" w:cs="Arial"/>
                <w:b/>
                <w:bCs/>
                <w:color w:val="000000"/>
                <w:sz w:val="20"/>
                <w:lang w:val="en-US"/>
              </w:rPr>
              <w:t>warning, a youth caution or to attend an EDGC only with leave of the Court</w:t>
            </w:r>
          </w:p>
        </w:tc>
      </w:tr>
      <w:tr w:rsidR="002D12D5" w14:paraId="6A57605E" w14:textId="77777777" w:rsidTr="002D12D5">
        <w:tc>
          <w:tcPr>
            <w:tcW w:w="1134" w:type="dxa"/>
          </w:tcPr>
          <w:p w14:paraId="368AC273" w14:textId="37270366" w:rsidR="002D12D5" w:rsidRPr="002D12D5" w:rsidRDefault="002D12D5" w:rsidP="002D12D5">
            <w:pPr>
              <w:jc w:val="center"/>
              <w:rPr>
                <w:rFonts w:ascii="Arial" w:hAnsi="Arial" w:cs="Arial"/>
                <w:b/>
                <w:bCs/>
                <w:color w:val="000000"/>
                <w:sz w:val="20"/>
              </w:rPr>
            </w:pPr>
            <w:r>
              <w:rPr>
                <w:rFonts w:ascii="Arial" w:hAnsi="Arial" w:cs="Arial"/>
                <w:b/>
                <w:bCs/>
                <w:color w:val="000000"/>
                <w:sz w:val="20"/>
              </w:rPr>
              <w:t>142</w:t>
            </w:r>
          </w:p>
        </w:tc>
        <w:tc>
          <w:tcPr>
            <w:tcW w:w="7937" w:type="dxa"/>
          </w:tcPr>
          <w:p w14:paraId="045274CC" w14:textId="76C5B4EB" w:rsidR="002D12D5" w:rsidRPr="002D12D5" w:rsidRDefault="002D12D5" w:rsidP="00753A80">
            <w:pPr>
              <w:jc w:val="both"/>
              <w:rPr>
                <w:rFonts w:ascii="Arial" w:hAnsi="Arial" w:cs="Arial"/>
                <w:b/>
                <w:bCs/>
                <w:color w:val="000000"/>
                <w:sz w:val="20"/>
              </w:rPr>
            </w:pPr>
            <w:r>
              <w:rPr>
                <w:rFonts w:ascii="Arial" w:hAnsi="Arial" w:cs="Arial"/>
                <w:b/>
                <w:bCs/>
                <w:color w:val="000000"/>
                <w:sz w:val="20"/>
              </w:rPr>
              <w:t>Evidence of a youth warning or youth caution is inadmissible</w:t>
            </w:r>
          </w:p>
        </w:tc>
      </w:tr>
      <w:tr w:rsidR="002D12D5" w14:paraId="12A4B762" w14:textId="77777777" w:rsidTr="002D12D5">
        <w:tc>
          <w:tcPr>
            <w:tcW w:w="1134" w:type="dxa"/>
          </w:tcPr>
          <w:p w14:paraId="2D56F297" w14:textId="7410016D" w:rsidR="002D12D5" w:rsidRPr="002D12D5" w:rsidRDefault="002D12D5" w:rsidP="002D12D5">
            <w:pPr>
              <w:jc w:val="center"/>
              <w:rPr>
                <w:rFonts w:ascii="Arial" w:hAnsi="Arial" w:cs="Arial"/>
                <w:b/>
                <w:bCs/>
                <w:color w:val="000000"/>
                <w:sz w:val="20"/>
              </w:rPr>
            </w:pPr>
            <w:r>
              <w:rPr>
                <w:rFonts w:ascii="Arial" w:hAnsi="Arial" w:cs="Arial"/>
                <w:b/>
                <w:bCs/>
                <w:color w:val="000000"/>
                <w:sz w:val="20"/>
              </w:rPr>
              <w:t>143-144</w:t>
            </w:r>
          </w:p>
        </w:tc>
        <w:tc>
          <w:tcPr>
            <w:tcW w:w="7937" w:type="dxa"/>
          </w:tcPr>
          <w:p w14:paraId="7BA561C5" w14:textId="44327ABF" w:rsidR="002D12D5" w:rsidRPr="002D12D5" w:rsidRDefault="002D12D5" w:rsidP="00753A80">
            <w:pPr>
              <w:jc w:val="both"/>
              <w:rPr>
                <w:rFonts w:ascii="Arial" w:hAnsi="Arial" w:cs="Arial"/>
                <w:b/>
                <w:bCs/>
                <w:color w:val="000000"/>
                <w:sz w:val="20"/>
              </w:rPr>
            </w:pPr>
            <w:r>
              <w:rPr>
                <w:rFonts w:ascii="Arial" w:hAnsi="Arial" w:cs="Arial"/>
                <w:b/>
                <w:bCs/>
                <w:color w:val="000000"/>
                <w:sz w:val="20"/>
              </w:rPr>
              <w:t xml:space="preserve">Evidence of an EDGC is inadmissible </w:t>
            </w:r>
          </w:p>
        </w:tc>
      </w:tr>
      <w:tr w:rsidR="00837B7A" w14:paraId="093E28AD" w14:textId="77777777" w:rsidTr="002D12D5">
        <w:tc>
          <w:tcPr>
            <w:tcW w:w="1134" w:type="dxa"/>
          </w:tcPr>
          <w:p w14:paraId="236CA9E2" w14:textId="2F8A1D51" w:rsidR="00837B7A" w:rsidRDefault="00837B7A" w:rsidP="002D12D5">
            <w:pPr>
              <w:jc w:val="center"/>
              <w:rPr>
                <w:rFonts w:ascii="Arial" w:hAnsi="Arial" w:cs="Arial"/>
                <w:b/>
                <w:bCs/>
                <w:color w:val="000000"/>
                <w:sz w:val="20"/>
              </w:rPr>
            </w:pPr>
            <w:r>
              <w:rPr>
                <w:rFonts w:ascii="Arial" w:hAnsi="Arial" w:cs="Arial"/>
                <w:b/>
                <w:bCs/>
                <w:color w:val="000000"/>
                <w:sz w:val="20"/>
              </w:rPr>
              <w:t>145</w:t>
            </w:r>
          </w:p>
        </w:tc>
        <w:tc>
          <w:tcPr>
            <w:tcW w:w="7937" w:type="dxa"/>
          </w:tcPr>
          <w:p w14:paraId="1ABE1527" w14:textId="50E3F647" w:rsidR="00837B7A" w:rsidRDefault="00837B7A" w:rsidP="00753A80">
            <w:pPr>
              <w:jc w:val="both"/>
              <w:rPr>
                <w:rFonts w:ascii="Arial" w:hAnsi="Arial" w:cs="Arial"/>
                <w:b/>
                <w:bCs/>
                <w:color w:val="000000"/>
                <w:sz w:val="20"/>
              </w:rPr>
            </w:pPr>
            <w:r>
              <w:rPr>
                <w:rFonts w:ascii="Arial" w:hAnsi="Arial" w:cs="Arial"/>
                <w:b/>
                <w:bCs/>
                <w:color w:val="000000"/>
                <w:sz w:val="20"/>
              </w:rPr>
              <w:t>Despite ss.143-144 evidence is admissible in very limited specified circumstances</w:t>
            </w:r>
          </w:p>
        </w:tc>
      </w:tr>
      <w:tr w:rsidR="00837B7A" w14:paraId="54AE9BDE" w14:textId="77777777" w:rsidTr="002D12D5">
        <w:tc>
          <w:tcPr>
            <w:tcW w:w="1134" w:type="dxa"/>
          </w:tcPr>
          <w:p w14:paraId="70776813" w14:textId="1501A0B2" w:rsidR="00837B7A" w:rsidRDefault="00837B7A" w:rsidP="002D12D5">
            <w:pPr>
              <w:jc w:val="center"/>
              <w:rPr>
                <w:rFonts w:ascii="Arial" w:hAnsi="Arial" w:cs="Arial"/>
                <w:b/>
                <w:bCs/>
                <w:color w:val="000000"/>
                <w:sz w:val="20"/>
              </w:rPr>
            </w:pPr>
            <w:r>
              <w:rPr>
                <w:rFonts w:ascii="Arial" w:hAnsi="Arial" w:cs="Arial"/>
                <w:b/>
                <w:bCs/>
                <w:color w:val="000000"/>
                <w:sz w:val="20"/>
              </w:rPr>
              <w:t>146</w:t>
            </w:r>
          </w:p>
        </w:tc>
        <w:tc>
          <w:tcPr>
            <w:tcW w:w="7937" w:type="dxa"/>
          </w:tcPr>
          <w:p w14:paraId="2FE08DD9" w14:textId="4A1269BE" w:rsidR="00837B7A" w:rsidRDefault="00837B7A" w:rsidP="00753A80">
            <w:pPr>
              <w:jc w:val="both"/>
              <w:rPr>
                <w:rFonts w:ascii="Arial" w:hAnsi="Arial" w:cs="Arial"/>
                <w:b/>
                <w:bCs/>
                <w:color w:val="000000"/>
                <w:sz w:val="20"/>
              </w:rPr>
            </w:pPr>
            <w:r>
              <w:rPr>
                <w:rFonts w:ascii="Arial" w:hAnsi="Arial" w:cs="Arial"/>
                <w:b/>
                <w:bCs/>
                <w:color w:val="000000"/>
                <w:sz w:val="20"/>
              </w:rPr>
              <w:t xml:space="preserve">Participation in an EDGC does not rebut the </w:t>
            </w:r>
            <w:r w:rsidRPr="00837B7A">
              <w:rPr>
                <w:rFonts w:ascii="Arial" w:hAnsi="Arial" w:cs="Arial"/>
                <w:b/>
                <w:bCs/>
                <w:i/>
                <w:iCs/>
                <w:color w:val="000000"/>
                <w:sz w:val="20"/>
              </w:rPr>
              <w:t>doli incapax</w:t>
            </w:r>
            <w:r>
              <w:rPr>
                <w:rFonts w:ascii="Arial" w:hAnsi="Arial" w:cs="Arial"/>
                <w:b/>
                <w:bCs/>
                <w:color w:val="000000"/>
                <w:sz w:val="20"/>
              </w:rPr>
              <w:t xml:space="preserve"> presumption</w:t>
            </w:r>
          </w:p>
        </w:tc>
      </w:tr>
    </w:tbl>
    <w:p w14:paraId="61F48C98" w14:textId="77777777" w:rsidR="002D12D5" w:rsidRDefault="002D12D5" w:rsidP="00753A80">
      <w:pPr>
        <w:jc w:val="both"/>
        <w:rPr>
          <w:rFonts w:ascii="Arial" w:hAnsi="Arial" w:cs="Arial"/>
          <w:color w:val="000000"/>
          <w:sz w:val="20"/>
        </w:rPr>
      </w:pPr>
    </w:p>
    <w:tbl>
      <w:tblPr>
        <w:tblStyle w:val="TableGrid"/>
        <w:tblW w:w="9128" w:type="dxa"/>
        <w:tblLook w:val="04A0" w:firstRow="1" w:lastRow="0" w:firstColumn="1" w:lastColumn="0" w:noHBand="0" w:noVBand="1"/>
      </w:tblPr>
      <w:tblGrid>
        <w:gridCol w:w="9128"/>
      </w:tblGrid>
      <w:tr w:rsidR="00F47486" w:rsidRPr="00BD4366" w14:paraId="13805BB7" w14:textId="77777777" w:rsidTr="00826C41">
        <w:tc>
          <w:tcPr>
            <w:tcW w:w="9128" w:type="dxa"/>
            <w:shd w:val="clear" w:color="auto" w:fill="000000" w:themeFill="text1"/>
          </w:tcPr>
          <w:p w14:paraId="70BCBBDF" w14:textId="34A700EB" w:rsidR="00F47486" w:rsidRPr="00BD4366" w:rsidRDefault="00F47486" w:rsidP="00837B7A">
            <w:pPr>
              <w:keepNext/>
              <w:keepLines/>
              <w:jc w:val="center"/>
              <w:rPr>
                <w:rFonts w:ascii="Arial" w:hAnsi="Arial" w:cs="Arial"/>
                <w:b/>
                <w:bCs/>
                <w:sz w:val="20"/>
              </w:rPr>
            </w:pPr>
            <w:r>
              <w:rPr>
                <w:rFonts w:ascii="Arial" w:hAnsi="Arial" w:cs="Arial"/>
                <w:b/>
                <w:bCs/>
                <w:sz w:val="20"/>
              </w:rPr>
              <w:t>THE INFORMAL “POLICE CAUTIONING PROGRAM” PRIOR TO 30/09/2026</w:t>
            </w:r>
          </w:p>
        </w:tc>
      </w:tr>
    </w:tbl>
    <w:p w14:paraId="3E4B3F24" w14:textId="77777777" w:rsidR="00F47486" w:rsidRPr="005C2371" w:rsidRDefault="00F47486" w:rsidP="00837B7A">
      <w:pPr>
        <w:keepNext/>
        <w:keepLines/>
        <w:jc w:val="both"/>
        <w:rPr>
          <w:rFonts w:ascii="Arial" w:hAnsi="Arial" w:cs="Arial"/>
          <w:color w:val="000000"/>
          <w:sz w:val="20"/>
        </w:rPr>
      </w:pPr>
    </w:p>
    <w:p w14:paraId="6E57EDFB" w14:textId="036EDFD8" w:rsidR="00E55C9B" w:rsidRPr="00D81EFC" w:rsidRDefault="00E55C9B" w:rsidP="00E55C9B">
      <w:pPr>
        <w:jc w:val="both"/>
        <w:rPr>
          <w:rFonts w:ascii="Arial" w:hAnsi="Arial" w:cs="Arial"/>
          <w:color w:val="000000"/>
          <w:sz w:val="20"/>
        </w:rPr>
      </w:pPr>
      <w:r w:rsidRPr="00D81EFC">
        <w:rPr>
          <w:rFonts w:ascii="Arial" w:hAnsi="Arial" w:cs="Arial"/>
          <w:color w:val="000000"/>
          <w:sz w:val="20"/>
        </w:rPr>
        <w:t xml:space="preserve">In 2008/09 </w:t>
      </w:r>
      <w:r>
        <w:rPr>
          <w:rFonts w:ascii="Arial" w:hAnsi="Arial" w:cs="Arial"/>
          <w:color w:val="000000"/>
          <w:sz w:val="20"/>
        </w:rPr>
        <w:t xml:space="preserve">and in 2010/11 </w:t>
      </w:r>
      <w:r w:rsidRPr="00D81EFC">
        <w:rPr>
          <w:rFonts w:ascii="Arial" w:hAnsi="Arial" w:cs="Arial"/>
          <w:color w:val="000000"/>
          <w:sz w:val="20"/>
        </w:rPr>
        <w:t xml:space="preserve">some 27% of juvenile offences were processed by way of a formal caution administered to the young offender by a senior police officer in the presence of a parent or guardian of the offender. </w:t>
      </w:r>
      <w:r w:rsidR="009C310D">
        <w:rPr>
          <w:rFonts w:ascii="Arial" w:hAnsi="Arial" w:cs="Arial"/>
          <w:color w:val="000000"/>
          <w:sz w:val="20"/>
        </w:rPr>
        <w:t>A</w:t>
      </w:r>
      <w:r w:rsidR="00F47486">
        <w:rPr>
          <w:rFonts w:ascii="Arial" w:hAnsi="Arial" w:cs="Arial"/>
          <w:color w:val="000000"/>
          <w:sz w:val="20"/>
        </w:rPr>
        <w:t xml:space="preserve"> </w:t>
      </w:r>
      <w:r w:rsidR="009C310D">
        <w:rPr>
          <w:rFonts w:ascii="Arial" w:hAnsi="Arial" w:cs="Arial"/>
          <w:color w:val="000000"/>
          <w:sz w:val="20"/>
        </w:rPr>
        <w:t>caution c</w:t>
      </w:r>
      <w:r w:rsidR="00F47486">
        <w:rPr>
          <w:rFonts w:ascii="Arial" w:hAnsi="Arial" w:cs="Arial"/>
          <w:color w:val="000000"/>
          <w:sz w:val="20"/>
        </w:rPr>
        <w:t>ould</w:t>
      </w:r>
      <w:r w:rsidR="009C310D">
        <w:rPr>
          <w:rFonts w:ascii="Arial" w:hAnsi="Arial" w:cs="Arial"/>
          <w:color w:val="000000"/>
          <w:sz w:val="20"/>
        </w:rPr>
        <w:t xml:space="preserve"> only be given if the child admits to having committed the offence and the child and a parent or guardian both consent.</w:t>
      </w:r>
    </w:p>
    <w:p w14:paraId="2147349A" w14:textId="77777777" w:rsidR="009C310D" w:rsidRPr="00D81EFC" w:rsidRDefault="009C310D" w:rsidP="00543C02">
      <w:pPr>
        <w:jc w:val="both"/>
        <w:rPr>
          <w:rFonts w:ascii="Arial" w:hAnsi="Arial" w:cs="Arial"/>
          <w:color w:val="000000"/>
          <w:sz w:val="20"/>
        </w:rPr>
      </w:pPr>
    </w:p>
    <w:p w14:paraId="5DFA3AB7" w14:textId="05C00D46" w:rsidR="00543C02" w:rsidRPr="00D81EFC" w:rsidRDefault="00F47486" w:rsidP="00543C02">
      <w:pPr>
        <w:jc w:val="both"/>
        <w:rPr>
          <w:rFonts w:ascii="Arial" w:hAnsi="Arial" w:cs="Arial"/>
          <w:color w:val="000000"/>
          <w:sz w:val="20"/>
          <w:lang w:val="en-US"/>
        </w:rPr>
      </w:pPr>
      <w:r>
        <w:rPr>
          <w:rFonts w:ascii="Arial" w:hAnsi="Arial" w:cs="Arial"/>
          <w:color w:val="000000"/>
          <w:sz w:val="20"/>
        </w:rPr>
        <w:t>Prior to 30/09/2026 t</w:t>
      </w:r>
      <w:r w:rsidR="00543C02" w:rsidRPr="00D81EFC">
        <w:rPr>
          <w:rFonts w:ascii="Arial" w:hAnsi="Arial" w:cs="Arial"/>
          <w:color w:val="000000"/>
          <w:sz w:val="20"/>
        </w:rPr>
        <w:t xml:space="preserve">here </w:t>
      </w:r>
      <w:r>
        <w:rPr>
          <w:rFonts w:ascii="Arial" w:hAnsi="Arial" w:cs="Arial"/>
          <w:color w:val="000000"/>
          <w:sz w:val="20"/>
        </w:rPr>
        <w:t>wa</w:t>
      </w:r>
      <w:r w:rsidR="00543C02" w:rsidRPr="00D81EFC">
        <w:rPr>
          <w:rFonts w:ascii="Arial" w:hAnsi="Arial" w:cs="Arial"/>
          <w:color w:val="000000"/>
          <w:sz w:val="20"/>
        </w:rPr>
        <w:t xml:space="preserve">s no specific legislative basis for the police cautioning programme but details of it are contained in the Victoria Police Manual: see the judgment of McDonald J in </w:t>
      </w:r>
      <w:r w:rsidR="00543C02" w:rsidRPr="00D81EFC">
        <w:rPr>
          <w:rFonts w:ascii="Arial" w:hAnsi="Arial" w:cs="Arial"/>
          <w:i/>
          <w:iCs/>
          <w:color w:val="000000"/>
          <w:sz w:val="20"/>
        </w:rPr>
        <w:t>Y v F</w:t>
      </w:r>
      <w:r w:rsidR="00543C02" w:rsidRPr="00D81EFC">
        <w:rPr>
          <w:rFonts w:ascii="Arial" w:hAnsi="Arial" w:cs="Arial"/>
          <w:color w:val="000000"/>
          <w:sz w:val="20"/>
        </w:rPr>
        <w:t xml:space="preserve"> [2002] VSC 166 at [33].  In the Manual it is said</w:t>
      </w:r>
      <w:r w:rsidR="00235652">
        <w:rPr>
          <w:rFonts w:ascii="Arial" w:hAnsi="Arial" w:cs="Arial"/>
          <w:color w:val="000000"/>
          <w:sz w:val="20"/>
        </w:rPr>
        <w:t>–</w:t>
      </w:r>
    </w:p>
    <w:p w14:paraId="63AB6B6D" w14:textId="77777777" w:rsidR="00543C02" w:rsidRPr="00D81EFC" w:rsidRDefault="00543C02" w:rsidP="006A0351">
      <w:pPr>
        <w:numPr>
          <w:ilvl w:val="0"/>
          <w:numId w:val="3"/>
        </w:numPr>
        <w:ind w:left="284" w:hanging="284"/>
        <w:jc w:val="both"/>
        <w:rPr>
          <w:rFonts w:ascii="Arial" w:hAnsi="Arial" w:cs="Arial"/>
          <w:color w:val="000000"/>
          <w:sz w:val="20"/>
        </w:rPr>
      </w:pPr>
      <w:r w:rsidRPr="00D81EFC">
        <w:rPr>
          <w:rFonts w:ascii="Arial" w:hAnsi="Arial" w:cs="Arial"/>
          <w:color w:val="000000"/>
          <w:sz w:val="20"/>
        </w:rPr>
        <w:t>at [7.8.5.1], that the programme applies to all offences by children;</w:t>
      </w:r>
    </w:p>
    <w:p w14:paraId="4245127C" w14:textId="77777777" w:rsidR="00543C02" w:rsidRPr="00D81EFC" w:rsidRDefault="00543C02" w:rsidP="00543C02">
      <w:pPr>
        <w:numPr>
          <w:ilvl w:val="0"/>
          <w:numId w:val="3"/>
        </w:numPr>
        <w:jc w:val="both"/>
        <w:rPr>
          <w:rFonts w:ascii="Arial" w:hAnsi="Arial" w:cs="Arial"/>
          <w:color w:val="000000"/>
          <w:sz w:val="20"/>
        </w:rPr>
      </w:pPr>
      <w:r w:rsidRPr="00D81EFC">
        <w:rPr>
          <w:rFonts w:ascii="Arial" w:hAnsi="Arial" w:cs="Arial"/>
          <w:color w:val="000000"/>
          <w:sz w:val="20"/>
        </w:rPr>
        <w:t xml:space="preserve">at [7.8.5.2], that the criteria for application of the programme are, </w:t>
      </w:r>
      <w:r w:rsidRPr="00D81EFC">
        <w:rPr>
          <w:rFonts w:ascii="Arial" w:hAnsi="Arial" w:cs="Arial"/>
          <w:i/>
          <w:iCs/>
          <w:color w:val="000000"/>
          <w:sz w:val="20"/>
        </w:rPr>
        <w:t>inter alia</w:t>
      </w:r>
      <w:r w:rsidRPr="00D81EFC">
        <w:rPr>
          <w:rFonts w:ascii="Arial" w:hAnsi="Arial" w:cs="Arial"/>
          <w:color w:val="000000"/>
          <w:sz w:val="20"/>
        </w:rPr>
        <w:t>, there must be sufficient admissible evidence to establish the offence and the offender must admit the offence.</w:t>
      </w:r>
    </w:p>
    <w:p w14:paraId="6EE2E960" w14:textId="77777777" w:rsidR="00543C02" w:rsidRPr="00D81EFC" w:rsidRDefault="00543C02" w:rsidP="00543C02">
      <w:pPr>
        <w:jc w:val="both"/>
        <w:rPr>
          <w:rFonts w:ascii="Arial" w:hAnsi="Arial" w:cs="Arial"/>
          <w:color w:val="000000"/>
          <w:sz w:val="20"/>
        </w:rPr>
      </w:pPr>
    </w:p>
    <w:p w14:paraId="6F7475EE" w14:textId="0BE7A905" w:rsidR="00543C02" w:rsidRPr="00D81EFC" w:rsidRDefault="009C310D" w:rsidP="00543C02">
      <w:pPr>
        <w:jc w:val="both"/>
        <w:rPr>
          <w:rFonts w:ascii="Arial" w:hAnsi="Arial" w:cs="Arial"/>
          <w:color w:val="000000"/>
          <w:sz w:val="20"/>
        </w:rPr>
      </w:pPr>
      <w:r w:rsidRPr="009C310D">
        <w:rPr>
          <w:rFonts w:ascii="Arial" w:hAnsi="Arial" w:cs="Arial"/>
          <w:color w:val="000000"/>
          <w:sz w:val="20"/>
        </w:rPr>
        <w:t>Whether police offer</w:t>
      </w:r>
      <w:r w:rsidR="00F47486">
        <w:rPr>
          <w:rFonts w:ascii="Arial" w:hAnsi="Arial" w:cs="Arial"/>
          <w:color w:val="000000"/>
          <w:sz w:val="20"/>
        </w:rPr>
        <w:t>ed</w:t>
      </w:r>
      <w:r w:rsidRPr="009C310D">
        <w:rPr>
          <w:rFonts w:ascii="Arial" w:hAnsi="Arial" w:cs="Arial"/>
          <w:color w:val="000000"/>
          <w:sz w:val="20"/>
        </w:rPr>
        <w:t xml:space="preserve"> a caution depends on factors like the seriousness of the offence(s), the child’s and the victim’s circumstances, how much damage or injury the child caused and whether a caution would act as a deterrent to the child. </w:t>
      </w:r>
      <w:r>
        <w:rPr>
          <w:rFonts w:ascii="Arial" w:hAnsi="Arial" w:cs="Arial"/>
          <w:color w:val="000000"/>
          <w:sz w:val="20"/>
        </w:rPr>
        <w:t xml:space="preserve"> </w:t>
      </w:r>
      <w:r w:rsidR="00543C02" w:rsidRPr="00D81EFC">
        <w:rPr>
          <w:rFonts w:ascii="Arial" w:hAnsi="Arial" w:cs="Arial"/>
          <w:color w:val="000000"/>
          <w:sz w:val="20"/>
        </w:rPr>
        <w:t>Generally, though not always, an offender deemed eligible for a caution will have had no prior police involvement.  As can be seen from the table</w:t>
      </w:r>
      <w:r w:rsidR="00543C02">
        <w:rPr>
          <w:rFonts w:ascii="Arial" w:hAnsi="Arial" w:cs="Arial"/>
          <w:color w:val="000000"/>
          <w:sz w:val="20"/>
        </w:rPr>
        <w:t>s</w:t>
      </w:r>
      <w:r w:rsidR="00543C02" w:rsidRPr="00D81EFC">
        <w:rPr>
          <w:rFonts w:ascii="Arial" w:hAnsi="Arial" w:cs="Arial"/>
          <w:color w:val="000000"/>
          <w:sz w:val="20"/>
        </w:rPr>
        <w:t xml:space="preserve"> below, some 62% of the 5818 shop theft offences were diverted from court by way of formal police cautions in 2008/09.</w:t>
      </w:r>
      <w:r>
        <w:rPr>
          <w:rFonts w:ascii="Arial" w:hAnsi="Arial" w:cs="Arial"/>
          <w:color w:val="000000"/>
          <w:sz w:val="20"/>
        </w:rPr>
        <w:t xml:space="preserve">  A </w:t>
      </w:r>
      <w:r w:rsidR="00543C02" w:rsidRPr="00D81EFC">
        <w:rPr>
          <w:rFonts w:ascii="Arial" w:hAnsi="Arial" w:cs="Arial"/>
          <w:color w:val="000000"/>
          <w:sz w:val="20"/>
        </w:rPr>
        <w:t xml:space="preserve">number of young offenders who have been dealt with by way of formal caution have voluntarily participated in the “ROPES” program, details of which are set out in </w:t>
      </w:r>
      <w:r w:rsidRPr="00D04051">
        <w:rPr>
          <w:rFonts w:ascii="Arial" w:hAnsi="Arial" w:cs="Arial"/>
          <w:b/>
          <w:bCs/>
          <w:color w:val="000000"/>
          <w:sz w:val="20"/>
          <w:shd w:val="clear" w:color="auto" w:fill="C5E0B3"/>
        </w:rPr>
        <w:t>Part</w:t>
      </w:r>
      <w:r w:rsidR="00543C02" w:rsidRPr="00D04051">
        <w:rPr>
          <w:rFonts w:ascii="Arial" w:hAnsi="Arial" w:cs="Arial"/>
          <w:b/>
          <w:bCs/>
          <w:color w:val="000000"/>
          <w:sz w:val="20"/>
          <w:shd w:val="clear" w:color="auto" w:fill="C5E0B3"/>
        </w:rPr>
        <w:t xml:space="preserve"> </w:t>
      </w:r>
      <w:r w:rsidRPr="00D04051">
        <w:rPr>
          <w:rFonts w:ascii="Arial" w:hAnsi="Arial" w:cs="Arial"/>
          <w:b/>
          <w:bCs/>
          <w:color w:val="000000"/>
          <w:sz w:val="20"/>
          <w:shd w:val="clear" w:color="auto" w:fill="C5E0B3"/>
        </w:rPr>
        <w:t>10.8</w:t>
      </w:r>
      <w:r>
        <w:rPr>
          <w:rFonts w:ascii="Arial" w:hAnsi="Arial" w:cs="Arial"/>
          <w:color w:val="000000"/>
          <w:sz w:val="20"/>
        </w:rPr>
        <w:t xml:space="preserve"> </w:t>
      </w:r>
      <w:r w:rsidR="00543C02" w:rsidRPr="00D81EFC">
        <w:rPr>
          <w:rFonts w:ascii="Arial" w:hAnsi="Arial" w:cs="Arial"/>
          <w:color w:val="000000"/>
          <w:sz w:val="20"/>
        </w:rPr>
        <w:t>of these materials.</w:t>
      </w:r>
    </w:p>
    <w:p w14:paraId="61DD19AE" w14:textId="77777777" w:rsidR="00543C02" w:rsidRDefault="00543C02" w:rsidP="00543C02">
      <w:pPr>
        <w:jc w:val="both"/>
        <w:rPr>
          <w:rFonts w:ascii="Arial" w:hAnsi="Arial" w:cs="Arial"/>
          <w:color w:val="000000"/>
          <w:sz w:val="20"/>
          <w:lang w:val="en-US"/>
        </w:rPr>
      </w:pPr>
    </w:p>
    <w:p w14:paraId="7A2F098A" w14:textId="4874ABDC" w:rsidR="00543C02" w:rsidRDefault="009C310D" w:rsidP="00543C02">
      <w:pPr>
        <w:jc w:val="both"/>
        <w:rPr>
          <w:rFonts w:ascii="Arial" w:hAnsi="Arial" w:cs="Arial"/>
          <w:color w:val="000000"/>
          <w:sz w:val="20"/>
        </w:rPr>
      </w:pPr>
      <w:r w:rsidRPr="00D81EFC">
        <w:rPr>
          <w:rFonts w:ascii="Arial" w:hAnsi="Arial" w:cs="Arial"/>
          <w:color w:val="000000"/>
          <w:sz w:val="20"/>
        </w:rPr>
        <w:t>After a caution</w:t>
      </w:r>
      <w:r w:rsidR="00963C0C">
        <w:rPr>
          <w:rFonts w:ascii="Arial" w:hAnsi="Arial" w:cs="Arial"/>
          <w:color w:val="000000"/>
          <w:sz w:val="20"/>
        </w:rPr>
        <w:t xml:space="preserve"> has been given</w:t>
      </w:r>
      <w:r w:rsidRPr="00D81EFC">
        <w:rPr>
          <w:rFonts w:ascii="Arial" w:hAnsi="Arial" w:cs="Arial"/>
          <w:color w:val="000000"/>
          <w:sz w:val="20"/>
        </w:rPr>
        <w:t xml:space="preserve">, </w:t>
      </w:r>
      <w:r>
        <w:rPr>
          <w:rFonts w:ascii="Arial" w:hAnsi="Arial" w:cs="Arial"/>
          <w:color w:val="000000"/>
          <w:sz w:val="20"/>
        </w:rPr>
        <w:t>no charge for the offence can be filed in court</w:t>
      </w:r>
      <w:r w:rsidRPr="00D81EFC">
        <w:rPr>
          <w:rFonts w:ascii="Arial" w:hAnsi="Arial" w:cs="Arial"/>
          <w:color w:val="000000"/>
          <w:sz w:val="20"/>
        </w:rPr>
        <w:t xml:space="preserve">.  </w:t>
      </w:r>
      <w:r w:rsidR="00543C02" w:rsidRPr="00F51496">
        <w:rPr>
          <w:rFonts w:ascii="Arial" w:hAnsi="Arial" w:cs="Arial"/>
          <w:color w:val="000000"/>
          <w:sz w:val="20"/>
        </w:rPr>
        <w:t xml:space="preserve">Though an administered caution remains in police records, it is not recorded as a 'prior', is not included in Victoria Police's LEAP data base and is inadmissible against an offender in the event of a subsequent court appearance in relation to another offence: cf. s.358 of the CYFA.  See </w:t>
      </w:r>
      <w:r w:rsidR="00543C02" w:rsidRPr="00F51496">
        <w:rPr>
          <w:rFonts w:ascii="Arial" w:hAnsi="Arial" w:cs="Arial"/>
          <w:i/>
          <w:color w:val="000000"/>
          <w:sz w:val="20"/>
        </w:rPr>
        <w:t>O v McDonald</w:t>
      </w:r>
      <w:r w:rsidR="00543C02" w:rsidRPr="00F51496">
        <w:rPr>
          <w:rFonts w:ascii="Arial" w:hAnsi="Arial" w:cs="Arial"/>
          <w:color w:val="000000"/>
          <w:sz w:val="20"/>
        </w:rPr>
        <w:t xml:space="preserve"> [2000] TASSC 13.</w:t>
      </w:r>
    </w:p>
    <w:p w14:paraId="3051AE97" w14:textId="40C9DC8E" w:rsidR="000510E3" w:rsidRDefault="000510E3" w:rsidP="00543C02">
      <w:pPr>
        <w:jc w:val="both"/>
        <w:rPr>
          <w:rFonts w:ascii="Arial" w:hAnsi="Arial" w:cs="Arial"/>
          <w:color w:val="000000"/>
          <w:sz w:val="20"/>
        </w:rPr>
      </w:pPr>
    </w:p>
    <w:p w14:paraId="1B1EF800" w14:textId="31CEBB2D" w:rsidR="00402372" w:rsidRDefault="00402372" w:rsidP="00543C02">
      <w:pPr>
        <w:jc w:val="both"/>
        <w:rPr>
          <w:rFonts w:ascii="Arial" w:hAnsi="Arial" w:cs="Arial"/>
          <w:color w:val="000000"/>
          <w:sz w:val="20"/>
        </w:rPr>
      </w:pPr>
      <w:r w:rsidRPr="00D81EFC">
        <w:rPr>
          <w:rFonts w:ascii="Arial" w:hAnsi="Arial" w:cs="Arial"/>
          <w:color w:val="000000"/>
          <w:sz w:val="20"/>
        </w:rPr>
        <w:lastRenderedPageBreak/>
        <w:t xml:space="preserve">Victoria Police statistics for the numbers of cautions issued to juvenile offenders in </w:t>
      </w:r>
      <w:r>
        <w:rPr>
          <w:rFonts w:ascii="Arial" w:hAnsi="Arial" w:cs="Arial"/>
          <w:color w:val="000000"/>
          <w:sz w:val="20"/>
        </w:rPr>
        <w:t xml:space="preserve">2010/11 &amp; 2008/09 </w:t>
      </w:r>
      <w:r w:rsidRPr="00D81EFC">
        <w:rPr>
          <w:rFonts w:ascii="Arial" w:hAnsi="Arial" w:cs="Arial"/>
          <w:color w:val="000000"/>
          <w:sz w:val="20"/>
        </w:rPr>
        <w:t>are shown in the table below.  They do not include cautions issued for traffic or transit offences.</w:t>
      </w:r>
    </w:p>
    <w:p w14:paraId="00C843BB" w14:textId="17D7A87F" w:rsidR="00402372" w:rsidRDefault="00402372" w:rsidP="00543C02">
      <w:pPr>
        <w:jc w:val="both"/>
        <w:rPr>
          <w:rFonts w:ascii="Arial" w:hAnsi="Arial" w:cs="Arial"/>
          <w:color w:val="000000"/>
          <w:sz w:val="20"/>
        </w:rPr>
      </w:pPr>
    </w:p>
    <w:p w14:paraId="7E34847E" w14:textId="35723D45" w:rsidR="00402372" w:rsidRPr="00402372" w:rsidRDefault="00402372" w:rsidP="00402372">
      <w:pPr>
        <w:jc w:val="both"/>
        <w:rPr>
          <w:rFonts w:ascii="Arial" w:hAnsi="Arial" w:cs="Arial"/>
          <w:color w:val="000000"/>
          <w:sz w:val="20"/>
        </w:rPr>
      </w:pPr>
      <w:r w:rsidRPr="00402372">
        <w:rPr>
          <w:rFonts w:ascii="Arial" w:hAnsi="Arial" w:cs="Arial"/>
          <w:color w:val="000000"/>
          <w:sz w:val="20"/>
        </w:rPr>
        <w:t>In June 2021 a Parliamentary Inquiry into Victoria’s criminal justice system was told: “Police are using diversion options less over time, bringing more people further into the criminal justice system.  The proportion of young offenders given a caution or warning by police has been steadily decreasing over the past 10 years from 37% in 2010/11 to 20% in 2019/20”.</w:t>
      </w:r>
      <w:r>
        <w:rPr>
          <w:rFonts w:ascii="Arial" w:hAnsi="Arial" w:cs="Arial"/>
          <w:color w:val="000000"/>
          <w:sz w:val="20"/>
        </w:rPr>
        <w:t xml:space="preserve">  </w:t>
      </w:r>
      <w:r w:rsidRPr="00402372">
        <w:rPr>
          <w:rFonts w:ascii="Arial" w:hAnsi="Arial" w:cs="Arial"/>
          <w:color w:val="000000"/>
          <w:sz w:val="20"/>
        </w:rPr>
        <w:t>In its report dated March 2022 the Inquiry found: “Victoria Police’s use of cautions for both children and adults has declined over the past decade and remains inconsistent across the community.  Young Aboriginal people and young people in lower socio-economic communities are less likely to receive a caution – as opposed to a charge – than other Victorians.”</w:t>
      </w:r>
    </w:p>
    <w:p w14:paraId="5A77FC5E" w14:textId="77777777" w:rsidR="00402372" w:rsidRDefault="00402372" w:rsidP="00543C02">
      <w:pPr>
        <w:jc w:val="both"/>
        <w:rPr>
          <w:rFonts w:ascii="Arial" w:hAnsi="Arial" w:cs="Arial"/>
          <w:color w:val="000000"/>
          <w:sz w:val="20"/>
        </w:rPr>
      </w:pPr>
    </w:p>
    <w:tbl>
      <w:tblPr>
        <w:tblStyle w:val="TableGrid"/>
        <w:tblW w:w="9042"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1808"/>
        <w:gridCol w:w="1242"/>
        <w:gridCol w:w="566"/>
        <w:gridCol w:w="1808"/>
        <w:gridCol w:w="568"/>
        <w:gridCol w:w="1242"/>
        <w:gridCol w:w="1808"/>
      </w:tblGrid>
      <w:tr w:rsidR="000510E3" w14:paraId="188ABD6B" w14:textId="77777777" w:rsidTr="009C310D">
        <w:tc>
          <w:tcPr>
            <w:tcW w:w="9042" w:type="dxa"/>
            <w:gridSpan w:val="7"/>
            <w:shd w:val="clear" w:color="auto" w:fill="000000" w:themeFill="text1"/>
          </w:tcPr>
          <w:p w14:paraId="7509EB09" w14:textId="70713A46" w:rsidR="000510E3" w:rsidRPr="00DF4047" w:rsidRDefault="000510E3" w:rsidP="000510E3">
            <w:pPr>
              <w:jc w:val="center"/>
              <w:rPr>
                <w:rFonts w:ascii="Arial" w:hAnsi="Arial" w:cs="Arial"/>
                <w:b/>
                <w:bCs/>
                <w:color w:val="000000"/>
                <w:sz w:val="28"/>
                <w:szCs w:val="36"/>
              </w:rPr>
            </w:pPr>
            <w:r w:rsidRPr="00DF4047">
              <w:rPr>
                <w:rFonts w:ascii="Arial" w:hAnsi="Arial" w:cs="Arial"/>
                <w:b/>
                <w:bCs/>
                <w:color w:val="FFFFFF" w:themeColor="background1"/>
                <w:sz w:val="28"/>
                <w:szCs w:val="36"/>
              </w:rPr>
              <w:t>CAUTIONS ISSUED TO JUVENILE CRIMINAL OFFENDERS</w:t>
            </w:r>
          </w:p>
        </w:tc>
      </w:tr>
      <w:tr w:rsidR="000510E3" w14:paraId="7C24930D" w14:textId="77777777" w:rsidTr="009C310D">
        <w:tc>
          <w:tcPr>
            <w:tcW w:w="3616" w:type="dxa"/>
            <w:gridSpan w:val="3"/>
            <w:tcBorders>
              <w:bottom w:val="nil"/>
            </w:tcBorders>
            <w:shd w:val="clear" w:color="auto" w:fill="000000" w:themeFill="text1"/>
          </w:tcPr>
          <w:p w14:paraId="7261E588" w14:textId="1311C673" w:rsidR="000510E3" w:rsidRPr="000510E3" w:rsidRDefault="000510E3" w:rsidP="000510E3">
            <w:pPr>
              <w:jc w:val="center"/>
              <w:rPr>
                <w:rFonts w:ascii="Arial" w:hAnsi="Arial" w:cs="Arial"/>
                <w:b/>
                <w:bCs/>
                <w:color w:val="FFFFFF" w:themeColor="background1"/>
                <w:szCs w:val="32"/>
              </w:rPr>
            </w:pPr>
            <w:r w:rsidRPr="000510E3">
              <w:rPr>
                <w:rFonts w:ascii="Arial" w:hAnsi="Arial" w:cs="Arial"/>
                <w:b/>
                <w:bCs/>
                <w:color w:val="FFFFFF" w:themeColor="background1"/>
                <w:szCs w:val="32"/>
              </w:rPr>
              <w:t>2008/09</w:t>
            </w:r>
          </w:p>
        </w:tc>
        <w:tc>
          <w:tcPr>
            <w:tcW w:w="1808" w:type="dxa"/>
            <w:tcBorders>
              <w:bottom w:val="nil"/>
            </w:tcBorders>
            <w:shd w:val="clear" w:color="auto" w:fill="000000" w:themeFill="text1"/>
          </w:tcPr>
          <w:p w14:paraId="30AF753D" w14:textId="77777777" w:rsidR="000510E3" w:rsidRDefault="000510E3" w:rsidP="00543C02">
            <w:pPr>
              <w:jc w:val="both"/>
              <w:rPr>
                <w:rFonts w:ascii="Arial" w:hAnsi="Arial" w:cs="Arial"/>
                <w:color w:val="000000"/>
                <w:sz w:val="20"/>
              </w:rPr>
            </w:pPr>
          </w:p>
        </w:tc>
        <w:tc>
          <w:tcPr>
            <w:tcW w:w="3618" w:type="dxa"/>
            <w:gridSpan w:val="3"/>
            <w:tcBorders>
              <w:bottom w:val="nil"/>
            </w:tcBorders>
            <w:shd w:val="clear" w:color="auto" w:fill="000000" w:themeFill="text1"/>
          </w:tcPr>
          <w:p w14:paraId="41809017" w14:textId="5C07B6C5" w:rsidR="000510E3" w:rsidRPr="000510E3" w:rsidRDefault="000510E3" w:rsidP="000510E3">
            <w:pPr>
              <w:jc w:val="center"/>
              <w:rPr>
                <w:rFonts w:ascii="Arial" w:hAnsi="Arial" w:cs="Arial"/>
                <w:b/>
                <w:bCs/>
                <w:color w:val="FFFFFF" w:themeColor="background1"/>
                <w:szCs w:val="32"/>
              </w:rPr>
            </w:pPr>
            <w:r w:rsidRPr="000510E3">
              <w:rPr>
                <w:rFonts w:ascii="Arial" w:hAnsi="Arial" w:cs="Arial"/>
                <w:b/>
                <w:bCs/>
                <w:color w:val="FFFFFF" w:themeColor="background1"/>
                <w:szCs w:val="32"/>
              </w:rPr>
              <w:t>2010/11</w:t>
            </w:r>
          </w:p>
        </w:tc>
      </w:tr>
      <w:tr w:rsidR="000510E3" w14:paraId="60655648" w14:textId="77777777" w:rsidTr="006B00A8">
        <w:tc>
          <w:tcPr>
            <w:tcW w:w="1808" w:type="dxa"/>
            <w:tcBorders>
              <w:top w:val="nil"/>
              <w:bottom w:val="single" w:sz="6" w:space="0" w:color="auto"/>
            </w:tcBorders>
            <w:shd w:val="clear" w:color="auto" w:fill="000000" w:themeFill="text1"/>
          </w:tcPr>
          <w:p w14:paraId="222A4B9E" w14:textId="5CEC5AA0" w:rsidR="000510E3" w:rsidRPr="006B00A8" w:rsidRDefault="000510E3" w:rsidP="000510E3">
            <w:pPr>
              <w:jc w:val="center"/>
              <w:rPr>
                <w:rFonts w:ascii="Arial" w:hAnsi="Arial" w:cs="Arial"/>
                <w:b/>
                <w:bCs/>
                <w:color w:val="FFFFFF" w:themeColor="background1"/>
                <w:sz w:val="20"/>
              </w:rPr>
            </w:pPr>
            <w:r w:rsidRPr="006B00A8">
              <w:rPr>
                <w:rFonts w:ascii="Arial" w:hAnsi="Arial" w:cs="Arial"/>
                <w:b/>
                <w:bCs/>
                <w:color w:val="FFFFFF" w:themeColor="background1"/>
                <w:sz w:val="20"/>
              </w:rPr>
              <w:t>Total Offences</w:t>
            </w:r>
          </w:p>
        </w:tc>
        <w:tc>
          <w:tcPr>
            <w:tcW w:w="1242" w:type="dxa"/>
            <w:tcBorders>
              <w:top w:val="nil"/>
              <w:bottom w:val="single" w:sz="6" w:space="0" w:color="auto"/>
            </w:tcBorders>
            <w:shd w:val="clear" w:color="auto" w:fill="000000" w:themeFill="text1"/>
          </w:tcPr>
          <w:p w14:paraId="4BA3A378" w14:textId="6B8BAAE2" w:rsidR="000510E3" w:rsidRPr="006B00A8" w:rsidRDefault="000510E3" w:rsidP="000510E3">
            <w:pPr>
              <w:jc w:val="center"/>
              <w:rPr>
                <w:rFonts w:ascii="Arial" w:hAnsi="Arial" w:cs="Arial"/>
                <w:b/>
                <w:bCs/>
                <w:color w:val="FFFFFF" w:themeColor="background1"/>
                <w:sz w:val="20"/>
              </w:rPr>
            </w:pPr>
            <w:r w:rsidRPr="006B00A8">
              <w:rPr>
                <w:rFonts w:ascii="Arial" w:hAnsi="Arial" w:cs="Arial"/>
                <w:b/>
                <w:bCs/>
                <w:color w:val="FFFFFF" w:themeColor="background1"/>
                <w:sz w:val="20"/>
              </w:rPr>
              <w:t>Cautions</w:t>
            </w:r>
          </w:p>
        </w:tc>
        <w:tc>
          <w:tcPr>
            <w:tcW w:w="2942" w:type="dxa"/>
            <w:gridSpan w:val="3"/>
            <w:tcBorders>
              <w:top w:val="nil"/>
              <w:bottom w:val="single" w:sz="6" w:space="0" w:color="auto"/>
            </w:tcBorders>
            <w:shd w:val="clear" w:color="auto" w:fill="000000" w:themeFill="text1"/>
          </w:tcPr>
          <w:p w14:paraId="5FC31FD6" w14:textId="2347EE0A" w:rsidR="000510E3" w:rsidRPr="006B00A8" w:rsidRDefault="000510E3" w:rsidP="000510E3">
            <w:pPr>
              <w:jc w:val="center"/>
              <w:rPr>
                <w:rFonts w:ascii="Arial" w:hAnsi="Arial" w:cs="Arial"/>
                <w:b/>
                <w:bCs/>
                <w:color w:val="FFFFFF" w:themeColor="background1"/>
                <w:sz w:val="20"/>
              </w:rPr>
            </w:pPr>
            <w:r w:rsidRPr="006B00A8">
              <w:rPr>
                <w:rFonts w:ascii="Arial" w:hAnsi="Arial" w:cs="Arial"/>
                <w:b/>
                <w:bCs/>
                <w:color w:val="FFFFFF" w:themeColor="background1"/>
                <w:sz w:val="20"/>
              </w:rPr>
              <w:t>Offence</w:t>
            </w:r>
          </w:p>
        </w:tc>
        <w:tc>
          <w:tcPr>
            <w:tcW w:w="1242" w:type="dxa"/>
            <w:tcBorders>
              <w:top w:val="nil"/>
              <w:bottom w:val="single" w:sz="6" w:space="0" w:color="auto"/>
            </w:tcBorders>
            <w:shd w:val="clear" w:color="auto" w:fill="000000" w:themeFill="text1"/>
          </w:tcPr>
          <w:p w14:paraId="5BA94E80" w14:textId="35C35F7B" w:rsidR="000510E3" w:rsidRPr="006B00A8" w:rsidRDefault="000510E3" w:rsidP="000510E3">
            <w:pPr>
              <w:jc w:val="center"/>
              <w:rPr>
                <w:rFonts w:ascii="Arial" w:hAnsi="Arial" w:cs="Arial"/>
                <w:b/>
                <w:bCs/>
                <w:color w:val="FFFFFF" w:themeColor="background1"/>
                <w:sz w:val="20"/>
              </w:rPr>
            </w:pPr>
            <w:r w:rsidRPr="006B00A8">
              <w:rPr>
                <w:rFonts w:ascii="Arial" w:hAnsi="Arial" w:cs="Arial"/>
                <w:b/>
                <w:bCs/>
                <w:color w:val="FFFFFF" w:themeColor="background1"/>
                <w:sz w:val="20"/>
              </w:rPr>
              <w:t>Cautions</w:t>
            </w:r>
          </w:p>
        </w:tc>
        <w:tc>
          <w:tcPr>
            <w:tcW w:w="1808" w:type="dxa"/>
            <w:tcBorders>
              <w:top w:val="nil"/>
              <w:bottom w:val="single" w:sz="6" w:space="0" w:color="auto"/>
            </w:tcBorders>
            <w:shd w:val="clear" w:color="auto" w:fill="000000" w:themeFill="text1"/>
          </w:tcPr>
          <w:p w14:paraId="093564B6" w14:textId="350165D2" w:rsidR="000510E3" w:rsidRPr="006B00A8" w:rsidRDefault="000510E3" w:rsidP="000510E3">
            <w:pPr>
              <w:jc w:val="center"/>
              <w:rPr>
                <w:rFonts w:ascii="Arial" w:hAnsi="Arial" w:cs="Arial"/>
                <w:b/>
                <w:bCs/>
                <w:color w:val="FFFFFF" w:themeColor="background1"/>
                <w:sz w:val="20"/>
              </w:rPr>
            </w:pPr>
            <w:r w:rsidRPr="006B00A8">
              <w:rPr>
                <w:rFonts w:ascii="Arial" w:hAnsi="Arial" w:cs="Arial"/>
                <w:b/>
                <w:bCs/>
                <w:color w:val="FFFFFF" w:themeColor="background1"/>
                <w:sz w:val="20"/>
              </w:rPr>
              <w:t>Total Offences</w:t>
            </w:r>
          </w:p>
        </w:tc>
      </w:tr>
      <w:tr w:rsidR="000510E3" w14:paraId="1A250DE1" w14:textId="77777777" w:rsidTr="00F859F8">
        <w:tc>
          <w:tcPr>
            <w:tcW w:w="1808" w:type="dxa"/>
            <w:tcBorders>
              <w:top w:val="single" w:sz="6" w:space="0" w:color="auto"/>
              <w:bottom w:val="single" w:sz="6" w:space="0" w:color="auto"/>
            </w:tcBorders>
          </w:tcPr>
          <w:p w14:paraId="2AAC02E4" w14:textId="6168F9B7" w:rsidR="000510E3" w:rsidRDefault="00F859F8" w:rsidP="00F859F8">
            <w:pPr>
              <w:jc w:val="right"/>
              <w:rPr>
                <w:rFonts w:ascii="Arial" w:hAnsi="Arial" w:cs="Arial"/>
                <w:color w:val="000000"/>
                <w:sz w:val="20"/>
              </w:rPr>
            </w:pPr>
            <w:r>
              <w:rPr>
                <w:rFonts w:ascii="Arial" w:hAnsi="Arial" w:cs="Arial"/>
                <w:color w:val="000000"/>
                <w:sz w:val="20"/>
              </w:rPr>
              <w:t>17</w:t>
            </w:r>
          </w:p>
        </w:tc>
        <w:tc>
          <w:tcPr>
            <w:tcW w:w="1242" w:type="dxa"/>
            <w:tcBorders>
              <w:top w:val="single" w:sz="6" w:space="0" w:color="auto"/>
              <w:bottom w:val="single" w:sz="6" w:space="0" w:color="auto"/>
            </w:tcBorders>
          </w:tcPr>
          <w:p w14:paraId="23F7AC89" w14:textId="309F2812" w:rsidR="000510E3" w:rsidRDefault="006B00A8" w:rsidP="00F859F8">
            <w:pPr>
              <w:jc w:val="right"/>
              <w:rPr>
                <w:rFonts w:ascii="Arial" w:hAnsi="Arial" w:cs="Arial"/>
                <w:color w:val="000000"/>
                <w:sz w:val="20"/>
              </w:rPr>
            </w:pPr>
            <w:r>
              <w:rPr>
                <w:rFonts w:ascii="Arial" w:hAnsi="Arial" w:cs="Arial"/>
                <w:color w:val="000000"/>
                <w:sz w:val="20"/>
              </w:rPr>
              <w:t>1</w:t>
            </w:r>
          </w:p>
        </w:tc>
        <w:tc>
          <w:tcPr>
            <w:tcW w:w="2942" w:type="dxa"/>
            <w:gridSpan w:val="3"/>
            <w:tcBorders>
              <w:top w:val="single" w:sz="6" w:space="0" w:color="auto"/>
              <w:bottom w:val="single" w:sz="6" w:space="0" w:color="auto"/>
            </w:tcBorders>
          </w:tcPr>
          <w:p w14:paraId="6FA2D716" w14:textId="7F704EAF"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Homicide</w:t>
            </w:r>
          </w:p>
        </w:tc>
        <w:tc>
          <w:tcPr>
            <w:tcW w:w="1242" w:type="dxa"/>
            <w:tcBorders>
              <w:top w:val="single" w:sz="6" w:space="0" w:color="auto"/>
              <w:bottom w:val="single" w:sz="6" w:space="0" w:color="auto"/>
            </w:tcBorders>
          </w:tcPr>
          <w:p w14:paraId="55226698" w14:textId="2212278D" w:rsidR="000510E3" w:rsidRDefault="006B00A8" w:rsidP="00F859F8">
            <w:pPr>
              <w:jc w:val="right"/>
              <w:rPr>
                <w:rFonts w:ascii="Arial" w:hAnsi="Arial" w:cs="Arial"/>
                <w:color w:val="000000"/>
                <w:sz w:val="20"/>
              </w:rPr>
            </w:pPr>
            <w:r>
              <w:rPr>
                <w:rFonts w:ascii="Arial" w:hAnsi="Arial" w:cs="Arial"/>
                <w:color w:val="000000"/>
                <w:sz w:val="20"/>
              </w:rPr>
              <w:t>0</w:t>
            </w:r>
          </w:p>
        </w:tc>
        <w:tc>
          <w:tcPr>
            <w:tcW w:w="1808" w:type="dxa"/>
            <w:tcBorders>
              <w:top w:val="single" w:sz="6" w:space="0" w:color="auto"/>
              <w:bottom w:val="single" w:sz="6" w:space="0" w:color="auto"/>
            </w:tcBorders>
          </w:tcPr>
          <w:p w14:paraId="23C6BBF3" w14:textId="2D8420F8" w:rsidR="000510E3" w:rsidRDefault="006B00A8" w:rsidP="00F859F8">
            <w:pPr>
              <w:jc w:val="right"/>
              <w:rPr>
                <w:rFonts w:ascii="Arial" w:hAnsi="Arial" w:cs="Arial"/>
                <w:color w:val="000000"/>
                <w:sz w:val="20"/>
              </w:rPr>
            </w:pPr>
            <w:r>
              <w:rPr>
                <w:rFonts w:ascii="Arial" w:hAnsi="Arial" w:cs="Arial"/>
                <w:color w:val="000000"/>
                <w:sz w:val="20"/>
              </w:rPr>
              <w:t>7</w:t>
            </w:r>
          </w:p>
        </w:tc>
      </w:tr>
      <w:tr w:rsidR="000510E3" w14:paraId="6490C34D" w14:textId="77777777" w:rsidTr="006A0351">
        <w:tc>
          <w:tcPr>
            <w:tcW w:w="1808" w:type="dxa"/>
            <w:tcBorders>
              <w:top w:val="single" w:sz="6" w:space="0" w:color="auto"/>
              <w:bottom w:val="single" w:sz="6" w:space="0" w:color="auto"/>
            </w:tcBorders>
            <w:shd w:val="clear" w:color="auto" w:fill="DDDDDD"/>
          </w:tcPr>
          <w:p w14:paraId="1A9237D9" w14:textId="39589CAE" w:rsidR="000510E3" w:rsidRDefault="00F859F8" w:rsidP="00F859F8">
            <w:pPr>
              <w:jc w:val="right"/>
              <w:rPr>
                <w:rFonts w:ascii="Arial" w:hAnsi="Arial" w:cs="Arial"/>
                <w:color w:val="000000"/>
                <w:sz w:val="20"/>
              </w:rPr>
            </w:pPr>
            <w:r>
              <w:rPr>
                <w:rFonts w:ascii="Arial" w:hAnsi="Arial" w:cs="Arial"/>
                <w:color w:val="000000"/>
                <w:sz w:val="20"/>
              </w:rPr>
              <w:t>76</w:t>
            </w:r>
          </w:p>
        </w:tc>
        <w:tc>
          <w:tcPr>
            <w:tcW w:w="1242" w:type="dxa"/>
            <w:tcBorders>
              <w:top w:val="single" w:sz="6" w:space="0" w:color="auto"/>
              <w:bottom w:val="single" w:sz="6" w:space="0" w:color="auto"/>
            </w:tcBorders>
            <w:shd w:val="clear" w:color="auto" w:fill="DDDDDD"/>
          </w:tcPr>
          <w:p w14:paraId="767541C4" w14:textId="64D0F4E8" w:rsidR="000510E3" w:rsidRDefault="006B00A8" w:rsidP="00F859F8">
            <w:pPr>
              <w:jc w:val="right"/>
              <w:rPr>
                <w:rFonts w:ascii="Arial" w:hAnsi="Arial" w:cs="Arial"/>
                <w:color w:val="000000"/>
                <w:sz w:val="20"/>
              </w:rPr>
            </w:pPr>
            <w:r>
              <w:rPr>
                <w:rFonts w:ascii="Arial" w:hAnsi="Arial" w:cs="Arial"/>
                <w:color w:val="000000"/>
                <w:sz w:val="20"/>
              </w:rPr>
              <w:t>0</w:t>
            </w:r>
          </w:p>
        </w:tc>
        <w:tc>
          <w:tcPr>
            <w:tcW w:w="2942" w:type="dxa"/>
            <w:gridSpan w:val="3"/>
            <w:tcBorders>
              <w:top w:val="single" w:sz="6" w:space="0" w:color="auto"/>
              <w:bottom w:val="single" w:sz="6" w:space="0" w:color="auto"/>
            </w:tcBorders>
            <w:shd w:val="clear" w:color="auto" w:fill="DDDDDD"/>
          </w:tcPr>
          <w:p w14:paraId="0B68F66A" w14:textId="73D7199B"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Rape</w:t>
            </w:r>
          </w:p>
        </w:tc>
        <w:tc>
          <w:tcPr>
            <w:tcW w:w="1242" w:type="dxa"/>
            <w:tcBorders>
              <w:top w:val="single" w:sz="6" w:space="0" w:color="auto"/>
              <w:bottom w:val="single" w:sz="6" w:space="0" w:color="auto"/>
            </w:tcBorders>
            <w:shd w:val="clear" w:color="auto" w:fill="DDDDDD"/>
          </w:tcPr>
          <w:p w14:paraId="54C1FDE0" w14:textId="4E1CAAF3" w:rsidR="000510E3" w:rsidRDefault="006B00A8" w:rsidP="00F859F8">
            <w:pPr>
              <w:jc w:val="right"/>
              <w:rPr>
                <w:rFonts w:ascii="Arial" w:hAnsi="Arial" w:cs="Arial"/>
                <w:color w:val="000000"/>
                <w:sz w:val="20"/>
              </w:rPr>
            </w:pPr>
            <w:r>
              <w:rPr>
                <w:rFonts w:ascii="Arial" w:hAnsi="Arial" w:cs="Arial"/>
                <w:color w:val="000000"/>
                <w:sz w:val="20"/>
              </w:rPr>
              <w:t>0</w:t>
            </w:r>
          </w:p>
        </w:tc>
        <w:tc>
          <w:tcPr>
            <w:tcW w:w="1808" w:type="dxa"/>
            <w:tcBorders>
              <w:top w:val="single" w:sz="6" w:space="0" w:color="auto"/>
              <w:bottom w:val="single" w:sz="6" w:space="0" w:color="auto"/>
            </w:tcBorders>
            <w:shd w:val="clear" w:color="auto" w:fill="DDDDDD"/>
          </w:tcPr>
          <w:p w14:paraId="31354B26" w14:textId="0DEC1EE0" w:rsidR="000510E3" w:rsidRDefault="006B00A8" w:rsidP="00F859F8">
            <w:pPr>
              <w:jc w:val="right"/>
              <w:rPr>
                <w:rFonts w:ascii="Arial" w:hAnsi="Arial" w:cs="Arial"/>
                <w:color w:val="000000"/>
                <w:sz w:val="20"/>
              </w:rPr>
            </w:pPr>
            <w:r>
              <w:rPr>
                <w:rFonts w:ascii="Arial" w:hAnsi="Arial" w:cs="Arial"/>
                <w:color w:val="000000"/>
                <w:sz w:val="20"/>
              </w:rPr>
              <w:t>81</w:t>
            </w:r>
          </w:p>
        </w:tc>
      </w:tr>
      <w:tr w:rsidR="000510E3" w14:paraId="48645339" w14:textId="77777777" w:rsidTr="00F859F8">
        <w:tc>
          <w:tcPr>
            <w:tcW w:w="1808" w:type="dxa"/>
            <w:tcBorders>
              <w:top w:val="single" w:sz="6" w:space="0" w:color="auto"/>
              <w:bottom w:val="single" w:sz="6" w:space="0" w:color="auto"/>
            </w:tcBorders>
          </w:tcPr>
          <w:p w14:paraId="20A13A4A" w14:textId="51350B44" w:rsidR="000510E3" w:rsidRDefault="00F859F8" w:rsidP="00F859F8">
            <w:pPr>
              <w:jc w:val="right"/>
              <w:rPr>
                <w:rFonts w:ascii="Arial" w:hAnsi="Arial" w:cs="Arial"/>
                <w:color w:val="000000"/>
                <w:sz w:val="20"/>
              </w:rPr>
            </w:pPr>
            <w:r>
              <w:rPr>
                <w:rFonts w:ascii="Arial" w:hAnsi="Arial" w:cs="Arial"/>
                <w:color w:val="000000"/>
                <w:sz w:val="20"/>
              </w:rPr>
              <w:t>422</w:t>
            </w:r>
          </w:p>
        </w:tc>
        <w:tc>
          <w:tcPr>
            <w:tcW w:w="1242" w:type="dxa"/>
            <w:tcBorders>
              <w:top w:val="single" w:sz="6" w:space="0" w:color="auto"/>
              <w:bottom w:val="single" w:sz="6" w:space="0" w:color="auto"/>
            </w:tcBorders>
          </w:tcPr>
          <w:p w14:paraId="6445F023" w14:textId="07E26FF6" w:rsidR="000510E3" w:rsidRDefault="006B00A8" w:rsidP="00F859F8">
            <w:pPr>
              <w:jc w:val="right"/>
              <w:rPr>
                <w:rFonts w:ascii="Arial" w:hAnsi="Arial" w:cs="Arial"/>
                <w:color w:val="000000"/>
                <w:sz w:val="20"/>
              </w:rPr>
            </w:pPr>
            <w:r>
              <w:rPr>
                <w:rFonts w:ascii="Arial" w:hAnsi="Arial" w:cs="Arial"/>
                <w:color w:val="000000"/>
                <w:sz w:val="20"/>
              </w:rPr>
              <w:t>23</w:t>
            </w:r>
          </w:p>
        </w:tc>
        <w:tc>
          <w:tcPr>
            <w:tcW w:w="2942" w:type="dxa"/>
            <w:gridSpan w:val="3"/>
            <w:tcBorders>
              <w:top w:val="single" w:sz="6" w:space="0" w:color="auto"/>
              <w:bottom w:val="single" w:sz="6" w:space="0" w:color="auto"/>
            </w:tcBorders>
          </w:tcPr>
          <w:p w14:paraId="6A1A64F3" w14:textId="477018BE"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Sex (non rape)</w:t>
            </w:r>
          </w:p>
        </w:tc>
        <w:tc>
          <w:tcPr>
            <w:tcW w:w="1242" w:type="dxa"/>
            <w:tcBorders>
              <w:top w:val="single" w:sz="6" w:space="0" w:color="auto"/>
              <w:bottom w:val="single" w:sz="6" w:space="0" w:color="auto"/>
            </w:tcBorders>
          </w:tcPr>
          <w:p w14:paraId="119FB03F" w14:textId="7BCE9CAA" w:rsidR="000510E3" w:rsidRDefault="006B00A8" w:rsidP="00F859F8">
            <w:pPr>
              <w:jc w:val="right"/>
              <w:rPr>
                <w:rFonts w:ascii="Arial" w:hAnsi="Arial" w:cs="Arial"/>
                <w:color w:val="000000"/>
                <w:sz w:val="20"/>
              </w:rPr>
            </w:pPr>
            <w:r>
              <w:rPr>
                <w:rFonts w:ascii="Arial" w:hAnsi="Arial" w:cs="Arial"/>
                <w:color w:val="000000"/>
                <w:sz w:val="20"/>
              </w:rPr>
              <w:t>13</w:t>
            </w:r>
          </w:p>
        </w:tc>
        <w:tc>
          <w:tcPr>
            <w:tcW w:w="1808" w:type="dxa"/>
            <w:tcBorders>
              <w:top w:val="single" w:sz="6" w:space="0" w:color="auto"/>
              <w:bottom w:val="single" w:sz="6" w:space="0" w:color="auto"/>
            </w:tcBorders>
          </w:tcPr>
          <w:p w14:paraId="36391EEE" w14:textId="6FA1B555" w:rsidR="000510E3" w:rsidRDefault="00DF4047" w:rsidP="00F859F8">
            <w:pPr>
              <w:jc w:val="right"/>
              <w:rPr>
                <w:rFonts w:ascii="Arial" w:hAnsi="Arial" w:cs="Arial"/>
                <w:color w:val="000000"/>
                <w:sz w:val="20"/>
              </w:rPr>
            </w:pPr>
            <w:r>
              <w:rPr>
                <w:rFonts w:ascii="Arial" w:hAnsi="Arial" w:cs="Arial"/>
                <w:color w:val="000000"/>
                <w:sz w:val="20"/>
              </w:rPr>
              <w:t>291</w:t>
            </w:r>
          </w:p>
        </w:tc>
      </w:tr>
      <w:tr w:rsidR="000510E3" w14:paraId="550CAA10" w14:textId="77777777" w:rsidTr="006A0351">
        <w:tc>
          <w:tcPr>
            <w:tcW w:w="1808" w:type="dxa"/>
            <w:tcBorders>
              <w:top w:val="single" w:sz="6" w:space="0" w:color="auto"/>
              <w:bottom w:val="single" w:sz="6" w:space="0" w:color="auto"/>
            </w:tcBorders>
            <w:shd w:val="clear" w:color="auto" w:fill="DDDDDD"/>
          </w:tcPr>
          <w:p w14:paraId="4BD9857A" w14:textId="65C8674C" w:rsidR="000510E3" w:rsidRDefault="00F859F8" w:rsidP="00F859F8">
            <w:pPr>
              <w:jc w:val="right"/>
              <w:rPr>
                <w:rFonts w:ascii="Arial" w:hAnsi="Arial" w:cs="Arial"/>
                <w:color w:val="000000"/>
                <w:sz w:val="20"/>
              </w:rPr>
            </w:pPr>
            <w:r>
              <w:rPr>
                <w:rFonts w:ascii="Arial" w:hAnsi="Arial" w:cs="Arial"/>
                <w:color w:val="000000"/>
                <w:sz w:val="20"/>
              </w:rPr>
              <w:t>1204</w:t>
            </w:r>
          </w:p>
        </w:tc>
        <w:tc>
          <w:tcPr>
            <w:tcW w:w="1242" w:type="dxa"/>
            <w:tcBorders>
              <w:top w:val="single" w:sz="6" w:space="0" w:color="auto"/>
              <w:bottom w:val="single" w:sz="6" w:space="0" w:color="auto"/>
            </w:tcBorders>
            <w:shd w:val="clear" w:color="auto" w:fill="DDDDDD"/>
          </w:tcPr>
          <w:p w14:paraId="72E27601" w14:textId="02F7A1EA" w:rsidR="000510E3" w:rsidRDefault="006B00A8" w:rsidP="00F859F8">
            <w:pPr>
              <w:jc w:val="right"/>
              <w:rPr>
                <w:rFonts w:ascii="Arial" w:hAnsi="Arial" w:cs="Arial"/>
                <w:color w:val="000000"/>
                <w:sz w:val="20"/>
              </w:rPr>
            </w:pPr>
            <w:r>
              <w:rPr>
                <w:rFonts w:ascii="Arial" w:hAnsi="Arial" w:cs="Arial"/>
                <w:color w:val="000000"/>
                <w:sz w:val="20"/>
              </w:rPr>
              <w:t>36</w:t>
            </w:r>
          </w:p>
        </w:tc>
        <w:tc>
          <w:tcPr>
            <w:tcW w:w="2942" w:type="dxa"/>
            <w:gridSpan w:val="3"/>
            <w:tcBorders>
              <w:top w:val="single" w:sz="6" w:space="0" w:color="auto"/>
              <w:bottom w:val="single" w:sz="6" w:space="0" w:color="auto"/>
            </w:tcBorders>
            <w:shd w:val="clear" w:color="auto" w:fill="DDDDDD"/>
          </w:tcPr>
          <w:p w14:paraId="74D5F8A6" w14:textId="14134C9F"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Robbery</w:t>
            </w:r>
          </w:p>
        </w:tc>
        <w:tc>
          <w:tcPr>
            <w:tcW w:w="1242" w:type="dxa"/>
            <w:tcBorders>
              <w:top w:val="single" w:sz="6" w:space="0" w:color="auto"/>
              <w:bottom w:val="single" w:sz="6" w:space="0" w:color="auto"/>
            </w:tcBorders>
            <w:shd w:val="clear" w:color="auto" w:fill="DDDDDD"/>
          </w:tcPr>
          <w:p w14:paraId="4FB0F4E9" w14:textId="5174B574" w:rsidR="000510E3" w:rsidRDefault="006B00A8" w:rsidP="00F859F8">
            <w:pPr>
              <w:jc w:val="right"/>
              <w:rPr>
                <w:rFonts w:ascii="Arial" w:hAnsi="Arial" w:cs="Arial"/>
                <w:color w:val="000000"/>
                <w:sz w:val="20"/>
              </w:rPr>
            </w:pPr>
            <w:r>
              <w:rPr>
                <w:rFonts w:ascii="Arial" w:hAnsi="Arial" w:cs="Arial"/>
                <w:color w:val="000000"/>
                <w:sz w:val="20"/>
              </w:rPr>
              <w:t>30</w:t>
            </w:r>
          </w:p>
        </w:tc>
        <w:tc>
          <w:tcPr>
            <w:tcW w:w="1808" w:type="dxa"/>
            <w:tcBorders>
              <w:top w:val="single" w:sz="6" w:space="0" w:color="auto"/>
              <w:bottom w:val="single" w:sz="6" w:space="0" w:color="auto"/>
            </w:tcBorders>
            <w:shd w:val="clear" w:color="auto" w:fill="DDDDDD"/>
          </w:tcPr>
          <w:p w14:paraId="52B06B2E" w14:textId="1C04C4B7" w:rsidR="000510E3" w:rsidRDefault="00DF4047" w:rsidP="00F859F8">
            <w:pPr>
              <w:jc w:val="right"/>
              <w:rPr>
                <w:rFonts w:ascii="Arial" w:hAnsi="Arial" w:cs="Arial"/>
                <w:color w:val="000000"/>
                <w:sz w:val="20"/>
              </w:rPr>
            </w:pPr>
            <w:r>
              <w:rPr>
                <w:rFonts w:ascii="Arial" w:hAnsi="Arial" w:cs="Arial"/>
                <w:color w:val="000000"/>
                <w:sz w:val="20"/>
              </w:rPr>
              <w:t>1056</w:t>
            </w:r>
          </w:p>
        </w:tc>
      </w:tr>
      <w:tr w:rsidR="000510E3" w14:paraId="3AE1148D" w14:textId="77777777" w:rsidTr="00F859F8">
        <w:tc>
          <w:tcPr>
            <w:tcW w:w="1808" w:type="dxa"/>
            <w:tcBorders>
              <w:top w:val="single" w:sz="6" w:space="0" w:color="auto"/>
              <w:bottom w:val="single" w:sz="6" w:space="0" w:color="auto"/>
            </w:tcBorders>
          </w:tcPr>
          <w:p w14:paraId="61E5064C" w14:textId="7D43F62D" w:rsidR="000510E3" w:rsidRDefault="00F859F8" w:rsidP="00F859F8">
            <w:pPr>
              <w:jc w:val="right"/>
              <w:rPr>
                <w:rFonts w:ascii="Arial" w:hAnsi="Arial" w:cs="Arial"/>
                <w:color w:val="000000"/>
                <w:sz w:val="20"/>
              </w:rPr>
            </w:pPr>
            <w:r>
              <w:rPr>
                <w:rFonts w:ascii="Arial" w:hAnsi="Arial" w:cs="Arial"/>
                <w:color w:val="000000"/>
                <w:sz w:val="20"/>
              </w:rPr>
              <w:t>4671</w:t>
            </w:r>
          </w:p>
        </w:tc>
        <w:tc>
          <w:tcPr>
            <w:tcW w:w="1242" w:type="dxa"/>
            <w:tcBorders>
              <w:top w:val="single" w:sz="6" w:space="0" w:color="auto"/>
              <w:bottom w:val="single" w:sz="6" w:space="0" w:color="auto"/>
            </w:tcBorders>
          </w:tcPr>
          <w:p w14:paraId="2A2F6D53" w14:textId="38292BAA" w:rsidR="000510E3" w:rsidRDefault="006B00A8" w:rsidP="00F859F8">
            <w:pPr>
              <w:jc w:val="right"/>
              <w:rPr>
                <w:rFonts w:ascii="Arial" w:hAnsi="Arial" w:cs="Arial"/>
                <w:color w:val="000000"/>
                <w:sz w:val="20"/>
              </w:rPr>
            </w:pPr>
            <w:r>
              <w:rPr>
                <w:rFonts w:ascii="Arial" w:hAnsi="Arial" w:cs="Arial"/>
                <w:color w:val="000000"/>
                <w:sz w:val="20"/>
              </w:rPr>
              <w:t>672</w:t>
            </w:r>
          </w:p>
        </w:tc>
        <w:tc>
          <w:tcPr>
            <w:tcW w:w="2942" w:type="dxa"/>
            <w:gridSpan w:val="3"/>
            <w:tcBorders>
              <w:top w:val="single" w:sz="6" w:space="0" w:color="auto"/>
              <w:bottom w:val="single" w:sz="6" w:space="0" w:color="auto"/>
            </w:tcBorders>
          </w:tcPr>
          <w:p w14:paraId="7881C937" w14:textId="2151AC1D"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Assault</w:t>
            </w:r>
          </w:p>
        </w:tc>
        <w:tc>
          <w:tcPr>
            <w:tcW w:w="1242" w:type="dxa"/>
            <w:tcBorders>
              <w:top w:val="single" w:sz="6" w:space="0" w:color="auto"/>
              <w:bottom w:val="single" w:sz="6" w:space="0" w:color="auto"/>
            </w:tcBorders>
          </w:tcPr>
          <w:p w14:paraId="2611286F" w14:textId="1D24BA92" w:rsidR="000510E3" w:rsidRDefault="006B00A8" w:rsidP="00F859F8">
            <w:pPr>
              <w:jc w:val="right"/>
              <w:rPr>
                <w:rFonts w:ascii="Arial" w:hAnsi="Arial" w:cs="Arial"/>
                <w:color w:val="000000"/>
                <w:sz w:val="20"/>
              </w:rPr>
            </w:pPr>
            <w:r>
              <w:rPr>
                <w:rFonts w:ascii="Arial" w:hAnsi="Arial" w:cs="Arial"/>
                <w:color w:val="000000"/>
                <w:sz w:val="20"/>
              </w:rPr>
              <w:t>609</w:t>
            </w:r>
          </w:p>
        </w:tc>
        <w:tc>
          <w:tcPr>
            <w:tcW w:w="1808" w:type="dxa"/>
            <w:tcBorders>
              <w:top w:val="single" w:sz="6" w:space="0" w:color="auto"/>
              <w:bottom w:val="single" w:sz="6" w:space="0" w:color="auto"/>
            </w:tcBorders>
          </w:tcPr>
          <w:p w14:paraId="7B490210" w14:textId="25A753D9" w:rsidR="000510E3" w:rsidRDefault="00DF4047" w:rsidP="00F859F8">
            <w:pPr>
              <w:jc w:val="right"/>
              <w:rPr>
                <w:rFonts w:ascii="Arial" w:hAnsi="Arial" w:cs="Arial"/>
                <w:color w:val="000000"/>
                <w:sz w:val="20"/>
              </w:rPr>
            </w:pPr>
            <w:r>
              <w:rPr>
                <w:rFonts w:ascii="Arial" w:hAnsi="Arial" w:cs="Arial"/>
                <w:color w:val="000000"/>
                <w:sz w:val="20"/>
              </w:rPr>
              <w:t>4523</w:t>
            </w:r>
          </w:p>
        </w:tc>
      </w:tr>
      <w:tr w:rsidR="000510E3" w14:paraId="1CF4F76A" w14:textId="77777777" w:rsidTr="006A0351">
        <w:tc>
          <w:tcPr>
            <w:tcW w:w="1808" w:type="dxa"/>
            <w:tcBorders>
              <w:top w:val="single" w:sz="6" w:space="0" w:color="auto"/>
              <w:bottom w:val="single" w:sz="6" w:space="0" w:color="auto"/>
            </w:tcBorders>
            <w:shd w:val="clear" w:color="auto" w:fill="DDDDDD"/>
          </w:tcPr>
          <w:p w14:paraId="63A4260A" w14:textId="09336D96" w:rsidR="000510E3" w:rsidRDefault="006B00A8" w:rsidP="00F859F8">
            <w:pPr>
              <w:jc w:val="right"/>
              <w:rPr>
                <w:rFonts w:ascii="Arial" w:hAnsi="Arial" w:cs="Arial"/>
                <w:color w:val="000000"/>
                <w:sz w:val="20"/>
              </w:rPr>
            </w:pPr>
            <w:r>
              <w:rPr>
                <w:rFonts w:ascii="Arial" w:hAnsi="Arial" w:cs="Arial"/>
                <w:color w:val="000000"/>
                <w:sz w:val="20"/>
              </w:rPr>
              <w:t>39</w:t>
            </w:r>
          </w:p>
        </w:tc>
        <w:tc>
          <w:tcPr>
            <w:tcW w:w="1242" w:type="dxa"/>
            <w:tcBorders>
              <w:top w:val="single" w:sz="6" w:space="0" w:color="auto"/>
              <w:bottom w:val="single" w:sz="6" w:space="0" w:color="auto"/>
            </w:tcBorders>
            <w:shd w:val="clear" w:color="auto" w:fill="DDDDDD"/>
          </w:tcPr>
          <w:p w14:paraId="2B543988" w14:textId="1E7CE2A4" w:rsidR="000510E3" w:rsidRDefault="006B00A8" w:rsidP="00F859F8">
            <w:pPr>
              <w:jc w:val="right"/>
              <w:rPr>
                <w:rFonts w:ascii="Arial" w:hAnsi="Arial" w:cs="Arial"/>
                <w:color w:val="000000"/>
                <w:sz w:val="20"/>
              </w:rPr>
            </w:pPr>
            <w:r>
              <w:rPr>
                <w:rFonts w:ascii="Arial" w:hAnsi="Arial" w:cs="Arial"/>
                <w:color w:val="000000"/>
                <w:sz w:val="20"/>
              </w:rPr>
              <w:t>0</w:t>
            </w:r>
          </w:p>
        </w:tc>
        <w:tc>
          <w:tcPr>
            <w:tcW w:w="2942" w:type="dxa"/>
            <w:gridSpan w:val="3"/>
            <w:tcBorders>
              <w:top w:val="single" w:sz="6" w:space="0" w:color="auto"/>
              <w:bottom w:val="single" w:sz="6" w:space="0" w:color="auto"/>
            </w:tcBorders>
            <w:shd w:val="clear" w:color="auto" w:fill="DDDDDD"/>
          </w:tcPr>
          <w:p w14:paraId="592FDF76" w14:textId="30A3E20A"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Abduction/Kidnap</w:t>
            </w:r>
          </w:p>
        </w:tc>
        <w:tc>
          <w:tcPr>
            <w:tcW w:w="1242" w:type="dxa"/>
            <w:tcBorders>
              <w:top w:val="single" w:sz="6" w:space="0" w:color="auto"/>
              <w:bottom w:val="single" w:sz="6" w:space="0" w:color="auto"/>
            </w:tcBorders>
            <w:shd w:val="clear" w:color="auto" w:fill="DDDDDD"/>
          </w:tcPr>
          <w:p w14:paraId="1C9C8F88" w14:textId="251621B9" w:rsidR="000510E3" w:rsidRDefault="006B00A8" w:rsidP="00F859F8">
            <w:pPr>
              <w:jc w:val="right"/>
              <w:rPr>
                <w:rFonts w:ascii="Arial" w:hAnsi="Arial" w:cs="Arial"/>
                <w:color w:val="000000"/>
                <w:sz w:val="20"/>
              </w:rPr>
            </w:pPr>
            <w:r>
              <w:rPr>
                <w:rFonts w:ascii="Arial" w:hAnsi="Arial" w:cs="Arial"/>
                <w:color w:val="000000"/>
                <w:sz w:val="20"/>
              </w:rPr>
              <w:t>0</w:t>
            </w:r>
          </w:p>
        </w:tc>
        <w:tc>
          <w:tcPr>
            <w:tcW w:w="1808" w:type="dxa"/>
            <w:tcBorders>
              <w:top w:val="single" w:sz="6" w:space="0" w:color="auto"/>
              <w:bottom w:val="single" w:sz="6" w:space="0" w:color="auto"/>
            </w:tcBorders>
            <w:shd w:val="clear" w:color="auto" w:fill="DDDDDD"/>
          </w:tcPr>
          <w:p w14:paraId="3D3B09D5" w14:textId="39DB8493" w:rsidR="000510E3" w:rsidRDefault="00DF4047" w:rsidP="00F859F8">
            <w:pPr>
              <w:jc w:val="right"/>
              <w:rPr>
                <w:rFonts w:ascii="Arial" w:hAnsi="Arial" w:cs="Arial"/>
                <w:color w:val="000000"/>
                <w:sz w:val="20"/>
              </w:rPr>
            </w:pPr>
            <w:r>
              <w:rPr>
                <w:rFonts w:ascii="Arial" w:hAnsi="Arial" w:cs="Arial"/>
                <w:color w:val="000000"/>
                <w:sz w:val="20"/>
              </w:rPr>
              <w:t>42</w:t>
            </w:r>
          </w:p>
        </w:tc>
      </w:tr>
      <w:tr w:rsidR="000510E3" w14:paraId="64D6894F" w14:textId="77777777" w:rsidTr="00F859F8">
        <w:tc>
          <w:tcPr>
            <w:tcW w:w="1808" w:type="dxa"/>
            <w:tcBorders>
              <w:top w:val="single" w:sz="6" w:space="0" w:color="auto"/>
              <w:bottom w:val="single" w:sz="6" w:space="0" w:color="auto"/>
            </w:tcBorders>
          </w:tcPr>
          <w:p w14:paraId="6066C16D" w14:textId="6DA1F72F" w:rsidR="000510E3" w:rsidRDefault="006B00A8" w:rsidP="00F859F8">
            <w:pPr>
              <w:jc w:val="right"/>
              <w:rPr>
                <w:rFonts w:ascii="Arial" w:hAnsi="Arial" w:cs="Arial"/>
                <w:color w:val="000000"/>
                <w:sz w:val="20"/>
              </w:rPr>
            </w:pPr>
            <w:r>
              <w:rPr>
                <w:rFonts w:ascii="Arial" w:hAnsi="Arial" w:cs="Arial"/>
                <w:color w:val="000000"/>
                <w:sz w:val="20"/>
              </w:rPr>
              <w:t>441</w:t>
            </w:r>
          </w:p>
        </w:tc>
        <w:tc>
          <w:tcPr>
            <w:tcW w:w="1242" w:type="dxa"/>
            <w:tcBorders>
              <w:top w:val="single" w:sz="6" w:space="0" w:color="auto"/>
              <w:bottom w:val="single" w:sz="6" w:space="0" w:color="auto"/>
            </w:tcBorders>
          </w:tcPr>
          <w:p w14:paraId="61174EE8" w14:textId="6DC1C566" w:rsidR="000510E3" w:rsidRDefault="006B00A8" w:rsidP="00F859F8">
            <w:pPr>
              <w:jc w:val="right"/>
              <w:rPr>
                <w:rFonts w:ascii="Arial" w:hAnsi="Arial" w:cs="Arial"/>
                <w:color w:val="000000"/>
                <w:sz w:val="20"/>
              </w:rPr>
            </w:pPr>
            <w:r>
              <w:rPr>
                <w:rFonts w:ascii="Arial" w:hAnsi="Arial" w:cs="Arial"/>
                <w:color w:val="000000"/>
                <w:sz w:val="20"/>
              </w:rPr>
              <w:t>154</w:t>
            </w:r>
          </w:p>
        </w:tc>
        <w:tc>
          <w:tcPr>
            <w:tcW w:w="2942" w:type="dxa"/>
            <w:gridSpan w:val="3"/>
            <w:tcBorders>
              <w:top w:val="single" w:sz="6" w:space="0" w:color="auto"/>
              <w:bottom w:val="single" w:sz="6" w:space="0" w:color="auto"/>
            </w:tcBorders>
          </w:tcPr>
          <w:p w14:paraId="563B1217" w14:textId="29320A03"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Arson</w:t>
            </w:r>
          </w:p>
        </w:tc>
        <w:tc>
          <w:tcPr>
            <w:tcW w:w="1242" w:type="dxa"/>
            <w:tcBorders>
              <w:top w:val="single" w:sz="6" w:space="0" w:color="auto"/>
              <w:bottom w:val="single" w:sz="6" w:space="0" w:color="auto"/>
            </w:tcBorders>
          </w:tcPr>
          <w:p w14:paraId="3331E734" w14:textId="0D89C584" w:rsidR="000510E3" w:rsidRDefault="006B00A8" w:rsidP="00F859F8">
            <w:pPr>
              <w:jc w:val="right"/>
              <w:rPr>
                <w:rFonts w:ascii="Arial" w:hAnsi="Arial" w:cs="Arial"/>
                <w:color w:val="000000"/>
                <w:sz w:val="20"/>
              </w:rPr>
            </w:pPr>
            <w:r>
              <w:rPr>
                <w:rFonts w:ascii="Arial" w:hAnsi="Arial" w:cs="Arial"/>
                <w:color w:val="000000"/>
                <w:sz w:val="20"/>
              </w:rPr>
              <w:t>76</w:t>
            </w:r>
          </w:p>
        </w:tc>
        <w:tc>
          <w:tcPr>
            <w:tcW w:w="1808" w:type="dxa"/>
            <w:tcBorders>
              <w:top w:val="single" w:sz="6" w:space="0" w:color="auto"/>
              <w:bottom w:val="single" w:sz="6" w:space="0" w:color="auto"/>
            </w:tcBorders>
          </w:tcPr>
          <w:p w14:paraId="1C7F907B" w14:textId="069F49E5" w:rsidR="000510E3" w:rsidRDefault="00DF4047" w:rsidP="00F859F8">
            <w:pPr>
              <w:jc w:val="right"/>
              <w:rPr>
                <w:rFonts w:ascii="Arial" w:hAnsi="Arial" w:cs="Arial"/>
                <w:color w:val="000000"/>
                <w:sz w:val="20"/>
              </w:rPr>
            </w:pPr>
            <w:r>
              <w:rPr>
                <w:rFonts w:ascii="Arial" w:hAnsi="Arial" w:cs="Arial"/>
                <w:color w:val="000000"/>
                <w:sz w:val="20"/>
              </w:rPr>
              <w:t>295</w:t>
            </w:r>
          </w:p>
        </w:tc>
      </w:tr>
      <w:tr w:rsidR="000510E3" w14:paraId="2C287838" w14:textId="77777777" w:rsidTr="006A0351">
        <w:tc>
          <w:tcPr>
            <w:tcW w:w="1808" w:type="dxa"/>
            <w:tcBorders>
              <w:top w:val="single" w:sz="6" w:space="0" w:color="auto"/>
              <w:bottom w:val="single" w:sz="6" w:space="0" w:color="auto"/>
            </w:tcBorders>
            <w:shd w:val="clear" w:color="auto" w:fill="DDDDDD"/>
          </w:tcPr>
          <w:p w14:paraId="4CDE6E0D" w14:textId="79A72D83" w:rsidR="000510E3" w:rsidRDefault="006B00A8" w:rsidP="00F859F8">
            <w:pPr>
              <w:jc w:val="right"/>
              <w:rPr>
                <w:rFonts w:ascii="Arial" w:hAnsi="Arial" w:cs="Arial"/>
                <w:color w:val="000000"/>
                <w:sz w:val="20"/>
              </w:rPr>
            </w:pPr>
            <w:r>
              <w:rPr>
                <w:rFonts w:ascii="Arial" w:hAnsi="Arial" w:cs="Arial"/>
                <w:color w:val="000000"/>
                <w:sz w:val="20"/>
              </w:rPr>
              <w:t>5839</w:t>
            </w:r>
          </w:p>
        </w:tc>
        <w:tc>
          <w:tcPr>
            <w:tcW w:w="1242" w:type="dxa"/>
            <w:tcBorders>
              <w:top w:val="single" w:sz="6" w:space="0" w:color="auto"/>
              <w:bottom w:val="single" w:sz="6" w:space="0" w:color="auto"/>
            </w:tcBorders>
            <w:shd w:val="clear" w:color="auto" w:fill="DDDDDD"/>
          </w:tcPr>
          <w:p w14:paraId="0C30CAE2" w14:textId="1F0F3E1F" w:rsidR="000510E3" w:rsidRDefault="006B00A8" w:rsidP="00F859F8">
            <w:pPr>
              <w:jc w:val="right"/>
              <w:rPr>
                <w:rFonts w:ascii="Arial" w:hAnsi="Arial" w:cs="Arial"/>
                <w:color w:val="000000"/>
                <w:sz w:val="20"/>
              </w:rPr>
            </w:pPr>
            <w:r>
              <w:rPr>
                <w:rFonts w:ascii="Arial" w:hAnsi="Arial" w:cs="Arial"/>
                <w:color w:val="000000"/>
                <w:sz w:val="20"/>
              </w:rPr>
              <w:t>1411</w:t>
            </w:r>
          </w:p>
        </w:tc>
        <w:tc>
          <w:tcPr>
            <w:tcW w:w="2942" w:type="dxa"/>
            <w:gridSpan w:val="3"/>
            <w:tcBorders>
              <w:top w:val="single" w:sz="6" w:space="0" w:color="auto"/>
              <w:bottom w:val="single" w:sz="6" w:space="0" w:color="auto"/>
            </w:tcBorders>
            <w:shd w:val="clear" w:color="auto" w:fill="DDDDDD"/>
          </w:tcPr>
          <w:p w14:paraId="46E3F1A1" w14:textId="031AB77F"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Property Damage</w:t>
            </w:r>
          </w:p>
        </w:tc>
        <w:tc>
          <w:tcPr>
            <w:tcW w:w="1242" w:type="dxa"/>
            <w:tcBorders>
              <w:top w:val="single" w:sz="6" w:space="0" w:color="auto"/>
              <w:bottom w:val="single" w:sz="6" w:space="0" w:color="auto"/>
            </w:tcBorders>
            <w:shd w:val="clear" w:color="auto" w:fill="DDDDDD"/>
          </w:tcPr>
          <w:p w14:paraId="31B989CD" w14:textId="37AEE11F" w:rsidR="000510E3" w:rsidRDefault="006B00A8" w:rsidP="00F859F8">
            <w:pPr>
              <w:jc w:val="right"/>
              <w:rPr>
                <w:rFonts w:ascii="Arial" w:hAnsi="Arial" w:cs="Arial"/>
                <w:color w:val="000000"/>
                <w:sz w:val="20"/>
              </w:rPr>
            </w:pPr>
            <w:r>
              <w:rPr>
                <w:rFonts w:ascii="Arial" w:hAnsi="Arial" w:cs="Arial"/>
                <w:color w:val="000000"/>
                <w:sz w:val="20"/>
              </w:rPr>
              <w:t>1148</w:t>
            </w:r>
          </w:p>
        </w:tc>
        <w:tc>
          <w:tcPr>
            <w:tcW w:w="1808" w:type="dxa"/>
            <w:tcBorders>
              <w:top w:val="single" w:sz="6" w:space="0" w:color="auto"/>
              <w:bottom w:val="single" w:sz="6" w:space="0" w:color="auto"/>
            </w:tcBorders>
            <w:shd w:val="clear" w:color="auto" w:fill="DDDDDD"/>
          </w:tcPr>
          <w:p w14:paraId="35E84EEC" w14:textId="6B4DA874" w:rsidR="000510E3" w:rsidRDefault="00DF4047" w:rsidP="00F859F8">
            <w:pPr>
              <w:jc w:val="right"/>
              <w:rPr>
                <w:rFonts w:ascii="Arial" w:hAnsi="Arial" w:cs="Arial"/>
                <w:color w:val="000000"/>
                <w:sz w:val="20"/>
              </w:rPr>
            </w:pPr>
            <w:r>
              <w:rPr>
                <w:rFonts w:ascii="Arial" w:hAnsi="Arial" w:cs="Arial"/>
                <w:color w:val="000000"/>
                <w:sz w:val="20"/>
              </w:rPr>
              <w:t>4083</w:t>
            </w:r>
          </w:p>
        </w:tc>
      </w:tr>
      <w:tr w:rsidR="000510E3" w14:paraId="7A8B3B2C" w14:textId="77777777" w:rsidTr="00F859F8">
        <w:tc>
          <w:tcPr>
            <w:tcW w:w="1808" w:type="dxa"/>
            <w:tcBorders>
              <w:top w:val="single" w:sz="6" w:space="0" w:color="auto"/>
              <w:bottom w:val="single" w:sz="6" w:space="0" w:color="auto"/>
            </w:tcBorders>
          </w:tcPr>
          <w:p w14:paraId="1A155F95" w14:textId="78218B47" w:rsidR="000510E3" w:rsidRDefault="006B00A8" w:rsidP="00F859F8">
            <w:pPr>
              <w:jc w:val="right"/>
              <w:rPr>
                <w:rFonts w:ascii="Arial" w:hAnsi="Arial" w:cs="Arial"/>
                <w:color w:val="000000"/>
                <w:sz w:val="20"/>
              </w:rPr>
            </w:pPr>
            <w:r>
              <w:rPr>
                <w:rFonts w:ascii="Arial" w:hAnsi="Arial" w:cs="Arial"/>
                <w:color w:val="000000"/>
                <w:sz w:val="20"/>
              </w:rPr>
              <w:t>181</w:t>
            </w:r>
          </w:p>
        </w:tc>
        <w:tc>
          <w:tcPr>
            <w:tcW w:w="1242" w:type="dxa"/>
            <w:tcBorders>
              <w:top w:val="single" w:sz="6" w:space="0" w:color="auto"/>
              <w:bottom w:val="single" w:sz="6" w:space="0" w:color="auto"/>
            </w:tcBorders>
          </w:tcPr>
          <w:p w14:paraId="4100A461" w14:textId="26CEDC1E" w:rsidR="000510E3" w:rsidRDefault="006B00A8" w:rsidP="00F859F8">
            <w:pPr>
              <w:jc w:val="right"/>
              <w:rPr>
                <w:rFonts w:ascii="Arial" w:hAnsi="Arial" w:cs="Arial"/>
                <w:color w:val="000000"/>
                <w:sz w:val="20"/>
              </w:rPr>
            </w:pPr>
            <w:r>
              <w:rPr>
                <w:rFonts w:ascii="Arial" w:hAnsi="Arial" w:cs="Arial"/>
                <w:color w:val="000000"/>
                <w:sz w:val="20"/>
              </w:rPr>
              <w:t>3</w:t>
            </w:r>
          </w:p>
        </w:tc>
        <w:tc>
          <w:tcPr>
            <w:tcW w:w="2942" w:type="dxa"/>
            <w:gridSpan w:val="3"/>
            <w:tcBorders>
              <w:top w:val="single" w:sz="6" w:space="0" w:color="auto"/>
              <w:bottom w:val="single" w:sz="6" w:space="0" w:color="auto"/>
            </w:tcBorders>
          </w:tcPr>
          <w:p w14:paraId="50AF017E" w14:textId="6FB2E6E5"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Aggravated Burglary</w:t>
            </w:r>
          </w:p>
        </w:tc>
        <w:tc>
          <w:tcPr>
            <w:tcW w:w="1242" w:type="dxa"/>
            <w:tcBorders>
              <w:top w:val="single" w:sz="6" w:space="0" w:color="auto"/>
              <w:bottom w:val="single" w:sz="6" w:space="0" w:color="auto"/>
            </w:tcBorders>
          </w:tcPr>
          <w:p w14:paraId="64D919F6" w14:textId="4AFF410C" w:rsidR="000510E3" w:rsidRDefault="006B00A8" w:rsidP="00F859F8">
            <w:pPr>
              <w:jc w:val="right"/>
              <w:rPr>
                <w:rFonts w:ascii="Arial" w:hAnsi="Arial" w:cs="Arial"/>
                <w:color w:val="000000"/>
                <w:sz w:val="20"/>
              </w:rPr>
            </w:pPr>
            <w:r>
              <w:rPr>
                <w:rFonts w:ascii="Arial" w:hAnsi="Arial" w:cs="Arial"/>
                <w:color w:val="000000"/>
                <w:sz w:val="20"/>
              </w:rPr>
              <w:t>6</w:t>
            </w:r>
          </w:p>
        </w:tc>
        <w:tc>
          <w:tcPr>
            <w:tcW w:w="1808" w:type="dxa"/>
            <w:tcBorders>
              <w:top w:val="single" w:sz="6" w:space="0" w:color="auto"/>
              <w:bottom w:val="single" w:sz="6" w:space="0" w:color="auto"/>
            </w:tcBorders>
          </w:tcPr>
          <w:p w14:paraId="77C5CE60" w14:textId="70A891B0" w:rsidR="000510E3" w:rsidRDefault="00DF4047" w:rsidP="00F859F8">
            <w:pPr>
              <w:jc w:val="right"/>
              <w:rPr>
                <w:rFonts w:ascii="Arial" w:hAnsi="Arial" w:cs="Arial"/>
                <w:color w:val="000000"/>
                <w:sz w:val="20"/>
              </w:rPr>
            </w:pPr>
            <w:r>
              <w:rPr>
                <w:rFonts w:ascii="Arial" w:hAnsi="Arial" w:cs="Arial"/>
                <w:color w:val="000000"/>
                <w:sz w:val="20"/>
              </w:rPr>
              <w:t>181</w:t>
            </w:r>
          </w:p>
        </w:tc>
      </w:tr>
      <w:tr w:rsidR="000510E3" w14:paraId="7278599B" w14:textId="77777777" w:rsidTr="006A0351">
        <w:tc>
          <w:tcPr>
            <w:tcW w:w="1808" w:type="dxa"/>
            <w:tcBorders>
              <w:top w:val="single" w:sz="6" w:space="0" w:color="auto"/>
              <w:bottom w:val="single" w:sz="6" w:space="0" w:color="auto"/>
            </w:tcBorders>
            <w:shd w:val="clear" w:color="auto" w:fill="DDDDDD"/>
          </w:tcPr>
          <w:p w14:paraId="1E7BF9CD" w14:textId="20C0893B" w:rsidR="000510E3" w:rsidRDefault="006B00A8" w:rsidP="00F859F8">
            <w:pPr>
              <w:jc w:val="right"/>
              <w:rPr>
                <w:rFonts w:ascii="Arial" w:hAnsi="Arial" w:cs="Arial"/>
                <w:color w:val="000000"/>
                <w:sz w:val="20"/>
              </w:rPr>
            </w:pPr>
            <w:r>
              <w:rPr>
                <w:rFonts w:ascii="Arial" w:hAnsi="Arial" w:cs="Arial"/>
                <w:color w:val="000000"/>
                <w:sz w:val="20"/>
              </w:rPr>
              <w:t>3694</w:t>
            </w:r>
          </w:p>
        </w:tc>
        <w:tc>
          <w:tcPr>
            <w:tcW w:w="1242" w:type="dxa"/>
            <w:tcBorders>
              <w:top w:val="single" w:sz="6" w:space="0" w:color="auto"/>
              <w:bottom w:val="single" w:sz="6" w:space="0" w:color="auto"/>
            </w:tcBorders>
            <w:shd w:val="clear" w:color="auto" w:fill="DDDDDD"/>
          </w:tcPr>
          <w:p w14:paraId="152AF4F5" w14:textId="34934632" w:rsidR="000510E3" w:rsidRDefault="006B00A8" w:rsidP="00F859F8">
            <w:pPr>
              <w:jc w:val="right"/>
              <w:rPr>
                <w:rFonts w:ascii="Arial" w:hAnsi="Arial" w:cs="Arial"/>
                <w:color w:val="000000"/>
                <w:sz w:val="20"/>
              </w:rPr>
            </w:pPr>
            <w:r>
              <w:rPr>
                <w:rFonts w:ascii="Arial" w:hAnsi="Arial" w:cs="Arial"/>
                <w:color w:val="000000"/>
                <w:sz w:val="20"/>
              </w:rPr>
              <w:t>876</w:t>
            </w:r>
          </w:p>
        </w:tc>
        <w:tc>
          <w:tcPr>
            <w:tcW w:w="2942" w:type="dxa"/>
            <w:gridSpan w:val="3"/>
            <w:tcBorders>
              <w:top w:val="single" w:sz="6" w:space="0" w:color="auto"/>
              <w:bottom w:val="single" w:sz="6" w:space="0" w:color="auto"/>
            </w:tcBorders>
            <w:shd w:val="clear" w:color="auto" w:fill="DDDDDD"/>
          </w:tcPr>
          <w:p w14:paraId="2C04196C" w14:textId="28540A5C"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Burglary</w:t>
            </w:r>
          </w:p>
        </w:tc>
        <w:tc>
          <w:tcPr>
            <w:tcW w:w="1242" w:type="dxa"/>
            <w:tcBorders>
              <w:top w:val="single" w:sz="6" w:space="0" w:color="auto"/>
              <w:bottom w:val="single" w:sz="6" w:space="0" w:color="auto"/>
            </w:tcBorders>
            <w:shd w:val="clear" w:color="auto" w:fill="DDDDDD"/>
          </w:tcPr>
          <w:p w14:paraId="3450037A" w14:textId="4F38657D" w:rsidR="000510E3" w:rsidRDefault="006B00A8" w:rsidP="00F859F8">
            <w:pPr>
              <w:jc w:val="right"/>
              <w:rPr>
                <w:rFonts w:ascii="Arial" w:hAnsi="Arial" w:cs="Arial"/>
                <w:color w:val="000000"/>
                <w:sz w:val="20"/>
              </w:rPr>
            </w:pPr>
            <w:r>
              <w:rPr>
                <w:rFonts w:ascii="Arial" w:hAnsi="Arial" w:cs="Arial"/>
                <w:color w:val="000000"/>
                <w:sz w:val="20"/>
              </w:rPr>
              <w:t>651</w:t>
            </w:r>
          </w:p>
        </w:tc>
        <w:tc>
          <w:tcPr>
            <w:tcW w:w="1808" w:type="dxa"/>
            <w:tcBorders>
              <w:top w:val="single" w:sz="6" w:space="0" w:color="auto"/>
              <w:bottom w:val="single" w:sz="6" w:space="0" w:color="auto"/>
            </w:tcBorders>
            <w:shd w:val="clear" w:color="auto" w:fill="DDDDDD"/>
          </w:tcPr>
          <w:p w14:paraId="7CA21E7B" w14:textId="63C90F44" w:rsidR="000510E3" w:rsidRDefault="00DF4047" w:rsidP="00F859F8">
            <w:pPr>
              <w:jc w:val="right"/>
              <w:rPr>
                <w:rFonts w:ascii="Arial" w:hAnsi="Arial" w:cs="Arial"/>
                <w:color w:val="000000"/>
                <w:sz w:val="20"/>
              </w:rPr>
            </w:pPr>
            <w:r>
              <w:rPr>
                <w:rFonts w:ascii="Arial" w:hAnsi="Arial" w:cs="Arial"/>
                <w:color w:val="000000"/>
                <w:sz w:val="20"/>
              </w:rPr>
              <w:t>2703</w:t>
            </w:r>
          </w:p>
        </w:tc>
      </w:tr>
      <w:tr w:rsidR="000510E3" w14:paraId="660C9988" w14:textId="77777777" w:rsidTr="00F859F8">
        <w:tc>
          <w:tcPr>
            <w:tcW w:w="1808" w:type="dxa"/>
            <w:tcBorders>
              <w:top w:val="single" w:sz="6" w:space="0" w:color="auto"/>
              <w:bottom w:val="single" w:sz="6" w:space="0" w:color="auto"/>
            </w:tcBorders>
          </w:tcPr>
          <w:p w14:paraId="5A903D42" w14:textId="399BE395" w:rsidR="000510E3" w:rsidRDefault="006B00A8" w:rsidP="00F859F8">
            <w:pPr>
              <w:jc w:val="right"/>
              <w:rPr>
                <w:rFonts w:ascii="Arial" w:hAnsi="Arial" w:cs="Arial"/>
                <w:color w:val="000000"/>
                <w:sz w:val="20"/>
              </w:rPr>
            </w:pPr>
            <w:r>
              <w:rPr>
                <w:rFonts w:ascii="Arial" w:hAnsi="Arial" w:cs="Arial"/>
                <w:color w:val="000000"/>
                <w:sz w:val="20"/>
              </w:rPr>
              <w:t>506</w:t>
            </w:r>
          </w:p>
        </w:tc>
        <w:tc>
          <w:tcPr>
            <w:tcW w:w="1242" w:type="dxa"/>
            <w:tcBorders>
              <w:top w:val="single" w:sz="6" w:space="0" w:color="auto"/>
              <w:bottom w:val="single" w:sz="6" w:space="0" w:color="auto"/>
            </w:tcBorders>
          </w:tcPr>
          <w:p w14:paraId="6A8AE29E" w14:textId="31EDD041" w:rsidR="000510E3" w:rsidRDefault="006B00A8" w:rsidP="00F859F8">
            <w:pPr>
              <w:jc w:val="right"/>
              <w:rPr>
                <w:rFonts w:ascii="Arial" w:hAnsi="Arial" w:cs="Arial"/>
                <w:color w:val="000000"/>
                <w:sz w:val="20"/>
              </w:rPr>
            </w:pPr>
            <w:r>
              <w:rPr>
                <w:rFonts w:ascii="Arial" w:hAnsi="Arial" w:cs="Arial"/>
                <w:color w:val="000000"/>
                <w:sz w:val="20"/>
              </w:rPr>
              <w:t>96</w:t>
            </w:r>
          </w:p>
        </w:tc>
        <w:tc>
          <w:tcPr>
            <w:tcW w:w="2942" w:type="dxa"/>
            <w:gridSpan w:val="3"/>
            <w:tcBorders>
              <w:top w:val="single" w:sz="6" w:space="0" w:color="auto"/>
              <w:bottom w:val="single" w:sz="6" w:space="0" w:color="auto"/>
            </w:tcBorders>
          </w:tcPr>
          <w:p w14:paraId="6D24B8D6" w14:textId="4E7A07A7"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Deception</w:t>
            </w:r>
          </w:p>
        </w:tc>
        <w:tc>
          <w:tcPr>
            <w:tcW w:w="1242" w:type="dxa"/>
            <w:tcBorders>
              <w:top w:val="single" w:sz="6" w:space="0" w:color="auto"/>
              <w:bottom w:val="single" w:sz="6" w:space="0" w:color="auto"/>
            </w:tcBorders>
          </w:tcPr>
          <w:p w14:paraId="34D3EA18" w14:textId="59D8B0A4" w:rsidR="000510E3" w:rsidRDefault="006B00A8" w:rsidP="00F859F8">
            <w:pPr>
              <w:jc w:val="right"/>
              <w:rPr>
                <w:rFonts w:ascii="Arial" w:hAnsi="Arial" w:cs="Arial"/>
                <w:color w:val="000000"/>
                <w:sz w:val="20"/>
              </w:rPr>
            </w:pPr>
            <w:r>
              <w:rPr>
                <w:rFonts w:ascii="Arial" w:hAnsi="Arial" w:cs="Arial"/>
                <w:color w:val="000000"/>
                <w:sz w:val="20"/>
              </w:rPr>
              <w:t>37</w:t>
            </w:r>
          </w:p>
        </w:tc>
        <w:tc>
          <w:tcPr>
            <w:tcW w:w="1808" w:type="dxa"/>
            <w:tcBorders>
              <w:top w:val="single" w:sz="6" w:space="0" w:color="auto"/>
              <w:bottom w:val="single" w:sz="6" w:space="0" w:color="auto"/>
            </w:tcBorders>
          </w:tcPr>
          <w:p w14:paraId="40C87A67" w14:textId="271528D9" w:rsidR="000510E3" w:rsidRDefault="00DF4047" w:rsidP="00F859F8">
            <w:pPr>
              <w:jc w:val="right"/>
              <w:rPr>
                <w:rFonts w:ascii="Arial" w:hAnsi="Arial" w:cs="Arial"/>
                <w:color w:val="000000"/>
                <w:sz w:val="20"/>
              </w:rPr>
            </w:pPr>
            <w:r>
              <w:rPr>
                <w:rFonts w:ascii="Arial" w:hAnsi="Arial" w:cs="Arial"/>
                <w:color w:val="000000"/>
                <w:sz w:val="20"/>
              </w:rPr>
              <w:t>326</w:t>
            </w:r>
          </w:p>
        </w:tc>
      </w:tr>
      <w:tr w:rsidR="000510E3" w14:paraId="4ACC2C75" w14:textId="77777777" w:rsidTr="006A0351">
        <w:tc>
          <w:tcPr>
            <w:tcW w:w="1808" w:type="dxa"/>
            <w:tcBorders>
              <w:top w:val="single" w:sz="6" w:space="0" w:color="auto"/>
              <w:bottom w:val="single" w:sz="6" w:space="0" w:color="auto"/>
            </w:tcBorders>
            <w:shd w:val="clear" w:color="auto" w:fill="DDDDDD"/>
          </w:tcPr>
          <w:p w14:paraId="01E9D7E7" w14:textId="4390F161" w:rsidR="000510E3" w:rsidRDefault="006B00A8" w:rsidP="00F859F8">
            <w:pPr>
              <w:jc w:val="right"/>
              <w:rPr>
                <w:rFonts w:ascii="Arial" w:hAnsi="Arial" w:cs="Arial"/>
                <w:color w:val="000000"/>
                <w:sz w:val="20"/>
              </w:rPr>
            </w:pPr>
            <w:r>
              <w:rPr>
                <w:rFonts w:ascii="Arial" w:hAnsi="Arial" w:cs="Arial"/>
                <w:color w:val="000000"/>
                <w:sz w:val="20"/>
              </w:rPr>
              <w:t>707</w:t>
            </w:r>
          </w:p>
        </w:tc>
        <w:tc>
          <w:tcPr>
            <w:tcW w:w="1242" w:type="dxa"/>
            <w:tcBorders>
              <w:top w:val="single" w:sz="6" w:space="0" w:color="auto"/>
              <w:bottom w:val="single" w:sz="6" w:space="0" w:color="auto"/>
            </w:tcBorders>
            <w:shd w:val="clear" w:color="auto" w:fill="DDDDDD"/>
          </w:tcPr>
          <w:p w14:paraId="030C78B0" w14:textId="6015E65D" w:rsidR="000510E3" w:rsidRDefault="006B00A8" w:rsidP="00F859F8">
            <w:pPr>
              <w:jc w:val="right"/>
              <w:rPr>
                <w:rFonts w:ascii="Arial" w:hAnsi="Arial" w:cs="Arial"/>
                <w:color w:val="000000"/>
                <w:sz w:val="20"/>
              </w:rPr>
            </w:pPr>
            <w:r>
              <w:rPr>
                <w:rFonts w:ascii="Arial" w:hAnsi="Arial" w:cs="Arial"/>
                <w:color w:val="000000"/>
                <w:sz w:val="20"/>
              </w:rPr>
              <w:t>633</w:t>
            </w:r>
          </w:p>
        </w:tc>
        <w:tc>
          <w:tcPr>
            <w:tcW w:w="2942" w:type="dxa"/>
            <w:gridSpan w:val="3"/>
            <w:tcBorders>
              <w:top w:val="single" w:sz="6" w:space="0" w:color="auto"/>
              <w:bottom w:val="single" w:sz="6" w:space="0" w:color="auto"/>
            </w:tcBorders>
            <w:shd w:val="clear" w:color="auto" w:fill="DDDDDD"/>
          </w:tcPr>
          <w:p w14:paraId="107E9B29" w14:textId="2F2CDF71"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Handle Stolen Goods</w:t>
            </w:r>
          </w:p>
        </w:tc>
        <w:tc>
          <w:tcPr>
            <w:tcW w:w="1242" w:type="dxa"/>
            <w:tcBorders>
              <w:top w:val="single" w:sz="6" w:space="0" w:color="auto"/>
              <w:bottom w:val="single" w:sz="6" w:space="0" w:color="auto"/>
            </w:tcBorders>
            <w:shd w:val="clear" w:color="auto" w:fill="DDDDDD"/>
          </w:tcPr>
          <w:p w14:paraId="6413263D" w14:textId="5C0F56DE" w:rsidR="000510E3" w:rsidRDefault="006B00A8" w:rsidP="00F859F8">
            <w:pPr>
              <w:jc w:val="right"/>
              <w:rPr>
                <w:rFonts w:ascii="Arial" w:hAnsi="Arial" w:cs="Arial"/>
                <w:color w:val="000000"/>
                <w:sz w:val="20"/>
              </w:rPr>
            </w:pPr>
            <w:r>
              <w:rPr>
                <w:rFonts w:ascii="Arial" w:hAnsi="Arial" w:cs="Arial"/>
                <w:color w:val="000000"/>
                <w:sz w:val="20"/>
              </w:rPr>
              <w:t>51</w:t>
            </w:r>
          </w:p>
        </w:tc>
        <w:tc>
          <w:tcPr>
            <w:tcW w:w="1808" w:type="dxa"/>
            <w:tcBorders>
              <w:top w:val="single" w:sz="6" w:space="0" w:color="auto"/>
              <w:bottom w:val="single" w:sz="6" w:space="0" w:color="auto"/>
            </w:tcBorders>
            <w:shd w:val="clear" w:color="auto" w:fill="DDDDDD"/>
          </w:tcPr>
          <w:p w14:paraId="4DAEED23" w14:textId="711D570D" w:rsidR="000510E3" w:rsidRDefault="00DF4047" w:rsidP="00F859F8">
            <w:pPr>
              <w:jc w:val="right"/>
              <w:rPr>
                <w:rFonts w:ascii="Arial" w:hAnsi="Arial" w:cs="Arial"/>
                <w:color w:val="000000"/>
                <w:sz w:val="20"/>
              </w:rPr>
            </w:pPr>
            <w:r>
              <w:rPr>
                <w:rFonts w:ascii="Arial" w:hAnsi="Arial" w:cs="Arial"/>
                <w:color w:val="000000"/>
                <w:sz w:val="20"/>
              </w:rPr>
              <w:t>542</w:t>
            </w:r>
          </w:p>
        </w:tc>
      </w:tr>
      <w:tr w:rsidR="000510E3" w14:paraId="0FFB45C1" w14:textId="77777777" w:rsidTr="00F859F8">
        <w:tc>
          <w:tcPr>
            <w:tcW w:w="1808" w:type="dxa"/>
            <w:tcBorders>
              <w:top w:val="single" w:sz="6" w:space="0" w:color="auto"/>
              <w:bottom w:val="single" w:sz="6" w:space="0" w:color="auto"/>
            </w:tcBorders>
          </w:tcPr>
          <w:p w14:paraId="174D147C" w14:textId="3ED4388B" w:rsidR="000510E3" w:rsidRDefault="006B00A8" w:rsidP="00F859F8">
            <w:pPr>
              <w:jc w:val="right"/>
              <w:rPr>
                <w:rFonts w:ascii="Arial" w:hAnsi="Arial" w:cs="Arial"/>
                <w:color w:val="000000"/>
                <w:sz w:val="20"/>
              </w:rPr>
            </w:pPr>
            <w:r>
              <w:rPr>
                <w:rFonts w:ascii="Arial" w:hAnsi="Arial" w:cs="Arial"/>
                <w:color w:val="000000"/>
                <w:sz w:val="20"/>
              </w:rPr>
              <w:t>1905</w:t>
            </w:r>
          </w:p>
        </w:tc>
        <w:tc>
          <w:tcPr>
            <w:tcW w:w="1242" w:type="dxa"/>
            <w:tcBorders>
              <w:top w:val="single" w:sz="6" w:space="0" w:color="auto"/>
              <w:bottom w:val="single" w:sz="6" w:space="0" w:color="auto"/>
            </w:tcBorders>
          </w:tcPr>
          <w:p w14:paraId="03178B2E" w14:textId="031C5D91" w:rsidR="000510E3" w:rsidRDefault="006B00A8" w:rsidP="00F859F8">
            <w:pPr>
              <w:jc w:val="right"/>
              <w:rPr>
                <w:rFonts w:ascii="Arial" w:hAnsi="Arial" w:cs="Arial"/>
                <w:color w:val="000000"/>
                <w:sz w:val="20"/>
              </w:rPr>
            </w:pPr>
            <w:r>
              <w:rPr>
                <w:rFonts w:ascii="Arial" w:hAnsi="Arial" w:cs="Arial"/>
                <w:color w:val="000000"/>
                <w:sz w:val="20"/>
              </w:rPr>
              <w:t>244</w:t>
            </w:r>
          </w:p>
        </w:tc>
        <w:tc>
          <w:tcPr>
            <w:tcW w:w="2942" w:type="dxa"/>
            <w:gridSpan w:val="3"/>
            <w:tcBorders>
              <w:top w:val="single" w:sz="6" w:space="0" w:color="auto"/>
              <w:bottom w:val="single" w:sz="6" w:space="0" w:color="auto"/>
            </w:tcBorders>
          </w:tcPr>
          <w:p w14:paraId="394304AE" w14:textId="724941FA"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Theft from M/Vehicle</w:t>
            </w:r>
          </w:p>
        </w:tc>
        <w:tc>
          <w:tcPr>
            <w:tcW w:w="1242" w:type="dxa"/>
            <w:tcBorders>
              <w:top w:val="single" w:sz="6" w:space="0" w:color="auto"/>
              <w:bottom w:val="single" w:sz="6" w:space="0" w:color="auto"/>
            </w:tcBorders>
          </w:tcPr>
          <w:p w14:paraId="5B175E0E" w14:textId="3C361237" w:rsidR="000510E3" w:rsidRDefault="006B00A8" w:rsidP="00F859F8">
            <w:pPr>
              <w:jc w:val="right"/>
              <w:rPr>
                <w:rFonts w:ascii="Arial" w:hAnsi="Arial" w:cs="Arial"/>
                <w:color w:val="000000"/>
                <w:sz w:val="20"/>
              </w:rPr>
            </w:pPr>
            <w:r>
              <w:rPr>
                <w:rFonts w:ascii="Arial" w:hAnsi="Arial" w:cs="Arial"/>
                <w:color w:val="000000"/>
                <w:sz w:val="20"/>
              </w:rPr>
              <w:t>206</w:t>
            </w:r>
          </w:p>
        </w:tc>
        <w:tc>
          <w:tcPr>
            <w:tcW w:w="1808" w:type="dxa"/>
            <w:tcBorders>
              <w:top w:val="single" w:sz="6" w:space="0" w:color="auto"/>
              <w:bottom w:val="single" w:sz="6" w:space="0" w:color="auto"/>
            </w:tcBorders>
          </w:tcPr>
          <w:p w14:paraId="2A801D92" w14:textId="311B8C5E" w:rsidR="000510E3" w:rsidRDefault="00DF4047" w:rsidP="00F859F8">
            <w:pPr>
              <w:jc w:val="right"/>
              <w:rPr>
                <w:rFonts w:ascii="Arial" w:hAnsi="Arial" w:cs="Arial"/>
                <w:color w:val="000000"/>
                <w:sz w:val="20"/>
              </w:rPr>
            </w:pPr>
            <w:r>
              <w:rPr>
                <w:rFonts w:ascii="Arial" w:hAnsi="Arial" w:cs="Arial"/>
                <w:color w:val="000000"/>
                <w:sz w:val="20"/>
              </w:rPr>
              <w:t>1875</w:t>
            </w:r>
          </w:p>
        </w:tc>
      </w:tr>
      <w:tr w:rsidR="000510E3" w14:paraId="7B649642" w14:textId="77777777" w:rsidTr="006A0351">
        <w:tc>
          <w:tcPr>
            <w:tcW w:w="1808" w:type="dxa"/>
            <w:tcBorders>
              <w:top w:val="single" w:sz="6" w:space="0" w:color="auto"/>
              <w:bottom w:val="single" w:sz="6" w:space="0" w:color="auto"/>
            </w:tcBorders>
            <w:shd w:val="clear" w:color="auto" w:fill="DDDDDD"/>
          </w:tcPr>
          <w:p w14:paraId="776F3D27" w14:textId="70E35EEC" w:rsidR="000510E3" w:rsidRDefault="006B00A8" w:rsidP="00F859F8">
            <w:pPr>
              <w:jc w:val="right"/>
              <w:rPr>
                <w:rFonts w:ascii="Arial" w:hAnsi="Arial" w:cs="Arial"/>
                <w:color w:val="000000"/>
                <w:sz w:val="20"/>
              </w:rPr>
            </w:pPr>
            <w:r>
              <w:rPr>
                <w:rFonts w:ascii="Arial" w:hAnsi="Arial" w:cs="Arial"/>
                <w:color w:val="000000"/>
                <w:sz w:val="20"/>
              </w:rPr>
              <w:t>5818</w:t>
            </w:r>
          </w:p>
        </w:tc>
        <w:tc>
          <w:tcPr>
            <w:tcW w:w="1242" w:type="dxa"/>
            <w:tcBorders>
              <w:top w:val="single" w:sz="6" w:space="0" w:color="auto"/>
              <w:bottom w:val="single" w:sz="6" w:space="0" w:color="auto"/>
            </w:tcBorders>
            <w:shd w:val="clear" w:color="auto" w:fill="DDDDDD"/>
          </w:tcPr>
          <w:p w14:paraId="0189F0D1" w14:textId="4B8614BA" w:rsidR="000510E3" w:rsidRDefault="006B00A8" w:rsidP="00F859F8">
            <w:pPr>
              <w:jc w:val="right"/>
              <w:rPr>
                <w:rFonts w:ascii="Arial" w:hAnsi="Arial" w:cs="Arial"/>
                <w:color w:val="000000"/>
                <w:sz w:val="20"/>
              </w:rPr>
            </w:pPr>
            <w:r>
              <w:rPr>
                <w:rFonts w:ascii="Arial" w:hAnsi="Arial" w:cs="Arial"/>
                <w:color w:val="000000"/>
                <w:sz w:val="20"/>
              </w:rPr>
              <w:t>3580</w:t>
            </w:r>
          </w:p>
        </w:tc>
        <w:tc>
          <w:tcPr>
            <w:tcW w:w="2942" w:type="dxa"/>
            <w:gridSpan w:val="3"/>
            <w:tcBorders>
              <w:top w:val="single" w:sz="6" w:space="0" w:color="auto"/>
              <w:bottom w:val="single" w:sz="6" w:space="0" w:color="auto"/>
            </w:tcBorders>
            <w:shd w:val="clear" w:color="auto" w:fill="DDDDDD"/>
          </w:tcPr>
          <w:p w14:paraId="23E827EB" w14:textId="4CD096A4"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Theft (Shop Steal)</w:t>
            </w:r>
          </w:p>
        </w:tc>
        <w:tc>
          <w:tcPr>
            <w:tcW w:w="1242" w:type="dxa"/>
            <w:tcBorders>
              <w:top w:val="single" w:sz="6" w:space="0" w:color="auto"/>
              <w:bottom w:val="single" w:sz="6" w:space="0" w:color="auto"/>
            </w:tcBorders>
            <w:shd w:val="clear" w:color="auto" w:fill="DDDDDD"/>
          </w:tcPr>
          <w:p w14:paraId="1C50195F" w14:textId="01A52D7B" w:rsidR="000510E3" w:rsidRDefault="006B00A8" w:rsidP="00F859F8">
            <w:pPr>
              <w:jc w:val="right"/>
              <w:rPr>
                <w:rFonts w:ascii="Arial" w:hAnsi="Arial" w:cs="Arial"/>
                <w:color w:val="000000"/>
                <w:sz w:val="20"/>
              </w:rPr>
            </w:pPr>
            <w:r>
              <w:rPr>
                <w:rFonts w:ascii="Arial" w:hAnsi="Arial" w:cs="Arial"/>
                <w:color w:val="000000"/>
                <w:sz w:val="20"/>
              </w:rPr>
              <w:t>2793</w:t>
            </w:r>
          </w:p>
        </w:tc>
        <w:tc>
          <w:tcPr>
            <w:tcW w:w="1808" w:type="dxa"/>
            <w:tcBorders>
              <w:top w:val="single" w:sz="6" w:space="0" w:color="auto"/>
              <w:bottom w:val="single" w:sz="6" w:space="0" w:color="auto"/>
            </w:tcBorders>
            <w:shd w:val="clear" w:color="auto" w:fill="DDDDDD"/>
          </w:tcPr>
          <w:p w14:paraId="47EA1CED" w14:textId="031704BE" w:rsidR="000510E3" w:rsidRDefault="00DF4047" w:rsidP="00F859F8">
            <w:pPr>
              <w:jc w:val="right"/>
              <w:rPr>
                <w:rFonts w:ascii="Arial" w:hAnsi="Arial" w:cs="Arial"/>
                <w:color w:val="000000"/>
                <w:sz w:val="20"/>
              </w:rPr>
            </w:pPr>
            <w:r>
              <w:rPr>
                <w:rFonts w:ascii="Arial" w:hAnsi="Arial" w:cs="Arial"/>
                <w:color w:val="000000"/>
                <w:sz w:val="20"/>
              </w:rPr>
              <w:t>4803</w:t>
            </w:r>
          </w:p>
        </w:tc>
      </w:tr>
      <w:tr w:rsidR="000510E3" w14:paraId="6446C739" w14:textId="77777777" w:rsidTr="006B00A8">
        <w:tc>
          <w:tcPr>
            <w:tcW w:w="1808" w:type="dxa"/>
            <w:tcBorders>
              <w:top w:val="single" w:sz="6" w:space="0" w:color="auto"/>
              <w:bottom w:val="single" w:sz="6" w:space="0" w:color="auto"/>
            </w:tcBorders>
          </w:tcPr>
          <w:p w14:paraId="4509D8A3" w14:textId="62BECE27" w:rsidR="000510E3" w:rsidRDefault="006B00A8" w:rsidP="00F859F8">
            <w:pPr>
              <w:jc w:val="right"/>
              <w:rPr>
                <w:rFonts w:ascii="Arial" w:hAnsi="Arial" w:cs="Arial"/>
                <w:color w:val="000000"/>
                <w:sz w:val="20"/>
              </w:rPr>
            </w:pPr>
            <w:r>
              <w:rPr>
                <w:rFonts w:ascii="Arial" w:hAnsi="Arial" w:cs="Arial"/>
                <w:color w:val="000000"/>
                <w:sz w:val="20"/>
              </w:rPr>
              <w:t>2230</w:t>
            </w:r>
          </w:p>
        </w:tc>
        <w:tc>
          <w:tcPr>
            <w:tcW w:w="1242" w:type="dxa"/>
            <w:tcBorders>
              <w:top w:val="single" w:sz="6" w:space="0" w:color="auto"/>
              <w:bottom w:val="single" w:sz="6" w:space="0" w:color="auto"/>
            </w:tcBorders>
          </w:tcPr>
          <w:p w14:paraId="25C8CBDE" w14:textId="13E2255A" w:rsidR="000510E3" w:rsidRDefault="006B00A8" w:rsidP="00F859F8">
            <w:pPr>
              <w:jc w:val="right"/>
              <w:rPr>
                <w:rFonts w:ascii="Arial" w:hAnsi="Arial" w:cs="Arial"/>
                <w:color w:val="000000"/>
                <w:sz w:val="20"/>
              </w:rPr>
            </w:pPr>
            <w:r>
              <w:rPr>
                <w:rFonts w:ascii="Arial" w:hAnsi="Arial" w:cs="Arial"/>
                <w:color w:val="000000"/>
                <w:sz w:val="20"/>
              </w:rPr>
              <w:t>251</w:t>
            </w:r>
          </w:p>
        </w:tc>
        <w:tc>
          <w:tcPr>
            <w:tcW w:w="2942" w:type="dxa"/>
            <w:gridSpan w:val="3"/>
            <w:tcBorders>
              <w:top w:val="single" w:sz="6" w:space="0" w:color="auto"/>
              <w:bottom w:val="single" w:sz="6" w:space="0" w:color="auto"/>
            </w:tcBorders>
          </w:tcPr>
          <w:p w14:paraId="2341D7A5" w14:textId="7D9B8B37" w:rsidR="000510E3" w:rsidRPr="00F859F8" w:rsidRDefault="00F859F8" w:rsidP="00F859F8">
            <w:pPr>
              <w:jc w:val="center"/>
              <w:rPr>
                <w:rFonts w:ascii="Arial" w:hAnsi="Arial" w:cs="Arial"/>
                <w:b/>
                <w:bCs/>
                <w:color w:val="000000"/>
                <w:sz w:val="20"/>
              </w:rPr>
            </w:pPr>
            <w:r w:rsidRPr="00F859F8">
              <w:rPr>
                <w:rFonts w:ascii="Arial" w:hAnsi="Arial" w:cs="Arial"/>
                <w:b/>
                <w:bCs/>
                <w:color w:val="000000"/>
                <w:sz w:val="20"/>
              </w:rPr>
              <w:t>Theft of M/Vehicle</w:t>
            </w:r>
          </w:p>
        </w:tc>
        <w:tc>
          <w:tcPr>
            <w:tcW w:w="1242" w:type="dxa"/>
            <w:tcBorders>
              <w:top w:val="single" w:sz="6" w:space="0" w:color="auto"/>
              <w:bottom w:val="single" w:sz="6" w:space="0" w:color="auto"/>
            </w:tcBorders>
          </w:tcPr>
          <w:p w14:paraId="2FFAA02C" w14:textId="447F3494" w:rsidR="000510E3" w:rsidRDefault="006B00A8" w:rsidP="00F859F8">
            <w:pPr>
              <w:jc w:val="right"/>
              <w:rPr>
                <w:rFonts w:ascii="Arial" w:hAnsi="Arial" w:cs="Arial"/>
                <w:color w:val="000000"/>
                <w:sz w:val="20"/>
              </w:rPr>
            </w:pPr>
            <w:r>
              <w:rPr>
                <w:rFonts w:ascii="Arial" w:hAnsi="Arial" w:cs="Arial"/>
                <w:color w:val="000000"/>
                <w:sz w:val="20"/>
              </w:rPr>
              <w:t>167</w:t>
            </w:r>
          </w:p>
        </w:tc>
        <w:tc>
          <w:tcPr>
            <w:tcW w:w="1808" w:type="dxa"/>
            <w:tcBorders>
              <w:top w:val="single" w:sz="6" w:space="0" w:color="auto"/>
              <w:bottom w:val="single" w:sz="6" w:space="0" w:color="auto"/>
            </w:tcBorders>
          </w:tcPr>
          <w:p w14:paraId="3CDF798C" w14:textId="3571312A" w:rsidR="000510E3" w:rsidRDefault="00DF4047" w:rsidP="00F859F8">
            <w:pPr>
              <w:jc w:val="right"/>
              <w:rPr>
                <w:rFonts w:ascii="Arial" w:hAnsi="Arial" w:cs="Arial"/>
                <w:color w:val="000000"/>
                <w:sz w:val="20"/>
              </w:rPr>
            </w:pPr>
            <w:r>
              <w:rPr>
                <w:rFonts w:ascii="Arial" w:hAnsi="Arial" w:cs="Arial"/>
                <w:color w:val="000000"/>
                <w:sz w:val="20"/>
              </w:rPr>
              <w:t>1577</w:t>
            </w:r>
          </w:p>
        </w:tc>
      </w:tr>
      <w:tr w:rsidR="00F859F8" w14:paraId="3DF01FAD" w14:textId="77777777" w:rsidTr="006A0351">
        <w:tc>
          <w:tcPr>
            <w:tcW w:w="1808" w:type="dxa"/>
            <w:tcBorders>
              <w:top w:val="single" w:sz="6" w:space="0" w:color="auto"/>
              <w:bottom w:val="single" w:sz="6" w:space="0" w:color="auto"/>
            </w:tcBorders>
            <w:shd w:val="clear" w:color="auto" w:fill="DDDDDD"/>
          </w:tcPr>
          <w:p w14:paraId="27C3C329" w14:textId="617E72BB" w:rsidR="00F859F8" w:rsidRDefault="006B00A8" w:rsidP="00F859F8">
            <w:pPr>
              <w:jc w:val="right"/>
              <w:rPr>
                <w:rFonts w:ascii="Arial" w:hAnsi="Arial" w:cs="Arial"/>
                <w:color w:val="000000"/>
                <w:sz w:val="20"/>
              </w:rPr>
            </w:pPr>
            <w:r>
              <w:rPr>
                <w:rFonts w:ascii="Arial" w:hAnsi="Arial" w:cs="Arial"/>
                <w:color w:val="000000"/>
                <w:sz w:val="20"/>
              </w:rPr>
              <w:t>2226</w:t>
            </w:r>
          </w:p>
        </w:tc>
        <w:tc>
          <w:tcPr>
            <w:tcW w:w="1242" w:type="dxa"/>
            <w:tcBorders>
              <w:top w:val="single" w:sz="6" w:space="0" w:color="auto"/>
              <w:bottom w:val="single" w:sz="6" w:space="0" w:color="auto"/>
            </w:tcBorders>
            <w:shd w:val="clear" w:color="auto" w:fill="DDDDDD"/>
          </w:tcPr>
          <w:p w14:paraId="1C22D12A" w14:textId="3FE29692" w:rsidR="00F859F8" w:rsidRDefault="006B00A8" w:rsidP="00F859F8">
            <w:pPr>
              <w:jc w:val="right"/>
              <w:rPr>
                <w:rFonts w:ascii="Arial" w:hAnsi="Arial" w:cs="Arial"/>
                <w:color w:val="000000"/>
                <w:sz w:val="20"/>
              </w:rPr>
            </w:pPr>
            <w:r>
              <w:rPr>
                <w:rFonts w:ascii="Arial" w:hAnsi="Arial" w:cs="Arial"/>
                <w:color w:val="000000"/>
                <w:sz w:val="20"/>
              </w:rPr>
              <w:t>633</w:t>
            </w:r>
          </w:p>
        </w:tc>
        <w:tc>
          <w:tcPr>
            <w:tcW w:w="2942" w:type="dxa"/>
            <w:gridSpan w:val="3"/>
            <w:tcBorders>
              <w:top w:val="single" w:sz="6" w:space="0" w:color="auto"/>
              <w:bottom w:val="single" w:sz="6" w:space="0" w:color="auto"/>
            </w:tcBorders>
            <w:shd w:val="clear" w:color="auto" w:fill="DDDDDD"/>
          </w:tcPr>
          <w:p w14:paraId="7EBF06DB" w14:textId="506FFCF4" w:rsidR="00F859F8" w:rsidRPr="00F859F8" w:rsidRDefault="00F859F8" w:rsidP="00F859F8">
            <w:pPr>
              <w:jc w:val="center"/>
              <w:rPr>
                <w:rFonts w:ascii="Arial" w:hAnsi="Arial" w:cs="Arial"/>
                <w:b/>
                <w:bCs/>
                <w:color w:val="000000"/>
                <w:sz w:val="20"/>
              </w:rPr>
            </w:pPr>
            <w:r>
              <w:rPr>
                <w:rFonts w:ascii="Arial" w:hAnsi="Arial" w:cs="Arial"/>
                <w:b/>
                <w:bCs/>
                <w:color w:val="000000"/>
                <w:sz w:val="20"/>
              </w:rPr>
              <w:t>Theft (other)</w:t>
            </w:r>
          </w:p>
        </w:tc>
        <w:tc>
          <w:tcPr>
            <w:tcW w:w="1242" w:type="dxa"/>
            <w:tcBorders>
              <w:top w:val="single" w:sz="6" w:space="0" w:color="auto"/>
              <w:bottom w:val="single" w:sz="6" w:space="0" w:color="auto"/>
            </w:tcBorders>
            <w:shd w:val="clear" w:color="auto" w:fill="DDDDDD"/>
          </w:tcPr>
          <w:p w14:paraId="0176EE28" w14:textId="6AC9CD78" w:rsidR="00F859F8" w:rsidRDefault="006B00A8" w:rsidP="00F859F8">
            <w:pPr>
              <w:jc w:val="right"/>
              <w:rPr>
                <w:rFonts w:ascii="Arial" w:hAnsi="Arial" w:cs="Arial"/>
                <w:color w:val="000000"/>
                <w:sz w:val="20"/>
              </w:rPr>
            </w:pPr>
            <w:r>
              <w:rPr>
                <w:rFonts w:ascii="Arial" w:hAnsi="Arial" w:cs="Arial"/>
                <w:color w:val="000000"/>
                <w:sz w:val="20"/>
              </w:rPr>
              <w:t>512</w:t>
            </w:r>
          </w:p>
        </w:tc>
        <w:tc>
          <w:tcPr>
            <w:tcW w:w="1808" w:type="dxa"/>
            <w:tcBorders>
              <w:top w:val="single" w:sz="6" w:space="0" w:color="auto"/>
              <w:bottom w:val="single" w:sz="6" w:space="0" w:color="auto"/>
            </w:tcBorders>
            <w:shd w:val="clear" w:color="auto" w:fill="DDDDDD"/>
          </w:tcPr>
          <w:p w14:paraId="4A9B2BE7" w14:textId="73E9C43A" w:rsidR="00F859F8" w:rsidRDefault="00DF4047" w:rsidP="00F859F8">
            <w:pPr>
              <w:jc w:val="right"/>
              <w:rPr>
                <w:rFonts w:ascii="Arial" w:hAnsi="Arial" w:cs="Arial"/>
                <w:color w:val="000000"/>
                <w:sz w:val="20"/>
              </w:rPr>
            </w:pPr>
            <w:r>
              <w:rPr>
                <w:rFonts w:ascii="Arial" w:hAnsi="Arial" w:cs="Arial"/>
                <w:color w:val="000000"/>
                <w:sz w:val="20"/>
              </w:rPr>
              <w:t>1885</w:t>
            </w:r>
          </w:p>
        </w:tc>
      </w:tr>
      <w:tr w:rsidR="00F859F8" w14:paraId="694B8C1F" w14:textId="77777777" w:rsidTr="006B00A8">
        <w:tc>
          <w:tcPr>
            <w:tcW w:w="1808" w:type="dxa"/>
            <w:tcBorders>
              <w:top w:val="single" w:sz="6" w:space="0" w:color="auto"/>
              <w:bottom w:val="single" w:sz="6" w:space="0" w:color="auto"/>
            </w:tcBorders>
          </w:tcPr>
          <w:p w14:paraId="31503042" w14:textId="03E7450C" w:rsidR="00F859F8" w:rsidRDefault="006B00A8" w:rsidP="00F859F8">
            <w:pPr>
              <w:jc w:val="right"/>
              <w:rPr>
                <w:rFonts w:ascii="Arial" w:hAnsi="Arial" w:cs="Arial"/>
                <w:color w:val="000000"/>
                <w:sz w:val="20"/>
              </w:rPr>
            </w:pPr>
            <w:r>
              <w:rPr>
                <w:rFonts w:ascii="Arial" w:hAnsi="Arial" w:cs="Arial"/>
                <w:color w:val="000000"/>
                <w:sz w:val="20"/>
              </w:rPr>
              <w:t>90</w:t>
            </w:r>
          </w:p>
        </w:tc>
        <w:tc>
          <w:tcPr>
            <w:tcW w:w="1242" w:type="dxa"/>
            <w:tcBorders>
              <w:top w:val="single" w:sz="6" w:space="0" w:color="auto"/>
              <w:bottom w:val="single" w:sz="6" w:space="0" w:color="auto"/>
            </w:tcBorders>
          </w:tcPr>
          <w:p w14:paraId="6C5822CC" w14:textId="7B895056" w:rsidR="00F859F8" w:rsidRDefault="006B00A8" w:rsidP="00F859F8">
            <w:pPr>
              <w:jc w:val="right"/>
              <w:rPr>
                <w:rFonts w:ascii="Arial" w:hAnsi="Arial" w:cs="Arial"/>
                <w:color w:val="000000"/>
                <w:sz w:val="20"/>
              </w:rPr>
            </w:pPr>
            <w:r>
              <w:rPr>
                <w:rFonts w:ascii="Arial" w:hAnsi="Arial" w:cs="Arial"/>
                <w:color w:val="000000"/>
                <w:sz w:val="20"/>
              </w:rPr>
              <w:t>14</w:t>
            </w:r>
          </w:p>
        </w:tc>
        <w:tc>
          <w:tcPr>
            <w:tcW w:w="2942" w:type="dxa"/>
            <w:gridSpan w:val="3"/>
            <w:tcBorders>
              <w:top w:val="single" w:sz="6" w:space="0" w:color="auto"/>
              <w:bottom w:val="single" w:sz="6" w:space="0" w:color="auto"/>
            </w:tcBorders>
          </w:tcPr>
          <w:p w14:paraId="0C3BEF9D" w14:textId="5E8B8424" w:rsidR="00F859F8" w:rsidRPr="00F859F8" w:rsidRDefault="00F859F8" w:rsidP="00F859F8">
            <w:pPr>
              <w:jc w:val="center"/>
              <w:rPr>
                <w:rFonts w:ascii="Arial" w:hAnsi="Arial" w:cs="Arial"/>
                <w:b/>
                <w:bCs/>
                <w:color w:val="000000"/>
                <w:sz w:val="20"/>
              </w:rPr>
            </w:pPr>
            <w:r>
              <w:rPr>
                <w:rFonts w:ascii="Arial" w:hAnsi="Arial" w:cs="Arial"/>
                <w:b/>
                <w:bCs/>
                <w:color w:val="000000"/>
                <w:sz w:val="20"/>
              </w:rPr>
              <w:t>Drugs-Cult.</w:t>
            </w:r>
            <w:r w:rsidR="00A971C8">
              <w:rPr>
                <w:rFonts w:ascii="Arial" w:hAnsi="Arial" w:cs="Arial"/>
                <w:b/>
                <w:bCs/>
                <w:color w:val="000000"/>
                <w:sz w:val="20"/>
              </w:rPr>
              <w:t xml:space="preserve"> </w:t>
            </w:r>
            <w:r>
              <w:rPr>
                <w:rFonts w:ascii="Arial" w:hAnsi="Arial" w:cs="Arial"/>
                <w:b/>
                <w:bCs/>
                <w:color w:val="000000"/>
                <w:sz w:val="20"/>
              </w:rPr>
              <w:t>Manuf.</w:t>
            </w:r>
            <w:r w:rsidR="00A971C8">
              <w:rPr>
                <w:rFonts w:ascii="Arial" w:hAnsi="Arial" w:cs="Arial"/>
                <w:b/>
                <w:bCs/>
                <w:color w:val="000000"/>
                <w:sz w:val="20"/>
              </w:rPr>
              <w:t xml:space="preserve"> </w:t>
            </w:r>
            <w:r>
              <w:rPr>
                <w:rFonts w:ascii="Arial" w:hAnsi="Arial" w:cs="Arial"/>
                <w:b/>
                <w:bCs/>
                <w:color w:val="000000"/>
                <w:sz w:val="20"/>
              </w:rPr>
              <w:t>Traff.</w:t>
            </w:r>
          </w:p>
        </w:tc>
        <w:tc>
          <w:tcPr>
            <w:tcW w:w="1242" w:type="dxa"/>
            <w:tcBorders>
              <w:top w:val="single" w:sz="6" w:space="0" w:color="auto"/>
              <w:bottom w:val="single" w:sz="6" w:space="0" w:color="auto"/>
            </w:tcBorders>
          </w:tcPr>
          <w:p w14:paraId="7264051E" w14:textId="54126388" w:rsidR="00F859F8" w:rsidRDefault="006B00A8" w:rsidP="00F859F8">
            <w:pPr>
              <w:jc w:val="right"/>
              <w:rPr>
                <w:rFonts w:ascii="Arial" w:hAnsi="Arial" w:cs="Arial"/>
                <w:color w:val="000000"/>
                <w:sz w:val="20"/>
              </w:rPr>
            </w:pPr>
            <w:r>
              <w:rPr>
                <w:rFonts w:ascii="Arial" w:hAnsi="Arial" w:cs="Arial"/>
                <w:color w:val="000000"/>
                <w:sz w:val="20"/>
              </w:rPr>
              <w:t>11</w:t>
            </w:r>
          </w:p>
        </w:tc>
        <w:tc>
          <w:tcPr>
            <w:tcW w:w="1808" w:type="dxa"/>
            <w:tcBorders>
              <w:top w:val="single" w:sz="6" w:space="0" w:color="auto"/>
              <w:bottom w:val="single" w:sz="6" w:space="0" w:color="auto"/>
            </w:tcBorders>
          </w:tcPr>
          <w:p w14:paraId="02253AC0" w14:textId="7C8956AD" w:rsidR="00F859F8" w:rsidRDefault="00DF4047" w:rsidP="00F859F8">
            <w:pPr>
              <w:jc w:val="right"/>
              <w:rPr>
                <w:rFonts w:ascii="Arial" w:hAnsi="Arial" w:cs="Arial"/>
                <w:color w:val="000000"/>
                <w:sz w:val="20"/>
              </w:rPr>
            </w:pPr>
            <w:r>
              <w:rPr>
                <w:rFonts w:ascii="Arial" w:hAnsi="Arial" w:cs="Arial"/>
                <w:color w:val="000000"/>
                <w:sz w:val="20"/>
              </w:rPr>
              <w:t>76</w:t>
            </w:r>
          </w:p>
        </w:tc>
      </w:tr>
      <w:tr w:rsidR="00F859F8" w14:paraId="3B30D93A" w14:textId="77777777" w:rsidTr="006A0351">
        <w:tc>
          <w:tcPr>
            <w:tcW w:w="1808" w:type="dxa"/>
            <w:tcBorders>
              <w:top w:val="single" w:sz="6" w:space="0" w:color="auto"/>
              <w:bottom w:val="single" w:sz="6" w:space="0" w:color="auto"/>
            </w:tcBorders>
            <w:shd w:val="clear" w:color="auto" w:fill="DDDDDD"/>
          </w:tcPr>
          <w:p w14:paraId="08967317" w14:textId="1753A6FE" w:rsidR="00F859F8" w:rsidRDefault="006B00A8" w:rsidP="00F859F8">
            <w:pPr>
              <w:jc w:val="right"/>
              <w:rPr>
                <w:rFonts w:ascii="Arial" w:hAnsi="Arial" w:cs="Arial"/>
                <w:color w:val="000000"/>
                <w:sz w:val="20"/>
              </w:rPr>
            </w:pPr>
            <w:r>
              <w:rPr>
                <w:rFonts w:ascii="Arial" w:hAnsi="Arial" w:cs="Arial"/>
                <w:color w:val="000000"/>
                <w:sz w:val="20"/>
              </w:rPr>
              <w:t>608</w:t>
            </w:r>
          </w:p>
        </w:tc>
        <w:tc>
          <w:tcPr>
            <w:tcW w:w="1242" w:type="dxa"/>
            <w:tcBorders>
              <w:top w:val="single" w:sz="6" w:space="0" w:color="auto"/>
              <w:bottom w:val="single" w:sz="6" w:space="0" w:color="auto"/>
            </w:tcBorders>
            <w:shd w:val="clear" w:color="auto" w:fill="DDDDDD"/>
          </w:tcPr>
          <w:p w14:paraId="0EC9E677" w14:textId="6BEB05BF" w:rsidR="00F859F8" w:rsidRDefault="006B00A8" w:rsidP="00F859F8">
            <w:pPr>
              <w:jc w:val="right"/>
              <w:rPr>
                <w:rFonts w:ascii="Arial" w:hAnsi="Arial" w:cs="Arial"/>
                <w:color w:val="000000"/>
                <w:sz w:val="20"/>
              </w:rPr>
            </w:pPr>
            <w:r>
              <w:rPr>
                <w:rFonts w:ascii="Arial" w:hAnsi="Arial" w:cs="Arial"/>
                <w:color w:val="000000"/>
                <w:sz w:val="20"/>
              </w:rPr>
              <w:t>281</w:t>
            </w:r>
          </w:p>
        </w:tc>
        <w:tc>
          <w:tcPr>
            <w:tcW w:w="2942" w:type="dxa"/>
            <w:gridSpan w:val="3"/>
            <w:tcBorders>
              <w:top w:val="single" w:sz="6" w:space="0" w:color="auto"/>
              <w:bottom w:val="single" w:sz="6" w:space="0" w:color="auto"/>
            </w:tcBorders>
            <w:shd w:val="clear" w:color="auto" w:fill="DDDDDD"/>
          </w:tcPr>
          <w:p w14:paraId="729B240A" w14:textId="29594281" w:rsidR="00F859F8" w:rsidRPr="00F859F8" w:rsidRDefault="00F859F8" w:rsidP="00F859F8">
            <w:pPr>
              <w:jc w:val="center"/>
              <w:rPr>
                <w:rFonts w:ascii="Arial" w:hAnsi="Arial" w:cs="Arial"/>
                <w:b/>
                <w:bCs/>
                <w:color w:val="000000"/>
                <w:sz w:val="20"/>
              </w:rPr>
            </w:pPr>
            <w:r>
              <w:rPr>
                <w:rFonts w:ascii="Arial" w:hAnsi="Arial" w:cs="Arial"/>
                <w:b/>
                <w:bCs/>
                <w:color w:val="000000"/>
                <w:sz w:val="20"/>
              </w:rPr>
              <w:t>Drugs-Possess,</w:t>
            </w:r>
            <w:r w:rsidR="00A971C8">
              <w:rPr>
                <w:rFonts w:ascii="Arial" w:hAnsi="Arial" w:cs="Arial"/>
                <w:b/>
                <w:bCs/>
                <w:color w:val="000000"/>
                <w:sz w:val="20"/>
              </w:rPr>
              <w:t xml:space="preserve"> </w:t>
            </w:r>
            <w:r>
              <w:rPr>
                <w:rFonts w:ascii="Arial" w:hAnsi="Arial" w:cs="Arial"/>
                <w:b/>
                <w:bCs/>
                <w:color w:val="000000"/>
                <w:sz w:val="20"/>
              </w:rPr>
              <w:t>Use</w:t>
            </w:r>
          </w:p>
        </w:tc>
        <w:tc>
          <w:tcPr>
            <w:tcW w:w="1242" w:type="dxa"/>
            <w:tcBorders>
              <w:top w:val="single" w:sz="6" w:space="0" w:color="auto"/>
              <w:bottom w:val="single" w:sz="6" w:space="0" w:color="auto"/>
            </w:tcBorders>
            <w:shd w:val="clear" w:color="auto" w:fill="DDDDDD"/>
          </w:tcPr>
          <w:p w14:paraId="44C29868" w14:textId="19A6047C" w:rsidR="00F859F8" w:rsidRDefault="006B00A8" w:rsidP="00F859F8">
            <w:pPr>
              <w:jc w:val="right"/>
              <w:rPr>
                <w:rFonts w:ascii="Arial" w:hAnsi="Arial" w:cs="Arial"/>
                <w:color w:val="000000"/>
                <w:sz w:val="20"/>
              </w:rPr>
            </w:pPr>
            <w:r>
              <w:rPr>
                <w:rFonts w:ascii="Arial" w:hAnsi="Arial" w:cs="Arial"/>
                <w:color w:val="000000"/>
                <w:sz w:val="20"/>
              </w:rPr>
              <w:t>375</w:t>
            </w:r>
          </w:p>
        </w:tc>
        <w:tc>
          <w:tcPr>
            <w:tcW w:w="1808" w:type="dxa"/>
            <w:tcBorders>
              <w:top w:val="single" w:sz="6" w:space="0" w:color="auto"/>
              <w:bottom w:val="single" w:sz="6" w:space="0" w:color="auto"/>
            </w:tcBorders>
            <w:shd w:val="clear" w:color="auto" w:fill="DDDDDD"/>
          </w:tcPr>
          <w:p w14:paraId="785DA286" w14:textId="087194D9" w:rsidR="00F859F8" w:rsidRDefault="00DF4047" w:rsidP="00F859F8">
            <w:pPr>
              <w:jc w:val="right"/>
              <w:rPr>
                <w:rFonts w:ascii="Arial" w:hAnsi="Arial" w:cs="Arial"/>
                <w:color w:val="000000"/>
                <w:sz w:val="20"/>
              </w:rPr>
            </w:pPr>
            <w:r>
              <w:rPr>
                <w:rFonts w:ascii="Arial" w:hAnsi="Arial" w:cs="Arial"/>
                <w:color w:val="000000"/>
                <w:sz w:val="20"/>
              </w:rPr>
              <w:t>698</w:t>
            </w:r>
          </w:p>
        </w:tc>
      </w:tr>
      <w:tr w:rsidR="00F859F8" w14:paraId="3DC68535" w14:textId="77777777" w:rsidTr="006B00A8">
        <w:tc>
          <w:tcPr>
            <w:tcW w:w="1808" w:type="dxa"/>
            <w:tcBorders>
              <w:top w:val="single" w:sz="6" w:space="0" w:color="auto"/>
              <w:bottom w:val="single" w:sz="6" w:space="0" w:color="auto"/>
            </w:tcBorders>
          </w:tcPr>
          <w:p w14:paraId="077B957F" w14:textId="71A2661A" w:rsidR="00F859F8" w:rsidRDefault="006B00A8" w:rsidP="00F859F8">
            <w:pPr>
              <w:jc w:val="right"/>
              <w:rPr>
                <w:rFonts w:ascii="Arial" w:hAnsi="Arial" w:cs="Arial"/>
                <w:color w:val="000000"/>
                <w:sz w:val="20"/>
              </w:rPr>
            </w:pPr>
            <w:r>
              <w:rPr>
                <w:rFonts w:ascii="Arial" w:hAnsi="Arial" w:cs="Arial"/>
                <w:color w:val="000000"/>
                <w:sz w:val="20"/>
              </w:rPr>
              <w:t>93</w:t>
            </w:r>
          </w:p>
        </w:tc>
        <w:tc>
          <w:tcPr>
            <w:tcW w:w="1242" w:type="dxa"/>
            <w:tcBorders>
              <w:top w:val="single" w:sz="6" w:space="0" w:color="auto"/>
              <w:bottom w:val="single" w:sz="6" w:space="0" w:color="auto"/>
            </w:tcBorders>
          </w:tcPr>
          <w:p w14:paraId="2B22CD7B" w14:textId="32486341" w:rsidR="00F859F8" w:rsidRDefault="006B00A8" w:rsidP="00F859F8">
            <w:pPr>
              <w:jc w:val="right"/>
              <w:rPr>
                <w:rFonts w:ascii="Arial" w:hAnsi="Arial" w:cs="Arial"/>
                <w:color w:val="000000"/>
                <w:sz w:val="20"/>
              </w:rPr>
            </w:pPr>
            <w:r>
              <w:rPr>
                <w:rFonts w:ascii="Arial" w:hAnsi="Arial" w:cs="Arial"/>
                <w:color w:val="000000"/>
                <w:sz w:val="20"/>
              </w:rPr>
              <w:t>8</w:t>
            </w:r>
          </w:p>
        </w:tc>
        <w:tc>
          <w:tcPr>
            <w:tcW w:w="2942" w:type="dxa"/>
            <w:gridSpan w:val="3"/>
            <w:tcBorders>
              <w:top w:val="single" w:sz="6" w:space="0" w:color="auto"/>
              <w:bottom w:val="single" w:sz="6" w:space="0" w:color="auto"/>
            </w:tcBorders>
          </w:tcPr>
          <w:p w14:paraId="71319ED4" w14:textId="72500B73" w:rsidR="00F859F8" w:rsidRPr="00F859F8" w:rsidRDefault="00F859F8" w:rsidP="00F859F8">
            <w:pPr>
              <w:jc w:val="center"/>
              <w:rPr>
                <w:rFonts w:ascii="Arial" w:hAnsi="Arial" w:cs="Arial"/>
                <w:b/>
                <w:bCs/>
                <w:color w:val="000000"/>
                <w:sz w:val="20"/>
              </w:rPr>
            </w:pPr>
            <w:r>
              <w:rPr>
                <w:rFonts w:ascii="Arial" w:hAnsi="Arial" w:cs="Arial"/>
                <w:b/>
                <w:bCs/>
                <w:color w:val="000000"/>
                <w:sz w:val="20"/>
              </w:rPr>
              <w:t>Going Equip to Steal</w:t>
            </w:r>
          </w:p>
        </w:tc>
        <w:tc>
          <w:tcPr>
            <w:tcW w:w="1242" w:type="dxa"/>
            <w:tcBorders>
              <w:top w:val="single" w:sz="6" w:space="0" w:color="auto"/>
              <w:bottom w:val="single" w:sz="6" w:space="0" w:color="auto"/>
            </w:tcBorders>
          </w:tcPr>
          <w:p w14:paraId="17A71F3B" w14:textId="1106CF42" w:rsidR="00F859F8" w:rsidRDefault="006B00A8" w:rsidP="00F859F8">
            <w:pPr>
              <w:jc w:val="right"/>
              <w:rPr>
                <w:rFonts w:ascii="Arial" w:hAnsi="Arial" w:cs="Arial"/>
                <w:color w:val="000000"/>
                <w:sz w:val="20"/>
              </w:rPr>
            </w:pPr>
            <w:r>
              <w:rPr>
                <w:rFonts w:ascii="Arial" w:hAnsi="Arial" w:cs="Arial"/>
                <w:color w:val="000000"/>
                <w:sz w:val="20"/>
              </w:rPr>
              <w:t>4</w:t>
            </w:r>
          </w:p>
        </w:tc>
        <w:tc>
          <w:tcPr>
            <w:tcW w:w="1808" w:type="dxa"/>
            <w:tcBorders>
              <w:top w:val="single" w:sz="6" w:space="0" w:color="auto"/>
              <w:bottom w:val="single" w:sz="6" w:space="0" w:color="auto"/>
            </w:tcBorders>
          </w:tcPr>
          <w:p w14:paraId="0165E9C9" w14:textId="184CF41D" w:rsidR="00F859F8" w:rsidRDefault="00DF4047" w:rsidP="00F859F8">
            <w:pPr>
              <w:jc w:val="right"/>
              <w:rPr>
                <w:rFonts w:ascii="Arial" w:hAnsi="Arial" w:cs="Arial"/>
                <w:color w:val="000000"/>
                <w:sz w:val="20"/>
              </w:rPr>
            </w:pPr>
            <w:r>
              <w:rPr>
                <w:rFonts w:ascii="Arial" w:hAnsi="Arial" w:cs="Arial"/>
                <w:color w:val="000000"/>
                <w:sz w:val="20"/>
              </w:rPr>
              <w:t>63</w:t>
            </w:r>
          </w:p>
        </w:tc>
      </w:tr>
      <w:tr w:rsidR="00F859F8" w14:paraId="483F82DF" w14:textId="77777777" w:rsidTr="006A0351">
        <w:tc>
          <w:tcPr>
            <w:tcW w:w="1808" w:type="dxa"/>
            <w:tcBorders>
              <w:top w:val="single" w:sz="6" w:space="0" w:color="auto"/>
              <w:bottom w:val="single" w:sz="6" w:space="0" w:color="auto"/>
            </w:tcBorders>
            <w:shd w:val="clear" w:color="auto" w:fill="DDDDDD"/>
          </w:tcPr>
          <w:p w14:paraId="303CF75F" w14:textId="600B97EF" w:rsidR="00F859F8" w:rsidRDefault="006B00A8" w:rsidP="00F859F8">
            <w:pPr>
              <w:jc w:val="right"/>
              <w:rPr>
                <w:rFonts w:ascii="Arial" w:hAnsi="Arial" w:cs="Arial"/>
                <w:color w:val="000000"/>
                <w:sz w:val="20"/>
              </w:rPr>
            </w:pPr>
            <w:r>
              <w:rPr>
                <w:rFonts w:ascii="Arial" w:hAnsi="Arial" w:cs="Arial"/>
                <w:color w:val="000000"/>
                <w:sz w:val="20"/>
              </w:rPr>
              <w:t>1057</w:t>
            </w:r>
          </w:p>
        </w:tc>
        <w:tc>
          <w:tcPr>
            <w:tcW w:w="1242" w:type="dxa"/>
            <w:tcBorders>
              <w:top w:val="single" w:sz="6" w:space="0" w:color="auto"/>
              <w:bottom w:val="single" w:sz="6" w:space="0" w:color="auto"/>
            </w:tcBorders>
            <w:shd w:val="clear" w:color="auto" w:fill="DDDDDD"/>
          </w:tcPr>
          <w:p w14:paraId="2DEAC583" w14:textId="128AADC5" w:rsidR="00F859F8" w:rsidRDefault="006B00A8" w:rsidP="00F859F8">
            <w:pPr>
              <w:jc w:val="right"/>
              <w:rPr>
                <w:rFonts w:ascii="Arial" w:hAnsi="Arial" w:cs="Arial"/>
                <w:color w:val="000000"/>
                <w:sz w:val="20"/>
              </w:rPr>
            </w:pPr>
            <w:r>
              <w:rPr>
                <w:rFonts w:ascii="Arial" w:hAnsi="Arial" w:cs="Arial"/>
                <w:color w:val="000000"/>
                <w:sz w:val="20"/>
              </w:rPr>
              <w:t>72</w:t>
            </w:r>
          </w:p>
        </w:tc>
        <w:tc>
          <w:tcPr>
            <w:tcW w:w="2942" w:type="dxa"/>
            <w:gridSpan w:val="3"/>
            <w:tcBorders>
              <w:top w:val="single" w:sz="6" w:space="0" w:color="auto"/>
              <w:bottom w:val="single" w:sz="6" w:space="0" w:color="auto"/>
            </w:tcBorders>
            <w:shd w:val="clear" w:color="auto" w:fill="DDDDDD"/>
          </w:tcPr>
          <w:p w14:paraId="22A80FCE" w14:textId="411A08A9" w:rsidR="00F859F8" w:rsidRPr="00F859F8" w:rsidRDefault="00F859F8" w:rsidP="00F859F8">
            <w:pPr>
              <w:jc w:val="center"/>
              <w:rPr>
                <w:rFonts w:ascii="Arial" w:hAnsi="Arial" w:cs="Arial"/>
                <w:b/>
                <w:bCs/>
                <w:color w:val="000000"/>
                <w:sz w:val="20"/>
              </w:rPr>
            </w:pPr>
            <w:r>
              <w:rPr>
                <w:rFonts w:ascii="Arial" w:hAnsi="Arial" w:cs="Arial"/>
                <w:b/>
                <w:bCs/>
                <w:color w:val="000000"/>
                <w:sz w:val="20"/>
              </w:rPr>
              <w:t>Justice Procedures</w:t>
            </w:r>
          </w:p>
        </w:tc>
        <w:tc>
          <w:tcPr>
            <w:tcW w:w="1242" w:type="dxa"/>
            <w:tcBorders>
              <w:top w:val="single" w:sz="6" w:space="0" w:color="auto"/>
              <w:bottom w:val="single" w:sz="6" w:space="0" w:color="auto"/>
            </w:tcBorders>
            <w:shd w:val="clear" w:color="auto" w:fill="DDDDDD"/>
          </w:tcPr>
          <w:p w14:paraId="247303D1" w14:textId="240AE8C1" w:rsidR="00F859F8" w:rsidRDefault="006B00A8" w:rsidP="00F859F8">
            <w:pPr>
              <w:jc w:val="right"/>
              <w:rPr>
                <w:rFonts w:ascii="Arial" w:hAnsi="Arial" w:cs="Arial"/>
                <w:color w:val="000000"/>
                <w:sz w:val="20"/>
              </w:rPr>
            </w:pPr>
            <w:r>
              <w:rPr>
                <w:rFonts w:ascii="Arial" w:hAnsi="Arial" w:cs="Arial"/>
                <w:color w:val="000000"/>
                <w:sz w:val="20"/>
              </w:rPr>
              <w:t>94</w:t>
            </w:r>
          </w:p>
        </w:tc>
        <w:tc>
          <w:tcPr>
            <w:tcW w:w="1808" w:type="dxa"/>
            <w:tcBorders>
              <w:top w:val="single" w:sz="6" w:space="0" w:color="auto"/>
              <w:bottom w:val="single" w:sz="6" w:space="0" w:color="auto"/>
            </w:tcBorders>
            <w:shd w:val="clear" w:color="auto" w:fill="DDDDDD"/>
          </w:tcPr>
          <w:p w14:paraId="6B662252" w14:textId="20691408" w:rsidR="00F859F8" w:rsidRDefault="00DF4047" w:rsidP="00F859F8">
            <w:pPr>
              <w:jc w:val="right"/>
              <w:rPr>
                <w:rFonts w:ascii="Arial" w:hAnsi="Arial" w:cs="Arial"/>
                <w:color w:val="000000"/>
                <w:sz w:val="20"/>
              </w:rPr>
            </w:pPr>
            <w:r>
              <w:rPr>
                <w:rFonts w:ascii="Arial" w:hAnsi="Arial" w:cs="Arial"/>
                <w:color w:val="000000"/>
                <w:sz w:val="20"/>
              </w:rPr>
              <w:t>1069</w:t>
            </w:r>
          </w:p>
        </w:tc>
      </w:tr>
      <w:tr w:rsidR="00F859F8" w14:paraId="5C1F734C" w14:textId="77777777" w:rsidTr="006B00A8">
        <w:tc>
          <w:tcPr>
            <w:tcW w:w="1808" w:type="dxa"/>
            <w:tcBorders>
              <w:top w:val="single" w:sz="6" w:space="0" w:color="auto"/>
              <w:bottom w:val="single" w:sz="6" w:space="0" w:color="auto"/>
            </w:tcBorders>
          </w:tcPr>
          <w:p w14:paraId="6AAE6C7F" w14:textId="57A44D3A" w:rsidR="00F859F8" w:rsidRDefault="006B00A8" w:rsidP="00F859F8">
            <w:pPr>
              <w:jc w:val="right"/>
              <w:rPr>
                <w:rFonts w:ascii="Arial" w:hAnsi="Arial" w:cs="Arial"/>
                <w:color w:val="000000"/>
                <w:sz w:val="20"/>
              </w:rPr>
            </w:pPr>
            <w:r>
              <w:rPr>
                <w:rFonts w:ascii="Arial" w:hAnsi="Arial" w:cs="Arial"/>
                <w:color w:val="000000"/>
                <w:sz w:val="20"/>
              </w:rPr>
              <w:t>1202</w:t>
            </w:r>
          </w:p>
        </w:tc>
        <w:tc>
          <w:tcPr>
            <w:tcW w:w="1242" w:type="dxa"/>
            <w:tcBorders>
              <w:top w:val="single" w:sz="6" w:space="0" w:color="auto"/>
              <w:bottom w:val="single" w:sz="6" w:space="0" w:color="auto"/>
            </w:tcBorders>
          </w:tcPr>
          <w:p w14:paraId="4085332E" w14:textId="2A4366F9" w:rsidR="00F859F8" w:rsidRDefault="006B00A8" w:rsidP="00F859F8">
            <w:pPr>
              <w:jc w:val="right"/>
              <w:rPr>
                <w:rFonts w:ascii="Arial" w:hAnsi="Arial" w:cs="Arial"/>
                <w:color w:val="000000"/>
                <w:sz w:val="20"/>
              </w:rPr>
            </w:pPr>
            <w:r>
              <w:rPr>
                <w:rFonts w:ascii="Arial" w:hAnsi="Arial" w:cs="Arial"/>
                <w:color w:val="000000"/>
                <w:sz w:val="20"/>
              </w:rPr>
              <w:t>345</w:t>
            </w:r>
          </w:p>
        </w:tc>
        <w:tc>
          <w:tcPr>
            <w:tcW w:w="2942" w:type="dxa"/>
            <w:gridSpan w:val="3"/>
            <w:tcBorders>
              <w:top w:val="single" w:sz="6" w:space="0" w:color="auto"/>
              <w:bottom w:val="single" w:sz="6" w:space="0" w:color="auto"/>
            </w:tcBorders>
          </w:tcPr>
          <w:p w14:paraId="51094CE4" w14:textId="30887E23" w:rsidR="00F859F8" w:rsidRPr="00F859F8" w:rsidRDefault="00F859F8" w:rsidP="00F859F8">
            <w:pPr>
              <w:jc w:val="center"/>
              <w:rPr>
                <w:rFonts w:ascii="Arial" w:hAnsi="Arial" w:cs="Arial"/>
                <w:b/>
                <w:bCs/>
                <w:color w:val="000000"/>
                <w:sz w:val="20"/>
              </w:rPr>
            </w:pPr>
            <w:r>
              <w:rPr>
                <w:rFonts w:ascii="Arial" w:hAnsi="Arial" w:cs="Arial"/>
                <w:b/>
                <w:bCs/>
                <w:color w:val="000000"/>
                <w:sz w:val="20"/>
              </w:rPr>
              <w:t>Regulated Public Order</w:t>
            </w:r>
          </w:p>
        </w:tc>
        <w:tc>
          <w:tcPr>
            <w:tcW w:w="1242" w:type="dxa"/>
            <w:tcBorders>
              <w:top w:val="single" w:sz="6" w:space="0" w:color="auto"/>
              <w:bottom w:val="single" w:sz="6" w:space="0" w:color="auto"/>
            </w:tcBorders>
          </w:tcPr>
          <w:p w14:paraId="6CD7B738" w14:textId="2C815D22" w:rsidR="00F859F8" w:rsidRDefault="00DF4047" w:rsidP="00F859F8">
            <w:pPr>
              <w:jc w:val="right"/>
              <w:rPr>
                <w:rFonts w:ascii="Arial" w:hAnsi="Arial" w:cs="Arial"/>
                <w:color w:val="000000"/>
                <w:sz w:val="20"/>
              </w:rPr>
            </w:pPr>
            <w:r>
              <w:rPr>
                <w:rFonts w:ascii="Arial" w:hAnsi="Arial" w:cs="Arial"/>
                <w:color w:val="000000"/>
                <w:sz w:val="20"/>
              </w:rPr>
              <w:t>181</w:t>
            </w:r>
          </w:p>
        </w:tc>
        <w:tc>
          <w:tcPr>
            <w:tcW w:w="1808" w:type="dxa"/>
            <w:tcBorders>
              <w:top w:val="single" w:sz="6" w:space="0" w:color="auto"/>
              <w:bottom w:val="single" w:sz="6" w:space="0" w:color="auto"/>
            </w:tcBorders>
          </w:tcPr>
          <w:p w14:paraId="2A9CCADE" w14:textId="5F169FCC" w:rsidR="00F859F8" w:rsidRDefault="00DF4047" w:rsidP="00F859F8">
            <w:pPr>
              <w:jc w:val="right"/>
              <w:rPr>
                <w:rFonts w:ascii="Arial" w:hAnsi="Arial" w:cs="Arial"/>
                <w:color w:val="000000"/>
                <w:sz w:val="20"/>
              </w:rPr>
            </w:pPr>
            <w:r>
              <w:rPr>
                <w:rFonts w:ascii="Arial" w:hAnsi="Arial" w:cs="Arial"/>
                <w:color w:val="000000"/>
                <w:sz w:val="20"/>
              </w:rPr>
              <w:t>568</w:t>
            </w:r>
          </w:p>
        </w:tc>
      </w:tr>
      <w:tr w:rsidR="00F859F8" w14:paraId="4A5D76F9" w14:textId="77777777" w:rsidTr="006A0351">
        <w:tc>
          <w:tcPr>
            <w:tcW w:w="1808" w:type="dxa"/>
            <w:tcBorders>
              <w:top w:val="single" w:sz="6" w:space="0" w:color="auto"/>
              <w:bottom w:val="single" w:sz="6" w:space="0" w:color="auto"/>
            </w:tcBorders>
            <w:shd w:val="clear" w:color="auto" w:fill="DDDDDD"/>
          </w:tcPr>
          <w:p w14:paraId="01F9096C" w14:textId="468D8E9B" w:rsidR="00F859F8" w:rsidRDefault="006B00A8" w:rsidP="00F859F8">
            <w:pPr>
              <w:jc w:val="right"/>
              <w:rPr>
                <w:rFonts w:ascii="Arial" w:hAnsi="Arial" w:cs="Arial"/>
                <w:color w:val="000000"/>
                <w:sz w:val="20"/>
              </w:rPr>
            </w:pPr>
            <w:r>
              <w:rPr>
                <w:rFonts w:ascii="Arial" w:hAnsi="Arial" w:cs="Arial"/>
                <w:color w:val="000000"/>
                <w:sz w:val="20"/>
              </w:rPr>
              <w:t>904</w:t>
            </w:r>
          </w:p>
        </w:tc>
        <w:tc>
          <w:tcPr>
            <w:tcW w:w="1242" w:type="dxa"/>
            <w:tcBorders>
              <w:top w:val="single" w:sz="6" w:space="0" w:color="auto"/>
              <w:bottom w:val="single" w:sz="6" w:space="0" w:color="auto"/>
            </w:tcBorders>
            <w:shd w:val="clear" w:color="auto" w:fill="DDDDDD"/>
          </w:tcPr>
          <w:p w14:paraId="49EB27EF" w14:textId="7B2880C7" w:rsidR="00F859F8" w:rsidRDefault="006B00A8" w:rsidP="00F859F8">
            <w:pPr>
              <w:jc w:val="right"/>
              <w:rPr>
                <w:rFonts w:ascii="Arial" w:hAnsi="Arial" w:cs="Arial"/>
                <w:color w:val="000000"/>
                <w:sz w:val="20"/>
              </w:rPr>
            </w:pPr>
            <w:r>
              <w:rPr>
                <w:rFonts w:ascii="Arial" w:hAnsi="Arial" w:cs="Arial"/>
                <w:color w:val="000000"/>
                <w:sz w:val="20"/>
              </w:rPr>
              <w:t>257</w:t>
            </w:r>
          </w:p>
        </w:tc>
        <w:tc>
          <w:tcPr>
            <w:tcW w:w="2942" w:type="dxa"/>
            <w:gridSpan w:val="3"/>
            <w:tcBorders>
              <w:top w:val="single" w:sz="6" w:space="0" w:color="auto"/>
              <w:bottom w:val="single" w:sz="6" w:space="0" w:color="auto"/>
            </w:tcBorders>
            <w:shd w:val="clear" w:color="auto" w:fill="DDDDDD"/>
          </w:tcPr>
          <w:p w14:paraId="5D67E267" w14:textId="7CAB4836" w:rsidR="00F859F8" w:rsidRPr="00F859F8" w:rsidRDefault="00F859F8" w:rsidP="00F859F8">
            <w:pPr>
              <w:jc w:val="center"/>
              <w:rPr>
                <w:rFonts w:ascii="Arial" w:hAnsi="Arial" w:cs="Arial"/>
                <w:b/>
                <w:bCs/>
                <w:color w:val="000000"/>
                <w:sz w:val="20"/>
              </w:rPr>
            </w:pPr>
            <w:r>
              <w:rPr>
                <w:rFonts w:ascii="Arial" w:hAnsi="Arial" w:cs="Arial"/>
                <w:b/>
                <w:bCs/>
                <w:color w:val="000000"/>
                <w:sz w:val="20"/>
              </w:rPr>
              <w:t>Weapons/Explosives</w:t>
            </w:r>
          </w:p>
        </w:tc>
        <w:tc>
          <w:tcPr>
            <w:tcW w:w="1242" w:type="dxa"/>
            <w:tcBorders>
              <w:top w:val="single" w:sz="6" w:space="0" w:color="auto"/>
              <w:bottom w:val="single" w:sz="6" w:space="0" w:color="auto"/>
            </w:tcBorders>
            <w:shd w:val="clear" w:color="auto" w:fill="DDDDDD"/>
          </w:tcPr>
          <w:p w14:paraId="75656D72" w14:textId="2CDEDE94" w:rsidR="00F859F8" w:rsidRDefault="00DF4047" w:rsidP="00F859F8">
            <w:pPr>
              <w:jc w:val="right"/>
              <w:rPr>
                <w:rFonts w:ascii="Arial" w:hAnsi="Arial" w:cs="Arial"/>
                <w:color w:val="000000"/>
                <w:sz w:val="20"/>
              </w:rPr>
            </w:pPr>
            <w:r>
              <w:rPr>
                <w:rFonts w:ascii="Arial" w:hAnsi="Arial" w:cs="Arial"/>
                <w:color w:val="000000"/>
                <w:sz w:val="20"/>
              </w:rPr>
              <w:t>151</w:t>
            </w:r>
          </w:p>
        </w:tc>
        <w:tc>
          <w:tcPr>
            <w:tcW w:w="1808" w:type="dxa"/>
            <w:tcBorders>
              <w:top w:val="single" w:sz="6" w:space="0" w:color="auto"/>
              <w:bottom w:val="single" w:sz="6" w:space="0" w:color="auto"/>
            </w:tcBorders>
            <w:shd w:val="clear" w:color="auto" w:fill="DDDDDD"/>
          </w:tcPr>
          <w:p w14:paraId="4F249B0F" w14:textId="42E1C75B" w:rsidR="00F859F8" w:rsidRDefault="00DF4047" w:rsidP="00F859F8">
            <w:pPr>
              <w:jc w:val="right"/>
              <w:rPr>
                <w:rFonts w:ascii="Arial" w:hAnsi="Arial" w:cs="Arial"/>
                <w:color w:val="000000"/>
                <w:sz w:val="20"/>
              </w:rPr>
            </w:pPr>
            <w:r>
              <w:rPr>
                <w:rFonts w:ascii="Arial" w:hAnsi="Arial" w:cs="Arial"/>
                <w:color w:val="000000"/>
                <w:sz w:val="20"/>
              </w:rPr>
              <w:t>660</w:t>
            </w:r>
          </w:p>
        </w:tc>
      </w:tr>
      <w:tr w:rsidR="00F859F8" w14:paraId="08A7EC08" w14:textId="77777777" w:rsidTr="006B00A8">
        <w:tc>
          <w:tcPr>
            <w:tcW w:w="1808" w:type="dxa"/>
            <w:tcBorders>
              <w:top w:val="single" w:sz="6" w:space="0" w:color="auto"/>
              <w:bottom w:val="single" w:sz="6" w:space="0" w:color="auto"/>
            </w:tcBorders>
          </w:tcPr>
          <w:p w14:paraId="394FC5F3" w14:textId="2E05E41D" w:rsidR="00F859F8" w:rsidRDefault="006B00A8" w:rsidP="00F859F8">
            <w:pPr>
              <w:jc w:val="right"/>
              <w:rPr>
                <w:rFonts w:ascii="Arial" w:hAnsi="Arial" w:cs="Arial"/>
                <w:color w:val="000000"/>
                <w:sz w:val="20"/>
              </w:rPr>
            </w:pPr>
            <w:r>
              <w:rPr>
                <w:rFonts w:ascii="Arial" w:hAnsi="Arial" w:cs="Arial"/>
                <w:color w:val="000000"/>
                <w:sz w:val="20"/>
              </w:rPr>
              <w:t>78</w:t>
            </w:r>
          </w:p>
        </w:tc>
        <w:tc>
          <w:tcPr>
            <w:tcW w:w="1242" w:type="dxa"/>
            <w:tcBorders>
              <w:top w:val="single" w:sz="6" w:space="0" w:color="auto"/>
              <w:bottom w:val="single" w:sz="6" w:space="0" w:color="auto"/>
            </w:tcBorders>
          </w:tcPr>
          <w:p w14:paraId="4469CDC6" w14:textId="107DE33A" w:rsidR="00F859F8" w:rsidRDefault="006B00A8" w:rsidP="00F859F8">
            <w:pPr>
              <w:jc w:val="right"/>
              <w:rPr>
                <w:rFonts w:ascii="Arial" w:hAnsi="Arial" w:cs="Arial"/>
                <w:color w:val="000000"/>
                <w:sz w:val="20"/>
              </w:rPr>
            </w:pPr>
            <w:r>
              <w:rPr>
                <w:rFonts w:ascii="Arial" w:hAnsi="Arial" w:cs="Arial"/>
                <w:color w:val="000000"/>
                <w:sz w:val="20"/>
              </w:rPr>
              <w:t>19</w:t>
            </w:r>
          </w:p>
        </w:tc>
        <w:tc>
          <w:tcPr>
            <w:tcW w:w="2942" w:type="dxa"/>
            <w:gridSpan w:val="3"/>
            <w:tcBorders>
              <w:top w:val="single" w:sz="6" w:space="0" w:color="auto"/>
              <w:bottom w:val="single" w:sz="6" w:space="0" w:color="auto"/>
            </w:tcBorders>
          </w:tcPr>
          <w:p w14:paraId="2A07FE3F" w14:textId="79C7B677" w:rsidR="00F859F8" w:rsidRPr="00F859F8" w:rsidRDefault="00F859F8" w:rsidP="00F859F8">
            <w:pPr>
              <w:jc w:val="center"/>
              <w:rPr>
                <w:rFonts w:ascii="Arial" w:hAnsi="Arial" w:cs="Arial"/>
                <w:b/>
                <w:bCs/>
                <w:color w:val="000000"/>
                <w:sz w:val="20"/>
              </w:rPr>
            </w:pPr>
            <w:r>
              <w:rPr>
                <w:rFonts w:ascii="Arial" w:hAnsi="Arial" w:cs="Arial"/>
                <w:b/>
                <w:bCs/>
                <w:color w:val="000000"/>
                <w:sz w:val="20"/>
              </w:rPr>
              <w:t>Harassment</w:t>
            </w:r>
          </w:p>
        </w:tc>
        <w:tc>
          <w:tcPr>
            <w:tcW w:w="1242" w:type="dxa"/>
            <w:tcBorders>
              <w:top w:val="single" w:sz="6" w:space="0" w:color="auto"/>
              <w:bottom w:val="single" w:sz="6" w:space="0" w:color="auto"/>
            </w:tcBorders>
          </w:tcPr>
          <w:p w14:paraId="0FB17E26" w14:textId="0FE9AF12" w:rsidR="00F859F8" w:rsidRDefault="00DF4047" w:rsidP="00F859F8">
            <w:pPr>
              <w:jc w:val="right"/>
              <w:rPr>
                <w:rFonts w:ascii="Arial" w:hAnsi="Arial" w:cs="Arial"/>
                <w:color w:val="000000"/>
                <w:sz w:val="20"/>
              </w:rPr>
            </w:pPr>
            <w:r>
              <w:rPr>
                <w:rFonts w:ascii="Arial" w:hAnsi="Arial" w:cs="Arial"/>
                <w:color w:val="000000"/>
                <w:sz w:val="20"/>
              </w:rPr>
              <w:t>27</w:t>
            </w:r>
          </w:p>
        </w:tc>
        <w:tc>
          <w:tcPr>
            <w:tcW w:w="1808" w:type="dxa"/>
            <w:tcBorders>
              <w:top w:val="single" w:sz="6" w:space="0" w:color="auto"/>
              <w:bottom w:val="single" w:sz="6" w:space="0" w:color="auto"/>
            </w:tcBorders>
          </w:tcPr>
          <w:p w14:paraId="27412151" w14:textId="10C7F8D0" w:rsidR="00F859F8" w:rsidRDefault="00DF4047" w:rsidP="00F859F8">
            <w:pPr>
              <w:jc w:val="right"/>
              <w:rPr>
                <w:rFonts w:ascii="Arial" w:hAnsi="Arial" w:cs="Arial"/>
                <w:color w:val="000000"/>
                <w:sz w:val="20"/>
              </w:rPr>
            </w:pPr>
            <w:r>
              <w:rPr>
                <w:rFonts w:ascii="Arial" w:hAnsi="Arial" w:cs="Arial"/>
                <w:color w:val="000000"/>
                <w:sz w:val="20"/>
              </w:rPr>
              <w:t>86</w:t>
            </w:r>
          </w:p>
        </w:tc>
      </w:tr>
      <w:tr w:rsidR="00F859F8" w14:paraId="6686F0E5" w14:textId="77777777" w:rsidTr="006A0351">
        <w:tc>
          <w:tcPr>
            <w:tcW w:w="1808" w:type="dxa"/>
            <w:tcBorders>
              <w:top w:val="single" w:sz="6" w:space="0" w:color="auto"/>
              <w:bottom w:val="single" w:sz="6" w:space="0" w:color="auto"/>
            </w:tcBorders>
            <w:shd w:val="clear" w:color="auto" w:fill="DDDDDD"/>
          </w:tcPr>
          <w:p w14:paraId="5B7F1B8A" w14:textId="6C118EEB" w:rsidR="00F859F8" w:rsidRDefault="006B00A8" w:rsidP="00F859F8">
            <w:pPr>
              <w:jc w:val="right"/>
              <w:rPr>
                <w:rFonts w:ascii="Arial" w:hAnsi="Arial" w:cs="Arial"/>
                <w:color w:val="000000"/>
                <w:sz w:val="20"/>
              </w:rPr>
            </w:pPr>
            <w:r>
              <w:rPr>
                <w:rFonts w:ascii="Arial" w:hAnsi="Arial" w:cs="Arial"/>
                <w:color w:val="000000"/>
                <w:sz w:val="20"/>
              </w:rPr>
              <w:t>599</w:t>
            </w:r>
          </w:p>
        </w:tc>
        <w:tc>
          <w:tcPr>
            <w:tcW w:w="1242" w:type="dxa"/>
            <w:tcBorders>
              <w:top w:val="single" w:sz="6" w:space="0" w:color="auto"/>
              <w:bottom w:val="single" w:sz="6" w:space="0" w:color="auto"/>
            </w:tcBorders>
            <w:shd w:val="clear" w:color="auto" w:fill="DDDDDD"/>
          </w:tcPr>
          <w:p w14:paraId="36505998" w14:textId="61A2DF35" w:rsidR="00F859F8" w:rsidRDefault="006B00A8" w:rsidP="00F859F8">
            <w:pPr>
              <w:jc w:val="right"/>
              <w:rPr>
                <w:rFonts w:ascii="Arial" w:hAnsi="Arial" w:cs="Arial"/>
                <w:color w:val="000000"/>
                <w:sz w:val="20"/>
              </w:rPr>
            </w:pPr>
            <w:r>
              <w:rPr>
                <w:rFonts w:ascii="Arial" w:hAnsi="Arial" w:cs="Arial"/>
                <w:color w:val="000000"/>
                <w:sz w:val="20"/>
              </w:rPr>
              <w:t>93</w:t>
            </w:r>
          </w:p>
        </w:tc>
        <w:tc>
          <w:tcPr>
            <w:tcW w:w="2942" w:type="dxa"/>
            <w:gridSpan w:val="3"/>
            <w:tcBorders>
              <w:top w:val="single" w:sz="6" w:space="0" w:color="auto"/>
              <w:bottom w:val="single" w:sz="6" w:space="0" w:color="auto"/>
            </w:tcBorders>
            <w:shd w:val="clear" w:color="auto" w:fill="DDDDDD"/>
          </w:tcPr>
          <w:p w14:paraId="4389FB9A" w14:textId="6BA82824" w:rsidR="00F859F8" w:rsidRPr="00F859F8" w:rsidRDefault="00F859F8" w:rsidP="00F859F8">
            <w:pPr>
              <w:jc w:val="center"/>
              <w:rPr>
                <w:rFonts w:ascii="Arial" w:hAnsi="Arial" w:cs="Arial"/>
                <w:b/>
                <w:bCs/>
                <w:color w:val="000000"/>
                <w:sz w:val="20"/>
              </w:rPr>
            </w:pPr>
            <w:r>
              <w:rPr>
                <w:rFonts w:ascii="Arial" w:hAnsi="Arial" w:cs="Arial"/>
                <w:b/>
                <w:bCs/>
                <w:color w:val="000000"/>
                <w:sz w:val="20"/>
              </w:rPr>
              <w:t>Behaviour in Public</w:t>
            </w:r>
          </w:p>
        </w:tc>
        <w:tc>
          <w:tcPr>
            <w:tcW w:w="1242" w:type="dxa"/>
            <w:tcBorders>
              <w:top w:val="single" w:sz="6" w:space="0" w:color="auto"/>
              <w:bottom w:val="single" w:sz="6" w:space="0" w:color="auto"/>
            </w:tcBorders>
            <w:shd w:val="clear" w:color="auto" w:fill="DDDDDD"/>
          </w:tcPr>
          <w:p w14:paraId="1F86258E" w14:textId="509347D0" w:rsidR="00F859F8" w:rsidRDefault="00DF4047" w:rsidP="00F859F8">
            <w:pPr>
              <w:jc w:val="right"/>
              <w:rPr>
                <w:rFonts w:ascii="Arial" w:hAnsi="Arial" w:cs="Arial"/>
                <w:color w:val="000000"/>
                <w:sz w:val="20"/>
              </w:rPr>
            </w:pPr>
            <w:r>
              <w:rPr>
                <w:rFonts w:ascii="Arial" w:hAnsi="Arial" w:cs="Arial"/>
                <w:color w:val="000000"/>
                <w:sz w:val="20"/>
              </w:rPr>
              <w:t>97</w:t>
            </w:r>
          </w:p>
        </w:tc>
        <w:tc>
          <w:tcPr>
            <w:tcW w:w="1808" w:type="dxa"/>
            <w:tcBorders>
              <w:top w:val="single" w:sz="6" w:space="0" w:color="auto"/>
              <w:bottom w:val="single" w:sz="6" w:space="0" w:color="auto"/>
            </w:tcBorders>
            <w:shd w:val="clear" w:color="auto" w:fill="DDDDDD"/>
          </w:tcPr>
          <w:p w14:paraId="785B6D8F" w14:textId="015065B4" w:rsidR="00F859F8" w:rsidRDefault="00DF4047" w:rsidP="00F859F8">
            <w:pPr>
              <w:jc w:val="right"/>
              <w:rPr>
                <w:rFonts w:ascii="Arial" w:hAnsi="Arial" w:cs="Arial"/>
                <w:color w:val="000000"/>
                <w:sz w:val="20"/>
              </w:rPr>
            </w:pPr>
            <w:r>
              <w:rPr>
                <w:rFonts w:ascii="Arial" w:hAnsi="Arial" w:cs="Arial"/>
                <w:color w:val="000000"/>
                <w:sz w:val="20"/>
              </w:rPr>
              <w:t>469</w:t>
            </w:r>
          </w:p>
        </w:tc>
      </w:tr>
      <w:tr w:rsidR="00F859F8" w14:paraId="7DD7BBF8" w14:textId="77777777" w:rsidTr="006B00A8">
        <w:tc>
          <w:tcPr>
            <w:tcW w:w="1808" w:type="dxa"/>
            <w:tcBorders>
              <w:top w:val="single" w:sz="6" w:space="0" w:color="auto"/>
            </w:tcBorders>
          </w:tcPr>
          <w:p w14:paraId="75CF02FE" w14:textId="33024E09" w:rsidR="00F859F8" w:rsidRDefault="006B00A8" w:rsidP="00F859F8">
            <w:pPr>
              <w:jc w:val="right"/>
              <w:rPr>
                <w:rFonts w:ascii="Arial" w:hAnsi="Arial" w:cs="Arial"/>
                <w:color w:val="000000"/>
                <w:sz w:val="20"/>
              </w:rPr>
            </w:pPr>
            <w:r>
              <w:rPr>
                <w:rFonts w:ascii="Arial" w:hAnsi="Arial" w:cs="Arial"/>
                <w:color w:val="000000"/>
                <w:sz w:val="20"/>
              </w:rPr>
              <w:t>1317</w:t>
            </w:r>
          </w:p>
        </w:tc>
        <w:tc>
          <w:tcPr>
            <w:tcW w:w="1242" w:type="dxa"/>
            <w:tcBorders>
              <w:top w:val="single" w:sz="6" w:space="0" w:color="auto"/>
            </w:tcBorders>
          </w:tcPr>
          <w:p w14:paraId="21B2AEC1" w14:textId="7C971DCD" w:rsidR="00F859F8" w:rsidRDefault="006B00A8" w:rsidP="00F859F8">
            <w:pPr>
              <w:jc w:val="right"/>
              <w:rPr>
                <w:rFonts w:ascii="Arial" w:hAnsi="Arial" w:cs="Arial"/>
                <w:color w:val="000000"/>
                <w:sz w:val="20"/>
              </w:rPr>
            </w:pPr>
            <w:r>
              <w:rPr>
                <w:rFonts w:ascii="Arial" w:hAnsi="Arial" w:cs="Arial"/>
                <w:color w:val="000000"/>
                <w:sz w:val="20"/>
              </w:rPr>
              <w:t>547</w:t>
            </w:r>
          </w:p>
        </w:tc>
        <w:tc>
          <w:tcPr>
            <w:tcW w:w="2942" w:type="dxa"/>
            <w:gridSpan w:val="3"/>
            <w:tcBorders>
              <w:top w:val="single" w:sz="6" w:space="0" w:color="auto"/>
            </w:tcBorders>
          </w:tcPr>
          <w:p w14:paraId="5EE6EBEB" w14:textId="0E1DC012" w:rsidR="00F859F8" w:rsidRPr="00F859F8" w:rsidRDefault="006B00A8" w:rsidP="00F859F8">
            <w:pPr>
              <w:jc w:val="center"/>
              <w:rPr>
                <w:rFonts w:ascii="Arial" w:hAnsi="Arial" w:cs="Arial"/>
                <w:b/>
                <w:bCs/>
                <w:color w:val="000000"/>
                <w:sz w:val="20"/>
              </w:rPr>
            </w:pPr>
            <w:r>
              <w:rPr>
                <w:rFonts w:ascii="Arial" w:hAnsi="Arial" w:cs="Arial"/>
                <w:b/>
                <w:bCs/>
                <w:color w:val="000000"/>
                <w:sz w:val="20"/>
              </w:rPr>
              <w:t>Other</w:t>
            </w:r>
          </w:p>
        </w:tc>
        <w:tc>
          <w:tcPr>
            <w:tcW w:w="1242" w:type="dxa"/>
            <w:tcBorders>
              <w:top w:val="single" w:sz="6" w:space="0" w:color="auto"/>
            </w:tcBorders>
          </w:tcPr>
          <w:p w14:paraId="5BF56CFD" w14:textId="4C18D98A" w:rsidR="00F859F8" w:rsidRDefault="00DF4047" w:rsidP="00F859F8">
            <w:pPr>
              <w:jc w:val="right"/>
              <w:rPr>
                <w:rFonts w:ascii="Arial" w:hAnsi="Arial" w:cs="Arial"/>
                <w:color w:val="000000"/>
                <w:sz w:val="20"/>
              </w:rPr>
            </w:pPr>
            <w:r>
              <w:rPr>
                <w:rFonts w:ascii="Arial" w:hAnsi="Arial" w:cs="Arial"/>
                <w:color w:val="000000"/>
                <w:sz w:val="20"/>
              </w:rPr>
              <w:t>399</w:t>
            </w:r>
          </w:p>
        </w:tc>
        <w:tc>
          <w:tcPr>
            <w:tcW w:w="1808" w:type="dxa"/>
            <w:tcBorders>
              <w:top w:val="single" w:sz="6" w:space="0" w:color="auto"/>
            </w:tcBorders>
          </w:tcPr>
          <w:p w14:paraId="7162FED9" w14:textId="4B18E760" w:rsidR="00F859F8" w:rsidRDefault="00DF4047" w:rsidP="00F859F8">
            <w:pPr>
              <w:jc w:val="right"/>
              <w:rPr>
                <w:rFonts w:ascii="Arial" w:hAnsi="Arial" w:cs="Arial"/>
                <w:color w:val="000000"/>
                <w:sz w:val="20"/>
              </w:rPr>
            </w:pPr>
            <w:r>
              <w:rPr>
                <w:rFonts w:ascii="Arial" w:hAnsi="Arial" w:cs="Arial"/>
                <w:color w:val="000000"/>
                <w:sz w:val="20"/>
              </w:rPr>
              <w:t>1015</w:t>
            </w:r>
          </w:p>
        </w:tc>
      </w:tr>
      <w:tr w:rsidR="00F859F8" w14:paraId="1D77A0F0" w14:textId="77777777" w:rsidTr="00F859F8">
        <w:tc>
          <w:tcPr>
            <w:tcW w:w="1808" w:type="dxa"/>
            <w:shd w:val="clear" w:color="auto" w:fill="000000" w:themeFill="text1"/>
          </w:tcPr>
          <w:p w14:paraId="6B305BA2" w14:textId="6841F599" w:rsidR="00F859F8" w:rsidRPr="006B00A8" w:rsidRDefault="00F859F8" w:rsidP="00F859F8">
            <w:pPr>
              <w:jc w:val="right"/>
              <w:rPr>
                <w:rFonts w:ascii="Arial" w:hAnsi="Arial" w:cs="Arial"/>
                <w:b/>
                <w:bCs/>
                <w:color w:val="FFFFFF" w:themeColor="background1"/>
                <w:szCs w:val="32"/>
              </w:rPr>
            </w:pPr>
            <w:r w:rsidRPr="006B00A8">
              <w:rPr>
                <w:rFonts w:ascii="Arial" w:hAnsi="Arial" w:cs="Arial"/>
                <w:b/>
                <w:bCs/>
                <w:color w:val="FFFFFF" w:themeColor="background1"/>
                <w:szCs w:val="32"/>
              </w:rPr>
              <w:t>35924</w:t>
            </w:r>
          </w:p>
        </w:tc>
        <w:tc>
          <w:tcPr>
            <w:tcW w:w="1242" w:type="dxa"/>
            <w:shd w:val="clear" w:color="auto" w:fill="000000" w:themeFill="text1"/>
          </w:tcPr>
          <w:p w14:paraId="39384618" w14:textId="0B090DD3" w:rsidR="00F859F8" w:rsidRPr="006B00A8" w:rsidRDefault="00F859F8" w:rsidP="00F859F8">
            <w:pPr>
              <w:jc w:val="right"/>
              <w:rPr>
                <w:rFonts w:ascii="Arial" w:hAnsi="Arial" w:cs="Arial"/>
                <w:b/>
                <w:bCs/>
                <w:color w:val="FFFFFF" w:themeColor="background1"/>
                <w:szCs w:val="32"/>
              </w:rPr>
            </w:pPr>
            <w:r w:rsidRPr="006B00A8">
              <w:rPr>
                <w:rFonts w:ascii="Arial" w:hAnsi="Arial" w:cs="Arial"/>
                <w:b/>
                <w:bCs/>
                <w:color w:val="FFFFFF" w:themeColor="background1"/>
                <w:szCs w:val="32"/>
              </w:rPr>
              <w:t>9679</w:t>
            </w:r>
          </w:p>
        </w:tc>
        <w:tc>
          <w:tcPr>
            <w:tcW w:w="2942" w:type="dxa"/>
            <w:gridSpan w:val="3"/>
            <w:shd w:val="clear" w:color="auto" w:fill="000000" w:themeFill="text1"/>
          </w:tcPr>
          <w:p w14:paraId="3EE5E474" w14:textId="4E0421CB" w:rsidR="00F859F8" w:rsidRPr="00F859F8" w:rsidRDefault="00F859F8" w:rsidP="00F859F8">
            <w:pPr>
              <w:jc w:val="center"/>
              <w:rPr>
                <w:rFonts w:ascii="Arial" w:hAnsi="Arial" w:cs="Arial"/>
                <w:b/>
                <w:bCs/>
                <w:color w:val="000000"/>
                <w:sz w:val="20"/>
              </w:rPr>
            </w:pPr>
            <w:r w:rsidRPr="00F859F8">
              <w:rPr>
                <w:rFonts w:ascii="Arial" w:hAnsi="Arial" w:cs="Arial"/>
                <w:b/>
                <w:bCs/>
                <w:color w:val="FFFFFF" w:themeColor="background1"/>
                <w:szCs w:val="32"/>
              </w:rPr>
              <w:t>TOTAL</w:t>
            </w:r>
          </w:p>
        </w:tc>
        <w:tc>
          <w:tcPr>
            <w:tcW w:w="1242" w:type="dxa"/>
            <w:shd w:val="clear" w:color="auto" w:fill="000000" w:themeFill="text1"/>
          </w:tcPr>
          <w:p w14:paraId="147A18E6" w14:textId="37FFC278" w:rsidR="00F859F8" w:rsidRPr="006B00A8" w:rsidRDefault="00DF4047" w:rsidP="00F859F8">
            <w:pPr>
              <w:jc w:val="right"/>
              <w:rPr>
                <w:rFonts w:ascii="Arial" w:hAnsi="Arial" w:cs="Arial"/>
                <w:b/>
                <w:bCs/>
                <w:color w:val="FFFFFF" w:themeColor="background1"/>
                <w:szCs w:val="32"/>
              </w:rPr>
            </w:pPr>
            <w:r>
              <w:rPr>
                <w:rFonts w:ascii="Arial" w:hAnsi="Arial" w:cs="Arial"/>
                <w:b/>
                <w:bCs/>
                <w:color w:val="FFFFFF" w:themeColor="background1"/>
                <w:szCs w:val="32"/>
              </w:rPr>
              <w:t>7632</w:t>
            </w:r>
          </w:p>
        </w:tc>
        <w:tc>
          <w:tcPr>
            <w:tcW w:w="1808" w:type="dxa"/>
            <w:shd w:val="clear" w:color="auto" w:fill="000000" w:themeFill="text1"/>
          </w:tcPr>
          <w:p w14:paraId="2B19F278" w14:textId="6E8F9813" w:rsidR="00F859F8" w:rsidRPr="006B00A8" w:rsidRDefault="00DF4047" w:rsidP="00F859F8">
            <w:pPr>
              <w:jc w:val="right"/>
              <w:rPr>
                <w:rFonts w:ascii="Arial" w:hAnsi="Arial" w:cs="Arial"/>
                <w:b/>
                <w:bCs/>
                <w:color w:val="FFFFFF" w:themeColor="background1"/>
                <w:szCs w:val="32"/>
              </w:rPr>
            </w:pPr>
            <w:r>
              <w:rPr>
                <w:rFonts w:ascii="Arial" w:hAnsi="Arial" w:cs="Arial"/>
                <w:b/>
                <w:bCs/>
                <w:color w:val="FFFFFF" w:themeColor="background1"/>
                <w:szCs w:val="32"/>
              </w:rPr>
              <w:t>28793</w:t>
            </w:r>
          </w:p>
        </w:tc>
      </w:tr>
    </w:tbl>
    <w:p w14:paraId="32FCF4A7" w14:textId="77777777" w:rsidR="00402372" w:rsidRDefault="00402372" w:rsidP="00402372">
      <w:pPr>
        <w:jc w:val="both"/>
        <w:rPr>
          <w:rFonts w:ascii="Arial" w:hAnsi="Arial" w:cs="Arial"/>
          <w:color w:val="000000"/>
          <w:sz w:val="20"/>
        </w:rPr>
      </w:pPr>
    </w:p>
    <w:p w14:paraId="76341EAA" w14:textId="1DE415A2" w:rsidR="00CF0D3B" w:rsidRPr="00CF0D3B" w:rsidRDefault="00CF0D3B" w:rsidP="00CF0D3B">
      <w:pPr>
        <w:jc w:val="both"/>
        <w:rPr>
          <w:rFonts w:ascii="Arial" w:hAnsi="Arial" w:cs="Arial"/>
          <w:color w:val="000000"/>
          <w:sz w:val="20"/>
        </w:rPr>
      </w:pPr>
      <w:r w:rsidRPr="00CF0D3B">
        <w:rPr>
          <w:rFonts w:ascii="Arial" w:hAnsi="Arial" w:cs="Arial"/>
          <w:color w:val="000000"/>
          <w:sz w:val="20"/>
          <w:lang w:val="en-US"/>
        </w:rPr>
        <w:t xml:space="preserve">In July 2021 the Victorian Crime Statistics Agency released </w:t>
      </w:r>
      <w:r w:rsidR="00E655E9">
        <w:rPr>
          <w:rFonts w:ascii="Arial" w:hAnsi="Arial" w:cs="Arial"/>
          <w:color w:val="000000"/>
          <w:sz w:val="20"/>
          <w:lang w:val="en-US"/>
        </w:rPr>
        <w:t>the results of some research into</w:t>
      </w:r>
      <w:r>
        <w:rPr>
          <w:rFonts w:ascii="Arial" w:hAnsi="Arial" w:cs="Arial"/>
          <w:color w:val="000000"/>
          <w:sz w:val="20"/>
          <w:lang w:val="en-US"/>
        </w:rPr>
        <w:t xml:space="preserve"> </w:t>
      </w:r>
      <w:r w:rsidRPr="00CF0D3B">
        <w:rPr>
          <w:rFonts w:ascii="Arial" w:hAnsi="Arial" w:cs="Arial"/>
          <w:color w:val="000000"/>
          <w:sz w:val="20"/>
          <w:lang w:val="en-US"/>
        </w:rPr>
        <w:t>the use of police cautions for youth in Victoria.</w:t>
      </w:r>
      <w:r>
        <w:rPr>
          <w:rFonts w:ascii="Arial" w:hAnsi="Arial" w:cs="Arial"/>
          <w:color w:val="000000"/>
          <w:sz w:val="20"/>
          <w:lang w:val="en-US"/>
        </w:rPr>
        <w:t xml:space="preserve">  </w:t>
      </w:r>
      <w:r w:rsidRPr="00CF0D3B">
        <w:rPr>
          <w:rFonts w:ascii="Arial" w:hAnsi="Arial" w:cs="Arial"/>
          <w:color w:val="000000"/>
          <w:sz w:val="20"/>
          <w:lang w:val="en-US"/>
        </w:rPr>
        <w:t>The research found that 56% of the study cohort received a caution and the remaining 44% were charged by police. In the following 12 months 36% of young people who received a caution reoffended, compared with 48% of those who were formally charged by police.</w:t>
      </w:r>
      <w:r w:rsidR="00E655E9">
        <w:rPr>
          <w:rFonts w:ascii="Arial" w:hAnsi="Arial" w:cs="Arial"/>
          <w:color w:val="000000"/>
          <w:sz w:val="20"/>
          <w:lang w:val="en-US"/>
        </w:rPr>
        <w:t xml:space="preserve">  </w:t>
      </w:r>
      <w:r w:rsidRPr="00CF0D3B">
        <w:rPr>
          <w:rFonts w:ascii="Arial" w:hAnsi="Arial" w:cs="Arial"/>
          <w:color w:val="000000"/>
          <w:sz w:val="20"/>
          <w:lang w:val="en-US"/>
        </w:rPr>
        <w:t>After 12 months half the young people who were charged by police were recorded for 5 or more further offences, while only one-third of those who were cautioned reoffended with the same intensity.</w:t>
      </w:r>
      <w:r>
        <w:rPr>
          <w:rFonts w:ascii="Arial" w:hAnsi="Arial" w:cs="Arial"/>
          <w:color w:val="000000"/>
          <w:sz w:val="20"/>
          <w:lang w:val="en-US"/>
        </w:rPr>
        <w:t xml:space="preserve">  </w:t>
      </w:r>
      <w:r w:rsidRPr="00CF0D3B">
        <w:rPr>
          <w:rFonts w:ascii="Arial" w:hAnsi="Arial" w:cs="Arial"/>
          <w:color w:val="000000"/>
          <w:sz w:val="20"/>
          <w:lang w:val="en-US"/>
        </w:rPr>
        <w:t>The research also found that charged young people were more likely to commit all offence types within the 12 month</w:t>
      </w:r>
      <w:r>
        <w:rPr>
          <w:rFonts w:ascii="Arial" w:hAnsi="Arial" w:cs="Arial"/>
          <w:color w:val="000000"/>
          <w:sz w:val="20"/>
          <w:lang w:val="en-US"/>
        </w:rPr>
        <w:t>-</w:t>
      </w:r>
      <w:r w:rsidRPr="00CF0D3B">
        <w:rPr>
          <w:rFonts w:ascii="Arial" w:hAnsi="Arial" w:cs="Arial"/>
          <w:color w:val="000000"/>
          <w:sz w:val="20"/>
          <w:lang w:val="en-US"/>
        </w:rPr>
        <w:t>follow-up period than young people who received a caution.</w:t>
      </w:r>
      <w:r>
        <w:rPr>
          <w:rFonts w:ascii="Arial" w:hAnsi="Arial" w:cs="Arial"/>
          <w:color w:val="000000"/>
          <w:sz w:val="20"/>
          <w:lang w:val="en-US"/>
        </w:rPr>
        <w:t xml:space="preserve">  </w:t>
      </w:r>
      <w:r w:rsidRPr="00CF0D3B">
        <w:rPr>
          <w:rFonts w:ascii="Arial" w:hAnsi="Arial" w:cs="Arial"/>
          <w:color w:val="000000"/>
          <w:sz w:val="20"/>
          <w:lang w:val="en-US"/>
        </w:rPr>
        <w:t>The largest differences were recorded in the reoffending rates of theft, property damage and assault offences, which were up to 56% higher for charged young people compared with cautioned young people.</w:t>
      </w:r>
    </w:p>
    <w:p w14:paraId="2D4289E7" w14:textId="3C70458C" w:rsidR="00402372" w:rsidRDefault="00402372" w:rsidP="00402372">
      <w:pPr>
        <w:jc w:val="both"/>
        <w:rPr>
          <w:rFonts w:ascii="Arial" w:hAnsi="Arial" w:cs="Arial"/>
          <w:color w:val="000000"/>
          <w:sz w:val="20"/>
        </w:rPr>
      </w:pPr>
    </w:p>
    <w:p w14:paraId="0420F0AC" w14:textId="126E3FAB" w:rsidR="00CF0D3B" w:rsidRPr="00CF0D3B" w:rsidRDefault="00CF0D3B" w:rsidP="00CF0D3B">
      <w:pPr>
        <w:jc w:val="both"/>
        <w:rPr>
          <w:rFonts w:ascii="Arial" w:hAnsi="Arial" w:cs="Arial"/>
          <w:color w:val="000000"/>
          <w:sz w:val="20"/>
        </w:rPr>
      </w:pPr>
      <w:r>
        <w:rPr>
          <w:rFonts w:ascii="Arial" w:hAnsi="Arial" w:cs="Arial"/>
          <w:color w:val="000000"/>
          <w:sz w:val="20"/>
          <w:lang w:val="en-US"/>
        </w:rPr>
        <w:t>In</w:t>
      </w:r>
      <w:r w:rsidRPr="00CF0D3B">
        <w:rPr>
          <w:rFonts w:ascii="Arial" w:hAnsi="Arial" w:cs="Arial"/>
          <w:color w:val="000000"/>
          <w:sz w:val="20"/>
          <w:lang w:val="en-US"/>
        </w:rPr>
        <w:t xml:space="preserve"> </w:t>
      </w:r>
      <w:r w:rsidRPr="00CF0D3B">
        <w:rPr>
          <w:rFonts w:ascii="Arial" w:hAnsi="Arial" w:cs="Arial"/>
          <w:i/>
          <w:iCs/>
          <w:color w:val="000000"/>
          <w:sz w:val="20"/>
          <w:lang w:val="en-US"/>
        </w:rPr>
        <w:t xml:space="preserve">The Cautious Approach: Police cautions and the impact on youth reoffending </w:t>
      </w:r>
      <w:r w:rsidRPr="00CF0D3B">
        <w:rPr>
          <w:rFonts w:ascii="Arial" w:hAnsi="Arial" w:cs="Arial"/>
          <w:color w:val="000000"/>
          <w:sz w:val="20"/>
          <w:lang w:val="en-US"/>
        </w:rPr>
        <w:t xml:space="preserve">(September 2017) Kimberley Shirley referred to </w:t>
      </w:r>
      <w:r>
        <w:rPr>
          <w:rFonts w:ascii="Arial" w:hAnsi="Arial" w:cs="Arial"/>
          <w:color w:val="000000"/>
          <w:sz w:val="20"/>
          <w:lang w:val="en-US"/>
        </w:rPr>
        <w:t xml:space="preserve">studies which had </w:t>
      </w:r>
      <w:r w:rsidR="00E655E9">
        <w:rPr>
          <w:rFonts w:ascii="Arial" w:hAnsi="Arial" w:cs="Arial"/>
          <w:color w:val="000000"/>
          <w:sz w:val="20"/>
          <w:lang w:val="en-US"/>
        </w:rPr>
        <w:t>found that the Police Cautioning Program provided benefits both to the cautioned child and to the community generally:</w:t>
      </w:r>
    </w:p>
    <w:p w14:paraId="7EBD9E6B" w14:textId="1B193EF9" w:rsidR="00CF0D3B" w:rsidRPr="00CF0D3B" w:rsidRDefault="00CF0D3B" w:rsidP="00CF0D3B">
      <w:pPr>
        <w:spacing w:before="60" w:after="60"/>
        <w:ind w:left="567" w:right="567"/>
        <w:jc w:val="both"/>
        <w:rPr>
          <w:rFonts w:ascii="Arial" w:hAnsi="Arial" w:cs="Arial"/>
          <w:color w:val="000000"/>
          <w:sz w:val="20"/>
        </w:rPr>
      </w:pPr>
      <w:r w:rsidRPr="00CF0D3B">
        <w:rPr>
          <w:rFonts w:ascii="Arial" w:hAnsi="Arial" w:cs="Arial"/>
          <w:color w:val="000000"/>
          <w:sz w:val="20"/>
          <w:lang w:val="en-US"/>
        </w:rPr>
        <w:t xml:space="preserve">“The use of police cautions has been associated with several potential benefits to both the individual cautioned and the justice system (Cunningham, 2007; Jordan &amp; Farrell, 2013). Cautions are used as a method of serving a formal warning to the juvenile about their behaviour while avoiding the stigma associated with going to court. </w:t>
      </w:r>
      <w:r>
        <w:rPr>
          <w:rFonts w:ascii="Arial" w:hAnsi="Arial" w:cs="Arial"/>
          <w:color w:val="000000"/>
          <w:sz w:val="20"/>
          <w:lang w:val="en-US"/>
        </w:rPr>
        <w:t xml:space="preserve"> </w:t>
      </w:r>
      <w:r w:rsidRPr="00CF0D3B">
        <w:rPr>
          <w:rFonts w:ascii="Arial" w:hAnsi="Arial" w:cs="Arial"/>
          <w:color w:val="000000"/>
          <w:sz w:val="20"/>
          <w:lang w:val="en-US"/>
        </w:rPr>
        <w:t xml:space="preserve">Reductions in criminal justice costs and time have also been attributed to the use of cautions, making them an </w:t>
      </w:r>
      <w:r w:rsidRPr="00CF0D3B">
        <w:rPr>
          <w:rFonts w:ascii="Arial" w:hAnsi="Arial" w:cs="Arial"/>
          <w:color w:val="000000"/>
          <w:sz w:val="20"/>
          <w:lang w:val="en-US"/>
        </w:rPr>
        <w:lastRenderedPageBreak/>
        <w:t>attractive policy option (Dennison et al. 2006; Jordan &amp; Farrell, 2013).</w:t>
      </w:r>
      <w:r w:rsidR="00E655E9">
        <w:rPr>
          <w:rFonts w:ascii="Arial" w:hAnsi="Arial" w:cs="Arial"/>
          <w:color w:val="000000"/>
          <w:sz w:val="20"/>
          <w:lang w:val="en-US"/>
        </w:rPr>
        <w:t xml:space="preserve"> </w:t>
      </w:r>
      <w:r w:rsidRPr="00CF0D3B">
        <w:rPr>
          <w:rFonts w:ascii="Arial" w:hAnsi="Arial" w:cs="Arial"/>
          <w:color w:val="000000"/>
          <w:sz w:val="20"/>
          <w:lang w:val="en-US"/>
        </w:rPr>
        <w:t xml:space="preserve"> Studies examining the use of police cautions have found that they have a more positive impact on reoffending compared to more formal criminal justice processes, such as charge or summons.”</w:t>
      </w:r>
    </w:p>
    <w:p w14:paraId="11A4BBC1" w14:textId="77777777" w:rsidR="00CF0D3B" w:rsidRPr="00CF0D3B" w:rsidRDefault="00CF0D3B" w:rsidP="00CF0D3B">
      <w:pPr>
        <w:jc w:val="both"/>
        <w:rPr>
          <w:rFonts w:ascii="Arial" w:hAnsi="Arial" w:cs="Arial"/>
          <w:color w:val="000000"/>
          <w:sz w:val="20"/>
        </w:rPr>
      </w:pPr>
      <w:r>
        <w:rPr>
          <w:rFonts w:ascii="Arial" w:hAnsi="Arial" w:cs="Arial"/>
          <w:color w:val="000000"/>
          <w:sz w:val="20"/>
          <w:lang w:val="en-US"/>
        </w:rPr>
        <w:t>See</w:t>
      </w:r>
      <w:r w:rsidRPr="00E342C2">
        <w:rPr>
          <w:rFonts w:ascii="Arial" w:hAnsi="Arial" w:cs="Arial"/>
          <w:color w:val="FFFFFF" w:themeColor="background1"/>
          <w:sz w:val="20"/>
          <w:lang w:val="en-US"/>
        </w:rPr>
        <w:t> </w:t>
      </w:r>
      <w:r w:rsidRPr="00CF0D3B">
        <w:rPr>
          <w:rFonts w:ascii="Arial" w:hAnsi="Arial" w:cs="Arial"/>
          <w:color w:val="000000"/>
          <w:sz w:val="20"/>
          <w:u w:val="single"/>
          <w:lang w:val="en-US"/>
        </w:rPr>
        <w:t>https://files.crimestatistics,vic.gov.au/2021-07/20170925_in%brief9%20FINAL.pdf</w:t>
      </w:r>
      <w:r w:rsidRPr="00CF0D3B">
        <w:rPr>
          <w:rFonts w:ascii="Arial" w:hAnsi="Arial" w:cs="Arial"/>
          <w:color w:val="000000"/>
          <w:sz w:val="20"/>
          <w:lang w:val="en-US"/>
        </w:rPr>
        <w:t>.</w:t>
      </w:r>
    </w:p>
    <w:p w14:paraId="3E08ADF5" w14:textId="77777777" w:rsidR="00CF0D3B" w:rsidRDefault="00CF0D3B" w:rsidP="00402372">
      <w:pPr>
        <w:jc w:val="both"/>
        <w:rPr>
          <w:rFonts w:ascii="Arial" w:hAnsi="Arial" w:cs="Arial"/>
          <w:color w:val="000000"/>
          <w:sz w:val="20"/>
        </w:rPr>
      </w:pPr>
    </w:p>
    <w:p w14:paraId="6CB13796" w14:textId="7DA4AA9A" w:rsidR="00402372" w:rsidRPr="00402372" w:rsidRDefault="00E655E9" w:rsidP="00402372">
      <w:pPr>
        <w:jc w:val="both"/>
        <w:rPr>
          <w:rFonts w:ascii="Arial" w:hAnsi="Arial" w:cs="Arial"/>
          <w:color w:val="000000"/>
          <w:sz w:val="20"/>
        </w:rPr>
      </w:pPr>
      <w:r>
        <w:rPr>
          <w:rFonts w:ascii="Arial" w:hAnsi="Arial" w:cs="Arial"/>
          <w:color w:val="000000"/>
          <w:sz w:val="20"/>
        </w:rPr>
        <w:t xml:space="preserve">In the light of this </w:t>
      </w:r>
      <w:r w:rsidR="00BE55C2">
        <w:rPr>
          <w:rFonts w:ascii="Arial" w:hAnsi="Arial" w:cs="Arial"/>
          <w:color w:val="000000"/>
          <w:sz w:val="20"/>
        </w:rPr>
        <w:t xml:space="preserve">consistent objective </w:t>
      </w:r>
      <w:r w:rsidR="00402372" w:rsidRPr="00402372">
        <w:rPr>
          <w:rFonts w:ascii="Arial" w:hAnsi="Arial" w:cs="Arial"/>
          <w:color w:val="000000"/>
          <w:sz w:val="20"/>
        </w:rPr>
        <w:t xml:space="preserve">evidence of the benefits of early cautioning, </w:t>
      </w:r>
      <w:r>
        <w:rPr>
          <w:rFonts w:ascii="Arial" w:hAnsi="Arial" w:cs="Arial"/>
          <w:color w:val="000000"/>
          <w:sz w:val="20"/>
        </w:rPr>
        <w:t xml:space="preserve">it is unfortunate that </w:t>
      </w:r>
      <w:r w:rsidR="00402372" w:rsidRPr="00402372">
        <w:rPr>
          <w:rFonts w:ascii="Arial" w:hAnsi="Arial" w:cs="Arial"/>
          <w:color w:val="000000"/>
          <w:sz w:val="20"/>
        </w:rPr>
        <w:t>the rate of police cautioning in Victoria has declined in the last decade.</w:t>
      </w:r>
    </w:p>
    <w:p w14:paraId="6D815544" w14:textId="77777777" w:rsidR="005259FC" w:rsidRDefault="005259FC" w:rsidP="005259FC">
      <w:pPr>
        <w:ind w:left="720" w:hanging="720"/>
        <w:jc w:val="both"/>
        <w:rPr>
          <w:rFonts w:ascii="Arial" w:hAnsi="Arial" w:cs="Arial"/>
          <w:sz w:val="20"/>
          <w:szCs w:val="20"/>
        </w:rPr>
      </w:pPr>
    </w:p>
    <w:p w14:paraId="15B0F895" w14:textId="77777777" w:rsidR="005259FC" w:rsidRPr="000510E3" w:rsidRDefault="005259FC" w:rsidP="005259FC">
      <w:pPr>
        <w:ind w:left="720" w:hanging="720"/>
        <w:jc w:val="center"/>
        <w:rPr>
          <w:rFonts w:ascii="Arial" w:hAnsi="Arial" w:cs="Arial"/>
          <w:b/>
          <w:bCs/>
        </w:rPr>
      </w:pPr>
      <w:r w:rsidRPr="000510E3">
        <w:rPr>
          <w:rFonts w:ascii="Arial" w:hAnsi="Arial" w:cs="Arial"/>
          <w:b/>
          <w:bCs/>
        </w:rPr>
        <w:t>THE REST OF THIS PAGE IS BLANK</w:t>
      </w:r>
    </w:p>
    <w:p w14:paraId="413D2EBE" w14:textId="77777777" w:rsidR="005259FC" w:rsidRDefault="005259FC" w:rsidP="005259FC">
      <w:pPr>
        <w:rPr>
          <w:rFonts w:ascii="Arial" w:hAnsi="Arial" w:cs="Arial"/>
          <w:sz w:val="20"/>
          <w:szCs w:val="20"/>
        </w:rPr>
      </w:pPr>
    </w:p>
    <w:p w14:paraId="63E69024" w14:textId="77777777" w:rsidR="00F47486" w:rsidRDefault="00F47486">
      <w:pPr>
        <w:rPr>
          <w:rFonts w:ascii="Arial" w:hAnsi="Arial" w:cs="Arial"/>
          <w:b/>
          <w:bCs/>
          <w:kern w:val="28"/>
          <w:szCs w:val="20"/>
          <w:lang w:val="en-GB"/>
        </w:rPr>
      </w:pPr>
      <w:bookmarkStart w:id="168" w:name="_7.5_Commencement_of"/>
      <w:bookmarkStart w:id="169" w:name="_Toc30669422"/>
      <w:bookmarkStart w:id="170" w:name="_Toc30671638"/>
      <w:bookmarkStart w:id="171" w:name="_Toc30674165"/>
      <w:bookmarkStart w:id="172" w:name="_Toc30691387"/>
      <w:bookmarkStart w:id="173" w:name="_Toc30691762"/>
      <w:bookmarkStart w:id="174" w:name="_Toc30692142"/>
      <w:bookmarkStart w:id="175" w:name="_Toc30692901"/>
      <w:bookmarkStart w:id="176" w:name="_Toc30693280"/>
      <w:bookmarkStart w:id="177" w:name="_Toc30693658"/>
      <w:bookmarkStart w:id="178" w:name="_Toc30694036"/>
      <w:bookmarkStart w:id="179" w:name="_Toc30694416"/>
      <w:bookmarkStart w:id="180" w:name="_Toc30699005"/>
      <w:bookmarkStart w:id="181" w:name="_Toc30699383"/>
      <w:bookmarkStart w:id="182" w:name="_Toc30699768"/>
      <w:bookmarkStart w:id="183" w:name="_Toc30700923"/>
      <w:bookmarkStart w:id="184" w:name="_Toc30701310"/>
      <w:bookmarkStart w:id="185" w:name="_Toc30743921"/>
      <w:bookmarkStart w:id="186" w:name="_Toc30754744"/>
      <w:bookmarkStart w:id="187" w:name="_Toc30757185"/>
      <w:bookmarkStart w:id="188" w:name="_Toc30757733"/>
      <w:bookmarkStart w:id="189" w:name="_Toc30758133"/>
      <w:bookmarkStart w:id="190" w:name="_Toc30762894"/>
      <w:bookmarkStart w:id="191" w:name="_Toc30767548"/>
      <w:bookmarkStart w:id="192" w:name="_Toc34823566"/>
      <w:bookmarkEnd w:id="168"/>
      <w:r>
        <w:rPr>
          <w:rFonts w:ascii="Arial" w:hAnsi="Arial" w:cs="Arial"/>
          <w:b/>
          <w:bCs/>
        </w:rPr>
        <w:br w:type="page"/>
      </w:r>
    </w:p>
    <w:p w14:paraId="1EBB6FF5" w14:textId="1A810D43" w:rsidR="00DE7FEC" w:rsidRPr="00830DE2" w:rsidRDefault="00543C02" w:rsidP="00DE7FEC">
      <w:pPr>
        <w:pStyle w:val="Heading3"/>
        <w:keepNext/>
        <w:spacing w:line="240" w:lineRule="auto"/>
        <w:rPr>
          <w:rFonts w:ascii="Arial" w:hAnsi="Arial" w:cs="Arial"/>
          <w:b/>
          <w:bCs/>
          <w:color w:val="000000"/>
          <w:sz w:val="20"/>
          <w:lang w:val="en-US"/>
        </w:rPr>
      </w:pPr>
      <w:r w:rsidRPr="000A596D">
        <w:rPr>
          <w:rFonts w:ascii="Arial" w:hAnsi="Arial" w:cs="Arial"/>
          <w:b/>
          <w:bCs/>
        </w:rPr>
        <w:lastRenderedPageBreak/>
        <w:t>7.5</w:t>
      </w:r>
      <w:r w:rsidRPr="000A596D">
        <w:rPr>
          <w:rFonts w:ascii="Arial" w:hAnsi="Arial" w:cs="Arial"/>
          <w:b/>
          <w:bCs/>
        </w:rPr>
        <w:tab/>
        <w:t xml:space="preserve">Commencement of ordinary process </w:t>
      </w:r>
      <w:r w:rsidR="000D66B2">
        <w:rPr>
          <w:rFonts w:ascii="Arial" w:hAnsi="Arial" w:cs="Arial"/>
          <w:b/>
          <w:bCs/>
        </w:rPr>
        <w:t>–</w:t>
      </w:r>
      <w:r w:rsidRPr="000A596D">
        <w:rPr>
          <w:rFonts w:ascii="Arial" w:hAnsi="Arial" w:cs="Arial"/>
          <w:b/>
          <w:bCs/>
        </w:rPr>
        <w:t xml:space="preserve"> Securing</w:t>
      </w:r>
      <w:r w:rsidR="000D66B2">
        <w:rPr>
          <w:rFonts w:ascii="Arial" w:hAnsi="Arial" w:cs="Arial"/>
          <w:b/>
          <w:bCs/>
        </w:rPr>
        <w:t xml:space="preserve"> </w:t>
      </w:r>
      <w:r w:rsidRPr="000A596D">
        <w:rPr>
          <w:rFonts w:ascii="Arial" w:hAnsi="Arial" w:cs="Arial"/>
          <w:b/>
          <w:bCs/>
        </w:rPr>
        <w:t>attendance of child</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p>
    <w:p w14:paraId="7C25C4F4" w14:textId="77777777" w:rsidR="00543C02" w:rsidRPr="00F51496" w:rsidRDefault="00543C02" w:rsidP="00DE7FEC">
      <w:pPr>
        <w:keepNext/>
        <w:jc w:val="both"/>
        <w:rPr>
          <w:rFonts w:ascii="Arial" w:hAnsi="Arial" w:cs="Arial"/>
          <w:color w:val="000000"/>
          <w:sz w:val="20"/>
        </w:rPr>
      </w:pPr>
    </w:p>
    <w:p w14:paraId="5001CAC3" w14:textId="77777777" w:rsidR="00543C02" w:rsidRPr="00830DE2" w:rsidRDefault="00543C02" w:rsidP="00543C02">
      <w:pPr>
        <w:pStyle w:val="Heading3"/>
        <w:keepNext/>
        <w:spacing w:after="120" w:line="240" w:lineRule="auto"/>
        <w:rPr>
          <w:rFonts w:ascii="Arial" w:hAnsi="Arial" w:cs="Arial"/>
          <w:b/>
          <w:bCs/>
          <w:color w:val="000000"/>
          <w:sz w:val="20"/>
          <w:lang w:val="en-US"/>
        </w:rPr>
      </w:pPr>
      <w:bookmarkStart w:id="193" w:name="_7.5.1_Charge-sheet"/>
      <w:bookmarkStart w:id="194" w:name="_Toc30669423"/>
      <w:bookmarkStart w:id="195" w:name="_Toc30671639"/>
      <w:bookmarkStart w:id="196" w:name="_Toc30674166"/>
      <w:bookmarkStart w:id="197" w:name="_Toc30691388"/>
      <w:bookmarkStart w:id="198" w:name="_Toc30691763"/>
      <w:bookmarkStart w:id="199" w:name="_Toc30692143"/>
      <w:bookmarkStart w:id="200" w:name="_Toc30692902"/>
      <w:bookmarkStart w:id="201" w:name="_Toc30693281"/>
      <w:bookmarkStart w:id="202" w:name="_Toc30693659"/>
      <w:bookmarkStart w:id="203" w:name="_Toc30694037"/>
      <w:bookmarkStart w:id="204" w:name="_Toc30694417"/>
      <w:bookmarkStart w:id="205" w:name="_Toc30699006"/>
      <w:bookmarkStart w:id="206" w:name="_Toc30699384"/>
      <w:bookmarkStart w:id="207" w:name="_Toc30699769"/>
      <w:bookmarkStart w:id="208" w:name="_Toc30700924"/>
      <w:bookmarkStart w:id="209" w:name="_Toc30701311"/>
      <w:bookmarkStart w:id="210" w:name="_Toc30743922"/>
      <w:bookmarkStart w:id="211" w:name="_Toc30754745"/>
      <w:bookmarkStart w:id="212" w:name="_Toc30757186"/>
      <w:bookmarkStart w:id="213" w:name="_Toc30757734"/>
      <w:bookmarkStart w:id="214" w:name="_Toc30758134"/>
      <w:bookmarkStart w:id="215" w:name="_Toc30762895"/>
      <w:bookmarkStart w:id="216" w:name="_Toc30767549"/>
      <w:bookmarkStart w:id="217" w:name="_Toc34823567"/>
      <w:bookmarkEnd w:id="193"/>
      <w:r w:rsidRPr="00F51496">
        <w:rPr>
          <w:rFonts w:ascii="Arial" w:hAnsi="Arial" w:cs="Arial"/>
          <w:b/>
          <w:bCs/>
          <w:color w:val="000000"/>
          <w:sz w:val="20"/>
        </w:rPr>
        <w:t>7.</w:t>
      </w:r>
      <w:r>
        <w:rPr>
          <w:rFonts w:ascii="Arial" w:hAnsi="Arial" w:cs="Arial"/>
          <w:b/>
          <w:bCs/>
          <w:color w:val="000000"/>
          <w:sz w:val="20"/>
        </w:rPr>
        <w:t>5</w:t>
      </w:r>
      <w:r w:rsidRPr="00F51496">
        <w:rPr>
          <w:rFonts w:ascii="Arial" w:hAnsi="Arial" w:cs="Arial"/>
          <w:b/>
          <w:bCs/>
          <w:color w:val="000000"/>
          <w:sz w:val="20"/>
        </w:rPr>
        <w:t>.1</w:t>
      </w:r>
      <w:r w:rsidRPr="00F51496">
        <w:rPr>
          <w:rFonts w:ascii="Arial" w:hAnsi="Arial" w:cs="Arial"/>
          <w:b/>
          <w:bCs/>
          <w:color w:val="000000"/>
          <w:sz w:val="20"/>
        </w:rPr>
        <w:tab/>
        <w:t>Charge</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sidRPr="00F51496">
        <w:rPr>
          <w:rFonts w:ascii="Arial" w:hAnsi="Arial" w:cs="Arial"/>
          <w:b/>
          <w:bCs/>
          <w:color w:val="000000"/>
          <w:sz w:val="20"/>
        </w:rPr>
        <w:t>-sheet</w:t>
      </w:r>
    </w:p>
    <w:p w14:paraId="6FCC7A12" w14:textId="602A5E57" w:rsidR="00543C02" w:rsidRPr="00F51496" w:rsidRDefault="00543C02" w:rsidP="00543C02">
      <w:pPr>
        <w:jc w:val="both"/>
        <w:rPr>
          <w:rFonts w:ascii="Arial" w:hAnsi="Arial" w:cs="Arial"/>
          <w:color w:val="000000"/>
          <w:sz w:val="20"/>
        </w:rPr>
      </w:pPr>
      <w:r w:rsidRPr="00F51496">
        <w:rPr>
          <w:rFonts w:ascii="Arial" w:hAnsi="Arial" w:cs="Arial"/>
          <w:color w:val="000000"/>
          <w:sz w:val="20"/>
        </w:rPr>
        <w:t xml:space="preserve">Under s.6(1) of the </w:t>
      </w:r>
      <w:r w:rsidR="00393B2B" w:rsidRPr="008102AC">
        <w:rPr>
          <w:rFonts w:ascii="Arial" w:hAnsi="Arial" w:cs="Arial"/>
          <w:i/>
          <w:iCs/>
          <w:color w:val="000000"/>
          <w:sz w:val="20"/>
        </w:rPr>
        <w:t>Criminal Procedure Act 2009</w:t>
      </w:r>
      <w:r w:rsidR="00393B2B" w:rsidRPr="00F51496">
        <w:rPr>
          <w:rFonts w:ascii="Arial" w:hAnsi="Arial" w:cs="Arial"/>
          <w:color w:val="000000"/>
          <w:sz w:val="20"/>
        </w:rPr>
        <w:t xml:space="preserve"> </w:t>
      </w:r>
      <w:r w:rsidR="00393B2B">
        <w:rPr>
          <w:rFonts w:ascii="Arial" w:hAnsi="Arial" w:cs="Arial"/>
          <w:color w:val="000000"/>
          <w:sz w:val="20"/>
        </w:rPr>
        <w:t>[</w:t>
      </w:r>
      <w:r w:rsidRPr="00F51496">
        <w:rPr>
          <w:rFonts w:ascii="Arial" w:hAnsi="Arial" w:cs="Arial"/>
          <w:color w:val="000000"/>
          <w:sz w:val="20"/>
        </w:rPr>
        <w:t>CPA</w:t>
      </w:r>
      <w:r w:rsidR="00393B2B">
        <w:rPr>
          <w:rFonts w:ascii="Arial" w:hAnsi="Arial" w:cs="Arial"/>
          <w:color w:val="000000"/>
          <w:sz w:val="20"/>
        </w:rPr>
        <w:t>]</w:t>
      </w:r>
      <w:r w:rsidRPr="00F51496">
        <w:rPr>
          <w:rFonts w:ascii="Arial" w:hAnsi="Arial" w:cs="Arial"/>
          <w:color w:val="000000"/>
          <w:sz w:val="20"/>
        </w:rPr>
        <w:t>, read in conjunction with s.528 of the CYFA, a criminal proceeding is commenced</w:t>
      </w:r>
      <w:r w:rsidR="00235652">
        <w:rPr>
          <w:rFonts w:ascii="Arial" w:hAnsi="Arial" w:cs="Arial"/>
          <w:color w:val="000000"/>
          <w:sz w:val="20"/>
        </w:rPr>
        <w:t>–</w:t>
      </w:r>
    </w:p>
    <w:p w14:paraId="1273FF93" w14:textId="77777777" w:rsidR="00543C02" w:rsidRPr="00F51496" w:rsidRDefault="00543C02" w:rsidP="00591749">
      <w:pPr>
        <w:numPr>
          <w:ilvl w:val="0"/>
          <w:numId w:val="6"/>
        </w:numPr>
        <w:tabs>
          <w:tab w:val="left" w:pos="363"/>
        </w:tabs>
        <w:ind w:left="357" w:hanging="357"/>
        <w:jc w:val="both"/>
        <w:rPr>
          <w:rFonts w:ascii="Arial" w:hAnsi="Arial" w:cs="Arial"/>
          <w:color w:val="000000"/>
          <w:sz w:val="20"/>
        </w:rPr>
      </w:pPr>
      <w:r w:rsidRPr="00F51496">
        <w:rPr>
          <w:rFonts w:ascii="Arial" w:hAnsi="Arial" w:cs="Arial"/>
          <w:color w:val="000000"/>
          <w:sz w:val="20"/>
        </w:rPr>
        <w:t>by filing a charge-sheet containing a charge with a registrar of the Children’s Court; or</w:t>
      </w:r>
    </w:p>
    <w:p w14:paraId="072067C6" w14:textId="77777777" w:rsidR="00543C02" w:rsidRPr="00F51496" w:rsidRDefault="00543C02" w:rsidP="00591749">
      <w:pPr>
        <w:numPr>
          <w:ilvl w:val="0"/>
          <w:numId w:val="6"/>
        </w:numPr>
        <w:tabs>
          <w:tab w:val="left" w:pos="363"/>
        </w:tabs>
        <w:ind w:left="357" w:hanging="357"/>
        <w:jc w:val="both"/>
        <w:rPr>
          <w:rFonts w:ascii="Arial" w:hAnsi="Arial" w:cs="Arial"/>
          <w:color w:val="000000"/>
          <w:sz w:val="20"/>
        </w:rPr>
      </w:pPr>
      <w:r w:rsidRPr="00F51496">
        <w:rPr>
          <w:rFonts w:ascii="Arial" w:hAnsi="Arial" w:cs="Arial"/>
          <w:color w:val="000000"/>
          <w:sz w:val="20"/>
        </w:rPr>
        <w:t>if the accused is arrested without a warrant and is released on bail, by filing a charge-sheet containing a charge with a bail justice; or</w:t>
      </w:r>
    </w:p>
    <w:p w14:paraId="0139C158" w14:textId="77777777" w:rsidR="00543C02" w:rsidRPr="00F51496" w:rsidRDefault="00543C02" w:rsidP="00591749">
      <w:pPr>
        <w:numPr>
          <w:ilvl w:val="0"/>
          <w:numId w:val="6"/>
        </w:numPr>
        <w:tabs>
          <w:tab w:val="left" w:pos="363"/>
        </w:tabs>
        <w:ind w:left="357" w:hanging="357"/>
        <w:jc w:val="both"/>
        <w:rPr>
          <w:rFonts w:ascii="Arial" w:hAnsi="Arial" w:cs="Arial"/>
          <w:color w:val="000000"/>
          <w:sz w:val="20"/>
        </w:rPr>
      </w:pPr>
      <w:r w:rsidRPr="00F51496">
        <w:rPr>
          <w:rFonts w:ascii="Arial" w:hAnsi="Arial" w:cs="Arial"/>
          <w:color w:val="000000"/>
          <w:sz w:val="20"/>
        </w:rPr>
        <w:t>if a summons is issued under s.14, at the time the charge-sheet is signed.</w:t>
      </w:r>
    </w:p>
    <w:p w14:paraId="1FBAF91B" w14:textId="39CE93C1" w:rsidR="00543C02" w:rsidRDefault="00543C02" w:rsidP="00543C02">
      <w:pPr>
        <w:jc w:val="both"/>
        <w:rPr>
          <w:rFonts w:ascii="Arial" w:hAnsi="Arial" w:cs="Arial"/>
          <w:color w:val="000000"/>
          <w:sz w:val="20"/>
        </w:rPr>
      </w:pPr>
    </w:p>
    <w:p w14:paraId="0DDA583C" w14:textId="539DAE0C" w:rsidR="000159E7" w:rsidRDefault="000159E7" w:rsidP="00543C02">
      <w:pPr>
        <w:jc w:val="both"/>
        <w:rPr>
          <w:rFonts w:ascii="Arial" w:hAnsi="Arial" w:cs="Arial"/>
          <w:color w:val="000000"/>
          <w:sz w:val="20"/>
        </w:rPr>
      </w:pPr>
      <w:r>
        <w:rPr>
          <w:rFonts w:ascii="Arial" w:hAnsi="Arial" w:cs="Arial"/>
          <w:color w:val="000000"/>
          <w:sz w:val="20"/>
        </w:rPr>
        <w:t>Under s.147(1) YJA [previously s.345(1) CYFA] there is a presumption in favour of proceeding by summons if the accused is a child, unless it would be clearly inappropriate to do so. Section 147(3) YJA sets out the matters to which a police officer must have regard in deciding whether it would be clearly inappropriate to proceed by summons.</w:t>
      </w:r>
    </w:p>
    <w:p w14:paraId="678E5E1D" w14:textId="77777777" w:rsidR="000159E7" w:rsidRDefault="000159E7" w:rsidP="00543C02">
      <w:pPr>
        <w:jc w:val="both"/>
        <w:rPr>
          <w:rFonts w:ascii="Arial" w:hAnsi="Arial" w:cs="Arial"/>
          <w:color w:val="000000"/>
          <w:sz w:val="20"/>
        </w:rPr>
      </w:pPr>
    </w:p>
    <w:p w14:paraId="45072BC1" w14:textId="71481AB8" w:rsidR="002E3DD5" w:rsidRDefault="002E3DD5" w:rsidP="00543C02">
      <w:pPr>
        <w:jc w:val="both"/>
        <w:rPr>
          <w:rFonts w:ascii="Arial" w:hAnsi="Arial" w:cs="Arial"/>
          <w:color w:val="000000"/>
          <w:sz w:val="20"/>
        </w:rPr>
      </w:pPr>
      <w:r>
        <w:rPr>
          <w:rFonts w:ascii="Arial" w:hAnsi="Arial" w:cs="Arial"/>
          <w:color w:val="000000"/>
          <w:sz w:val="20"/>
        </w:rPr>
        <w:t xml:space="preserve">Although the overwhelming majority of charge-sheets are filed by police, s.6(1) is broad enough to permit a person to commence a private criminal prosecution against another person. In that rare event s.22(1)(b)(ii) of the </w:t>
      </w:r>
      <w:r w:rsidRPr="002E3DD5">
        <w:rPr>
          <w:rFonts w:ascii="Arial" w:hAnsi="Arial" w:cs="Arial"/>
          <w:i/>
          <w:iCs/>
          <w:color w:val="000000"/>
          <w:sz w:val="20"/>
        </w:rPr>
        <w:t>Public Prosecutions Act 1994</w:t>
      </w:r>
      <w:r>
        <w:rPr>
          <w:rFonts w:ascii="Arial" w:hAnsi="Arial" w:cs="Arial"/>
          <w:color w:val="000000"/>
          <w:sz w:val="20"/>
        </w:rPr>
        <w:t xml:space="preserve"> (Vic) gives the Director of Public Prosecutions a discretion to take over and conduct any proceedings in respect of any summary or </w:t>
      </w:r>
      <w:r w:rsidR="00C73D4D">
        <w:rPr>
          <w:rFonts w:ascii="Arial" w:hAnsi="Arial" w:cs="Arial"/>
          <w:color w:val="000000"/>
          <w:sz w:val="20"/>
        </w:rPr>
        <w:t xml:space="preserve">indictable offence.  See </w:t>
      </w:r>
      <w:r w:rsidR="00C73D4D" w:rsidRPr="00C73D4D">
        <w:rPr>
          <w:rFonts w:ascii="Arial" w:hAnsi="Arial" w:cs="Arial"/>
          <w:i/>
          <w:iCs/>
          <w:color w:val="000000"/>
          <w:sz w:val="20"/>
        </w:rPr>
        <w:t>Harkness v Banks</w:t>
      </w:r>
      <w:r w:rsidR="00C73D4D">
        <w:rPr>
          <w:rFonts w:ascii="Arial" w:hAnsi="Arial" w:cs="Arial"/>
          <w:color w:val="000000"/>
          <w:sz w:val="20"/>
        </w:rPr>
        <w:t xml:space="preserve"> [2023] VSC 588 </w:t>
      </w:r>
      <w:r w:rsidR="00FF785C">
        <w:rPr>
          <w:rFonts w:ascii="Arial" w:hAnsi="Arial" w:cs="Arial"/>
          <w:color w:val="000000"/>
          <w:sz w:val="20"/>
        </w:rPr>
        <w:t xml:space="preserve">&amp; </w:t>
      </w:r>
      <w:r w:rsidR="00FF785C" w:rsidRPr="00FF785C">
        <w:rPr>
          <w:rFonts w:ascii="Arial" w:hAnsi="Arial" w:cs="Arial"/>
          <w:i/>
          <w:iCs/>
          <w:color w:val="000000"/>
          <w:sz w:val="20"/>
        </w:rPr>
        <w:t>Harkness v Banks (No 2)</w:t>
      </w:r>
      <w:r w:rsidR="00FF785C">
        <w:rPr>
          <w:rFonts w:ascii="Arial" w:hAnsi="Arial" w:cs="Arial"/>
          <w:color w:val="000000"/>
          <w:sz w:val="20"/>
        </w:rPr>
        <w:t xml:space="preserve"> [2024] VSC 709 </w:t>
      </w:r>
      <w:r w:rsidR="00C73D4D">
        <w:rPr>
          <w:rFonts w:ascii="Arial" w:hAnsi="Arial" w:cs="Arial"/>
          <w:color w:val="000000"/>
          <w:sz w:val="20"/>
        </w:rPr>
        <w:t>for a discussion whether that discretion is amenable to judicial review.</w:t>
      </w:r>
    </w:p>
    <w:p w14:paraId="690E60E4" w14:textId="6FD3B3E1" w:rsidR="002E3DD5" w:rsidRPr="00F51496" w:rsidRDefault="002E3DD5" w:rsidP="00543C02">
      <w:pPr>
        <w:jc w:val="both"/>
        <w:rPr>
          <w:rFonts w:ascii="Arial" w:hAnsi="Arial" w:cs="Arial"/>
          <w:color w:val="000000"/>
          <w:sz w:val="20"/>
        </w:rPr>
      </w:pPr>
    </w:p>
    <w:p w14:paraId="62F333C2" w14:textId="40871100" w:rsidR="00543C02" w:rsidRPr="00F51496" w:rsidRDefault="00543C02" w:rsidP="00543C02">
      <w:pPr>
        <w:jc w:val="both"/>
        <w:rPr>
          <w:rFonts w:ascii="Arial" w:hAnsi="Arial" w:cs="Arial"/>
          <w:color w:val="000000"/>
          <w:sz w:val="20"/>
        </w:rPr>
      </w:pPr>
      <w:r w:rsidRPr="00F51496">
        <w:rPr>
          <w:rFonts w:ascii="Arial" w:hAnsi="Arial" w:cs="Arial"/>
          <w:color w:val="000000"/>
          <w:sz w:val="20"/>
        </w:rPr>
        <w:t xml:space="preserve">The </w:t>
      </w:r>
      <w:r w:rsidRPr="008102AC">
        <w:rPr>
          <w:rFonts w:ascii="Arial" w:hAnsi="Arial" w:cs="Arial"/>
          <w:i/>
          <w:iCs/>
          <w:color w:val="000000"/>
          <w:sz w:val="20"/>
        </w:rPr>
        <w:t>Electronic Transactions (Victoria) Act 2000</w:t>
      </w:r>
      <w:r w:rsidRPr="00F51496">
        <w:rPr>
          <w:rFonts w:ascii="Arial" w:hAnsi="Arial" w:cs="Arial"/>
          <w:color w:val="000000"/>
          <w:sz w:val="20"/>
        </w:rPr>
        <w:t xml:space="preserve"> enables a charge to be filed electronically in certain circumstances.  Section 6(2) of the CPA provides that if a charge-sheet is filed in accordance with the rules of court for electronic filing, the requirements of ss.8(1) &amp; 9(1) of the </w:t>
      </w:r>
      <w:r w:rsidRPr="008102AC">
        <w:rPr>
          <w:rFonts w:ascii="Arial" w:hAnsi="Arial" w:cs="Arial"/>
          <w:i/>
          <w:iCs/>
          <w:color w:val="000000"/>
          <w:sz w:val="20"/>
        </w:rPr>
        <w:t>Electronic Transactions (Victoria) Act 2000</w:t>
      </w:r>
      <w:r w:rsidRPr="00F51496">
        <w:rPr>
          <w:rFonts w:ascii="Arial" w:hAnsi="Arial" w:cs="Arial"/>
          <w:color w:val="000000"/>
          <w:sz w:val="20"/>
        </w:rPr>
        <w:t xml:space="preserve"> are taken to have been met.</w:t>
      </w:r>
    </w:p>
    <w:p w14:paraId="2715929A" w14:textId="77777777" w:rsidR="00543C02" w:rsidRPr="00F51496" w:rsidRDefault="00543C02" w:rsidP="00543C02">
      <w:pPr>
        <w:jc w:val="both"/>
        <w:rPr>
          <w:rFonts w:ascii="Arial" w:hAnsi="Arial" w:cs="Arial"/>
          <w:color w:val="000000"/>
          <w:sz w:val="20"/>
        </w:rPr>
      </w:pPr>
    </w:p>
    <w:p w14:paraId="01A5D625" w14:textId="3DF26C42" w:rsidR="00543C02" w:rsidRPr="00F51496" w:rsidRDefault="00543C02" w:rsidP="00543C02">
      <w:pPr>
        <w:jc w:val="both"/>
        <w:rPr>
          <w:rFonts w:ascii="Arial" w:hAnsi="Arial" w:cs="Arial"/>
          <w:color w:val="000000"/>
          <w:sz w:val="20"/>
        </w:rPr>
      </w:pPr>
      <w:r w:rsidRPr="00F51496">
        <w:rPr>
          <w:rFonts w:ascii="Arial" w:hAnsi="Arial" w:cs="Arial"/>
          <w:color w:val="000000"/>
          <w:sz w:val="20"/>
        </w:rPr>
        <w:t>Under s.6(3) of the CPA a charge-sheet must</w:t>
      </w:r>
      <w:r w:rsidR="00235652">
        <w:rPr>
          <w:rFonts w:ascii="Arial" w:hAnsi="Arial" w:cs="Arial"/>
          <w:color w:val="000000"/>
          <w:sz w:val="20"/>
        </w:rPr>
        <w:t>–</w:t>
      </w:r>
    </w:p>
    <w:p w14:paraId="521505C2" w14:textId="77777777" w:rsidR="00543C02" w:rsidRPr="00F51496" w:rsidRDefault="00543C02" w:rsidP="00591749">
      <w:pPr>
        <w:numPr>
          <w:ilvl w:val="0"/>
          <w:numId w:val="15"/>
        </w:numPr>
        <w:tabs>
          <w:tab w:val="left" w:pos="363"/>
        </w:tabs>
        <w:ind w:left="357" w:hanging="357"/>
        <w:jc w:val="both"/>
        <w:rPr>
          <w:rFonts w:ascii="Arial" w:hAnsi="Arial" w:cs="Arial"/>
          <w:color w:val="000000"/>
          <w:sz w:val="20"/>
        </w:rPr>
      </w:pPr>
      <w:r w:rsidRPr="00F51496">
        <w:rPr>
          <w:rFonts w:ascii="Arial" w:hAnsi="Arial" w:cs="Arial"/>
          <w:color w:val="000000"/>
          <w:sz w:val="20"/>
        </w:rPr>
        <w:t>be in writing; and</w:t>
      </w:r>
    </w:p>
    <w:p w14:paraId="0B8AC5CA" w14:textId="77777777" w:rsidR="00543C02" w:rsidRPr="00F51496" w:rsidRDefault="00543C02" w:rsidP="00591749">
      <w:pPr>
        <w:numPr>
          <w:ilvl w:val="0"/>
          <w:numId w:val="15"/>
        </w:numPr>
        <w:tabs>
          <w:tab w:val="left" w:pos="363"/>
        </w:tabs>
        <w:ind w:left="357" w:hanging="357"/>
        <w:jc w:val="both"/>
        <w:rPr>
          <w:rFonts w:ascii="Arial" w:hAnsi="Arial" w:cs="Arial"/>
          <w:color w:val="000000"/>
          <w:sz w:val="20"/>
        </w:rPr>
      </w:pPr>
      <w:r w:rsidRPr="00F51496">
        <w:rPr>
          <w:rFonts w:ascii="Arial" w:hAnsi="Arial" w:cs="Arial"/>
          <w:color w:val="000000"/>
          <w:sz w:val="20"/>
        </w:rPr>
        <w:t>be signed by the informant personally; and</w:t>
      </w:r>
    </w:p>
    <w:p w14:paraId="65D27AF2" w14:textId="77777777" w:rsidR="00543C02" w:rsidRPr="00F51496" w:rsidRDefault="00543C02" w:rsidP="00591749">
      <w:pPr>
        <w:numPr>
          <w:ilvl w:val="0"/>
          <w:numId w:val="15"/>
        </w:numPr>
        <w:tabs>
          <w:tab w:val="left" w:pos="363"/>
        </w:tabs>
        <w:ind w:left="357" w:hanging="357"/>
        <w:jc w:val="both"/>
        <w:rPr>
          <w:rFonts w:ascii="Arial" w:hAnsi="Arial" w:cs="Arial"/>
          <w:color w:val="000000"/>
          <w:sz w:val="20"/>
        </w:rPr>
      </w:pPr>
      <w:r w:rsidRPr="00F51496">
        <w:rPr>
          <w:rFonts w:ascii="Arial" w:hAnsi="Arial" w:cs="Arial"/>
          <w:color w:val="000000"/>
          <w:sz w:val="20"/>
        </w:rPr>
        <w:t>comply with Schedule 1 [which sets out requirements for the format and content of a charge-sheet or indictment].</w:t>
      </w:r>
    </w:p>
    <w:p w14:paraId="56C38854" w14:textId="77777777" w:rsidR="00543C02" w:rsidRPr="00F51496" w:rsidRDefault="00543C02" w:rsidP="00543C02">
      <w:pPr>
        <w:jc w:val="both"/>
        <w:rPr>
          <w:rFonts w:ascii="Arial" w:hAnsi="Arial" w:cs="Arial"/>
          <w:color w:val="000000"/>
          <w:sz w:val="20"/>
        </w:rPr>
      </w:pPr>
    </w:p>
    <w:p w14:paraId="2651E65E" w14:textId="02B5226E" w:rsidR="00543C02" w:rsidRPr="00F51496" w:rsidRDefault="00543C02" w:rsidP="00543C02">
      <w:pPr>
        <w:jc w:val="both"/>
        <w:rPr>
          <w:rFonts w:ascii="Arial" w:hAnsi="Arial" w:cs="Arial"/>
          <w:color w:val="000000"/>
          <w:sz w:val="20"/>
        </w:rPr>
      </w:pPr>
      <w:r w:rsidRPr="00F51496">
        <w:rPr>
          <w:rFonts w:ascii="Arial" w:hAnsi="Arial" w:cs="Arial"/>
          <w:color w:val="000000"/>
          <w:sz w:val="20"/>
        </w:rPr>
        <w:t>However, s.9 of the CPA provides that a charge-sheet is not invalid by reason only of</w:t>
      </w:r>
      <w:r w:rsidR="00235652">
        <w:rPr>
          <w:rFonts w:ascii="Arial" w:hAnsi="Arial" w:cs="Arial"/>
          <w:color w:val="000000"/>
          <w:sz w:val="20"/>
        </w:rPr>
        <w:t>–</w:t>
      </w:r>
    </w:p>
    <w:p w14:paraId="2EFF748C" w14:textId="77777777" w:rsidR="00543C02" w:rsidRPr="00F51496" w:rsidRDefault="00543C02" w:rsidP="005917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a failure to comply with Schedule 1; or</w:t>
      </w:r>
    </w:p>
    <w:p w14:paraId="1926F4E1" w14:textId="77777777" w:rsidR="00543C02" w:rsidRPr="00F51496" w:rsidRDefault="00543C02" w:rsidP="005917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an omission of the time at which the offence was committed unless time is an essential element of the offence; or</w:t>
      </w:r>
    </w:p>
    <w:p w14:paraId="068D234C" w14:textId="77777777" w:rsidR="00543C02" w:rsidRPr="00F51496" w:rsidRDefault="00543C02" w:rsidP="005917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incorrectly stating the time at which the offence was committed; or</w:t>
      </w:r>
    </w:p>
    <w:p w14:paraId="6F8FDFFE" w14:textId="77777777" w:rsidR="00543C02" w:rsidRPr="00F51496" w:rsidRDefault="00543C02" w:rsidP="00591749">
      <w:pPr>
        <w:numPr>
          <w:ilvl w:val="0"/>
          <w:numId w:val="10"/>
        </w:numPr>
        <w:tabs>
          <w:tab w:val="left" w:pos="425"/>
        </w:tabs>
        <w:ind w:left="420" w:hanging="420"/>
        <w:jc w:val="both"/>
        <w:rPr>
          <w:rFonts w:ascii="Arial" w:hAnsi="Arial" w:cs="Arial"/>
          <w:bCs/>
          <w:color w:val="000000"/>
          <w:sz w:val="20"/>
        </w:rPr>
      </w:pPr>
      <w:r w:rsidRPr="00F51496">
        <w:rPr>
          <w:rFonts w:ascii="Arial" w:hAnsi="Arial" w:cs="Arial"/>
          <w:bCs/>
          <w:color w:val="000000"/>
          <w:sz w:val="20"/>
        </w:rPr>
        <w:t>stating the offence to have been committed on an impossible day or on a day that never happened.</w:t>
      </w:r>
    </w:p>
    <w:p w14:paraId="7D90F4C0" w14:textId="77777777" w:rsidR="00543C02" w:rsidRPr="00F51496" w:rsidRDefault="00543C02" w:rsidP="00543C02">
      <w:pPr>
        <w:jc w:val="both"/>
        <w:rPr>
          <w:rFonts w:ascii="Arial" w:hAnsi="Arial" w:cs="Arial"/>
          <w:color w:val="000000"/>
          <w:sz w:val="20"/>
        </w:rPr>
      </w:pPr>
    </w:p>
    <w:p w14:paraId="3D0A7617" w14:textId="77777777" w:rsidR="00543C02" w:rsidRPr="00F51496" w:rsidRDefault="00543C02" w:rsidP="00543C02">
      <w:pPr>
        <w:spacing w:after="120"/>
        <w:jc w:val="both"/>
        <w:rPr>
          <w:rFonts w:ascii="Arial" w:hAnsi="Arial" w:cs="Arial"/>
          <w:color w:val="000000"/>
          <w:sz w:val="20"/>
        </w:rPr>
      </w:pPr>
      <w:r w:rsidRPr="00F51496">
        <w:rPr>
          <w:rFonts w:ascii="Arial" w:hAnsi="Arial" w:cs="Arial"/>
          <w:color w:val="000000"/>
          <w:sz w:val="20"/>
        </w:rPr>
        <w:t>The following paragraphs in Schedule 1 of the CPA govern the contents of charge-sheets:</w:t>
      </w:r>
    </w:p>
    <w:tbl>
      <w:tblPr>
        <w:tblW w:w="914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661"/>
        <w:gridCol w:w="7483"/>
      </w:tblGrid>
      <w:tr w:rsidR="00543C02" w:rsidRPr="00F51496" w14:paraId="72D5181A" w14:textId="77777777" w:rsidTr="000A7816">
        <w:tc>
          <w:tcPr>
            <w:tcW w:w="1661" w:type="dxa"/>
            <w:tcBorders>
              <w:bottom w:val="single" w:sz="12" w:space="0" w:color="auto"/>
            </w:tcBorders>
            <w:shd w:val="clear" w:color="auto" w:fill="DDDDDD"/>
          </w:tcPr>
          <w:p w14:paraId="55613270" w14:textId="77777777" w:rsidR="00543C02" w:rsidRPr="00F51496" w:rsidRDefault="00543C02" w:rsidP="003F0317">
            <w:pPr>
              <w:jc w:val="center"/>
              <w:rPr>
                <w:rFonts w:ascii="Arial" w:hAnsi="Arial" w:cs="Arial"/>
                <w:b/>
                <w:bCs/>
                <w:color w:val="000000"/>
                <w:sz w:val="20"/>
              </w:rPr>
            </w:pPr>
            <w:r w:rsidRPr="00F51496">
              <w:rPr>
                <w:rFonts w:ascii="Arial" w:hAnsi="Arial" w:cs="Arial"/>
                <w:b/>
                <w:bCs/>
                <w:color w:val="000000"/>
                <w:sz w:val="20"/>
              </w:rPr>
              <w:t>PARAGRAPH</w:t>
            </w:r>
          </w:p>
        </w:tc>
        <w:tc>
          <w:tcPr>
            <w:tcW w:w="7483" w:type="dxa"/>
            <w:tcBorders>
              <w:bottom w:val="single" w:sz="12" w:space="0" w:color="auto"/>
            </w:tcBorders>
            <w:shd w:val="clear" w:color="auto" w:fill="DDDDDD"/>
          </w:tcPr>
          <w:p w14:paraId="0CD8C39D" w14:textId="77777777" w:rsidR="00543C02" w:rsidRPr="00F51496" w:rsidRDefault="00543C02" w:rsidP="003F0317">
            <w:pPr>
              <w:jc w:val="center"/>
              <w:rPr>
                <w:rFonts w:ascii="Arial" w:hAnsi="Arial" w:cs="Arial"/>
                <w:b/>
                <w:bCs/>
                <w:color w:val="000000"/>
                <w:sz w:val="20"/>
              </w:rPr>
            </w:pPr>
            <w:r w:rsidRPr="00F51496">
              <w:rPr>
                <w:rFonts w:ascii="Arial" w:hAnsi="Arial" w:cs="Arial"/>
                <w:b/>
                <w:bCs/>
                <w:color w:val="000000"/>
                <w:sz w:val="20"/>
              </w:rPr>
              <w:t>SUBJECT MATTER</w:t>
            </w:r>
          </w:p>
        </w:tc>
      </w:tr>
      <w:tr w:rsidR="00543C02" w:rsidRPr="00F51496" w14:paraId="3F3F3CD2" w14:textId="77777777" w:rsidTr="000A7816">
        <w:tc>
          <w:tcPr>
            <w:tcW w:w="1661" w:type="dxa"/>
            <w:tcBorders>
              <w:top w:val="single" w:sz="4" w:space="0" w:color="auto"/>
              <w:bottom w:val="single" w:sz="4" w:space="0" w:color="auto"/>
            </w:tcBorders>
          </w:tcPr>
          <w:p w14:paraId="740A94E1"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1</w:t>
            </w:r>
          </w:p>
        </w:tc>
        <w:tc>
          <w:tcPr>
            <w:tcW w:w="7483" w:type="dxa"/>
            <w:tcBorders>
              <w:top w:val="single" w:sz="4" w:space="0" w:color="auto"/>
              <w:bottom w:val="single" w:sz="4" w:space="0" w:color="auto"/>
            </w:tcBorders>
          </w:tcPr>
          <w:p w14:paraId="54FE6A42"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Statement of offence</w:t>
            </w:r>
          </w:p>
        </w:tc>
      </w:tr>
      <w:tr w:rsidR="00543C02" w:rsidRPr="00F51496" w14:paraId="5D9B3AA5" w14:textId="77777777" w:rsidTr="000A7816">
        <w:tc>
          <w:tcPr>
            <w:tcW w:w="1661" w:type="dxa"/>
            <w:tcBorders>
              <w:top w:val="single" w:sz="4" w:space="0" w:color="auto"/>
            </w:tcBorders>
          </w:tcPr>
          <w:p w14:paraId="780D0BC4"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2</w:t>
            </w:r>
          </w:p>
        </w:tc>
        <w:tc>
          <w:tcPr>
            <w:tcW w:w="7483" w:type="dxa"/>
            <w:tcBorders>
              <w:top w:val="single" w:sz="4" w:space="0" w:color="auto"/>
            </w:tcBorders>
          </w:tcPr>
          <w:p w14:paraId="27896959"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Statement of particulars</w:t>
            </w:r>
          </w:p>
        </w:tc>
      </w:tr>
      <w:tr w:rsidR="00543C02" w:rsidRPr="00F51496" w14:paraId="387D5DAE" w14:textId="77777777" w:rsidTr="000A7816">
        <w:tc>
          <w:tcPr>
            <w:tcW w:w="1661" w:type="dxa"/>
          </w:tcPr>
          <w:p w14:paraId="2725B870"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4</w:t>
            </w:r>
          </w:p>
        </w:tc>
        <w:tc>
          <w:tcPr>
            <w:tcW w:w="7483" w:type="dxa"/>
          </w:tcPr>
          <w:p w14:paraId="6D217B20"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Exceptions, exemptions etc need not be specified or negatived in a charge</w:t>
            </w:r>
          </w:p>
        </w:tc>
      </w:tr>
      <w:tr w:rsidR="00543C02" w:rsidRPr="00F51496" w14:paraId="7EE936A4" w14:textId="77777777" w:rsidTr="000A7816">
        <w:tc>
          <w:tcPr>
            <w:tcW w:w="1661" w:type="dxa"/>
          </w:tcPr>
          <w:p w14:paraId="3C7FBB25"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5</w:t>
            </w:r>
          </w:p>
        </w:tc>
        <w:tc>
          <w:tcPr>
            <w:tcW w:w="7483" w:type="dxa"/>
          </w:tcPr>
          <w:p w14:paraId="0B3B599B"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Joinder of charges for related offences in the one charge-sheet</w:t>
            </w:r>
          </w:p>
        </w:tc>
      </w:tr>
      <w:tr w:rsidR="00543C02" w:rsidRPr="00F51496" w14:paraId="6E48D0AD" w14:textId="77777777" w:rsidTr="000A7816">
        <w:tc>
          <w:tcPr>
            <w:tcW w:w="1661" w:type="dxa"/>
          </w:tcPr>
          <w:p w14:paraId="53E23FA4"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7</w:t>
            </w:r>
          </w:p>
        </w:tc>
        <w:tc>
          <w:tcPr>
            <w:tcW w:w="7483" w:type="dxa"/>
          </w:tcPr>
          <w:p w14:paraId="29B05F68"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Descriptions generally suffice if in reasonably clear, ordinary language</w:t>
            </w:r>
          </w:p>
        </w:tc>
      </w:tr>
      <w:tr w:rsidR="00543C02" w:rsidRPr="00F51496" w14:paraId="122C24CD" w14:textId="77777777" w:rsidTr="000A7816">
        <w:tc>
          <w:tcPr>
            <w:tcW w:w="1661" w:type="dxa"/>
          </w:tcPr>
          <w:p w14:paraId="7A7A6A04"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8, 9, 10</w:t>
            </w:r>
          </w:p>
        </w:tc>
        <w:tc>
          <w:tcPr>
            <w:tcW w:w="7483" w:type="dxa"/>
          </w:tcPr>
          <w:p w14:paraId="45420E51"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Descriptions of persons, documents, property</w:t>
            </w:r>
          </w:p>
        </w:tc>
      </w:tr>
    </w:tbl>
    <w:p w14:paraId="428C8B1D" w14:textId="77777777" w:rsidR="00543C02" w:rsidRDefault="00543C02" w:rsidP="00543C02">
      <w:pPr>
        <w:ind w:left="363" w:hanging="363"/>
        <w:jc w:val="both"/>
        <w:rPr>
          <w:rFonts w:ascii="Arial" w:hAnsi="Arial" w:cs="Arial"/>
          <w:color w:val="000000"/>
          <w:sz w:val="20"/>
        </w:rPr>
      </w:pPr>
    </w:p>
    <w:p w14:paraId="24C1ABAE" w14:textId="028C686D" w:rsidR="00543C02" w:rsidRPr="002E3BD9" w:rsidRDefault="00543C02" w:rsidP="00543C02">
      <w:pPr>
        <w:jc w:val="both"/>
        <w:rPr>
          <w:rFonts w:ascii="Arial" w:hAnsi="Arial" w:cs="Arial"/>
          <w:sz w:val="20"/>
          <w:szCs w:val="20"/>
        </w:rPr>
      </w:pPr>
      <w:r w:rsidRPr="002E3BD9">
        <w:rPr>
          <w:rFonts w:ascii="Arial" w:hAnsi="Arial" w:cs="Arial"/>
          <w:color w:val="000000"/>
          <w:sz w:val="20"/>
          <w:szCs w:val="20"/>
        </w:rPr>
        <w:t xml:space="preserve">In </w:t>
      </w:r>
      <w:r w:rsidRPr="002E3BD9">
        <w:rPr>
          <w:rFonts w:ascii="Arial" w:hAnsi="Arial" w:cs="Arial"/>
          <w:i/>
          <w:iCs/>
          <w:color w:val="000000"/>
          <w:sz w:val="20"/>
          <w:szCs w:val="20"/>
        </w:rPr>
        <w:t>Wells v Stillman &amp; Anor</w:t>
      </w:r>
      <w:r w:rsidRPr="002E3BD9">
        <w:rPr>
          <w:rFonts w:ascii="Arial" w:hAnsi="Arial" w:cs="Arial"/>
          <w:color w:val="000000"/>
          <w:sz w:val="20"/>
          <w:szCs w:val="20"/>
        </w:rPr>
        <w:t xml:space="preserve"> [2020] VSC 51 a charge had been filed against the applicant police officer alleging that contrary to s.227(1) of the </w:t>
      </w:r>
      <w:r w:rsidRPr="008102AC">
        <w:rPr>
          <w:rFonts w:ascii="Arial" w:hAnsi="Arial" w:cs="Arial"/>
          <w:i/>
          <w:iCs/>
          <w:color w:val="000000"/>
          <w:sz w:val="20"/>
          <w:szCs w:val="20"/>
        </w:rPr>
        <w:t>Victoria Police Act 2013</w:t>
      </w:r>
      <w:r w:rsidR="00146CB3">
        <w:rPr>
          <w:rFonts w:ascii="Arial" w:hAnsi="Arial" w:cs="Arial"/>
          <w:i/>
          <w:iCs/>
          <w:color w:val="000000"/>
          <w:sz w:val="20"/>
          <w:szCs w:val="20"/>
        </w:rPr>
        <w:t xml:space="preserve"> </w:t>
      </w:r>
      <w:r w:rsidR="00146CB3" w:rsidRPr="00146CB3">
        <w:rPr>
          <w:rFonts w:ascii="Arial" w:hAnsi="Arial" w:cs="Arial"/>
          <w:color w:val="000000"/>
          <w:sz w:val="20"/>
          <w:szCs w:val="20"/>
        </w:rPr>
        <w:t>[‘VPA’]</w:t>
      </w:r>
      <w:r w:rsidRPr="002E3BD9">
        <w:rPr>
          <w:rFonts w:ascii="Arial" w:hAnsi="Arial" w:cs="Arial"/>
          <w:color w:val="000000"/>
          <w:sz w:val="20"/>
          <w:szCs w:val="20"/>
        </w:rPr>
        <w:t>: “</w:t>
      </w:r>
      <w:r w:rsidRPr="002E3BD9">
        <w:rPr>
          <w:rFonts w:ascii="Arial" w:hAnsi="Arial" w:cs="Arial"/>
          <w:sz w:val="20"/>
          <w:szCs w:val="20"/>
        </w:rPr>
        <w:t>The accused at Victoria on 20</w:t>
      </w:r>
      <w:r>
        <w:rPr>
          <w:rFonts w:ascii="Arial" w:hAnsi="Arial" w:cs="Arial"/>
          <w:sz w:val="20"/>
          <w:szCs w:val="20"/>
        </w:rPr>
        <w:t> </w:t>
      </w:r>
      <w:r w:rsidRPr="002E3BD9">
        <w:rPr>
          <w:rFonts w:ascii="Arial" w:hAnsi="Arial" w:cs="Arial"/>
          <w:sz w:val="20"/>
          <w:szCs w:val="20"/>
        </w:rPr>
        <w:t>March 2017, being a member of Victoria Police, without reasonable excuse, accessed police information contrary to his duty not to access the information.”</w:t>
      </w:r>
      <w:r>
        <w:rPr>
          <w:rFonts w:ascii="Arial" w:hAnsi="Arial" w:cs="Arial"/>
          <w:sz w:val="20"/>
          <w:szCs w:val="20"/>
        </w:rPr>
        <w:t xml:space="preserve">  Clause 1 of Schedule 1 of the </w:t>
      </w:r>
      <w:r w:rsidRPr="00282FC1">
        <w:rPr>
          <w:rFonts w:ascii="Arial" w:hAnsi="Arial" w:cs="Arial"/>
          <w:sz w:val="20"/>
          <w:szCs w:val="20"/>
        </w:rPr>
        <w:t>CPA</w:t>
      </w:r>
      <w:r>
        <w:rPr>
          <w:rFonts w:ascii="Arial" w:hAnsi="Arial" w:cs="Arial"/>
          <w:sz w:val="20"/>
          <w:szCs w:val="20"/>
        </w:rPr>
        <w:t xml:space="preserve"> provides:</w:t>
      </w:r>
    </w:p>
    <w:p w14:paraId="34E40B60" w14:textId="02E39547" w:rsidR="00543C02" w:rsidRPr="00630AA4" w:rsidRDefault="00543C02" w:rsidP="00543C02">
      <w:pPr>
        <w:spacing w:before="60"/>
        <w:ind w:left="567" w:right="567"/>
        <w:jc w:val="both"/>
        <w:rPr>
          <w:rFonts w:ascii="Arial" w:hAnsi="Arial" w:cs="Arial"/>
          <w:sz w:val="20"/>
          <w:szCs w:val="22"/>
        </w:rPr>
      </w:pPr>
      <w:r w:rsidRPr="00630AA4">
        <w:rPr>
          <w:rFonts w:ascii="Arial" w:hAnsi="Arial" w:cs="Arial"/>
          <w:sz w:val="20"/>
          <w:szCs w:val="22"/>
        </w:rPr>
        <w:t>“A charge must</w:t>
      </w:r>
      <w:r w:rsidR="00235652">
        <w:rPr>
          <w:rFonts w:ascii="Arial" w:hAnsi="Arial" w:cs="Arial"/>
          <w:color w:val="000000"/>
          <w:sz w:val="20"/>
        </w:rPr>
        <w:t>–</w:t>
      </w:r>
    </w:p>
    <w:p w14:paraId="2B95418F" w14:textId="77777777" w:rsidR="00543C02" w:rsidRDefault="00543C02" w:rsidP="00591749">
      <w:pPr>
        <w:numPr>
          <w:ilvl w:val="1"/>
          <w:numId w:val="8"/>
        </w:numPr>
        <w:tabs>
          <w:tab w:val="clear" w:pos="1440"/>
        </w:tabs>
        <w:ind w:left="924" w:right="567" w:hanging="357"/>
        <w:jc w:val="both"/>
        <w:rPr>
          <w:rFonts w:ascii="Arial" w:hAnsi="Arial" w:cs="Arial"/>
          <w:sz w:val="20"/>
          <w:szCs w:val="22"/>
        </w:rPr>
      </w:pPr>
      <w:r>
        <w:rPr>
          <w:rFonts w:ascii="Arial" w:hAnsi="Arial" w:cs="Arial"/>
          <w:sz w:val="20"/>
          <w:szCs w:val="22"/>
        </w:rPr>
        <w:t>state the offence that the accused is alleged to have committed; and</w:t>
      </w:r>
    </w:p>
    <w:p w14:paraId="1800E311" w14:textId="77777777" w:rsidR="00543C02" w:rsidRPr="00630AA4" w:rsidRDefault="00543C02" w:rsidP="00591749">
      <w:pPr>
        <w:numPr>
          <w:ilvl w:val="1"/>
          <w:numId w:val="8"/>
        </w:numPr>
        <w:tabs>
          <w:tab w:val="clear" w:pos="1440"/>
        </w:tabs>
        <w:ind w:left="924" w:right="567" w:hanging="357"/>
        <w:jc w:val="both"/>
        <w:rPr>
          <w:rFonts w:ascii="Arial" w:hAnsi="Arial" w:cs="Arial"/>
          <w:sz w:val="20"/>
          <w:szCs w:val="22"/>
        </w:rPr>
      </w:pPr>
      <w:r>
        <w:rPr>
          <w:rFonts w:ascii="Arial" w:hAnsi="Arial" w:cs="Arial"/>
          <w:sz w:val="20"/>
          <w:szCs w:val="22"/>
        </w:rPr>
        <w:t>contain the particulars, in accordance with clause 2, that are necessary to give reasonable information as to the nature of the charge.”</w:t>
      </w:r>
    </w:p>
    <w:p w14:paraId="7513CE07" w14:textId="77777777" w:rsidR="00543C02" w:rsidRPr="00282FC1" w:rsidRDefault="00543C02" w:rsidP="00543C02">
      <w:pPr>
        <w:jc w:val="both"/>
        <w:rPr>
          <w:rFonts w:ascii="Arial" w:hAnsi="Arial" w:cs="Arial"/>
          <w:sz w:val="20"/>
          <w:szCs w:val="22"/>
        </w:rPr>
      </w:pPr>
    </w:p>
    <w:p w14:paraId="13D3CDFE" w14:textId="77777777" w:rsidR="00543C02" w:rsidRPr="00282FC1" w:rsidRDefault="00543C02" w:rsidP="00543C02">
      <w:pPr>
        <w:jc w:val="both"/>
        <w:rPr>
          <w:rFonts w:ascii="Arial" w:hAnsi="Arial" w:cs="Arial"/>
          <w:sz w:val="20"/>
          <w:szCs w:val="22"/>
        </w:rPr>
      </w:pPr>
      <w:r w:rsidRPr="00282FC1">
        <w:rPr>
          <w:rFonts w:ascii="Arial" w:hAnsi="Arial" w:cs="Arial"/>
          <w:sz w:val="20"/>
          <w:szCs w:val="22"/>
        </w:rPr>
        <w:t>At [11] Quigley J stated:</w:t>
      </w:r>
    </w:p>
    <w:p w14:paraId="3F924F08" w14:textId="77777777" w:rsidR="00543C02" w:rsidRDefault="00543C02" w:rsidP="00543C02">
      <w:pPr>
        <w:spacing w:before="60"/>
        <w:ind w:left="567" w:right="567"/>
        <w:jc w:val="both"/>
        <w:rPr>
          <w:rFonts w:ascii="Arial" w:hAnsi="Arial" w:cs="Arial"/>
          <w:sz w:val="20"/>
          <w:szCs w:val="22"/>
        </w:rPr>
      </w:pPr>
      <w:r>
        <w:rPr>
          <w:rFonts w:ascii="Arial" w:hAnsi="Arial" w:cs="Arial"/>
          <w:sz w:val="20"/>
          <w:szCs w:val="20"/>
        </w:rPr>
        <w:lastRenderedPageBreak/>
        <w:t>“</w:t>
      </w:r>
      <w:r w:rsidRPr="00B45F25">
        <w:rPr>
          <w:rFonts w:ascii="Arial" w:hAnsi="Arial" w:cs="Arial"/>
          <w:sz w:val="20"/>
          <w:szCs w:val="20"/>
        </w:rPr>
        <w:t xml:space="preserve">The parties did not take issue with the proposition that the law is as stated in the High Court in </w:t>
      </w:r>
      <w:r w:rsidRPr="00B45F25">
        <w:rPr>
          <w:rFonts w:ascii="Arial" w:eastAsia="Book Antiqua" w:hAnsi="Arial" w:cs="Arial"/>
          <w:i/>
          <w:sz w:val="20"/>
          <w:szCs w:val="20"/>
        </w:rPr>
        <w:t xml:space="preserve">Kirk v Industrial Court (NSW) </w:t>
      </w:r>
      <w:r>
        <w:rPr>
          <w:rFonts w:ascii="Arial" w:hAnsi="Arial" w:cs="Arial"/>
          <w:sz w:val="20"/>
          <w:szCs w:val="20"/>
        </w:rPr>
        <w:t xml:space="preserve">(2010) 239 CLR 531 </w:t>
      </w:r>
      <w:r w:rsidRPr="00B45F25">
        <w:rPr>
          <w:rFonts w:ascii="Arial" w:hAnsi="Arial" w:cs="Arial"/>
          <w:sz w:val="20"/>
          <w:szCs w:val="20"/>
        </w:rPr>
        <w:t xml:space="preserve">and more recently stated to the same effect by the Victorian Court of Appeal in </w:t>
      </w:r>
      <w:r w:rsidRPr="00B45F25">
        <w:rPr>
          <w:rFonts w:ascii="Arial" w:eastAsia="Book Antiqua" w:hAnsi="Arial" w:cs="Arial"/>
          <w:i/>
          <w:sz w:val="20"/>
          <w:szCs w:val="20"/>
        </w:rPr>
        <w:t xml:space="preserve">Baiada Poultry Pty Ltd v Victorian </w:t>
      </w:r>
      <w:r w:rsidRPr="005E0148">
        <w:rPr>
          <w:rFonts w:ascii="Arial" w:eastAsia="Book Antiqua" w:hAnsi="Arial" w:cs="Arial"/>
          <w:i/>
          <w:sz w:val="20"/>
          <w:szCs w:val="20"/>
        </w:rPr>
        <w:t xml:space="preserve">WorkCover Authority </w:t>
      </w:r>
      <w:r w:rsidRPr="005E0148">
        <w:rPr>
          <w:rFonts w:ascii="Arial" w:hAnsi="Arial" w:cs="Arial"/>
          <w:sz w:val="20"/>
          <w:szCs w:val="20"/>
        </w:rPr>
        <w:t>(2015) 257 IR 204.  That is, for a criminal charge to be valid it</w:t>
      </w:r>
      <w:r w:rsidRPr="00B45F25">
        <w:rPr>
          <w:rFonts w:ascii="Arial" w:hAnsi="Arial" w:cs="Arial"/>
          <w:sz w:val="20"/>
          <w:szCs w:val="20"/>
        </w:rPr>
        <w:t xml:space="preserve"> must include not only the legal elements of the charge but also the essential factual ingredients of the alleged misconduct.</w:t>
      </w:r>
      <w:r>
        <w:rPr>
          <w:rFonts w:ascii="Arial" w:hAnsi="Arial" w:cs="Arial"/>
          <w:sz w:val="20"/>
          <w:szCs w:val="20"/>
        </w:rPr>
        <w:t>”</w:t>
      </w:r>
    </w:p>
    <w:p w14:paraId="6AEEC3DD" w14:textId="77777777" w:rsidR="00543C02" w:rsidRDefault="00543C02" w:rsidP="00543C02">
      <w:pPr>
        <w:jc w:val="both"/>
        <w:rPr>
          <w:rFonts w:ascii="Arial" w:hAnsi="Arial" w:cs="Arial"/>
          <w:sz w:val="20"/>
          <w:szCs w:val="22"/>
        </w:rPr>
      </w:pPr>
    </w:p>
    <w:p w14:paraId="64DCECF2" w14:textId="77777777" w:rsidR="00543C02" w:rsidRDefault="00543C02" w:rsidP="00543C02">
      <w:pPr>
        <w:jc w:val="both"/>
        <w:rPr>
          <w:rFonts w:ascii="Arial" w:hAnsi="Arial" w:cs="Arial"/>
          <w:sz w:val="20"/>
          <w:szCs w:val="22"/>
        </w:rPr>
      </w:pPr>
      <w:r>
        <w:rPr>
          <w:rFonts w:ascii="Arial" w:hAnsi="Arial" w:cs="Arial"/>
          <w:sz w:val="20"/>
          <w:szCs w:val="22"/>
        </w:rPr>
        <w:t>At [60] her Honour stated:</w:t>
      </w:r>
    </w:p>
    <w:p w14:paraId="0A7ADCE7" w14:textId="77777777" w:rsidR="00543C02" w:rsidRPr="00282FC1" w:rsidRDefault="00543C02" w:rsidP="00543C02">
      <w:pPr>
        <w:spacing w:before="60"/>
        <w:ind w:left="567" w:right="567"/>
        <w:jc w:val="both"/>
        <w:rPr>
          <w:rFonts w:ascii="Arial" w:hAnsi="Arial" w:cs="Arial"/>
          <w:sz w:val="20"/>
          <w:szCs w:val="22"/>
        </w:rPr>
      </w:pPr>
      <w:r>
        <w:rPr>
          <w:rFonts w:ascii="Arial" w:hAnsi="Arial" w:cs="Arial"/>
          <w:sz w:val="20"/>
          <w:szCs w:val="20"/>
        </w:rPr>
        <w:t>“</w:t>
      </w:r>
      <w:r w:rsidRPr="004C221D">
        <w:rPr>
          <w:rFonts w:ascii="Arial" w:hAnsi="Arial" w:cs="Arial"/>
          <w:sz w:val="20"/>
          <w:szCs w:val="20"/>
        </w:rPr>
        <w:t>Whilst the charge identifies ’police information’ as being an element of the charge, and this is sufficient to uphold the legal components required in accordance with the terms of the statute, this is no answer to the complaint in respect of cl 1(b) of sch 1.  Save for the identification of the manner of committing the offence being by ‘accessing’ the police information (there being a variety of ways in which the police information might be dealt with to create an offence) the lack of identification of the ‘police information’ other than in the reference back to the statutory definition fails to disclose, in my view, ‘reasonable information as to the nature of the charge’.</w:t>
      </w:r>
      <w:r>
        <w:rPr>
          <w:rFonts w:ascii="Arial" w:hAnsi="Arial" w:cs="Arial"/>
          <w:sz w:val="20"/>
          <w:szCs w:val="20"/>
        </w:rPr>
        <w:t>”</w:t>
      </w:r>
    </w:p>
    <w:p w14:paraId="26794D5B" w14:textId="77777777" w:rsidR="00543C02" w:rsidRDefault="00543C02" w:rsidP="00543C02">
      <w:pPr>
        <w:jc w:val="both"/>
        <w:rPr>
          <w:rFonts w:ascii="Arial" w:hAnsi="Arial" w:cs="Arial"/>
          <w:color w:val="000000"/>
          <w:sz w:val="20"/>
        </w:rPr>
      </w:pPr>
    </w:p>
    <w:p w14:paraId="169961D2" w14:textId="77777777" w:rsidR="00543C02" w:rsidRDefault="00543C02" w:rsidP="00543C02">
      <w:pPr>
        <w:ind w:left="363" w:hanging="363"/>
        <w:jc w:val="both"/>
        <w:rPr>
          <w:rFonts w:ascii="Arial" w:hAnsi="Arial" w:cs="Arial"/>
          <w:color w:val="000000"/>
          <w:sz w:val="20"/>
        </w:rPr>
      </w:pPr>
      <w:r>
        <w:rPr>
          <w:rFonts w:ascii="Arial" w:hAnsi="Arial" w:cs="Arial"/>
          <w:color w:val="000000"/>
          <w:sz w:val="20"/>
        </w:rPr>
        <w:t>On this basis her Honour found the charge invalid, stating at [75]:</w:t>
      </w:r>
    </w:p>
    <w:p w14:paraId="154A6CE4" w14:textId="77777777" w:rsidR="00543C02" w:rsidRPr="00282FC1" w:rsidRDefault="00543C02" w:rsidP="00543C02">
      <w:pPr>
        <w:spacing w:before="60"/>
        <w:ind w:left="567" w:right="567"/>
        <w:jc w:val="both"/>
        <w:rPr>
          <w:rFonts w:ascii="Arial" w:hAnsi="Arial" w:cs="Arial"/>
          <w:sz w:val="20"/>
          <w:szCs w:val="22"/>
        </w:rPr>
      </w:pPr>
      <w:r>
        <w:rPr>
          <w:rFonts w:ascii="Arial" w:hAnsi="Arial" w:cs="Arial"/>
          <w:sz w:val="20"/>
          <w:szCs w:val="22"/>
        </w:rPr>
        <w:t>“</w:t>
      </w:r>
      <w:r w:rsidRPr="0090787E">
        <w:rPr>
          <w:rFonts w:ascii="Arial" w:hAnsi="Arial" w:cs="Arial"/>
          <w:sz w:val="20"/>
          <w:szCs w:val="20"/>
        </w:rPr>
        <w:t>I find that the charge insofar as it does not adequately particularise the ‘police information’ alleged to have been wrongly accessed invalidates the current form of the charge.  I find that the charge</w:t>
      </w:r>
      <w:r>
        <w:rPr>
          <w:rFonts w:ascii="Arial" w:hAnsi="Arial" w:cs="Arial"/>
          <w:sz w:val="20"/>
          <w:szCs w:val="20"/>
        </w:rPr>
        <w:t>…</w:t>
      </w:r>
      <w:r w:rsidRPr="0090787E">
        <w:rPr>
          <w:rFonts w:ascii="Arial" w:hAnsi="Arial" w:cs="Arial"/>
          <w:sz w:val="20"/>
          <w:szCs w:val="20"/>
        </w:rPr>
        <w:t>is invalid and I will quash the order made by the Magistrates’ Court of Victoria on 25 October 2018 dismissing the application to strike out the charge.</w:t>
      </w:r>
      <w:r>
        <w:rPr>
          <w:rFonts w:ascii="Arial" w:hAnsi="Arial" w:cs="Arial"/>
          <w:sz w:val="20"/>
          <w:szCs w:val="20"/>
        </w:rPr>
        <w:t>”</w:t>
      </w:r>
    </w:p>
    <w:p w14:paraId="634011C3" w14:textId="77777777" w:rsidR="00543C02" w:rsidRDefault="00543C02" w:rsidP="00543C02">
      <w:pPr>
        <w:ind w:left="363" w:hanging="363"/>
        <w:jc w:val="both"/>
        <w:rPr>
          <w:rFonts w:ascii="Arial" w:hAnsi="Arial" w:cs="Arial"/>
          <w:color w:val="000000"/>
          <w:sz w:val="20"/>
        </w:rPr>
      </w:pPr>
    </w:p>
    <w:p w14:paraId="2BF642C1" w14:textId="77777777" w:rsidR="00543C02" w:rsidRDefault="00543C02" w:rsidP="00543C02">
      <w:pPr>
        <w:jc w:val="both"/>
        <w:rPr>
          <w:rFonts w:ascii="Arial" w:hAnsi="Arial" w:cs="Arial"/>
          <w:color w:val="000000"/>
          <w:sz w:val="20"/>
        </w:rPr>
      </w:pPr>
      <w:r>
        <w:rPr>
          <w:rFonts w:ascii="Arial" w:hAnsi="Arial" w:cs="Arial"/>
          <w:color w:val="000000"/>
          <w:sz w:val="20"/>
        </w:rPr>
        <w:t>However, it is unclear how this decision sits compatibly with s.9(1) of the CPA which provides that: “A charge sheet is not invalid by reason only of a failure to comply with Schedule 1.”</w:t>
      </w:r>
    </w:p>
    <w:p w14:paraId="216BA295" w14:textId="62B12710" w:rsidR="00543C02" w:rsidRDefault="00543C02" w:rsidP="00543C02">
      <w:pPr>
        <w:ind w:left="363" w:hanging="363"/>
        <w:jc w:val="both"/>
        <w:rPr>
          <w:rFonts w:ascii="Arial" w:hAnsi="Arial" w:cs="Arial"/>
          <w:color w:val="000000"/>
          <w:sz w:val="20"/>
        </w:rPr>
      </w:pPr>
    </w:p>
    <w:p w14:paraId="7FF1BB29" w14:textId="77637B95" w:rsidR="00146CB3" w:rsidRPr="00146CB3" w:rsidRDefault="00146CB3" w:rsidP="00146CB3">
      <w:pPr>
        <w:jc w:val="both"/>
        <w:rPr>
          <w:rFonts w:ascii="Arial" w:hAnsi="Arial" w:cs="Arial"/>
          <w:color w:val="000000"/>
          <w:sz w:val="20"/>
          <w:szCs w:val="20"/>
        </w:rPr>
      </w:pPr>
      <w:r w:rsidRPr="00146CB3">
        <w:rPr>
          <w:rFonts w:ascii="Arial" w:hAnsi="Arial" w:cs="Arial"/>
          <w:color w:val="000000"/>
          <w:sz w:val="20"/>
          <w:szCs w:val="20"/>
        </w:rPr>
        <w:t xml:space="preserve">In </w:t>
      </w:r>
      <w:r w:rsidRPr="00146CB3">
        <w:rPr>
          <w:rFonts w:ascii="Arial" w:hAnsi="Arial" w:cs="Arial"/>
          <w:i/>
          <w:iCs/>
          <w:color w:val="000000"/>
          <w:sz w:val="20"/>
          <w:szCs w:val="20"/>
        </w:rPr>
        <w:t>DPP v Lamb</w:t>
      </w:r>
      <w:r w:rsidRPr="00146CB3">
        <w:rPr>
          <w:rFonts w:ascii="Arial" w:hAnsi="Arial" w:cs="Arial"/>
          <w:color w:val="000000"/>
          <w:sz w:val="20"/>
          <w:szCs w:val="20"/>
        </w:rPr>
        <w:t xml:space="preserve"> [2021] VSC </w:t>
      </w:r>
      <w:r>
        <w:rPr>
          <w:rFonts w:ascii="Arial" w:hAnsi="Arial" w:cs="Arial"/>
          <w:color w:val="000000"/>
          <w:sz w:val="20"/>
          <w:szCs w:val="20"/>
        </w:rPr>
        <w:t xml:space="preserve">615 </w:t>
      </w:r>
      <w:r w:rsidRPr="00146CB3">
        <w:rPr>
          <w:rFonts w:ascii="Arial" w:hAnsi="Arial" w:cs="Arial"/>
          <w:color w:val="000000"/>
          <w:sz w:val="20"/>
          <w:szCs w:val="20"/>
        </w:rPr>
        <w:t xml:space="preserve">the </w:t>
      </w:r>
      <w:r w:rsidRPr="00146CB3">
        <w:rPr>
          <w:rFonts w:ascii="Arial" w:hAnsi="Arial" w:cs="Arial"/>
          <w:sz w:val="20"/>
          <w:szCs w:val="20"/>
        </w:rPr>
        <w:t xml:space="preserve">drafter of four charges of unauthorised disclosure of police information put the word “not” in the wrong place. Instead of alleging in each charge that the accused was “under a duty not to disclose” the relevant information, the charge stated that the accused was “not under a duty to disclose” the information. The drafter’s mistake was an obvious one </w:t>
      </w:r>
      <w:r>
        <w:rPr>
          <w:rFonts w:ascii="Arial" w:hAnsi="Arial" w:cs="Arial"/>
          <w:sz w:val="20"/>
          <w:szCs w:val="20"/>
        </w:rPr>
        <w:t>having</w:t>
      </w:r>
      <w:r w:rsidRPr="00146CB3">
        <w:rPr>
          <w:rFonts w:ascii="Arial" w:hAnsi="Arial" w:cs="Arial"/>
          <w:sz w:val="20"/>
          <w:szCs w:val="20"/>
        </w:rPr>
        <w:t xml:space="preserve"> regard to the terms of the relevant statutory provision — s 227 of the </w:t>
      </w:r>
      <w:r>
        <w:rPr>
          <w:rFonts w:ascii="Arial" w:hAnsi="Arial" w:cs="Arial"/>
          <w:sz w:val="20"/>
          <w:szCs w:val="20"/>
        </w:rPr>
        <w:t>VPA</w:t>
      </w:r>
      <w:r w:rsidRPr="00146CB3">
        <w:rPr>
          <w:rFonts w:ascii="Arial" w:hAnsi="Arial" w:cs="Arial"/>
          <w:sz w:val="20"/>
          <w:szCs w:val="20"/>
        </w:rPr>
        <w:t xml:space="preserve"> — to which the charge-sheets correctly referred.</w:t>
      </w:r>
      <w:r>
        <w:rPr>
          <w:rFonts w:ascii="Arial" w:hAnsi="Arial" w:cs="Arial"/>
          <w:sz w:val="20"/>
          <w:szCs w:val="20"/>
        </w:rPr>
        <w:t xml:space="preserve">  </w:t>
      </w:r>
      <w:r w:rsidR="00C17D21">
        <w:rPr>
          <w:rFonts w:ascii="Arial" w:hAnsi="Arial" w:cs="Arial"/>
          <w:sz w:val="20"/>
          <w:szCs w:val="20"/>
        </w:rPr>
        <w:t>At [36] Beale J held “there is much force in the plaintiff’s submission that the first defendant’s interpretation of the charges ‘is an example of someone striving conscientiously to fail to understand the information in the charge’</w:t>
      </w:r>
      <w:r w:rsidR="003C1A6E">
        <w:rPr>
          <w:rFonts w:ascii="Arial" w:hAnsi="Arial" w:cs="Arial"/>
          <w:sz w:val="20"/>
          <w:szCs w:val="20"/>
        </w:rPr>
        <w:t>”.</w:t>
      </w:r>
      <w:r w:rsidR="00C17D21">
        <w:rPr>
          <w:rFonts w:ascii="Arial" w:hAnsi="Arial" w:cs="Arial"/>
          <w:sz w:val="20"/>
          <w:szCs w:val="20"/>
        </w:rPr>
        <w:t xml:space="preserve">  Accordingly his Honour concluded </w:t>
      </w:r>
      <w:r w:rsidR="003C1A6E">
        <w:rPr>
          <w:rFonts w:ascii="Arial" w:hAnsi="Arial" w:cs="Arial"/>
          <w:sz w:val="20"/>
          <w:szCs w:val="20"/>
        </w:rPr>
        <w:t xml:space="preserve">at [37] </w:t>
      </w:r>
      <w:r w:rsidR="00C17D21">
        <w:rPr>
          <w:rFonts w:ascii="Arial" w:hAnsi="Arial" w:cs="Arial"/>
          <w:sz w:val="20"/>
          <w:szCs w:val="20"/>
        </w:rPr>
        <w:t xml:space="preserve">that the </w:t>
      </w:r>
      <w:r w:rsidR="003C1A6E">
        <w:rPr>
          <w:rFonts w:ascii="Arial" w:hAnsi="Arial" w:cs="Arial"/>
          <w:sz w:val="20"/>
          <w:szCs w:val="20"/>
        </w:rPr>
        <w:t>“</w:t>
      </w:r>
      <w:r w:rsidR="00C17D21">
        <w:rPr>
          <w:rFonts w:ascii="Arial" w:hAnsi="Arial" w:cs="Arial"/>
          <w:sz w:val="20"/>
          <w:szCs w:val="20"/>
        </w:rPr>
        <w:t>magistrate erred in finding that the charges were invalid for failing to disclose an offence known to the law</w:t>
      </w:r>
      <w:r w:rsidR="003C1A6E">
        <w:rPr>
          <w:rFonts w:ascii="Arial" w:hAnsi="Arial" w:cs="Arial"/>
          <w:sz w:val="20"/>
          <w:szCs w:val="20"/>
        </w:rPr>
        <w:t>.</w:t>
      </w:r>
      <w:r w:rsidR="00C17D21">
        <w:rPr>
          <w:rFonts w:ascii="Arial" w:hAnsi="Arial" w:cs="Arial"/>
          <w:sz w:val="20"/>
          <w:szCs w:val="20"/>
        </w:rPr>
        <w:t>”  His Honour was satis</w:t>
      </w:r>
      <w:r w:rsidR="003C1A6E">
        <w:rPr>
          <w:rFonts w:ascii="Arial" w:hAnsi="Arial" w:cs="Arial"/>
          <w:sz w:val="20"/>
          <w:szCs w:val="20"/>
        </w:rPr>
        <w:t>f</w:t>
      </w:r>
      <w:r w:rsidR="00C17D21">
        <w:rPr>
          <w:rFonts w:ascii="Arial" w:hAnsi="Arial" w:cs="Arial"/>
          <w:sz w:val="20"/>
          <w:szCs w:val="20"/>
        </w:rPr>
        <w:t>ied that the particulars of the charges were sufficient.</w:t>
      </w:r>
    </w:p>
    <w:p w14:paraId="252BDDFC" w14:textId="77777777" w:rsidR="008529E3" w:rsidRDefault="008529E3" w:rsidP="00543C02">
      <w:pPr>
        <w:ind w:left="363" w:hanging="363"/>
        <w:jc w:val="both"/>
        <w:rPr>
          <w:rFonts w:ascii="Arial" w:hAnsi="Arial" w:cs="Arial"/>
          <w:color w:val="000000"/>
          <w:sz w:val="20"/>
        </w:rPr>
      </w:pPr>
    </w:p>
    <w:p w14:paraId="3948F802" w14:textId="77777777" w:rsidR="00E869E6" w:rsidRPr="00F51496" w:rsidRDefault="00543C02" w:rsidP="00E869E6">
      <w:pPr>
        <w:pStyle w:val="Heading3"/>
        <w:keepNext/>
        <w:spacing w:after="120" w:line="240" w:lineRule="auto"/>
        <w:rPr>
          <w:rFonts w:ascii="Arial" w:hAnsi="Arial" w:cs="Arial"/>
          <w:b/>
          <w:bCs/>
          <w:color w:val="000000"/>
          <w:sz w:val="20"/>
        </w:rPr>
      </w:pPr>
      <w:bookmarkStart w:id="218" w:name="_7.5.2_Time_limits"/>
      <w:bookmarkEnd w:id="218"/>
      <w:r w:rsidRPr="00F51496">
        <w:rPr>
          <w:rFonts w:ascii="Arial" w:hAnsi="Arial" w:cs="Arial"/>
          <w:b/>
          <w:bCs/>
          <w:color w:val="000000"/>
          <w:sz w:val="20"/>
        </w:rPr>
        <w:t>7.</w:t>
      </w:r>
      <w:r>
        <w:rPr>
          <w:rFonts w:ascii="Arial" w:hAnsi="Arial" w:cs="Arial"/>
          <w:b/>
          <w:bCs/>
          <w:color w:val="000000"/>
          <w:sz w:val="20"/>
        </w:rPr>
        <w:t>5</w:t>
      </w:r>
      <w:r w:rsidRPr="00F51496">
        <w:rPr>
          <w:rFonts w:ascii="Arial" w:hAnsi="Arial" w:cs="Arial"/>
          <w:b/>
          <w:bCs/>
          <w:color w:val="000000"/>
          <w:sz w:val="20"/>
        </w:rPr>
        <w:t>.2</w:t>
      </w:r>
      <w:r w:rsidRPr="00F51496">
        <w:rPr>
          <w:rFonts w:ascii="Arial" w:hAnsi="Arial" w:cs="Arial"/>
          <w:b/>
          <w:bCs/>
          <w:color w:val="000000"/>
          <w:sz w:val="20"/>
        </w:rPr>
        <w:tab/>
        <w:t>Time limits for filing a charge-sheet</w:t>
      </w:r>
    </w:p>
    <w:p w14:paraId="3F5F4250" w14:textId="2BA67C70" w:rsidR="00543C02" w:rsidRPr="00F51496" w:rsidRDefault="00543C02" w:rsidP="00543C02">
      <w:pPr>
        <w:jc w:val="both"/>
        <w:rPr>
          <w:rFonts w:ascii="Arial" w:hAnsi="Arial" w:cs="Arial"/>
          <w:color w:val="000000"/>
          <w:sz w:val="20"/>
        </w:rPr>
      </w:pPr>
      <w:r w:rsidRPr="00F51496">
        <w:rPr>
          <w:rFonts w:ascii="Arial" w:hAnsi="Arial" w:cs="Arial"/>
          <w:color w:val="000000"/>
          <w:sz w:val="20"/>
        </w:rPr>
        <w:t>Section</w:t>
      </w:r>
      <w:r w:rsidR="005A187C">
        <w:rPr>
          <w:rFonts w:ascii="Arial" w:hAnsi="Arial" w:cs="Arial"/>
          <w:color w:val="000000"/>
          <w:sz w:val="20"/>
        </w:rPr>
        <w:t>s</w:t>
      </w:r>
      <w:r w:rsidRPr="00F51496">
        <w:rPr>
          <w:rFonts w:ascii="Arial" w:hAnsi="Arial" w:cs="Arial"/>
          <w:color w:val="000000"/>
          <w:sz w:val="20"/>
        </w:rPr>
        <w:t xml:space="preserve"> </w:t>
      </w:r>
      <w:r w:rsidR="005A187C">
        <w:rPr>
          <w:rFonts w:ascii="Arial" w:hAnsi="Arial" w:cs="Arial"/>
          <w:color w:val="000000"/>
          <w:sz w:val="20"/>
        </w:rPr>
        <w:t>148(1)-(2) YJA [previously ss.</w:t>
      </w:r>
      <w:r w:rsidRPr="00F51496">
        <w:rPr>
          <w:rFonts w:ascii="Arial" w:hAnsi="Arial" w:cs="Arial"/>
          <w:color w:val="000000"/>
          <w:sz w:val="20"/>
        </w:rPr>
        <w:t>344A</w:t>
      </w:r>
      <w:r w:rsidR="005A187C">
        <w:rPr>
          <w:rFonts w:ascii="Arial" w:hAnsi="Arial" w:cs="Arial"/>
          <w:color w:val="000000"/>
          <w:sz w:val="20"/>
        </w:rPr>
        <w:t>(1)-(2)</w:t>
      </w:r>
      <w:r w:rsidRPr="00F51496">
        <w:rPr>
          <w:rFonts w:ascii="Arial" w:hAnsi="Arial" w:cs="Arial"/>
          <w:color w:val="000000"/>
          <w:sz w:val="20"/>
        </w:rPr>
        <w:t xml:space="preserve"> CYFA</w:t>
      </w:r>
      <w:r w:rsidR="005A187C">
        <w:rPr>
          <w:rFonts w:ascii="Arial" w:hAnsi="Arial" w:cs="Arial"/>
          <w:color w:val="000000"/>
          <w:sz w:val="20"/>
        </w:rPr>
        <w:t>]</w:t>
      </w:r>
      <w:r w:rsidRPr="00F51496">
        <w:rPr>
          <w:rFonts w:ascii="Arial" w:hAnsi="Arial" w:cs="Arial"/>
          <w:color w:val="000000"/>
          <w:sz w:val="20"/>
        </w:rPr>
        <w:t xml:space="preserve"> provide</w:t>
      </w:r>
      <w:r w:rsidR="00235652">
        <w:rPr>
          <w:rFonts w:ascii="Arial" w:hAnsi="Arial" w:cs="Arial"/>
          <w:color w:val="000000"/>
          <w:sz w:val="20"/>
        </w:rPr>
        <w:t>–</w:t>
      </w:r>
    </w:p>
    <w:p w14:paraId="447FCBE2" w14:textId="513FBC1F" w:rsidR="00543C02" w:rsidRPr="00F51496" w:rsidRDefault="00543C02" w:rsidP="00543C02">
      <w:pPr>
        <w:spacing w:before="60"/>
        <w:ind w:left="363" w:hanging="363"/>
        <w:jc w:val="both"/>
        <w:rPr>
          <w:rFonts w:ascii="Arial" w:hAnsi="Arial" w:cs="Arial"/>
          <w:color w:val="000000"/>
          <w:sz w:val="20"/>
        </w:rPr>
      </w:pPr>
      <w:r w:rsidRPr="00F51496">
        <w:rPr>
          <w:rFonts w:ascii="Arial" w:hAnsi="Arial" w:cs="Arial"/>
          <w:color w:val="000000"/>
          <w:sz w:val="20"/>
        </w:rPr>
        <w:t>(1)</w:t>
      </w:r>
      <w:r w:rsidRPr="00F51496">
        <w:rPr>
          <w:rFonts w:ascii="Arial" w:hAnsi="Arial" w:cs="Arial"/>
          <w:color w:val="000000"/>
          <w:sz w:val="20"/>
        </w:rPr>
        <w:tab/>
        <w:t>A proceeding against a child for a summary offence must be commenced within 6 months after the date on which the offence is alleged to have been committed except where</w:t>
      </w:r>
      <w:r w:rsidR="00235652">
        <w:rPr>
          <w:rFonts w:ascii="Arial" w:hAnsi="Arial" w:cs="Arial"/>
          <w:color w:val="000000"/>
          <w:sz w:val="20"/>
        </w:rPr>
        <w:t>–</w:t>
      </w:r>
    </w:p>
    <w:p w14:paraId="75BD6840" w14:textId="4BA39F7A" w:rsidR="00543C02" w:rsidRPr="00F51496" w:rsidRDefault="00543C02" w:rsidP="00670B00">
      <w:pPr>
        <w:ind w:left="363" w:hanging="363"/>
        <w:jc w:val="both"/>
        <w:rPr>
          <w:rFonts w:ascii="Arial" w:hAnsi="Arial" w:cs="Arial"/>
          <w:color w:val="000000"/>
          <w:sz w:val="20"/>
        </w:rPr>
      </w:pPr>
      <w:r w:rsidRPr="00F51496">
        <w:rPr>
          <w:rFonts w:ascii="Arial" w:hAnsi="Arial" w:cs="Arial"/>
          <w:color w:val="000000"/>
          <w:sz w:val="20"/>
        </w:rPr>
        <w:tab/>
        <w:t>(a)</w:t>
      </w:r>
      <w:r w:rsidRPr="00F51496">
        <w:rPr>
          <w:rFonts w:ascii="Arial" w:hAnsi="Arial" w:cs="Arial"/>
          <w:color w:val="000000"/>
          <w:sz w:val="20"/>
        </w:rPr>
        <w:tab/>
        <w:t xml:space="preserve">the </w:t>
      </w:r>
      <w:r w:rsidR="005A187C">
        <w:rPr>
          <w:rFonts w:ascii="Arial" w:hAnsi="Arial" w:cs="Arial"/>
          <w:color w:val="000000"/>
          <w:sz w:val="20"/>
        </w:rPr>
        <w:t xml:space="preserve">Children’s </w:t>
      </w:r>
      <w:r w:rsidRPr="00F51496">
        <w:rPr>
          <w:rFonts w:ascii="Arial" w:hAnsi="Arial" w:cs="Arial"/>
          <w:color w:val="000000"/>
          <w:sz w:val="20"/>
        </w:rPr>
        <w:t>Court extends the time for commencement of the proceeding under s.</w:t>
      </w:r>
      <w:r w:rsidR="005A187C">
        <w:rPr>
          <w:rFonts w:ascii="Arial" w:hAnsi="Arial" w:cs="Arial"/>
          <w:color w:val="000000"/>
          <w:sz w:val="20"/>
        </w:rPr>
        <w:t>151</w:t>
      </w:r>
      <w:r w:rsidRPr="00F51496">
        <w:rPr>
          <w:rFonts w:ascii="Arial" w:hAnsi="Arial" w:cs="Arial"/>
          <w:color w:val="000000"/>
          <w:sz w:val="20"/>
        </w:rPr>
        <w:t>; or</w:t>
      </w:r>
    </w:p>
    <w:p w14:paraId="7E556691" w14:textId="2C24CF1A" w:rsidR="00543C02" w:rsidRPr="00F51496" w:rsidRDefault="00543C02" w:rsidP="00543C02">
      <w:pPr>
        <w:ind w:left="720" w:hanging="357"/>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t xml:space="preserve">after receiving legal advice, </w:t>
      </w:r>
      <w:r w:rsidR="005A187C" w:rsidRPr="00F51496">
        <w:rPr>
          <w:rFonts w:ascii="Arial" w:hAnsi="Arial" w:cs="Arial"/>
          <w:color w:val="000000"/>
          <w:sz w:val="20"/>
        </w:rPr>
        <w:t>the child</w:t>
      </w:r>
      <w:r w:rsidR="005A187C">
        <w:rPr>
          <w:rFonts w:ascii="Arial" w:hAnsi="Arial" w:cs="Arial"/>
          <w:color w:val="000000"/>
          <w:sz w:val="20"/>
        </w:rPr>
        <w:t xml:space="preserve"> </w:t>
      </w:r>
      <w:r w:rsidRPr="00F51496">
        <w:rPr>
          <w:rFonts w:ascii="Arial" w:hAnsi="Arial" w:cs="Arial"/>
          <w:color w:val="000000"/>
          <w:sz w:val="20"/>
        </w:rPr>
        <w:t>gives written consent, and a police</w:t>
      </w:r>
      <w:r w:rsidR="005A187C">
        <w:rPr>
          <w:rFonts w:ascii="Arial" w:hAnsi="Arial" w:cs="Arial"/>
          <w:color w:val="000000"/>
          <w:sz w:val="20"/>
        </w:rPr>
        <w:t xml:space="preserve"> officer</w:t>
      </w:r>
      <w:r w:rsidRPr="00F51496">
        <w:rPr>
          <w:rFonts w:ascii="Arial" w:hAnsi="Arial" w:cs="Arial"/>
          <w:color w:val="000000"/>
          <w:sz w:val="20"/>
        </w:rPr>
        <w:t xml:space="preserve"> of </w:t>
      </w:r>
      <w:r w:rsidR="005A187C">
        <w:rPr>
          <w:rFonts w:ascii="Arial" w:hAnsi="Arial" w:cs="Arial"/>
          <w:color w:val="000000"/>
          <w:sz w:val="20"/>
        </w:rPr>
        <w:t xml:space="preserve">or </w:t>
      </w:r>
      <w:r w:rsidRPr="00F51496">
        <w:rPr>
          <w:rFonts w:ascii="Arial" w:hAnsi="Arial" w:cs="Arial"/>
          <w:color w:val="000000"/>
          <w:sz w:val="20"/>
        </w:rPr>
        <w:t>above the rank of sergeant consents, to the proceeding being commenced after the expiry of that period.</w:t>
      </w:r>
    </w:p>
    <w:p w14:paraId="2D4CCAAE" w14:textId="7A4FC30A" w:rsidR="00543C02" w:rsidRPr="00F51496" w:rsidRDefault="00543C02" w:rsidP="00543C02">
      <w:pPr>
        <w:spacing w:before="60"/>
        <w:ind w:left="363" w:hanging="363"/>
        <w:jc w:val="both"/>
        <w:rPr>
          <w:rFonts w:ascii="Arial" w:hAnsi="Arial" w:cs="Arial"/>
          <w:color w:val="000000"/>
          <w:sz w:val="20"/>
        </w:rPr>
      </w:pPr>
      <w:r w:rsidRPr="00F51496">
        <w:rPr>
          <w:rFonts w:ascii="Arial" w:hAnsi="Arial" w:cs="Arial"/>
          <w:color w:val="000000"/>
          <w:sz w:val="20"/>
        </w:rPr>
        <w:t>(2)</w:t>
      </w:r>
      <w:r w:rsidRPr="00F51496">
        <w:rPr>
          <w:rFonts w:ascii="Arial" w:hAnsi="Arial" w:cs="Arial"/>
          <w:color w:val="000000"/>
          <w:sz w:val="20"/>
        </w:rPr>
        <w:tab/>
        <w:t xml:space="preserve">A proceeding against a child for an indictable offence may be commenced at any time except where otherwise provided by or under the </w:t>
      </w:r>
      <w:r w:rsidR="005A187C">
        <w:rPr>
          <w:rFonts w:ascii="Arial" w:hAnsi="Arial" w:cs="Arial"/>
          <w:color w:val="000000"/>
          <w:sz w:val="20"/>
        </w:rPr>
        <w:t>YJA</w:t>
      </w:r>
      <w:r w:rsidRPr="00F51496">
        <w:rPr>
          <w:rFonts w:ascii="Arial" w:hAnsi="Arial" w:cs="Arial"/>
          <w:color w:val="000000"/>
          <w:sz w:val="20"/>
        </w:rPr>
        <w:t xml:space="preserve"> or any other Act.</w:t>
      </w:r>
    </w:p>
    <w:p w14:paraId="76082E61" w14:textId="77777777" w:rsidR="00543C02" w:rsidRPr="00F51496" w:rsidRDefault="00543C02" w:rsidP="00543C02">
      <w:pPr>
        <w:jc w:val="both"/>
        <w:rPr>
          <w:rFonts w:ascii="Arial" w:hAnsi="Arial" w:cs="Arial"/>
          <w:color w:val="000000"/>
          <w:sz w:val="20"/>
        </w:rPr>
      </w:pPr>
    </w:p>
    <w:p w14:paraId="32E82FC8" w14:textId="5F03B0E7" w:rsidR="00543C02" w:rsidRPr="00F51496" w:rsidRDefault="00543C02" w:rsidP="00543C02">
      <w:pPr>
        <w:jc w:val="both"/>
        <w:rPr>
          <w:rFonts w:ascii="Arial" w:hAnsi="Arial" w:cs="Arial"/>
          <w:color w:val="000000"/>
          <w:sz w:val="20"/>
        </w:rPr>
      </w:pPr>
      <w:r w:rsidRPr="00F51496">
        <w:rPr>
          <w:rFonts w:ascii="Arial" w:hAnsi="Arial" w:cs="Arial"/>
          <w:color w:val="000000"/>
          <w:sz w:val="20"/>
        </w:rPr>
        <w:t>By contrast, s.7(1) CPA sets a 12 month time limit for the commencement of a proceeding against an adult for a summary offence except where</w:t>
      </w:r>
      <w:r w:rsidR="00235652">
        <w:rPr>
          <w:rFonts w:ascii="Arial" w:hAnsi="Arial" w:cs="Arial"/>
          <w:color w:val="000000"/>
          <w:sz w:val="20"/>
        </w:rPr>
        <w:t>–</w:t>
      </w:r>
    </w:p>
    <w:p w14:paraId="107DDEE8" w14:textId="77777777" w:rsidR="00543C02" w:rsidRPr="00F51496" w:rsidRDefault="00543C02">
      <w:pPr>
        <w:numPr>
          <w:ilvl w:val="0"/>
          <w:numId w:val="100"/>
        </w:numPr>
        <w:tabs>
          <w:tab w:val="clear" w:pos="1440"/>
        </w:tabs>
        <w:ind w:left="357" w:hanging="357"/>
        <w:jc w:val="both"/>
        <w:rPr>
          <w:rFonts w:ascii="Arial" w:hAnsi="Arial" w:cs="Arial"/>
          <w:color w:val="000000"/>
          <w:sz w:val="20"/>
        </w:rPr>
      </w:pPr>
      <w:r w:rsidRPr="00F51496">
        <w:rPr>
          <w:rFonts w:ascii="Arial" w:hAnsi="Arial" w:cs="Arial"/>
          <w:color w:val="000000"/>
          <w:sz w:val="20"/>
        </w:rPr>
        <w:t>otherwise provided by or under any other Act; or</w:t>
      </w:r>
    </w:p>
    <w:p w14:paraId="47DD1630" w14:textId="1CBC5BD9" w:rsidR="00543C02" w:rsidRPr="00F51496" w:rsidRDefault="00543C02">
      <w:pPr>
        <w:numPr>
          <w:ilvl w:val="0"/>
          <w:numId w:val="100"/>
        </w:numPr>
        <w:tabs>
          <w:tab w:val="clear" w:pos="1440"/>
        </w:tabs>
        <w:ind w:left="357" w:hanging="357"/>
        <w:jc w:val="both"/>
        <w:rPr>
          <w:rFonts w:ascii="Arial" w:hAnsi="Arial" w:cs="Arial"/>
          <w:color w:val="000000"/>
          <w:sz w:val="20"/>
        </w:rPr>
      </w:pPr>
      <w:r w:rsidRPr="00F51496">
        <w:rPr>
          <w:rFonts w:ascii="Arial" w:hAnsi="Arial" w:cs="Arial"/>
          <w:color w:val="000000"/>
          <w:sz w:val="20"/>
        </w:rPr>
        <w:t>the accused gives written consent, and the DPP or a Crown Prosecutor consent, to the proceeding being commenced after the expiry of that period.</w:t>
      </w:r>
    </w:p>
    <w:p w14:paraId="07A91A37" w14:textId="77777777" w:rsidR="00543C02" w:rsidRPr="00F51496" w:rsidRDefault="00543C02" w:rsidP="00543C02">
      <w:pPr>
        <w:jc w:val="both"/>
        <w:rPr>
          <w:rFonts w:ascii="Arial" w:hAnsi="Arial" w:cs="Arial"/>
          <w:color w:val="000000"/>
          <w:sz w:val="20"/>
        </w:rPr>
      </w:pPr>
    </w:p>
    <w:p w14:paraId="04EA493F" w14:textId="7999E825" w:rsidR="00062D40" w:rsidRDefault="00543C02" w:rsidP="00543C02">
      <w:pPr>
        <w:jc w:val="both"/>
        <w:rPr>
          <w:rFonts w:ascii="Arial" w:hAnsi="Arial" w:cs="Arial"/>
          <w:color w:val="000000"/>
          <w:sz w:val="20"/>
        </w:rPr>
      </w:pPr>
      <w:r w:rsidRPr="00F51496">
        <w:rPr>
          <w:rFonts w:ascii="Arial" w:hAnsi="Arial" w:cs="Arial"/>
          <w:color w:val="000000"/>
          <w:sz w:val="20"/>
        </w:rPr>
        <w:t>Section</w:t>
      </w:r>
      <w:r w:rsidR="00062D40">
        <w:rPr>
          <w:rFonts w:ascii="Arial" w:hAnsi="Arial" w:cs="Arial"/>
          <w:color w:val="000000"/>
          <w:sz w:val="20"/>
        </w:rPr>
        <w:t>s</w:t>
      </w:r>
      <w:r w:rsidRPr="00F51496">
        <w:rPr>
          <w:rFonts w:ascii="Arial" w:hAnsi="Arial" w:cs="Arial"/>
          <w:color w:val="000000"/>
          <w:sz w:val="20"/>
        </w:rPr>
        <w:t xml:space="preserve"> </w:t>
      </w:r>
      <w:r w:rsidR="005A187C">
        <w:rPr>
          <w:rFonts w:ascii="Arial" w:hAnsi="Arial" w:cs="Arial"/>
          <w:color w:val="000000"/>
          <w:sz w:val="20"/>
        </w:rPr>
        <w:t>148(</w:t>
      </w:r>
      <w:r w:rsidR="002448F2">
        <w:rPr>
          <w:rFonts w:ascii="Arial" w:hAnsi="Arial" w:cs="Arial"/>
          <w:color w:val="000000"/>
          <w:sz w:val="20"/>
        </w:rPr>
        <w:t>3)-(5</w:t>
      </w:r>
      <w:r w:rsidR="005A187C">
        <w:rPr>
          <w:rFonts w:ascii="Arial" w:hAnsi="Arial" w:cs="Arial"/>
          <w:color w:val="000000"/>
          <w:sz w:val="20"/>
        </w:rPr>
        <w:t>)</w:t>
      </w:r>
      <w:r w:rsidR="002448F2">
        <w:rPr>
          <w:rFonts w:ascii="Arial" w:hAnsi="Arial" w:cs="Arial"/>
          <w:color w:val="000000"/>
          <w:sz w:val="20"/>
        </w:rPr>
        <w:t xml:space="preserve"> </w:t>
      </w:r>
      <w:r w:rsidR="00062D40">
        <w:rPr>
          <w:rFonts w:ascii="Arial" w:hAnsi="Arial" w:cs="Arial"/>
          <w:color w:val="000000"/>
          <w:sz w:val="20"/>
        </w:rPr>
        <w:t xml:space="preserve">&amp; 149 </w:t>
      </w:r>
      <w:r w:rsidR="005A187C">
        <w:rPr>
          <w:rFonts w:ascii="Arial" w:hAnsi="Arial" w:cs="Arial"/>
          <w:color w:val="000000"/>
          <w:sz w:val="20"/>
        </w:rPr>
        <w:t>YJA [previously s</w:t>
      </w:r>
      <w:r w:rsidR="00062D40">
        <w:rPr>
          <w:rFonts w:ascii="Arial" w:hAnsi="Arial" w:cs="Arial"/>
          <w:color w:val="000000"/>
          <w:sz w:val="20"/>
        </w:rPr>
        <w:t>s</w:t>
      </w:r>
      <w:r w:rsidR="005A187C">
        <w:rPr>
          <w:rFonts w:ascii="Arial" w:hAnsi="Arial" w:cs="Arial"/>
          <w:color w:val="000000"/>
          <w:sz w:val="20"/>
        </w:rPr>
        <w:t>.</w:t>
      </w:r>
      <w:r w:rsidRPr="00F51496">
        <w:rPr>
          <w:rFonts w:ascii="Arial" w:hAnsi="Arial" w:cs="Arial"/>
          <w:color w:val="000000"/>
          <w:sz w:val="20"/>
        </w:rPr>
        <w:t>344A(</w:t>
      </w:r>
      <w:r w:rsidR="005A187C">
        <w:rPr>
          <w:rFonts w:ascii="Arial" w:hAnsi="Arial" w:cs="Arial"/>
          <w:color w:val="000000"/>
          <w:sz w:val="20"/>
        </w:rPr>
        <w:t>4</w:t>
      </w:r>
      <w:r w:rsidRPr="00F51496">
        <w:rPr>
          <w:rFonts w:ascii="Arial" w:hAnsi="Arial" w:cs="Arial"/>
          <w:color w:val="000000"/>
          <w:sz w:val="20"/>
        </w:rPr>
        <w:t>)</w:t>
      </w:r>
      <w:r w:rsidR="00062D40">
        <w:rPr>
          <w:rFonts w:ascii="Arial" w:hAnsi="Arial" w:cs="Arial"/>
          <w:color w:val="000000"/>
          <w:sz w:val="20"/>
        </w:rPr>
        <w:t>-(</w:t>
      </w:r>
      <w:r w:rsidR="002448F2">
        <w:rPr>
          <w:rFonts w:ascii="Arial" w:hAnsi="Arial" w:cs="Arial"/>
          <w:color w:val="000000"/>
          <w:sz w:val="20"/>
        </w:rPr>
        <w:t>7</w:t>
      </w:r>
      <w:r w:rsidR="00062D40">
        <w:rPr>
          <w:rFonts w:ascii="Arial" w:hAnsi="Arial" w:cs="Arial"/>
          <w:color w:val="000000"/>
          <w:sz w:val="20"/>
        </w:rPr>
        <w:t>)</w:t>
      </w:r>
      <w:r w:rsidRPr="00F51496">
        <w:rPr>
          <w:rFonts w:ascii="Arial" w:hAnsi="Arial" w:cs="Arial"/>
          <w:color w:val="000000"/>
          <w:sz w:val="20"/>
        </w:rPr>
        <w:t xml:space="preserve"> CYFA</w:t>
      </w:r>
      <w:r w:rsidR="00062D40">
        <w:rPr>
          <w:rFonts w:ascii="Arial" w:hAnsi="Arial" w:cs="Arial"/>
          <w:color w:val="000000"/>
          <w:sz w:val="20"/>
        </w:rPr>
        <w:t>]</w:t>
      </w:r>
      <w:r w:rsidRPr="00F51496">
        <w:rPr>
          <w:rFonts w:ascii="Arial" w:hAnsi="Arial" w:cs="Arial"/>
          <w:color w:val="000000"/>
          <w:sz w:val="20"/>
        </w:rPr>
        <w:t xml:space="preserve"> set out</w:t>
      </w:r>
      <w:r w:rsidR="00062D40">
        <w:rPr>
          <w:rFonts w:ascii="Arial" w:hAnsi="Arial" w:cs="Arial"/>
          <w:color w:val="000000"/>
          <w:sz w:val="20"/>
        </w:rPr>
        <w:t>–</w:t>
      </w:r>
    </w:p>
    <w:p w14:paraId="3F3E6F8C" w14:textId="498AAB15" w:rsidR="002448F2" w:rsidRDefault="002448F2">
      <w:pPr>
        <w:pStyle w:val="ListParagraph"/>
        <w:numPr>
          <w:ilvl w:val="0"/>
          <w:numId w:val="101"/>
        </w:numPr>
        <w:spacing w:after="0" w:line="240" w:lineRule="auto"/>
        <w:ind w:left="357" w:hanging="357"/>
        <w:jc w:val="both"/>
        <w:rPr>
          <w:rFonts w:ascii="Arial" w:hAnsi="Arial" w:cs="Arial"/>
          <w:color w:val="000000"/>
          <w:sz w:val="20"/>
        </w:rPr>
      </w:pPr>
      <w:r>
        <w:rPr>
          <w:rFonts w:ascii="Arial" w:hAnsi="Arial" w:cs="Arial"/>
          <w:color w:val="000000"/>
          <w:sz w:val="20"/>
        </w:rPr>
        <w:t>a requirement on the first appearance of the child that the Court be satisfied that the child obtained legal advice before giving consent to the proceeding being commenced after the expiry of 6 months;</w:t>
      </w:r>
    </w:p>
    <w:p w14:paraId="7D5F5D3C" w14:textId="5741D58E" w:rsidR="00543C02" w:rsidRDefault="00543C02">
      <w:pPr>
        <w:pStyle w:val="ListParagraph"/>
        <w:numPr>
          <w:ilvl w:val="0"/>
          <w:numId w:val="101"/>
        </w:numPr>
        <w:spacing w:after="0" w:line="240" w:lineRule="auto"/>
        <w:ind w:left="357" w:hanging="357"/>
        <w:jc w:val="both"/>
        <w:rPr>
          <w:rFonts w:ascii="Arial" w:hAnsi="Arial" w:cs="Arial"/>
          <w:color w:val="000000"/>
          <w:sz w:val="20"/>
        </w:rPr>
      </w:pPr>
      <w:r w:rsidRPr="00062D40">
        <w:rPr>
          <w:rFonts w:ascii="Arial" w:hAnsi="Arial" w:cs="Arial"/>
          <w:color w:val="000000"/>
          <w:sz w:val="20"/>
        </w:rPr>
        <w:t>a procedure if the Court is not satisfied that a child obtained legal advice before giving consent to an extension of the initiating period</w:t>
      </w:r>
      <w:r w:rsidR="002448F2">
        <w:rPr>
          <w:rFonts w:ascii="Arial" w:hAnsi="Arial" w:cs="Arial"/>
          <w:color w:val="000000"/>
          <w:sz w:val="20"/>
        </w:rPr>
        <w:t xml:space="preserve"> – namely to adjourn the hearing to enable the child to obtain that legal advice and advise the child (and, if present, a parent of the child) that after obtaining legal advice the child may withdraw consent to the commencement of the proceeding; and</w:t>
      </w:r>
    </w:p>
    <w:p w14:paraId="44F75E25" w14:textId="1AAD21D8" w:rsidR="002448F2" w:rsidRDefault="002448F2">
      <w:pPr>
        <w:pStyle w:val="ListParagraph"/>
        <w:numPr>
          <w:ilvl w:val="0"/>
          <w:numId w:val="101"/>
        </w:numPr>
        <w:spacing w:after="0" w:line="240" w:lineRule="auto"/>
        <w:ind w:left="357" w:hanging="357"/>
        <w:jc w:val="both"/>
        <w:rPr>
          <w:rFonts w:ascii="Arial" w:hAnsi="Arial" w:cs="Arial"/>
          <w:color w:val="000000"/>
          <w:sz w:val="20"/>
        </w:rPr>
      </w:pPr>
      <w:r>
        <w:rPr>
          <w:rFonts w:ascii="Arial" w:hAnsi="Arial" w:cs="Arial"/>
          <w:color w:val="000000"/>
          <w:sz w:val="20"/>
        </w:rPr>
        <w:t>an obligation on the Court to strike out the charge if after obtaining legal advice the child (or the parent of a child who is under 15 years of age and not legally represented) withdraws the consent.</w:t>
      </w:r>
    </w:p>
    <w:p w14:paraId="4E88BBE9" w14:textId="77777777" w:rsidR="00543C02" w:rsidRDefault="00543C02" w:rsidP="00543C02">
      <w:pPr>
        <w:jc w:val="both"/>
        <w:rPr>
          <w:rFonts w:ascii="Arial" w:hAnsi="Arial" w:cs="Arial"/>
          <w:color w:val="000000"/>
          <w:sz w:val="20"/>
        </w:rPr>
      </w:pPr>
    </w:p>
    <w:p w14:paraId="6CBC9EE0" w14:textId="575DB3C2" w:rsidR="002448F2" w:rsidRDefault="002448F2" w:rsidP="00543C02">
      <w:pPr>
        <w:jc w:val="both"/>
        <w:rPr>
          <w:rFonts w:ascii="Arial" w:hAnsi="Arial" w:cs="Arial"/>
          <w:color w:val="000000"/>
          <w:sz w:val="20"/>
        </w:rPr>
      </w:pPr>
      <w:r>
        <w:rPr>
          <w:rFonts w:ascii="Arial" w:hAnsi="Arial" w:cs="Arial"/>
          <w:color w:val="000000"/>
          <w:sz w:val="20"/>
        </w:rPr>
        <w:t>Sections 150-151 YJA [previously ss.</w:t>
      </w:r>
      <w:r w:rsidR="00731847">
        <w:rPr>
          <w:rFonts w:ascii="Arial" w:hAnsi="Arial" w:cs="Arial"/>
          <w:color w:val="000000"/>
          <w:sz w:val="20"/>
        </w:rPr>
        <w:t xml:space="preserve">344B &amp; 344C CYFA] provide </w:t>
      </w:r>
      <w:r w:rsidR="00E00EC2">
        <w:rPr>
          <w:rFonts w:ascii="Arial" w:hAnsi="Arial" w:cs="Arial"/>
          <w:color w:val="000000"/>
          <w:sz w:val="20"/>
        </w:rPr>
        <w:t xml:space="preserve">that on the application of an informant the Children’s Court may extend </w:t>
      </w:r>
      <w:r w:rsidR="00731847">
        <w:rPr>
          <w:rFonts w:ascii="Arial" w:hAnsi="Arial" w:cs="Arial"/>
          <w:color w:val="000000"/>
          <w:sz w:val="20"/>
        </w:rPr>
        <w:t xml:space="preserve">from 6 to 12 months the period within which a proceeding against a child for a summary offence may be </w:t>
      </w:r>
      <w:r w:rsidR="00D5334D">
        <w:rPr>
          <w:rFonts w:ascii="Arial" w:hAnsi="Arial" w:cs="Arial"/>
          <w:color w:val="000000"/>
          <w:sz w:val="20"/>
        </w:rPr>
        <w:t>commenced.</w:t>
      </w:r>
    </w:p>
    <w:p w14:paraId="6796B768" w14:textId="77777777" w:rsidR="002448F2" w:rsidRPr="00F51496" w:rsidRDefault="002448F2" w:rsidP="00543C02">
      <w:pPr>
        <w:jc w:val="both"/>
        <w:rPr>
          <w:rFonts w:ascii="Arial" w:hAnsi="Arial" w:cs="Arial"/>
          <w:color w:val="000000"/>
          <w:sz w:val="20"/>
        </w:rPr>
      </w:pPr>
    </w:p>
    <w:p w14:paraId="6E9DAFE2" w14:textId="68620F5E" w:rsidR="00543C02" w:rsidRPr="00F51496" w:rsidRDefault="00543C02" w:rsidP="00543C02">
      <w:pPr>
        <w:jc w:val="both"/>
        <w:rPr>
          <w:rFonts w:ascii="Arial" w:hAnsi="Arial" w:cs="Arial"/>
          <w:color w:val="000000"/>
          <w:sz w:val="20"/>
        </w:rPr>
      </w:pPr>
      <w:r w:rsidRPr="00F51496">
        <w:rPr>
          <w:rFonts w:ascii="Arial" w:hAnsi="Arial" w:cs="Arial"/>
          <w:color w:val="000000"/>
          <w:sz w:val="20"/>
        </w:rPr>
        <w:t xml:space="preserve">Section 53 of the </w:t>
      </w:r>
      <w:r w:rsidRPr="008102AC">
        <w:rPr>
          <w:rFonts w:ascii="Arial" w:hAnsi="Arial" w:cs="Arial"/>
          <w:i/>
          <w:iCs/>
          <w:color w:val="000000"/>
          <w:sz w:val="20"/>
        </w:rPr>
        <w:t>Infringements Act 2006</w:t>
      </w:r>
      <w:r w:rsidRPr="00F51496">
        <w:rPr>
          <w:rFonts w:ascii="Arial" w:hAnsi="Arial" w:cs="Arial"/>
          <w:color w:val="000000"/>
          <w:sz w:val="20"/>
        </w:rPr>
        <w:t xml:space="preserve"> and Part 4 of Schedule 3 to the CYFA also provide for the extension of the period in which a proceeding may be commenced in respect of an offence for which an infringement notice was issued.</w:t>
      </w:r>
    </w:p>
    <w:p w14:paraId="327173ED" w14:textId="77777777" w:rsidR="00543C02" w:rsidRPr="00F51496" w:rsidRDefault="00543C02" w:rsidP="00543C02">
      <w:pPr>
        <w:ind w:left="363" w:hanging="363"/>
        <w:jc w:val="both"/>
        <w:rPr>
          <w:rFonts w:ascii="Arial" w:hAnsi="Arial" w:cs="Arial"/>
          <w:color w:val="000000"/>
          <w:sz w:val="20"/>
        </w:rPr>
      </w:pPr>
    </w:p>
    <w:p w14:paraId="45792AA2" w14:textId="77777777" w:rsidR="00543C02" w:rsidRPr="00F51496" w:rsidRDefault="00543C02" w:rsidP="00543C02">
      <w:pPr>
        <w:pStyle w:val="Heading3"/>
        <w:keepNext/>
        <w:spacing w:after="120" w:line="240" w:lineRule="auto"/>
        <w:rPr>
          <w:rFonts w:ascii="Arial" w:hAnsi="Arial" w:cs="Arial"/>
          <w:b/>
          <w:bCs/>
          <w:color w:val="000000"/>
          <w:sz w:val="20"/>
        </w:rPr>
      </w:pPr>
      <w:bookmarkStart w:id="219" w:name="_7.5.3_Notice_to"/>
      <w:bookmarkStart w:id="220" w:name="_Toc30669424"/>
      <w:bookmarkStart w:id="221" w:name="_Toc30671640"/>
      <w:bookmarkStart w:id="222" w:name="_Toc30674167"/>
      <w:bookmarkStart w:id="223" w:name="_Toc30691389"/>
      <w:bookmarkStart w:id="224" w:name="_Toc30691764"/>
      <w:bookmarkStart w:id="225" w:name="_Toc30692144"/>
      <w:bookmarkStart w:id="226" w:name="_Toc30692903"/>
      <w:bookmarkStart w:id="227" w:name="_Toc30693282"/>
      <w:bookmarkStart w:id="228" w:name="_Toc30693660"/>
      <w:bookmarkStart w:id="229" w:name="_Toc30694038"/>
      <w:bookmarkStart w:id="230" w:name="_Toc30694418"/>
      <w:bookmarkStart w:id="231" w:name="_Toc30699007"/>
      <w:bookmarkStart w:id="232" w:name="_Toc30699385"/>
      <w:bookmarkStart w:id="233" w:name="_Toc30699770"/>
      <w:bookmarkStart w:id="234" w:name="_Toc30700925"/>
      <w:bookmarkStart w:id="235" w:name="_Toc30701312"/>
      <w:bookmarkStart w:id="236" w:name="_Toc30743923"/>
      <w:bookmarkStart w:id="237" w:name="_Toc30754746"/>
      <w:bookmarkStart w:id="238" w:name="_Toc30757187"/>
      <w:bookmarkStart w:id="239" w:name="_Toc30757735"/>
      <w:bookmarkStart w:id="240" w:name="_Toc30758135"/>
      <w:bookmarkStart w:id="241" w:name="_Toc30762896"/>
      <w:bookmarkStart w:id="242" w:name="_Toc30767550"/>
      <w:bookmarkStart w:id="243" w:name="_Toc34823568"/>
      <w:bookmarkEnd w:id="219"/>
      <w:r w:rsidRPr="00F51496">
        <w:rPr>
          <w:rFonts w:ascii="Arial" w:hAnsi="Arial" w:cs="Arial"/>
          <w:b/>
          <w:bCs/>
          <w:color w:val="000000"/>
          <w:sz w:val="20"/>
        </w:rPr>
        <w:t>7.</w:t>
      </w:r>
      <w:r>
        <w:rPr>
          <w:rFonts w:ascii="Arial" w:hAnsi="Arial" w:cs="Arial"/>
          <w:b/>
          <w:bCs/>
          <w:color w:val="000000"/>
          <w:sz w:val="20"/>
        </w:rPr>
        <w:t>5</w:t>
      </w:r>
      <w:r w:rsidRPr="00F51496">
        <w:rPr>
          <w:rFonts w:ascii="Arial" w:hAnsi="Arial" w:cs="Arial"/>
          <w:b/>
          <w:bCs/>
          <w:color w:val="000000"/>
          <w:sz w:val="20"/>
        </w:rPr>
        <w:t>.3</w:t>
      </w:r>
      <w:r w:rsidRPr="00F51496">
        <w:rPr>
          <w:rFonts w:ascii="Arial" w:hAnsi="Arial" w:cs="Arial"/>
          <w:b/>
          <w:bCs/>
          <w:color w:val="000000"/>
          <w:sz w:val="20"/>
        </w:rPr>
        <w:tab/>
        <w:t>Notice to Appear</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6C74A483" w14:textId="7D8B103E" w:rsidR="00E00EC2" w:rsidRDefault="00543C02" w:rsidP="00543C02">
      <w:pPr>
        <w:jc w:val="both"/>
        <w:rPr>
          <w:rFonts w:ascii="Arial" w:hAnsi="Arial" w:cs="Arial"/>
          <w:color w:val="000000"/>
          <w:sz w:val="20"/>
        </w:rPr>
      </w:pPr>
      <w:r w:rsidRPr="00F51496">
        <w:rPr>
          <w:rFonts w:ascii="Arial" w:hAnsi="Arial" w:cs="Arial"/>
          <w:color w:val="000000"/>
          <w:sz w:val="20"/>
        </w:rPr>
        <w:t xml:space="preserve">A case involving </w:t>
      </w:r>
      <w:r w:rsidR="00E00EC2">
        <w:rPr>
          <w:rFonts w:ascii="Arial" w:hAnsi="Arial" w:cs="Arial"/>
          <w:color w:val="000000"/>
          <w:sz w:val="20"/>
        </w:rPr>
        <w:t>contravention</w:t>
      </w:r>
      <w:r w:rsidRPr="00F51496">
        <w:rPr>
          <w:rFonts w:ascii="Arial" w:hAnsi="Arial" w:cs="Arial"/>
          <w:color w:val="000000"/>
          <w:sz w:val="20"/>
        </w:rPr>
        <w:t xml:space="preserve"> of a </w:t>
      </w:r>
      <w:r w:rsidR="00E00EC2">
        <w:rPr>
          <w:rFonts w:ascii="Arial" w:hAnsi="Arial" w:cs="Arial"/>
          <w:color w:val="000000"/>
          <w:sz w:val="20"/>
        </w:rPr>
        <w:t xml:space="preserve">community-based </w:t>
      </w:r>
      <w:r w:rsidRPr="00F51496">
        <w:rPr>
          <w:rFonts w:ascii="Arial" w:hAnsi="Arial" w:cs="Arial"/>
          <w:color w:val="000000"/>
          <w:sz w:val="20"/>
        </w:rPr>
        <w:t xml:space="preserve">sentencing order </w:t>
      </w:r>
      <w:r w:rsidR="00C23C75">
        <w:rPr>
          <w:rFonts w:ascii="Arial" w:hAnsi="Arial" w:cs="Arial"/>
          <w:color w:val="000000"/>
          <w:sz w:val="20"/>
        </w:rPr>
        <w:t xml:space="preserve">as </w:t>
      </w:r>
      <w:r w:rsidR="00E00EC2">
        <w:rPr>
          <w:rFonts w:ascii="Arial" w:hAnsi="Arial" w:cs="Arial"/>
          <w:color w:val="000000"/>
          <w:sz w:val="20"/>
        </w:rPr>
        <w:t xml:space="preserve">discussed in </w:t>
      </w:r>
      <w:r w:rsidR="00E00EC2" w:rsidRPr="00E00EC2">
        <w:rPr>
          <w:rFonts w:ascii="Arial" w:hAnsi="Arial" w:cs="Arial"/>
          <w:b/>
          <w:bCs/>
          <w:color w:val="000000"/>
          <w:sz w:val="20"/>
          <w:shd w:val="clear" w:color="auto" w:fill="C5E0B3" w:themeFill="accent6" w:themeFillTint="66"/>
        </w:rPr>
        <w:t>section</w:t>
      </w:r>
      <w:r w:rsidR="00E00EC2">
        <w:rPr>
          <w:rFonts w:ascii="Arial" w:hAnsi="Arial" w:cs="Arial"/>
          <w:b/>
          <w:bCs/>
          <w:color w:val="000000"/>
          <w:sz w:val="20"/>
          <w:shd w:val="clear" w:color="auto" w:fill="C5E0B3" w:themeFill="accent6" w:themeFillTint="66"/>
        </w:rPr>
        <w:t>s</w:t>
      </w:r>
      <w:r w:rsidR="00E00EC2" w:rsidRPr="00E00EC2">
        <w:rPr>
          <w:rFonts w:ascii="Arial" w:hAnsi="Arial" w:cs="Arial"/>
          <w:b/>
          <w:bCs/>
          <w:color w:val="000000"/>
          <w:sz w:val="20"/>
          <w:shd w:val="clear" w:color="auto" w:fill="C5E0B3" w:themeFill="accent6" w:themeFillTint="66"/>
        </w:rPr>
        <w:t xml:space="preserve"> 7.1.6</w:t>
      </w:r>
      <w:r w:rsidR="00E00EC2">
        <w:rPr>
          <w:rFonts w:ascii="Arial" w:hAnsi="Arial" w:cs="Arial"/>
          <w:b/>
          <w:bCs/>
          <w:color w:val="000000"/>
          <w:sz w:val="20"/>
          <w:shd w:val="clear" w:color="auto" w:fill="C5E0B3" w:themeFill="accent6" w:themeFillTint="66"/>
        </w:rPr>
        <w:t xml:space="preserve"> &amp; 7.1.7</w:t>
      </w:r>
      <w:r w:rsidR="00E00EC2">
        <w:rPr>
          <w:rFonts w:ascii="Arial" w:hAnsi="Arial" w:cs="Arial"/>
          <w:color w:val="000000"/>
          <w:sz w:val="20"/>
        </w:rPr>
        <w:t xml:space="preserve"> above </w:t>
      </w:r>
      <w:r w:rsidRPr="00F51496">
        <w:rPr>
          <w:rFonts w:ascii="Arial" w:hAnsi="Arial" w:cs="Arial"/>
          <w:color w:val="000000"/>
          <w:sz w:val="20"/>
        </w:rPr>
        <w:t xml:space="preserve">is commenced by a notice to appear before the Court being served </w:t>
      </w:r>
      <w:r w:rsidR="00235652">
        <w:rPr>
          <w:rFonts w:ascii="Arial" w:hAnsi="Arial" w:cs="Arial"/>
          <w:color w:val="000000"/>
          <w:sz w:val="20"/>
        </w:rPr>
        <w:t>–</w:t>
      </w:r>
      <w:r w:rsidRPr="00F51496">
        <w:rPr>
          <w:rFonts w:ascii="Arial" w:hAnsi="Arial" w:cs="Arial"/>
          <w:color w:val="000000"/>
          <w:sz w:val="20"/>
        </w:rPr>
        <w:t xml:space="preserve"> generally by the </w:t>
      </w:r>
      <w:r w:rsidR="00E00EC2">
        <w:rPr>
          <w:rFonts w:ascii="Arial" w:hAnsi="Arial" w:cs="Arial"/>
          <w:color w:val="000000"/>
          <w:sz w:val="20"/>
        </w:rPr>
        <w:t xml:space="preserve">DJCS </w:t>
      </w:r>
      <w:r w:rsidRPr="00F51496">
        <w:rPr>
          <w:rFonts w:ascii="Arial" w:hAnsi="Arial" w:cs="Arial"/>
          <w:color w:val="000000"/>
          <w:sz w:val="20"/>
        </w:rPr>
        <w:t xml:space="preserve">Secretary or by the Court </w:t>
      </w:r>
      <w:r w:rsidR="00235652">
        <w:rPr>
          <w:rFonts w:ascii="Arial" w:hAnsi="Arial" w:cs="Arial"/>
          <w:color w:val="000000"/>
          <w:sz w:val="20"/>
        </w:rPr>
        <w:t>–</w:t>
      </w:r>
      <w:r w:rsidRPr="00F51496">
        <w:rPr>
          <w:rFonts w:ascii="Arial" w:hAnsi="Arial" w:cs="Arial"/>
          <w:color w:val="000000"/>
          <w:sz w:val="20"/>
        </w:rPr>
        <w:t xml:space="preserve"> on the person and in some instances if the </w:t>
      </w:r>
      <w:r w:rsidR="00E00EC2">
        <w:rPr>
          <w:rFonts w:ascii="Arial" w:hAnsi="Arial" w:cs="Arial"/>
          <w:color w:val="000000"/>
          <w:sz w:val="20"/>
        </w:rPr>
        <w:t>child</w:t>
      </w:r>
      <w:r w:rsidRPr="00F51496">
        <w:rPr>
          <w:rFonts w:ascii="Arial" w:hAnsi="Arial" w:cs="Arial"/>
          <w:color w:val="000000"/>
          <w:sz w:val="20"/>
        </w:rPr>
        <w:t xml:space="preserve"> is under the age of 15 years on his or her parent. </w:t>
      </w:r>
      <w:r w:rsidR="00E00EC2">
        <w:rPr>
          <w:rFonts w:ascii="Arial" w:hAnsi="Arial" w:cs="Arial"/>
          <w:color w:val="000000"/>
          <w:sz w:val="20"/>
        </w:rPr>
        <w:t xml:space="preserve">Similarly, for a case involving </w:t>
      </w:r>
      <w:r w:rsidRPr="00F51496">
        <w:rPr>
          <w:rFonts w:ascii="Arial" w:hAnsi="Arial" w:cs="Arial"/>
          <w:color w:val="000000"/>
          <w:sz w:val="20"/>
        </w:rPr>
        <w:t xml:space="preserve">an application for variation or revocation of a </w:t>
      </w:r>
      <w:r w:rsidR="00E00EC2">
        <w:rPr>
          <w:rFonts w:ascii="Arial" w:hAnsi="Arial" w:cs="Arial"/>
          <w:color w:val="000000"/>
          <w:sz w:val="20"/>
        </w:rPr>
        <w:t xml:space="preserve">community-based sentencing order discussed in </w:t>
      </w:r>
      <w:r w:rsidR="00E00EC2" w:rsidRPr="00E00EC2">
        <w:rPr>
          <w:rFonts w:ascii="Arial" w:hAnsi="Arial" w:cs="Arial"/>
          <w:b/>
          <w:bCs/>
          <w:color w:val="000000"/>
          <w:sz w:val="20"/>
          <w:shd w:val="clear" w:color="auto" w:fill="C5E0B3" w:themeFill="accent6" w:themeFillTint="66"/>
        </w:rPr>
        <w:t>section 7.1.5</w:t>
      </w:r>
      <w:r w:rsidR="00E00EC2">
        <w:rPr>
          <w:rFonts w:ascii="Arial" w:hAnsi="Arial" w:cs="Arial"/>
          <w:color w:val="000000"/>
          <w:sz w:val="20"/>
        </w:rPr>
        <w:t>.</w:t>
      </w:r>
    </w:p>
    <w:p w14:paraId="6C4CF8AB" w14:textId="77777777" w:rsidR="00E00EC2" w:rsidRDefault="00E00EC2" w:rsidP="00543C02">
      <w:pPr>
        <w:jc w:val="both"/>
        <w:rPr>
          <w:rFonts w:ascii="Arial" w:hAnsi="Arial" w:cs="Arial"/>
          <w:color w:val="000000"/>
          <w:sz w:val="20"/>
        </w:rPr>
      </w:pPr>
    </w:p>
    <w:p w14:paraId="5C48C03E" w14:textId="77777777" w:rsidR="00543C02" w:rsidRPr="00F51496" w:rsidRDefault="00543C02" w:rsidP="00543C02">
      <w:pPr>
        <w:jc w:val="both"/>
        <w:rPr>
          <w:rFonts w:ascii="Arial" w:hAnsi="Arial" w:cs="Arial"/>
          <w:color w:val="000000"/>
          <w:sz w:val="20"/>
        </w:rPr>
      </w:pPr>
      <w:r w:rsidRPr="00F51496">
        <w:rPr>
          <w:rFonts w:ascii="Arial" w:hAnsi="Arial" w:cs="Arial"/>
          <w:color w:val="000000"/>
          <w:sz w:val="20"/>
        </w:rPr>
        <w:t>The “Notice to Appear” provisions in ss.21-26 of the CPA do not apply to proceedings in the Children’s Court: see s.528(2)(b) of the CYFA.</w:t>
      </w:r>
    </w:p>
    <w:p w14:paraId="6E03F405" w14:textId="77777777" w:rsidR="00543C02" w:rsidRPr="00F51496" w:rsidRDefault="00543C02" w:rsidP="00543C02">
      <w:pPr>
        <w:ind w:left="363" w:hanging="363"/>
        <w:jc w:val="both"/>
        <w:rPr>
          <w:rFonts w:ascii="Arial" w:hAnsi="Arial" w:cs="Arial"/>
          <w:color w:val="000000"/>
          <w:sz w:val="20"/>
        </w:rPr>
      </w:pPr>
    </w:p>
    <w:p w14:paraId="28B55A6E" w14:textId="77777777" w:rsidR="00543C02" w:rsidRPr="00F51496" w:rsidRDefault="00543C02" w:rsidP="00543C02">
      <w:pPr>
        <w:pStyle w:val="Heading3"/>
        <w:keepNext/>
        <w:spacing w:after="120" w:line="240" w:lineRule="auto"/>
        <w:rPr>
          <w:rFonts w:ascii="Arial" w:hAnsi="Arial" w:cs="Arial"/>
          <w:b/>
          <w:bCs/>
          <w:color w:val="000000"/>
          <w:sz w:val="20"/>
        </w:rPr>
      </w:pPr>
      <w:bookmarkStart w:id="244" w:name="_7.5.4_Securing_attendance"/>
      <w:bookmarkStart w:id="245" w:name="_Toc30669425"/>
      <w:bookmarkStart w:id="246" w:name="_Toc30671641"/>
      <w:bookmarkStart w:id="247" w:name="_Toc30674168"/>
      <w:bookmarkStart w:id="248" w:name="_Toc30691390"/>
      <w:bookmarkStart w:id="249" w:name="_Toc30691765"/>
      <w:bookmarkStart w:id="250" w:name="_Toc30692145"/>
      <w:bookmarkStart w:id="251" w:name="_Toc30692904"/>
      <w:bookmarkStart w:id="252" w:name="_Toc30693283"/>
      <w:bookmarkStart w:id="253" w:name="_Toc30693661"/>
      <w:bookmarkStart w:id="254" w:name="_Toc30694039"/>
      <w:bookmarkStart w:id="255" w:name="_Toc30694419"/>
      <w:bookmarkStart w:id="256" w:name="_Toc30699008"/>
      <w:bookmarkStart w:id="257" w:name="_Toc30699386"/>
      <w:bookmarkStart w:id="258" w:name="_Toc30699771"/>
      <w:bookmarkStart w:id="259" w:name="_Toc30700926"/>
      <w:bookmarkStart w:id="260" w:name="_Toc30701313"/>
      <w:bookmarkStart w:id="261" w:name="_Toc30743924"/>
      <w:bookmarkStart w:id="262" w:name="_Toc30754747"/>
      <w:bookmarkStart w:id="263" w:name="_Toc30757188"/>
      <w:bookmarkStart w:id="264" w:name="_Toc30757736"/>
      <w:bookmarkStart w:id="265" w:name="_Toc30758136"/>
      <w:bookmarkStart w:id="266" w:name="_Toc30762897"/>
      <w:bookmarkStart w:id="267" w:name="_Toc30767551"/>
      <w:bookmarkStart w:id="268" w:name="_Toc34823569"/>
      <w:bookmarkEnd w:id="244"/>
      <w:r w:rsidRPr="00F51496">
        <w:rPr>
          <w:rFonts w:ascii="Arial" w:hAnsi="Arial" w:cs="Arial"/>
          <w:b/>
          <w:bCs/>
          <w:color w:val="000000"/>
          <w:sz w:val="20"/>
        </w:rPr>
        <w:t>7.</w:t>
      </w:r>
      <w:r>
        <w:rPr>
          <w:rFonts w:ascii="Arial" w:hAnsi="Arial" w:cs="Arial"/>
          <w:b/>
          <w:bCs/>
          <w:color w:val="000000"/>
          <w:sz w:val="20"/>
        </w:rPr>
        <w:t>5</w:t>
      </w:r>
      <w:r w:rsidRPr="00F51496">
        <w:rPr>
          <w:rFonts w:ascii="Arial" w:hAnsi="Arial" w:cs="Arial"/>
          <w:b/>
          <w:bCs/>
          <w:color w:val="000000"/>
          <w:sz w:val="20"/>
        </w:rPr>
        <w:t>.4</w:t>
      </w:r>
      <w:r w:rsidRPr="00F51496">
        <w:rPr>
          <w:rFonts w:ascii="Arial" w:hAnsi="Arial" w:cs="Arial"/>
          <w:b/>
          <w:bCs/>
          <w:color w:val="000000"/>
          <w:sz w:val="20"/>
        </w:rPr>
        <w:tab/>
        <w:t>Securing attendance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sidRPr="00F51496">
        <w:rPr>
          <w:rFonts w:ascii="Arial" w:hAnsi="Arial" w:cs="Arial"/>
          <w:b/>
          <w:bCs/>
          <w:color w:val="000000"/>
          <w:sz w:val="20"/>
        </w:rPr>
        <w:t xml:space="preserve"> of accused</w:t>
      </w:r>
    </w:p>
    <w:p w14:paraId="505AF61E" w14:textId="732452B1" w:rsidR="00543C02" w:rsidRPr="00F51496" w:rsidRDefault="00543C02" w:rsidP="00543C02">
      <w:pPr>
        <w:jc w:val="both"/>
        <w:rPr>
          <w:rFonts w:ascii="Arial" w:hAnsi="Arial" w:cs="Arial"/>
          <w:color w:val="000000"/>
          <w:sz w:val="20"/>
        </w:rPr>
      </w:pPr>
      <w:r w:rsidRPr="00F51496">
        <w:rPr>
          <w:rFonts w:ascii="Arial" w:hAnsi="Arial" w:cs="Arial"/>
          <w:color w:val="000000"/>
          <w:sz w:val="20"/>
        </w:rPr>
        <w:t>Section 12(1) of the CPA, read in conjunction with s.528 of the CYFA, provides that on the filing of a charge under s.6, an application may be made to a registrar of the Children’s Court for the issue of</w:t>
      </w:r>
      <w:r w:rsidR="00235652">
        <w:rPr>
          <w:rFonts w:ascii="Arial" w:hAnsi="Arial" w:cs="Arial"/>
          <w:color w:val="000000"/>
          <w:sz w:val="20"/>
        </w:rPr>
        <w:t>–</w:t>
      </w:r>
    </w:p>
    <w:p w14:paraId="4CA0B3AA" w14:textId="77777777" w:rsidR="00543C02" w:rsidRPr="00F51496" w:rsidRDefault="00543C02" w:rsidP="00591749">
      <w:pPr>
        <w:numPr>
          <w:ilvl w:val="0"/>
          <w:numId w:val="17"/>
        </w:numPr>
        <w:tabs>
          <w:tab w:val="clear" w:pos="720"/>
        </w:tabs>
        <w:ind w:left="357" w:hanging="357"/>
        <w:jc w:val="both"/>
        <w:rPr>
          <w:rFonts w:ascii="Arial" w:hAnsi="Arial" w:cs="Arial"/>
          <w:color w:val="000000"/>
          <w:sz w:val="20"/>
        </w:rPr>
      </w:pPr>
      <w:r w:rsidRPr="00F51496">
        <w:rPr>
          <w:rFonts w:ascii="Arial" w:hAnsi="Arial" w:cs="Arial"/>
          <w:color w:val="000000"/>
          <w:sz w:val="20"/>
        </w:rPr>
        <w:t>a summons to answer the charge directed towards the accused; or</w:t>
      </w:r>
    </w:p>
    <w:p w14:paraId="4C1967A2" w14:textId="77777777" w:rsidR="00543C02" w:rsidRPr="00F51496" w:rsidRDefault="00543C02" w:rsidP="00591749">
      <w:pPr>
        <w:numPr>
          <w:ilvl w:val="0"/>
          <w:numId w:val="17"/>
        </w:numPr>
        <w:tabs>
          <w:tab w:val="clear" w:pos="720"/>
        </w:tabs>
        <w:ind w:left="357" w:hanging="357"/>
        <w:jc w:val="both"/>
        <w:rPr>
          <w:rFonts w:ascii="Arial" w:hAnsi="Arial" w:cs="Arial"/>
          <w:color w:val="000000"/>
          <w:sz w:val="20"/>
        </w:rPr>
      </w:pPr>
      <w:r w:rsidRPr="00F51496">
        <w:rPr>
          <w:rFonts w:ascii="Arial" w:hAnsi="Arial" w:cs="Arial"/>
          <w:color w:val="000000"/>
          <w:sz w:val="20"/>
        </w:rPr>
        <w:t>a warrant to arrest in order to compel the attendance of the accused.</w:t>
      </w:r>
    </w:p>
    <w:p w14:paraId="05A99AC1" w14:textId="799163B7" w:rsidR="00543C02" w:rsidRDefault="00543C02" w:rsidP="00543C02">
      <w:pPr>
        <w:jc w:val="both"/>
        <w:rPr>
          <w:rFonts w:ascii="Arial" w:hAnsi="Arial" w:cs="Arial"/>
          <w:color w:val="000000"/>
          <w:sz w:val="20"/>
        </w:rPr>
      </w:pPr>
    </w:p>
    <w:p w14:paraId="02800C9E" w14:textId="0EFCC32E" w:rsidR="00670B00" w:rsidRPr="00670B00" w:rsidRDefault="00670B00" w:rsidP="00670B00">
      <w:pPr>
        <w:rPr>
          <w:rFonts w:ascii="Arial" w:hAnsi="Arial" w:cs="Arial"/>
          <w:color w:val="000000"/>
          <w:sz w:val="20"/>
          <w:szCs w:val="20"/>
        </w:rPr>
      </w:pPr>
      <w:r w:rsidRPr="00670B00">
        <w:rPr>
          <w:rFonts w:ascii="Arial" w:hAnsi="Arial" w:cs="Arial"/>
          <w:sz w:val="20"/>
          <w:szCs w:val="20"/>
        </w:rPr>
        <w:t>However, an application for summons or warrant may be made at the same time the charge-sheet is filed</w:t>
      </w:r>
      <w:r w:rsidRPr="00670B00">
        <w:rPr>
          <w:rFonts w:ascii="Arial" w:hAnsi="Arial" w:cs="Arial"/>
          <w:color w:val="000000"/>
          <w:sz w:val="20"/>
          <w:szCs w:val="20"/>
        </w:rPr>
        <w:t xml:space="preserve">: see </w:t>
      </w:r>
      <w:r w:rsidRPr="00670B00">
        <w:rPr>
          <w:rFonts w:ascii="Arial" w:hAnsi="Arial" w:cs="Arial"/>
          <w:i/>
          <w:iCs/>
          <w:color w:val="000000"/>
          <w:sz w:val="20"/>
          <w:szCs w:val="20"/>
        </w:rPr>
        <w:t>Fiore v Magistrates’ Court of Victoria</w:t>
      </w:r>
      <w:r w:rsidR="00E00EC2">
        <w:rPr>
          <w:rFonts w:ascii="Arial" w:hAnsi="Arial" w:cs="Arial"/>
          <w:color w:val="000000"/>
          <w:sz w:val="20"/>
          <w:szCs w:val="20"/>
        </w:rPr>
        <w:t xml:space="preserve"> </w:t>
      </w:r>
      <w:r w:rsidRPr="00670B00">
        <w:rPr>
          <w:rFonts w:ascii="Arial" w:hAnsi="Arial" w:cs="Arial"/>
          <w:color w:val="000000"/>
          <w:sz w:val="20"/>
          <w:szCs w:val="20"/>
        </w:rPr>
        <w:t>[2020] VSC 92 at [113]</w:t>
      </w:r>
      <w:r>
        <w:rPr>
          <w:rFonts w:ascii="Arial" w:hAnsi="Arial" w:cs="Arial"/>
          <w:color w:val="000000"/>
          <w:sz w:val="20"/>
          <w:szCs w:val="20"/>
        </w:rPr>
        <w:t xml:space="preserve"> per Niall J</w:t>
      </w:r>
      <w:r w:rsidRPr="00670B00">
        <w:rPr>
          <w:rFonts w:ascii="Arial" w:hAnsi="Arial" w:cs="Arial"/>
          <w:color w:val="000000"/>
          <w:sz w:val="20"/>
          <w:szCs w:val="20"/>
        </w:rPr>
        <w:t>:</w:t>
      </w:r>
    </w:p>
    <w:p w14:paraId="0D0B0224" w14:textId="77777777" w:rsidR="00670B00" w:rsidRPr="00282FC1" w:rsidRDefault="00670B00" w:rsidP="00670B00">
      <w:pPr>
        <w:spacing w:before="60"/>
        <w:ind w:left="567" w:right="567"/>
        <w:jc w:val="both"/>
        <w:rPr>
          <w:rFonts w:ascii="Arial" w:hAnsi="Arial" w:cs="Arial"/>
          <w:sz w:val="20"/>
          <w:szCs w:val="22"/>
        </w:rPr>
      </w:pPr>
      <w:r w:rsidRPr="00670B00">
        <w:rPr>
          <w:rFonts w:ascii="Arial" w:hAnsi="Arial" w:cs="Arial"/>
          <w:sz w:val="20"/>
          <w:szCs w:val="20"/>
        </w:rPr>
        <w:t>“Section 6(1) of the CPA provides that a criminal proceeding is commenced by filing a charge-sheet containing a charge with the registrar of the Magistrates’ Court. In allowing for an application to be made ‘on the filing a charge-sheet’, the language of s 12(1) permits an application to be made at the same time as a charge-sheet is filed.”</w:t>
      </w:r>
    </w:p>
    <w:p w14:paraId="2CA7BA53" w14:textId="77777777" w:rsidR="00670B00" w:rsidRPr="00F51496" w:rsidRDefault="00670B00" w:rsidP="00543C02">
      <w:pPr>
        <w:jc w:val="both"/>
        <w:rPr>
          <w:rFonts w:ascii="Arial" w:hAnsi="Arial" w:cs="Arial"/>
          <w:color w:val="000000"/>
          <w:sz w:val="20"/>
        </w:rPr>
      </w:pPr>
    </w:p>
    <w:p w14:paraId="56A29CFA" w14:textId="06176A0A" w:rsidR="00543C02" w:rsidRPr="00F51496" w:rsidRDefault="00C23C75" w:rsidP="00543C02">
      <w:pPr>
        <w:jc w:val="both"/>
        <w:rPr>
          <w:rFonts w:ascii="Arial" w:hAnsi="Arial" w:cs="Arial"/>
          <w:color w:val="000000"/>
          <w:sz w:val="20"/>
        </w:rPr>
      </w:pPr>
      <w:r>
        <w:rPr>
          <w:rFonts w:ascii="Arial" w:hAnsi="Arial" w:cs="Arial"/>
          <w:color w:val="000000"/>
          <w:sz w:val="20"/>
        </w:rPr>
        <w:t>Further</w:t>
      </w:r>
      <w:r w:rsidR="00543C02" w:rsidRPr="00F51496">
        <w:rPr>
          <w:rFonts w:ascii="Arial" w:hAnsi="Arial" w:cs="Arial"/>
          <w:color w:val="000000"/>
          <w:sz w:val="20"/>
        </w:rPr>
        <w:t>, s.</w:t>
      </w:r>
      <w:r w:rsidR="000159E7">
        <w:rPr>
          <w:rFonts w:ascii="Arial" w:hAnsi="Arial" w:cs="Arial"/>
          <w:color w:val="000000"/>
          <w:sz w:val="20"/>
        </w:rPr>
        <w:t>147(4) YJA [previously s.</w:t>
      </w:r>
      <w:r w:rsidR="00543C02" w:rsidRPr="00F51496">
        <w:rPr>
          <w:rFonts w:ascii="Arial" w:hAnsi="Arial" w:cs="Arial"/>
          <w:color w:val="000000"/>
          <w:sz w:val="20"/>
        </w:rPr>
        <w:t>345 CYFA</w:t>
      </w:r>
      <w:r w:rsidR="000159E7">
        <w:rPr>
          <w:rFonts w:ascii="Arial" w:hAnsi="Arial" w:cs="Arial"/>
          <w:color w:val="000000"/>
          <w:sz w:val="20"/>
        </w:rPr>
        <w:t>]</w:t>
      </w:r>
      <w:r w:rsidR="00543C02" w:rsidRPr="00F51496">
        <w:rPr>
          <w:rFonts w:ascii="Arial" w:hAnsi="Arial" w:cs="Arial"/>
          <w:color w:val="000000"/>
          <w:sz w:val="20"/>
        </w:rPr>
        <w:t xml:space="preserve"> prohibits a registrar from issuing in the first instance a warrant to arrest a child accused unless satisfied by evidence on oath or affidavit that the circumstances are exceptional.</w:t>
      </w:r>
    </w:p>
    <w:p w14:paraId="376D0BDF" w14:textId="77777777" w:rsidR="00543C02" w:rsidRPr="00F51496" w:rsidRDefault="00543C02" w:rsidP="00543C02">
      <w:pPr>
        <w:jc w:val="both"/>
        <w:rPr>
          <w:rFonts w:ascii="Arial" w:hAnsi="Arial" w:cs="Arial"/>
          <w:color w:val="000000"/>
          <w:sz w:val="20"/>
        </w:rPr>
      </w:pPr>
    </w:p>
    <w:p w14:paraId="5980CC10" w14:textId="6C5EAB68" w:rsidR="00543C02" w:rsidRPr="00F51496" w:rsidRDefault="00543C02" w:rsidP="00543C02">
      <w:pPr>
        <w:jc w:val="both"/>
        <w:rPr>
          <w:rFonts w:ascii="Arial" w:hAnsi="Arial" w:cs="Arial"/>
          <w:color w:val="000000"/>
          <w:sz w:val="20"/>
        </w:rPr>
      </w:pPr>
      <w:r w:rsidRPr="00F51496">
        <w:rPr>
          <w:rFonts w:ascii="Arial" w:hAnsi="Arial" w:cs="Arial"/>
          <w:color w:val="000000"/>
          <w:sz w:val="20"/>
        </w:rPr>
        <w:t>Section 14 of the CPA empowers a member of the police force or a public official acting in the course of his/her duty, after signing the relevant charge-sheet, to issue a summons to answer to the charge.</w:t>
      </w:r>
      <w:r w:rsidR="004F10F5">
        <w:rPr>
          <w:rFonts w:ascii="Arial" w:hAnsi="Arial" w:cs="Arial"/>
          <w:color w:val="000000"/>
          <w:sz w:val="20"/>
        </w:rPr>
        <w:t xml:space="preserve">  </w:t>
      </w:r>
      <w:r w:rsidRPr="00F51496">
        <w:rPr>
          <w:rFonts w:ascii="Arial" w:hAnsi="Arial" w:cs="Arial"/>
          <w:color w:val="000000"/>
          <w:sz w:val="20"/>
        </w:rPr>
        <w:t>Section 13(a) requires that a summons or warrant be accompanied by a copy of the charge-sheet.</w:t>
      </w:r>
    </w:p>
    <w:p w14:paraId="3D215B94" w14:textId="77777777" w:rsidR="00543C02" w:rsidRPr="00F51496" w:rsidRDefault="00543C02" w:rsidP="00543C02">
      <w:pPr>
        <w:jc w:val="both"/>
        <w:rPr>
          <w:rFonts w:ascii="Arial" w:hAnsi="Arial" w:cs="Arial"/>
          <w:color w:val="000000"/>
          <w:sz w:val="20"/>
        </w:rPr>
      </w:pPr>
    </w:p>
    <w:p w14:paraId="43C30778" w14:textId="77777777" w:rsidR="00543C02" w:rsidRPr="00F51496" w:rsidRDefault="00543C02" w:rsidP="00543C02">
      <w:pPr>
        <w:spacing w:after="120"/>
        <w:jc w:val="both"/>
        <w:rPr>
          <w:rFonts w:ascii="Arial" w:hAnsi="Arial" w:cs="Arial"/>
          <w:color w:val="000000"/>
          <w:sz w:val="20"/>
        </w:rPr>
      </w:pPr>
      <w:r w:rsidRPr="00F51496">
        <w:rPr>
          <w:rFonts w:ascii="Arial" w:hAnsi="Arial" w:cs="Arial"/>
          <w:color w:val="000000"/>
          <w:sz w:val="20"/>
        </w:rPr>
        <w:t>The following sections of the CPA govern the content of a summons and the service of documents:</w:t>
      </w:r>
    </w:p>
    <w:tbl>
      <w:tblPr>
        <w:tblW w:w="885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661"/>
        <w:gridCol w:w="7195"/>
      </w:tblGrid>
      <w:tr w:rsidR="00543C02" w:rsidRPr="00F51496" w14:paraId="5E2F7BAB" w14:textId="77777777" w:rsidTr="000A7816">
        <w:tc>
          <w:tcPr>
            <w:tcW w:w="1661" w:type="dxa"/>
            <w:tcBorders>
              <w:bottom w:val="single" w:sz="12" w:space="0" w:color="auto"/>
            </w:tcBorders>
            <w:shd w:val="clear" w:color="auto" w:fill="DDDDDD"/>
          </w:tcPr>
          <w:p w14:paraId="2C02641B" w14:textId="77777777" w:rsidR="00543C02" w:rsidRPr="00F51496" w:rsidRDefault="00543C02" w:rsidP="003F0317">
            <w:pPr>
              <w:keepNext/>
              <w:keepLines/>
              <w:jc w:val="center"/>
              <w:rPr>
                <w:rFonts w:ascii="Arial" w:hAnsi="Arial" w:cs="Arial"/>
                <w:b/>
                <w:bCs/>
                <w:color w:val="000000"/>
                <w:sz w:val="20"/>
              </w:rPr>
            </w:pPr>
            <w:r w:rsidRPr="00F51496">
              <w:rPr>
                <w:rFonts w:ascii="Arial" w:hAnsi="Arial" w:cs="Arial"/>
                <w:b/>
                <w:bCs/>
                <w:color w:val="000000"/>
                <w:sz w:val="20"/>
              </w:rPr>
              <w:t>SECTION</w:t>
            </w:r>
          </w:p>
        </w:tc>
        <w:tc>
          <w:tcPr>
            <w:tcW w:w="7195" w:type="dxa"/>
            <w:tcBorders>
              <w:bottom w:val="single" w:sz="12" w:space="0" w:color="auto"/>
            </w:tcBorders>
            <w:shd w:val="clear" w:color="auto" w:fill="DDDDDD"/>
          </w:tcPr>
          <w:p w14:paraId="72C72DA8" w14:textId="77777777" w:rsidR="00543C02" w:rsidRPr="00F51496" w:rsidRDefault="00543C02" w:rsidP="003F0317">
            <w:pPr>
              <w:keepNext/>
              <w:keepLines/>
              <w:jc w:val="center"/>
              <w:rPr>
                <w:rFonts w:ascii="Arial" w:hAnsi="Arial" w:cs="Arial"/>
                <w:b/>
                <w:bCs/>
                <w:color w:val="000000"/>
                <w:sz w:val="20"/>
              </w:rPr>
            </w:pPr>
            <w:r w:rsidRPr="00F51496">
              <w:rPr>
                <w:rFonts w:ascii="Arial" w:hAnsi="Arial" w:cs="Arial"/>
                <w:b/>
                <w:bCs/>
                <w:color w:val="000000"/>
                <w:sz w:val="20"/>
              </w:rPr>
              <w:t>SUBJECT MATTER</w:t>
            </w:r>
          </w:p>
        </w:tc>
      </w:tr>
      <w:tr w:rsidR="00543C02" w:rsidRPr="00F51496" w14:paraId="4CF261F6" w14:textId="77777777" w:rsidTr="003F0317">
        <w:tc>
          <w:tcPr>
            <w:tcW w:w="1661" w:type="dxa"/>
          </w:tcPr>
          <w:p w14:paraId="5EA82FDA" w14:textId="77777777" w:rsidR="00543C02" w:rsidRPr="00F51496" w:rsidRDefault="00543C02" w:rsidP="003F0317">
            <w:pPr>
              <w:keepNext/>
              <w:keepLines/>
              <w:jc w:val="center"/>
              <w:rPr>
                <w:rFonts w:ascii="Arial" w:hAnsi="Arial" w:cs="Arial"/>
                <w:color w:val="000000"/>
                <w:sz w:val="20"/>
              </w:rPr>
            </w:pPr>
            <w:r w:rsidRPr="00F51496">
              <w:rPr>
                <w:rFonts w:ascii="Arial" w:hAnsi="Arial" w:cs="Arial"/>
                <w:color w:val="000000"/>
                <w:sz w:val="20"/>
              </w:rPr>
              <w:t>15(1)</w:t>
            </w:r>
          </w:p>
        </w:tc>
        <w:tc>
          <w:tcPr>
            <w:tcW w:w="7195" w:type="dxa"/>
          </w:tcPr>
          <w:p w14:paraId="7540AB23" w14:textId="77777777" w:rsidR="00543C02" w:rsidRPr="00F51496" w:rsidRDefault="00543C02" w:rsidP="003F0317">
            <w:pPr>
              <w:keepNext/>
              <w:keepLines/>
              <w:jc w:val="both"/>
              <w:rPr>
                <w:rFonts w:ascii="Arial" w:hAnsi="Arial" w:cs="Arial"/>
                <w:color w:val="000000"/>
                <w:sz w:val="20"/>
              </w:rPr>
            </w:pPr>
            <w:r w:rsidRPr="00F51496">
              <w:rPr>
                <w:rFonts w:ascii="Arial" w:hAnsi="Arial" w:cs="Arial"/>
                <w:color w:val="000000"/>
                <w:sz w:val="20"/>
              </w:rPr>
              <w:t xml:space="preserve">Contents of summons (venue, date, time): see </w:t>
            </w:r>
            <w:smartTag w:uri="urn:schemas-microsoft-com:office:smarttags" w:element="place">
              <w:smartTag w:uri="urn:schemas-microsoft-com:office:smarttags" w:element="City">
                <w:r w:rsidRPr="00F51496">
                  <w:rPr>
                    <w:rFonts w:ascii="Arial" w:hAnsi="Arial" w:cs="Arial"/>
                    <w:i/>
                    <w:iCs/>
                    <w:color w:val="000000"/>
                    <w:sz w:val="20"/>
                  </w:rPr>
                  <w:t>Dawson</w:t>
                </w:r>
              </w:smartTag>
            </w:smartTag>
            <w:r w:rsidRPr="00F51496">
              <w:rPr>
                <w:rFonts w:ascii="Arial" w:hAnsi="Arial" w:cs="Arial"/>
                <w:i/>
                <w:iCs/>
                <w:color w:val="000000"/>
                <w:sz w:val="20"/>
              </w:rPr>
              <w:t xml:space="preserve"> v Magistrates' Court of Victoria &amp; Anor.</w:t>
            </w:r>
            <w:r w:rsidRPr="00F51496">
              <w:rPr>
                <w:rFonts w:ascii="Arial" w:hAnsi="Arial" w:cs="Arial"/>
                <w:color w:val="000000"/>
                <w:sz w:val="20"/>
              </w:rPr>
              <w:t xml:space="preserve"> [2003] VSC 336 at [9]-[11] per Warren J. and cases cited therein;  </w:t>
            </w:r>
            <w:r w:rsidRPr="00F51496">
              <w:rPr>
                <w:rFonts w:ascii="Arial" w:hAnsi="Arial" w:cs="Arial"/>
                <w:i/>
                <w:iCs/>
                <w:color w:val="000000"/>
                <w:sz w:val="20"/>
              </w:rPr>
              <w:t>DPP v Diamond</w:t>
            </w:r>
            <w:r w:rsidRPr="00F51496">
              <w:rPr>
                <w:rFonts w:ascii="Arial" w:hAnsi="Arial" w:cs="Arial"/>
                <w:color w:val="000000"/>
                <w:sz w:val="20"/>
              </w:rPr>
              <w:t xml:space="preserve"> [2004] VSC 35 per Kaye J.</w:t>
            </w:r>
          </w:p>
        </w:tc>
      </w:tr>
      <w:tr w:rsidR="00543C02" w:rsidRPr="00F51496" w14:paraId="3D58FE08" w14:textId="77777777" w:rsidTr="003F0317">
        <w:tc>
          <w:tcPr>
            <w:tcW w:w="1661" w:type="dxa"/>
          </w:tcPr>
          <w:p w14:paraId="09A50B23" w14:textId="77777777" w:rsidR="00543C02" w:rsidRPr="00F51496" w:rsidRDefault="00543C02" w:rsidP="00E83147">
            <w:pPr>
              <w:jc w:val="center"/>
              <w:rPr>
                <w:rFonts w:ascii="Arial" w:hAnsi="Arial" w:cs="Arial"/>
                <w:color w:val="000000"/>
                <w:sz w:val="20"/>
              </w:rPr>
            </w:pPr>
            <w:r w:rsidRPr="00F51496">
              <w:rPr>
                <w:rFonts w:ascii="Arial" w:hAnsi="Arial" w:cs="Arial"/>
                <w:color w:val="000000"/>
                <w:sz w:val="20"/>
              </w:rPr>
              <w:t>16, 17(1) &amp; 391</w:t>
            </w:r>
          </w:p>
        </w:tc>
        <w:tc>
          <w:tcPr>
            <w:tcW w:w="7195" w:type="dxa"/>
          </w:tcPr>
          <w:p w14:paraId="1BA8FF5B" w14:textId="77777777" w:rsidR="00543C02" w:rsidRPr="00F51496" w:rsidRDefault="00543C02" w:rsidP="00E83147">
            <w:pPr>
              <w:jc w:val="both"/>
              <w:rPr>
                <w:rFonts w:ascii="Arial" w:hAnsi="Arial" w:cs="Arial"/>
                <w:color w:val="000000"/>
                <w:sz w:val="20"/>
              </w:rPr>
            </w:pPr>
            <w:r w:rsidRPr="00F51496">
              <w:rPr>
                <w:rFonts w:ascii="Arial" w:hAnsi="Arial" w:cs="Arial"/>
                <w:color w:val="000000"/>
                <w:sz w:val="20"/>
              </w:rPr>
              <w:t xml:space="preserve">Personal service of summons.  The requirements in predecessor to s.16 were mandatory: see </w:t>
            </w:r>
            <w:r w:rsidRPr="00F51496">
              <w:rPr>
                <w:rFonts w:ascii="Arial" w:hAnsi="Arial" w:cs="Arial"/>
                <w:i/>
                <w:iCs/>
                <w:color w:val="000000"/>
                <w:sz w:val="20"/>
              </w:rPr>
              <w:t>Platz v Barmby</w:t>
            </w:r>
            <w:r w:rsidRPr="00F51496">
              <w:rPr>
                <w:rFonts w:ascii="Arial" w:hAnsi="Arial" w:cs="Arial"/>
                <w:color w:val="000000"/>
                <w:sz w:val="20"/>
              </w:rPr>
              <w:t xml:space="preserve"> [2002] VSC 531 at [9] per Byrne J; </w:t>
            </w:r>
            <w:r w:rsidRPr="00F51496">
              <w:rPr>
                <w:rFonts w:ascii="Arial" w:hAnsi="Arial" w:cs="Arial"/>
                <w:i/>
                <w:iCs/>
                <w:color w:val="000000"/>
                <w:sz w:val="20"/>
              </w:rPr>
              <w:t>Nitz v Evans</w:t>
            </w:r>
            <w:r w:rsidRPr="00F51496">
              <w:rPr>
                <w:rFonts w:ascii="Arial" w:hAnsi="Arial" w:cs="Arial"/>
                <w:color w:val="000000"/>
                <w:sz w:val="20"/>
              </w:rPr>
              <w:t xml:space="preserve"> (1993) 19 MVR 55 per Hayne J</w:t>
            </w:r>
            <w:r w:rsidRPr="00F51496">
              <w:rPr>
                <w:color w:val="000000"/>
              </w:rPr>
              <w:t>.</w:t>
            </w:r>
            <w:r w:rsidRPr="00F51496">
              <w:rPr>
                <w:rFonts w:ascii="Arial" w:hAnsi="Arial" w:cs="Arial"/>
                <w:color w:val="000000"/>
                <w:sz w:val="20"/>
              </w:rPr>
              <w:t xml:space="preserve">  However, the “copy” required to be served on the defendant pursuant to s.391 may be the summons issued by police ‘on the spot’, not necessarily the summons issued and filed at court: see </w:t>
            </w:r>
            <w:r w:rsidRPr="00F51496">
              <w:rPr>
                <w:rFonts w:ascii="Arial" w:hAnsi="Arial" w:cs="Arial"/>
                <w:i/>
                <w:color w:val="000000"/>
                <w:sz w:val="20"/>
              </w:rPr>
              <w:t>DPP v Fodero</w:t>
            </w:r>
            <w:r w:rsidRPr="00F51496">
              <w:rPr>
                <w:rFonts w:ascii="Arial" w:hAnsi="Arial" w:cs="Arial"/>
                <w:color w:val="000000"/>
                <w:sz w:val="20"/>
              </w:rPr>
              <w:t xml:space="preserve"> [2008] VSC 46 per Bell J.</w:t>
            </w:r>
          </w:p>
        </w:tc>
      </w:tr>
      <w:tr w:rsidR="00543C02" w:rsidRPr="00F51496" w14:paraId="69AAEF71" w14:textId="77777777" w:rsidTr="003F0317">
        <w:tc>
          <w:tcPr>
            <w:tcW w:w="1661" w:type="dxa"/>
          </w:tcPr>
          <w:p w14:paraId="1A1646AF"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17(2) &amp; 394</w:t>
            </w:r>
          </w:p>
        </w:tc>
        <w:tc>
          <w:tcPr>
            <w:tcW w:w="7195" w:type="dxa"/>
          </w:tcPr>
          <w:p w14:paraId="63A26FE1" w14:textId="044EB2FC" w:rsidR="00543C02" w:rsidRPr="00F51496" w:rsidRDefault="00543C02" w:rsidP="003F0317">
            <w:pPr>
              <w:jc w:val="both"/>
              <w:rPr>
                <w:rFonts w:ascii="Arial" w:hAnsi="Arial" w:cs="Arial"/>
                <w:color w:val="000000"/>
                <w:sz w:val="20"/>
              </w:rPr>
            </w:pPr>
            <w:r w:rsidRPr="00F51496">
              <w:rPr>
                <w:rFonts w:ascii="Arial" w:hAnsi="Arial" w:cs="Arial"/>
                <w:color w:val="000000"/>
                <w:sz w:val="20"/>
              </w:rPr>
              <w:t xml:space="preserve">Ordinary service of charge or other document.  See s.49 of the </w:t>
            </w:r>
            <w:r w:rsidRPr="008102AC">
              <w:rPr>
                <w:rFonts w:ascii="Arial" w:hAnsi="Arial" w:cs="Arial"/>
                <w:i/>
                <w:iCs/>
                <w:color w:val="000000"/>
                <w:sz w:val="20"/>
              </w:rPr>
              <w:t>Interpretation of Legislation Act 1984</w:t>
            </w:r>
            <w:r w:rsidRPr="00F51496">
              <w:rPr>
                <w:rFonts w:ascii="Arial" w:hAnsi="Arial" w:cs="Arial"/>
                <w:color w:val="000000"/>
                <w:sz w:val="20"/>
              </w:rPr>
              <w:t xml:space="preserve"> as to service by post.  See the </w:t>
            </w:r>
            <w:r w:rsidRPr="008102AC">
              <w:rPr>
                <w:rFonts w:ascii="Arial" w:hAnsi="Arial" w:cs="Arial"/>
                <w:i/>
                <w:iCs/>
                <w:color w:val="000000"/>
                <w:sz w:val="20"/>
              </w:rPr>
              <w:t>Electronic Transactions (Victoria) Act 2000</w:t>
            </w:r>
            <w:r w:rsidRPr="00F51496">
              <w:rPr>
                <w:rFonts w:ascii="Arial" w:hAnsi="Arial" w:cs="Arial"/>
                <w:color w:val="000000"/>
                <w:sz w:val="20"/>
              </w:rPr>
              <w:t xml:space="preserve"> for service by electronic means.</w:t>
            </w:r>
          </w:p>
        </w:tc>
      </w:tr>
      <w:tr w:rsidR="00543C02" w:rsidRPr="00F51496" w14:paraId="1D4CBFE5" w14:textId="77777777" w:rsidTr="003F0317">
        <w:tc>
          <w:tcPr>
            <w:tcW w:w="1661" w:type="dxa"/>
          </w:tcPr>
          <w:p w14:paraId="5DB0A0AF" w14:textId="77777777" w:rsidR="00543C02" w:rsidRPr="00F51496" w:rsidRDefault="00543C02" w:rsidP="00E83147">
            <w:pPr>
              <w:jc w:val="center"/>
              <w:rPr>
                <w:rFonts w:ascii="Arial" w:hAnsi="Arial" w:cs="Arial"/>
                <w:color w:val="000000"/>
                <w:sz w:val="20"/>
              </w:rPr>
            </w:pPr>
            <w:r w:rsidRPr="00F51496">
              <w:rPr>
                <w:rFonts w:ascii="Arial" w:hAnsi="Arial" w:cs="Arial"/>
                <w:color w:val="000000"/>
                <w:sz w:val="20"/>
              </w:rPr>
              <w:t>397</w:t>
            </w:r>
          </w:p>
        </w:tc>
        <w:tc>
          <w:tcPr>
            <w:tcW w:w="7195" w:type="dxa"/>
          </w:tcPr>
          <w:p w14:paraId="5C114339" w14:textId="77777777" w:rsidR="00543C02" w:rsidRPr="00F51496" w:rsidRDefault="00543C02" w:rsidP="00E83147">
            <w:pPr>
              <w:jc w:val="both"/>
              <w:rPr>
                <w:rFonts w:ascii="Arial" w:hAnsi="Arial" w:cs="Arial"/>
                <w:color w:val="000000"/>
                <w:sz w:val="20"/>
              </w:rPr>
            </w:pPr>
            <w:r w:rsidRPr="00F51496">
              <w:rPr>
                <w:rFonts w:ascii="Arial" w:hAnsi="Arial" w:cs="Arial"/>
                <w:color w:val="000000"/>
                <w:sz w:val="20"/>
              </w:rPr>
              <w:t>Order for substituted service</w:t>
            </w:r>
          </w:p>
        </w:tc>
      </w:tr>
      <w:tr w:rsidR="00543C02" w:rsidRPr="00F51496" w14:paraId="3EE07118" w14:textId="77777777" w:rsidTr="003F0317">
        <w:tc>
          <w:tcPr>
            <w:tcW w:w="1661" w:type="dxa"/>
          </w:tcPr>
          <w:p w14:paraId="246A7408"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399</w:t>
            </w:r>
          </w:p>
        </w:tc>
        <w:tc>
          <w:tcPr>
            <w:tcW w:w="7195" w:type="dxa"/>
          </w:tcPr>
          <w:p w14:paraId="22F22775"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Proof of service of summons and other documents</w:t>
            </w:r>
          </w:p>
        </w:tc>
      </w:tr>
      <w:tr w:rsidR="00543C02" w:rsidRPr="00F51496" w14:paraId="4322A1E0" w14:textId="77777777" w:rsidTr="003F0317">
        <w:tc>
          <w:tcPr>
            <w:tcW w:w="1661" w:type="dxa"/>
          </w:tcPr>
          <w:p w14:paraId="435F8B66"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19</w:t>
            </w:r>
          </w:p>
        </w:tc>
        <w:tc>
          <w:tcPr>
            <w:tcW w:w="7195" w:type="dxa"/>
          </w:tcPr>
          <w:p w14:paraId="43738E30"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Extension of return date if summons not served</w:t>
            </w:r>
          </w:p>
        </w:tc>
      </w:tr>
      <w:tr w:rsidR="00543C02" w:rsidRPr="00F51496" w14:paraId="0FC15B9D" w14:textId="77777777" w:rsidTr="003F0317">
        <w:tc>
          <w:tcPr>
            <w:tcW w:w="1661" w:type="dxa"/>
          </w:tcPr>
          <w:p w14:paraId="22A8F16F"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32</w:t>
            </w:r>
          </w:p>
        </w:tc>
        <w:tc>
          <w:tcPr>
            <w:tcW w:w="7195" w:type="dxa"/>
          </w:tcPr>
          <w:p w14:paraId="4642E7BF"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Accused entitled to receive free of charge a copy of the charge-sheet</w:t>
            </w:r>
          </w:p>
        </w:tc>
      </w:tr>
      <w:tr w:rsidR="00543C02" w:rsidRPr="00F51496" w14:paraId="13C7796B" w14:textId="77777777" w:rsidTr="003F0317">
        <w:tc>
          <w:tcPr>
            <w:tcW w:w="1661" w:type="dxa"/>
          </w:tcPr>
          <w:p w14:paraId="07E4459E" w14:textId="77777777" w:rsidR="00543C02" w:rsidRPr="00F51496" w:rsidRDefault="00543C02" w:rsidP="003F0317">
            <w:pPr>
              <w:jc w:val="center"/>
              <w:rPr>
                <w:rFonts w:ascii="Arial" w:hAnsi="Arial" w:cs="Arial"/>
                <w:color w:val="000000"/>
                <w:sz w:val="20"/>
              </w:rPr>
            </w:pPr>
            <w:r w:rsidRPr="00F51496">
              <w:rPr>
                <w:rFonts w:ascii="Arial" w:hAnsi="Arial" w:cs="Arial"/>
                <w:color w:val="000000"/>
                <w:sz w:val="20"/>
              </w:rPr>
              <w:t>39-50</w:t>
            </w:r>
          </w:p>
        </w:tc>
        <w:tc>
          <w:tcPr>
            <w:tcW w:w="7195" w:type="dxa"/>
          </w:tcPr>
          <w:p w14:paraId="5B4F7EFC" w14:textId="77777777" w:rsidR="00543C02" w:rsidRPr="00F51496" w:rsidRDefault="00543C02" w:rsidP="003F0317">
            <w:pPr>
              <w:jc w:val="both"/>
              <w:rPr>
                <w:rFonts w:ascii="Arial" w:hAnsi="Arial" w:cs="Arial"/>
                <w:color w:val="000000"/>
                <w:sz w:val="20"/>
              </w:rPr>
            </w:pPr>
            <w:r w:rsidRPr="00F51496">
              <w:rPr>
                <w:rFonts w:ascii="Arial" w:hAnsi="Arial" w:cs="Arial"/>
                <w:color w:val="000000"/>
                <w:sz w:val="20"/>
              </w:rPr>
              <w:t>Service of full brief of evidence on accused</w:t>
            </w:r>
          </w:p>
        </w:tc>
      </w:tr>
    </w:tbl>
    <w:p w14:paraId="302420C7" w14:textId="77777777" w:rsidR="00EB6CC4" w:rsidRDefault="00EB6CC4" w:rsidP="00543C02">
      <w:pPr>
        <w:ind w:left="363" w:hanging="363"/>
        <w:rPr>
          <w:rFonts w:ascii="Arial" w:hAnsi="Arial" w:cs="Arial"/>
          <w:b/>
          <w:bCs/>
          <w:color w:val="000000"/>
          <w:sz w:val="20"/>
        </w:rPr>
      </w:pPr>
      <w:bookmarkStart w:id="269" w:name="_Toc30669427"/>
      <w:bookmarkStart w:id="270" w:name="_Toc30671643"/>
      <w:bookmarkStart w:id="271" w:name="_Toc30674170"/>
      <w:bookmarkStart w:id="272" w:name="_Toc30691392"/>
      <w:bookmarkStart w:id="273" w:name="_Toc30691767"/>
      <w:bookmarkStart w:id="274" w:name="_Toc30692147"/>
      <w:bookmarkStart w:id="275" w:name="_Toc30692906"/>
      <w:bookmarkStart w:id="276" w:name="_Toc30693285"/>
      <w:bookmarkStart w:id="277" w:name="_Toc30693663"/>
      <w:bookmarkStart w:id="278" w:name="_Toc30694041"/>
      <w:bookmarkStart w:id="279" w:name="_Toc30694421"/>
      <w:bookmarkStart w:id="280" w:name="_Toc30699010"/>
      <w:bookmarkStart w:id="281" w:name="_Toc30699388"/>
      <w:bookmarkStart w:id="282" w:name="_Toc30699773"/>
      <w:bookmarkStart w:id="283" w:name="_Toc30700928"/>
      <w:bookmarkStart w:id="284" w:name="_Toc30701315"/>
      <w:bookmarkStart w:id="285" w:name="_Toc30743926"/>
      <w:bookmarkStart w:id="286" w:name="_Toc30754749"/>
      <w:bookmarkStart w:id="287" w:name="_Toc30757190"/>
      <w:bookmarkStart w:id="288" w:name="_Toc30757738"/>
      <w:bookmarkStart w:id="289" w:name="_Toc30758138"/>
      <w:bookmarkStart w:id="290" w:name="_Toc30762899"/>
      <w:bookmarkStart w:id="291" w:name="_Toc30767553"/>
      <w:bookmarkStart w:id="292" w:name="_Toc34823571"/>
    </w:p>
    <w:p w14:paraId="4C7C4875" w14:textId="77777777" w:rsidR="00E869E6" w:rsidRPr="00830DE2" w:rsidRDefault="00543C02" w:rsidP="00E869E6">
      <w:pPr>
        <w:pStyle w:val="Heading3"/>
        <w:keepNext/>
        <w:spacing w:after="120" w:line="240" w:lineRule="auto"/>
        <w:rPr>
          <w:rFonts w:ascii="Arial" w:hAnsi="Arial" w:cs="Arial"/>
          <w:b/>
          <w:bCs/>
          <w:color w:val="000000"/>
          <w:sz w:val="20"/>
          <w:lang w:val="en-US"/>
        </w:rPr>
      </w:pPr>
      <w:bookmarkStart w:id="293" w:name="_7.5.5_Amendment_of"/>
      <w:bookmarkEnd w:id="293"/>
      <w:r w:rsidRPr="00F51496">
        <w:rPr>
          <w:rFonts w:ascii="Arial" w:hAnsi="Arial" w:cs="Arial"/>
          <w:b/>
          <w:bCs/>
          <w:color w:val="000000"/>
          <w:sz w:val="20"/>
        </w:rPr>
        <w:lastRenderedPageBreak/>
        <w:t>7.</w:t>
      </w:r>
      <w:r>
        <w:rPr>
          <w:rFonts w:ascii="Arial" w:hAnsi="Arial" w:cs="Arial"/>
          <w:b/>
          <w:bCs/>
          <w:color w:val="000000"/>
          <w:sz w:val="20"/>
        </w:rPr>
        <w:t>5</w:t>
      </w:r>
      <w:r w:rsidRPr="00F51496">
        <w:rPr>
          <w:rFonts w:ascii="Arial" w:hAnsi="Arial" w:cs="Arial"/>
          <w:b/>
          <w:bCs/>
          <w:color w:val="000000"/>
          <w:sz w:val="20"/>
        </w:rPr>
        <w:t>.5</w:t>
      </w:r>
      <w:r w:rsidRPr="00F51496">
        <w:rPr>
          <w:rFonts w:ascii="Arial" w:hAnsi="Arial" w:cs="Arial"/>
          <w:b/>
          <w:bCs/>
          <w:color w:val="000000"/>
          <w:sz w:val="20"/>
        </w:rPr>
        <w:tab/>
        <w:t>Amendment of charge-sheet</w:t>
      </w:r>
    </w:p>
    <w:p w14:paraId="56F4A025" w14:textId="77777777" w:rsidR="00543C02" w:rsidRPr="00F51496" w:rsidRDefault="00543C02" w:rsidP="00543C02">
      <w:pPr>
        <w:ind w:left="62"/>
        <w:jc w:val="both"/>
        <w:rPr>
          <w:rFonts w:ascii="Arial" w:hAnsi="Arial" w:cs="Arial"/>
          <w:color w:val="000000"/>
          <w:sz w:val="20"/>
        </w:rPr>
      </w:pPr>
      <w:r w:rsidRPr="00F51496">
        <w:rPr>
          <w:rFonts w:ascii="Arial" w:hAnsi="Arial" w:cs="Arial"/>
          <w:color w:val="000000"/>
          <w:sz w:val="20"/>
        </w:rPr>
        <w:t>Section 8(1) of the CPA – read in conjunction with s.528 of the CYFA – gives the Court a broad power to amend a charge-sheet:</w:t>
      </w:r>
    </w:p>
    <w:p w14:paraId="01B09E03" w14:textId="77777777" w:rsidR="00543C02" w:rsidRPr="00F51496" w:rsidRDefault="00543C02" w:rsidP="00543C02">
      <w:pPr>
        <w:tabs>
          <w:tab w:val="left" w:pos="363"/>
        </w:tabs>
        <w:spacing w:before="60" w:after="60"/>
        <w:ind w:left="567" w:right="567"/>
        <w:jc w:val="both"/>
        <w:rPr>
          <w:rFonts w:ascii="Arial" w:hAnsi="Arial" w:cs="Arial"/>
          <w:color w:val="000000"/>
          <w:sz w:val="20"/>
        </w:rPr>
      </w:pPr>
      <w:r w:rsidRPr="00F51496">
        <w:rPr>
          <w:rFonts w:ascii="Arial" w:hAnsi="Arial" w:cs="Arial"/>
          <w:color w:val="000000"/>
          <w:sz w:val="20"/>
        </w:rPr>
        <w:t>"The Children’s Court at any time may order that a charge-sheet be amended in any manner that the Court thinks necessary, unless the required amendment cannot be made without injustice to the accused.”</w:t>
      </w:r>
    </w:p>
    <w:p w14:paraId="6FAA8226" w14:textId="77777777" w:rsidR="00543C02" w:rsidRPr="000D0D3F" w:rsidRDefault="00543C02" w:rsidP="00543C02">
      <w:pPr>
        <w:jc w:val="both"/>
        <w:rPr>
          <w:rFonts w:ascii="Arial" w:hAnsi="Arial" w:cs="Arial"/>
          <w:color w:val="000000"/>
          <w:sz w:val="16"/>
        </w:rPr>
      </w:pPr>
    </w:p>
    <w:p w14:paraId="7B4FDA53" w14:textId="77777777" w:rsidR="00543C02" w:rsidRPr="00F51496" w:rsidRDefault="00543C02" w:rsidP="00543C02">
      <w:pPr>
        <w:jc w:val="both"/>
        <w:rPr>
          <w:rFonts w:ascii="Arial" w:hAnsi="Arial" w:cs="Arial"/>
          <w:color w:val="000000"/>
          <w:sz w:val="20"/>
        </w:rPr>
      </w:pPr>
      <w:r w:rsidRPr="00F51496">
        <w:rPr>
          <w:rFonts w:ascii="Arial" w:hAnsi="Arial" w:cs="Arial"/>
          <w:color w:val="000000"/>
          <w:sz w:val="20"/>
        </w:rPr>
        <w:t>Section 8(3) provides:</w:t>
      </w:r>
    </w:p>
    <w:p w14:paraId="41778FEC" w14:textId="77777777" w:rsidR="00543C02" w:rsidRPr="00F51496" w:rsidRDefault="00543C02" w:rsidP="00543C02">
      <w:pPr>
        <w:tabs>
          <w:tab w:val="left" w:pos="363"/>
        </w:tabs>
        <w:spacing w:before="60" w:after="60"/>
        <w:ind w:left="567" w:right="567"/>
        <w:jc w:val="both"/>
        <w:rPr>
          <w:rFonts w:ascii="Arial" w:hAnsi="Arial" w:cs="Arial"/>
          <w:color w:val="000000"/>
          <w:sz w:val="20"/>
        </w:rPr>
      </w:pPr>
      <w:r w:rsidRPr="00F51496">
        <w:rPr>
          <w:rFonts w:ascii="Arial" w:hAnsi="Arial" w:cs="Arial"/>
          <w:color w:val="000000"/>
          <w:sz w:val="20"/>
        </w:rPr>
        <w:t>“An amendment of a charge-sheet that has the effect of charging a new offence cannot be made after the expiry of the period, if any, within which a proceeding for the offence may be commenced.”</w:t>
      </w:r>
    </w:p>
    <w:p w14:paraId="22D92E9F" w14:textId="77777777" w:rsidR="00543C02" w:rsidRPr="000D0D3F" w:rsidRDefault="00543C02" w:rsidP="00543C02">
      <w:pPr>
        <w:jc w:val="both"/>
        <w:rPr>
          <w:rFonts w:ascii="Arial" w:hAnsi="Arial" w:cs="Arial"/>
          <w:color w:val="000000"/>
          <w:sz w:val="16"/>
        </w:rPr>
      </w:pPr>
    </w:p>
    <w:p w14:paraId="00DE5418" w14:textId="77777777" w:rsidR="00543C02" w:rsidRPr="00F51496" w:rsidRDefault="00543C02" w:rsidP="00543C02">
      <w:pPr>
        <w:jc w:val="both"/>
        <w:rPr>
          <w:rFonts w:ascii="Arial" w:hAnsi="Arial" w:cs="Arial"/>
          <w:color w:val="000000"/>
          <w:sz w:val="20"/>
        </w:rPr>
      </w:pPr>
      <w:r w:rsidRPr="00F51496">
        <w:rPr>
          <w:rFonts w:ascii="Arial" w:hAnsi="Arial" w:cs="Arial"/>
          <w:color w:val="000000"/>
          <w:sz w:val="20"/>
        </w:rPr>
        <w:t>Section 8(4) provides:</w:t>
      </w:r>
    </w:p>
    <w:p w14:paraId="6C4CD763" w14:textId="3D3D2D4D" w:rsidR="00543C02" w:rsidRPr="00F51496" w:rsidRDefault="00543C02" w:rsidP="00543C02">
      <w:pPr>
        <w:tabs>
          <w:tab w:val="left" w:pos="363"/>
        </w:tabs>
        <w:spacing w:before="60"/>
        <w:ind w:left="567" w:right="567"/>
        <w:jc w:val="both"/>
        <w:rPr>
          <w:rFonts w:ascii="Arial" w:hAnsi="Arial" w:cs="Arial"/>
          <w:color w:val="000000"/>
          <w:sz w:val="20"/>
        </w:rPr>
      </w:pPr>
      <w:r w:rsidRPr="00F51496">
        <w:rPr>
          <w:rFonts w:ascii="Arial" w:hAnsi="Arial" w:cs="Arial"/>
          <w:color w:val="000000"/>
          <w:sz w:val="20"/>
        </w:rPr>
        <w:t>“If a limitation period applies to the offence charged in the charge-sheet, the charge-sheet may be amended after the expiry of the limitation period if</w:t>
      </w:r>
      <w:r w:rsidR="00235652">
        <w:rPr>
          <w:rFonts w:ascii="Arial" w:hAnsi="Arial" w:cs="Arial"/>
          <w:color w:val="000000"/>
          <w:sz w:val="20"/>
        </w:rPr>
        <w:t>–</w:t>
      </w:r>
    </w:p>
    <w:p w14:paraId="5AEFD36C" w14:textId="77777777" w:rsidR="00543C02" w:rsidRPr="00F51496" w:rsidRDefault="00543C02" w:rsidP="00591749">
      <w:pPr>
        <w:numPr>
          <w:ilvl w:val="0"/>
          <w:numId w:val="16"/>
        </w:numPr>
        <w:tabs>
          <w:tab w:val="left" w:pos="363"/>
        </w:tabs>
        <w:ind w:right="567"/>
        <w:jc w:val="both"/>
        <w:rPr>
          <w:rFonts w:ascii="Arial" w:hAnsi="Arial" w:cs="Arial"/>
          <w:color w:val="000000"/>
          <w:sz w:val="20"/>
        </w:rPr>
      </w:pPr>
      <w:r w:rsidRPr="00F51496">
        <w:rPr>
          <w:rFonts w:ascii="Arial" w:hAnsi="Arial" w:cs="Arial"/>
          <w:color w:val="000000"/>
          <w:sz w:val="20"/>
        </w:rPr>
        <w:t>the charge-sheet before the amendment sufficiently disclosed the nature of the offence; and</w:t>
      </w:r>
    </w:p>
    <w:p w14:paraId="3D8EAF2D" w14:textId="77777777" w:rsidR="00543C02" w:rsidRPr="00F51496" w:rsidRDefault="00543C02" w:rsidP="00591749">
      <w:pPr>
        <w:numPr>
          <w:ilvl w:val="0"/>
          <w:numId w:val="16"/>
        </w:numPr>
        <w:tabs>
          <w:tab w:val="left" w:pos="363"/>
        </w:tabs>
        <w:ind w:right="567"/>
        <w:jc w:val="both"/>
        <w:rPr>
          <w:rFonts w:ascii="Arial" w:hAnsi="Arial" w:cs="Arial"/>
          <w:color w:val="000000"/>
          <w:sz w:val="20"/>
        </w:rPr>
      </w:pPr>
      <w:r w:rsidRPr="00F51496">
        <w:rPr>
          <w:rFonts w:ascii="Arial" w:hAnsi="Arial" w:cs="Arial"/>
          <w:color w:val="000000"/>
          <w:sz w:val="20"/>
        </w:rPr>
        <w:t>the amendment does not amount to the commencement of a proceeding for a new offence; and</w:t>
      </w:r>
    </w:p>
    <w:p w14:paraId="25E31C21" w14:textId="77777777" w:rsidR="00543C02" w:rsidRPr="00F51496" w:rsidRDefault="00543C02" w:rsidP="00591749">
      <w:pPr>
        <w:numPr>
          <w:ilvl w:val="0"/>
          <w:numId w:val="16"/>
        </w:numPr>
        <w:tabs>
          <w:tab w:val="left" w:pos="363"/>
        </w:tabs>
        <w:ind w:right="567"/>
        <w:jc w:val="both"/>
        <w:rPr>
          <w:rFonts w:ascii="Arial" w:hAnsi="Arial" w:cs="Arial"/>
          <w:color w:val="000000"/>
          <w:sz w:val="20"/>
        </w:rPr>
      </w:pPr>
      <w:r w:rsidRPr="00F51496">
        <w:rPr>
          <w:rFonts w:ascii="Arial" w:hAnsi="Arial" w:cs="Arial"/>
          <w:color w:val="000000"/>
          <w:sz w:val="20"/>
        </w:rPr>
        <w:t>the amendment will not cause injustice to the accused.”</w:t>
      </w:r>
    </w:p>
    <w:p w14:paraId="14BADC1B" w14:textId="77777777" w:rsidR="00543C02" w:rsidRDefault="00543C02" w:rsidP="00543C02">
      <w:pPr>
        <w:jc w:val="both"/>
        <w:rPr>
          <w:rFonts w:ascii="Arial" w:hAnsi="Arial" w:cs="Arial"/>
          <w:color w:val="000000"/>
          <w:sz w:val="16"/>
        </w:rPr>
      </w:pPr>
    </w:p>
    <w:p w14:paraId="0FFC6F12" w14:textId="7902248C" w:rsidR="0033196F" w:rsidRDefault="0033196F" w:rsidP="0033196F">
      <w:pPr>
        <w:jc w:val="both"/>
        <w:rPr>
          <w:rFonts w:ascii="Arial" w:hAnsi="Arial" w:cs="Arial"/>
          <w:color w:val="000000"/>
          <w:sz w:val="20"/>
        </w:rPr>
      </w:pPr>
      <w:r>
        <w:rPr>
          <w:rFonts w:ascii="Arial" w:hAnsi="Arial" w:cs="Arial"/>
          <w:color w:val="000000"/>
          <w:sz w:val="20"/>
        </w:rPr>
        <w:t xml:space="preserve">In </w:t>
      </w:r>
      <w:bookmarkStart w:id="294" w:name="_Hlk156822423"/>
      <w:r w:rsidRPr="008529E3">
        <w:rPr>
          <w:rFonts w:ascii="Arial" w:hAnsi="Arial" w:cs="Arial"/>
          <w:i/>
          <w:iCs/>
          <w:color w:val="000000"/>
          <w:sz w:val="20"/>
        </w:rPr>
        <w:t>Kuksal v Mioch</w:t>
      </w:r>
      <w:r>
        <w:rPr>
          <w:rFonts w:ascii="Arial" w:hAnsi="Arial" w:cs="Arial"/>
          <w:color w:val="000000"/>
          <w:sz w:val="20"/>
        </w:rPr>
        <w:t xml:space="preserve"> [2023] VSC 624 at [48]</w:t>
      </w:r>
      <w:bookmarkEnd w:id="294"/>
      <w:r>
        <w:rPr>
          <w:rFonts w:ascii="Arial" w:hAnsi="Arial" w:cs="Arial"/>
          <w:color w:val="000000"/>
          <w:sz w:val="20"/>
        </w:rPr>
        <w:t xml:space="preserve"> Ginnane J – citing as an example the High Court’s judgment in </w:t>
      </w:r>
      <w:r w:rsidRPr="0033196F">
        <w:rPr>
          <w:rFonts w:ascii="Arial" w:hAnsi="Arial" w:cs="Arial"/>
          <w:i/>
          <w:iCs/>
          <w:color w:val="000000"/>
          <w:sz w:val="20"/>
        </w:rPr>
        <w:t>Corporation of the City</w:t>
      </w:r>
      <w:r w:rsidRPr="00EE18CE">
        <w:rPr>
          <w:rFonts w:ascii="Arial" w:hAnsi="Arial" w:cs="Arial"/>
          <w:i/>
          <w:iCs/>
          <w:color w:val="000000"/>
          <w:sz w:val="20"/>
        </w:rPr>
        <w:t xml:space="preserve"> of Enfield v Development Assessment Commission</w:t>
      </w:r>
      <w:r>
        <w:rPr>
          <w:rFonts w:ascii="Arial" w:hAnsi="Arial" w:cs="Arial"/>
          <w:color w:val="000000"/>
          <w:sz w:val="20"/>
        </w:rPr>
        <w:t xml:space="preserve"> (2000) 199 CLR 135 – confirmed that “Charge sheets can be amended during the course of a prosecution”.  Accordingly, his Honour held that “the Magistrates’ Court was not required to determine, at the commencement of the hearing, whether the charge sheet was a nullity or defective because it did not allege a jurisdictional fact which was said to be an element of the charge.  If the Court considered it appropriate to do so, it could postpone answering that question until after the evidence had been led or tendered.”</w:t>
      </w:r>
    </w:p>
    <w:p w14:paraId="6D672E51" w14:textId="77777777" w:rsidR="0033196F" w:rsidRPr="000D0D3F" w:rsidRDefault="0033196F" w:rsidP="00543C02">
      <w:pPr>
        <w:jc w:val="both"/>
        <w:rPr>
          <w:rFonts w:ascii="Arial" w:hAnsi="Arial" w:cs="Arial"/>
          <w:color w:val="000000"/>
          <w:sz w:val="16"/>
        </w:rPr>
      </w:pPr>
    </w:p>
    <w:p w14:paraId="5F9AC189" w14:textId="10E3C730" w:rsidR="00543C02" w:rsidRPr="00F51496" w:rsidRDefault="00543C02" w:rsidP="00E83147">
      <w:pPr>
        <w:jc w:val="both"/>
        <w:rPr>
          <w:rFonts w:ascii="Arial" w:hAnsi="Arial" w:cs="Arial"/>
          <w:color w:val="000000"/>
          <w:sz w:val="20"/>
        </w:rPr>
      </w:pPr>
      <w:r w:rsidRPr="00F51496">
        <w:rPr>
          <w:rFonts w:ascii="Arial" w:hAnsi="Arial" w:cs="Arial"/>
          <w:color w:val="000000"/>
          <w:sz w:val="20"/>
        </w:rPr>
        <w:t>There is a large amount of caselaw in relation to the ambit of the power to amend a charge</w:t>
      </w:r>
      <w:r w:rsidR="00C23C75">
        <w:rPr>
          <w:rFonts w:ascii="Arial" w:hAnsi="Arial" w:cs="Arial"/>
          <w:color w:val="000000"/>
          <w:sz w:val="20"/>
        </w:rPr>
        <w:t>:</w:t>
      </w:r>
    </w:p>
    <w:p w14:paraId="4EFF9AC8" w14:textId="77777777" w:rsidR="00543C02" w:rsidRPr="00F51496" w:rsidRDefault="00543C02" w:rsidP="00591749">
      <w:pPr>
        <w:numPr>
          <w:ilvl w:val="0"/>
          <w:numId w:val="5"/>
        </w:numPr>
        <w:ind w:left="357" w:hanging="357"/>
        <w:jc w:val="both"/>
        <w:rPr>
          <w:rFonts w:ascii="Arial" w:hAnsi="Arial" w:cs="Arial"/>
          <w:color w:val="000000"/>
          <w:sz w:val="20"/>
        </w:rPr>
      </w:pPr>
      <w:r w:rsidRPr="00F51496">
        <w:rPr>
          <w:rFonts w:ascii="Arial" w:hAnsi="Arial" w:cs="Arial"/>
          <w:color w:val="000000"/>
          <w:sz w:val="20"/>
        </w:rPr>
        <w:t>which does not comply with the statutory or common law requirements as to the contents of a charge; or</w:t>
      </w:r>
    </w:p>
    <w:p w14:paraId="3EE1C7B8" w14:textId="77777777" w:rsidR="00543C02" w:rsidRPr="00F51496" w:rsidRDefault="00543C02" w:rsidP="00591749">
      <w:pPr>
        <w:numPr>
          <w:ilvl w:val="0"/>
          <w:numId w:val="5"/>
        </w:numPr>
        <w:ind w:left="357" w:hanging="357"/>
        <w:jc w:val="both"/>
        <w:rPr>
          <w:rFonts w:ascii="Arial" w:hAnsi="Arial" w:cs="Arial"/>
          <w:color w:val="000000"/>
          <w:sz w:val="20"/>
        </w:rPr>
      </w:pPr>
      <w:r w:rsidRPr="00F51496">
        <w:rPr>
          <w:rFonts w:ascii="Arial" w:hAnsi="Arial" w:cs="Arial"/>
          <w:color w:val="000000"/>
          <w:sz w:val="20"/>
        </w:rPr>
        <w:t>which does not disclose an offence known to the law; or</w:t>
      </w:r>
    </w:p>
    <w:p w14:paraId="76B7A83F" w14:textId="77777777" w:rsidR="00543C02" w:rsidRPr="00F51496" w:rsidRDefault="00543C02" w:rsidP="00591749">
      <w:pPr>
        <w:numPr>
          <w:ilvl w:val="0"/>
          <w:numId w:val="5"/>
        </w:numPr>
        <w:ind w:left="357" w:hanging="357"/>
        <w:jc w:val="both"/>
        <w:rPr>
          <w:rFonts w:ascii="Arial" w:hAnsi="Arial" w:cs="Arial"/>
          <w:color w:val="000000"/>
          <w:sz w:val="20"/>
        </w:rPr>
      </w:pPr>
      <w:r w:rsidRPr="00F51496">
        <w:rPr>
          <w:rFonts w:ascii="Arial" w:hAnsi="Arial" w:cs="Arial"/>
          <w:color w:val="000000"/>
          <w:sz w:val="20"/>
        </w:rPr>
        <w:t>which fails sufficiently to refer to the essential elements of the alleged offence; or</w:t>
      </w:r>
    </w:p>
    <w:p w14:paraId="7EBE60E2" w14:textId="77777777" w:rsidR="00543C02" w:rsidRPr="00F51496" w:rsidRDefault="00543C02" w:rsidP="00591749">
      <w:pPr>
        <w:numPr>
          <w:ilvl w:val="0"/>
          <w:numId w:val="5"/>
        </w:numPr>
        <w:ind w:left="357" w:hanging="357"/>
        <w:jc w:val="both"/>
        <w:rPr>
          <w:rFonts w:ascii="Arial" w:hAnsi="Arial" w:cs="Arial"/>
          <w:color w:val="000000"/>
          <w:sz w:val="20"/>
        </w:rPr>
      </w:pPr>
      <w:r w:rsidRPr="00F51496">
        <w:rPr>
          <w:rFonts w:ascii="Arial" w:hAnsi="Arial" w:cs="Arial"/>
          <w:color w:val="000000"/>
          <w:sz w:val="20"/>
        </w:rPr>
        <w:t>which is otherwise a nullity; or</w:t>
      </w:r>
    </w:p>
    <w:p w14:paraId="6897C2CC" w14:textId="77777777" w:rsidR="00543C02" w:rsidRPr="00F51496" w:rsidRDefault="00543C02" w:rsidP="00591749">
      <w:pPr>
        <w:numPr>
          <w:ilvl w:val="0"/>
          <w:numId w:val="5"/>
        </w:numPr>
        <w:ind w:left="357" w:hanging="357"/>
        <w:jc w:val="both"/>
        <w:rPr>
          <w:rFonts w:ascii="Arial" w:hAnsi="Arial" w:cs="Arial"/>
          <w:color w:val="000000"/>
          <w:sz w:val="20"/>
        </w:rPr>
      </w:pPr>
      <w:r w:rsidRPr="00F51496">
        <w:rPr>
          <w:rFonts w:ascii="Arial" w:hAnsi="Arial" w:cs="Arial"/>
          <w:color w:val="000000"/>
          <w:sz w:val="20"/>
        </w:rPr>
        <w:t>which contains an incorrect reference or no reference at all to the law allegedly contravened; or</w:t>
      </w:r>
    </w:p>
    <w:p w14:paraId="21190053" w14:textId="77777777" w:rsidR="00543C02" w:rsidRPr="00F51496" w:rsidRDefault="00543C02" w:rsidP="00591749">
      <w:pPr>
        <w:numPr>
          <w:ilvl w:val="0"/>
          <w:numId w:val="5"/>
        </w:numPr>
        <w:ind w:left="357" w:hanging="357"/>
        <w:jc w:val="both"/>
        <w:rPr>
          <w:rFonts w:ascii="Arial" w:hAnsi="Arial" w:cs="Arial"/>
          <w:color w:val="000000"/>
          <w:sz w:val="20"/>
        </w:rPr>
      </w:pPr>
      <w:r w:rsidRPr="00F51496">
        <w:rPr>
          <w:rFonts w:ascii="Arial" w:hAnsi="Arial" w:cs="Arial"/>
          <w:color w:val="000000"/>
          <w:sz w:val="20"/>
        </w:rPr>
        <w:t>where the effect is to charge a "cognate offence", that is "an offence similar in origin and quality and allied in nature to the offence originally charged" (</w:t>
      </w:r>
      <w:r w:rsidRPr="00F51496">
        <w:rPr>
          <w:rFonts w:ascii="Arial" w:hAnsi="Arial" w:cs="Arial"/>
          <w:i/>
          <w:iCs/>
          <w:color w:val="000000"/>
          <w:sz w:val="20"/>
        </w:rPr>
        <w:t>Kennett v Holt</w:t>
      </w:r>
      <w:r w:rsidRPr="00F51496">
        <w:rPr>
          <w:rFonts w:ascii="Arial" w:hAnsi="Arial" w:cs="Arial"/>
          <w:color w:val="000000"/>
          <w:sz w:val="20"/>
        </w:rPr>
        <w:t xml:space="preserve"> [1974] VR 644-headnote; </w:t>
      </w:r>
      <w:r w:rsidRPr="00F51496">
        <w:rPr>
          <w:rFonts w:ascii="Arial" w:hAnsi="Arial" w:cs="Arial"/>
          <w:i/>
          <w:iCs/>
          <w:color w:val="000000"/>
          <w:sz w:val="20"/>
        </w:rPr>
        <w:t>Thomson v Lee</w:t>
      </w:r>
      <w:r w:rsidRPr="00F51496">
        <w:rPr>
          <w:rFonts w:ascii="Arial" w:hAnsi="Arial" w:cs="Arial"/>
          <w:color w:val="000000"/>
          <w:sz w:val="20"/>
        </w:rPr>
        <w:t xml:space="preserve"> [1935] VLR 360); or</w:t>
      </w:r>
    </w:p>
    <w:p w14:paraId="572E3F6D" w14:textId="60CA129E" w:rsidR="00543C02" w:rsidRPr="00F51496" w:rsidRDefault="00543C02" w:rsidP="00591749">
      <w:pPr>
        <w:numPr>
          <w:ilvl w:val="0"/>
          <w:numId w:val="5"/>
        </w:numPr>
        <w:ind w:left="357" w:hanging="357"/>
        <w:jc w:val="both"/>
        <w:rPr>
          <w:rFonts w:ascii="Arial" w:hAnsi="Arial" w:cs="Arial"/>
          <w:color w:val="000000"/>
          <w:sz w:val="20"/>
        </w:rPr>
      </w:pPr>
      <w:r w:rsidRPr="00F51496">
        <w:rPr>
          <w:rFonts w:ascii="Arial" w:hAnsi="Arial" w:cs="Arial"/>
          <w:color w:val="000000"/>
          <w:sz w:val="20"/>
        </w:rPr>
        <w:t>where the effect is to charge a new offence in a case where the statutory time limits have expired.</w:t>
      </w:r>
    </w:p>
    <w:p w14:paraId="2444192F" w14:textId="77777777" w:rsidR="00543C02" w:rsidRPr="000D0D3F" w:rsidRDefault="00543C02" w:rsidP="00543C02">
      <w:pPr>
        <w:jc w:val="both"/>
        <w:rPr>
          <w:rFonts w:ascii="Arial" w:hAnsi="Arial" w:cs="Arial"/>
          <w:color w:val="000000"/>
          <w:sz w:val="16"/>
        </w:rPr>
      </w:pPr>
    </w:p>
    <w:p w14:paraId="6386D8B8" w14:textId="0D5D47E5" w:rsidR="00543C02" w:rsidRPr="00F51496" w:rsidRDefault="00543C02" w:rsidP="00543C02">
      <w:pPr>
        <w:jc w:val="both"/>
        <w:rPr>
          <w:rFonts w:ascii="Arial" w:hAnsi="Arial" w:cs="Arial"/>
          <w:color w:val="000000"/>
          <w:sz w:val="20"/>
        </w:rPr>
      </w:pPr>
      <w:r w:rsidRPr="00F51496">
        <w:rPr>
          <w:rFonts w:ascii="Arial" w:hAnsi="Arial" w:cs="Arial"/>
          <w:color w:val="000000"/>
          <w:sz w:val="20"/>
        </w:rPr>
        <w:t xml:space="preserve">Many of these cases are either discussed or referred to in the comprehensive judgment of Redlich J in </w:t>
      </w:r>
      <w:r w:rsidRPr="00F51496">
        <w:rPr>
          <w:rFonts w:ascii="Arial" w:hAnsi="Arial" w:cs="Arial"/>
          <w:i/>
          <w:iCs/>
          <w:color w:val="000000"/>
          <w:sz w:val="20"/>
        </w:rPr>
        <w:t>Ciorra v Cole</w:t>
      </w:r>
      <w:r w:rsidRPr="00F51496">
        <w:rPr>
          <w:rFonts w:ascii="Arial" w:hAnsi="Arial" w:cs="Arial"/>
          <w:color w:val="000000"/>
          <w:sz w:val="20"/>
        </w:rPr>
        <w:t xml:space="preserve"> [2004] VSC 416. In that judgment His Honour also emphasized that a Court should not make an amendment of substance and then hear the amended charge without proper notice of the amendment being drawn to the attention of the accused.  At [85]-[86] his Honour said:</w:t>
      </w:r>
    </w:p>
    <w:p w14:paraId="4734F0F9" w14:textId="77777777" w:rsidR="00543C02" w:rsidRPr="00F51496" w:rsidRDefault="00543C02" w:rsidP="004F10F5">
      <w:pPr>
        <w:tabs>
          <w:tab w:val="left" w:pos="363"/>
        </w:tabs>
        <w:spacing w:before="60"/>
        <w:ind w:left="567" w:right="567"/>
        <w:jc w:val="both"/>
        <w:rPr>
          <w:rFonts w:ascii="Arial" w:hAnsi="Arial" w:cs="Arial"/>
          <w:color w:val="000000"/>
          <w:sz w:val="20"/>
        </w:rPr>
      </w:pPr>
      <w:r w:rsidRPr="00F51496">
        <w:rPr>
          <w:rFonts w:ascii="Arial" w:hAnsi="Arial" w:cs="Arial"/>
          <w:color w:val="000000"/>
          <w:sz w:val="20"/>
        </w:rPr>
        <w:t xml:space="preserve">"[85]  In </w:t>
      </w:r>
      <w:r w:rsidRPr="00F51496">
        <w:rPr>
          <w:rFonts w:ascii="Arial" w:hAnsi="Arial" w:cs="Arial"/>
          <w:i/>
          <w:iCs/>
          <w:color w:val="000000"/>
          <w:sz w:val="20"/>
        </w:rPr>
        <w:t>Wickham v Cole</w:t>
      </w:r>
      <w:r w:rsidRPr="00F51496">
        <w:rPr>
          <w:rFonts w:ascii="Arial" w:hAnsi="Arial" w:cs="Arial"/>
          <w:color w:val="000000"/>
          <w:sz w:val="20"/>
        </w:rPr>
        <w:t xml:space="preserve"> [1957] Tas SR 111 at 114 Burbury CJ stated:</w:t>
      </w:r>
    </w:p>
    <w:p w14:paraId="550D4A09" w14:textId="77777777" w:rsidR="00543C02" w:rsidRPr="00F51496" w:rsidRDefault="00543C02" w:rsidP="002E3DD5">
      <w:pPr>
        <w:tabs>
          <w:tab w:val="left" w:pos="363"/>
        </w:tabs>
        <w:spacing w:before="60" w:after="60"/>
        <w:ind w:left="1134" w:right="1134"/>
        <w:jc w:val="both"/>
        <w:rPr>
          <w:rFonts w:ascii="Arial" w:hAnsi="Arial" w:cs="Arial"/>
          <w:color w:val="000000"/>
          <w:sz w:val="20"/>
        </w:rPr>
      </w:pPr>
      <w:r w:rsidRPr="00F51496">
        <w:rPr>
          <w:rFonts w:ascii="Arial" w:hAnsi="Arial" w:cs="Arial"/>
          <w:color w:val="000000"/>
          <w:sz w:val="20"/>
        </w:rPr>
        <w:t>'…..An amendment of substance either to the legal nature of the offence or to the material facts relied upon as the foundation to the charge could not properly be allowed without giving the defendant full opportunity to answer the newly framed charge.'</w:t>
      </w:r>
    </w:p>
    <w:p w14:paraId="79DE2357" w14:textId="77777777" w:rsidR="00543C02" w:rsidRPr="00F51496" w:rsidRDefault="00543C02" w:rsidP="00543C02">
      <w:pPr>
        <w:tabs>
          <w:tab w:val="left" w:pos="363"/>
        </w:tabs>
        <w:spacing w:before="60"/>
        <w:ind w:left="567" w:right="567"/>
        <w:jc w:val="both"/>
        <w:rPr>
          <w:rFonts w:ascii="Arial" w:hAnsi="Arial" w:cs="Arial"/>
          <w:i/>
          <w:color w:val="000000"/>
          <w:sz w:val="20"/>
        </w:rPr>
      </w:pPr>
      <w:r w:rsidRPr="00F51496">
        <w:rPr>
          <w:rFonts w:ascii="Arial" w:hAnsi="Arial" w:cs="Arial"/>
          <w:color w:val="000000"/>
          <w:sz w:val="20"/>
        </w:rPr>
        <w:t xml:space="preserve">[86]  Whether or not the amendment should be viewed as resulting in a new or different charge, justice required that it should have been served upon the appellant in its amended form.  Until the prosecutor applied for an amendment the appellant was entitled to assume that the case which would be presented by the prosecution and which he had to answer was that as specifically pleaded.  The appellant was entitled to an opportunity to be heard on the charge as amended.  </w:t>
      </w:r>
      <w:r w:rsidRPr="00F51496">
        <w:rPr>
          <w:rFonts w:ascii="Arial" w:hAnsi="Arial" w:cs="Arial"/>
          <w:i/>
          <w:color w:val="000000"/>
          <w:sz w:val="20"/>
        </w:rPr>
        <w:t>Parkinson</w:t>
      </w:r>
      <w:r w:rsidRPr="00F51496">
        <w:rPr>
          <w:rFonts w:ascii="Arial" w:hAnsi="Arial" w:cs="Arial"/>
          <w:color w:val="000000"/>
          <w:sz w:val="20"/>
        </w:rPr>
        <w:t xml:space="preserve">; </w:t>
      </w:r>
      <w:r w:rsidRPr="00F51496">
        <w:rPr>
          <w:rFonts w:ascii="Arial" w:hAnsi="Arial" w:cs="Arial"/>
          <w:i/>
          <w:color w:val="000000"/>
          <w:sz w:val="20"/>
        </w:rPr>
        <w:t xml:space="preserve">Ex parte </w:t>
      </w:r>
      <w:r w:rsidRPr="00F51496">
        <w:rPr>
          <w:rFonts w:ascii="Arial" w:hAnsi="Arial" w:cs="Arial"/>
          <w:color w:val="000000"/>
          <w:sz w:val="20"/>
        </w:rPr>
        <w:t>(1909) Vol 9 SR (NSW) 174 at 178</w:t>
      </w:r>
      <w:r w:rsidRPr="00F51496">
        <w:rPr>
          <w:rFonts w:ascii="Arial" w:hAnsi="Arial" w:cs="Arial"/>
          <w:i/>
          <w:color w:val="000000"/>
          <w:sz w:val="20"/>
        </w:rPr>
        <w:t xml:space="preserve"> ; Lovell; Ex parte; Re Buckley </w:t>
      </w:r>
      <w:r w:rsidRPr="00F51496">
        <w:rPr>
          <w:rFonts w:ascii="Arial" w:hAnsi="Arial" w:cs="Arial"/>
          <w:color w:val="000000"/>
          <w:sz w:val="20"/>
        </w:rPr>
        <w:t>(1938) 38 SR (NSW) 153 at 173</w:t>
      </w:r>
      <w:r w:rsidRPr="00F51496">
        <w:rPr>
          <w:rFonts w:ascii="Arial" w:hAnsi="Arial" w:cs="Arial"/>
          <w:i/>
          <w:color w:val="000000"/>
          <w:sz w:val="20"/>
        </w:rPr>
        <w:t>; Willing v Hollobone (No. 2)</w:t>
      </w:r>
      <w:r w:rsidRPr="00F51496">
        <w:rPr>
          <w:rFonts w:ascii="Arial" w:hAnsi="Arial" w:cs="Arial"/>
          <w:i/>
          <w:color w:val="000000"/>
          <w:sz w:val="16"/>
        </w:rPr>
        <w:t xml:space="preserve"> </w:t>
      </w:r>
      <w:r w:rsidRPr="00F51496">
        <w:rPr>
          <w:rFonts w:ascii="Arial" w:hAnsi="Arial" w:cs="Arial"/>
          <w:color w:val="000000"/>
          <w:sz w:val="20"/>
        </w:rPr>
        <w:t xml:space="preserve">(1975) 11 SASR 118 at 121; </w:t>
      </w:r>
      <w:smartTag w:uri="urn:schemas-microsoft-com:office:smarttags" w:element="place">
        <w:smartTag w:uri="urn:schemas-microsoft-com:office:smarttags" w:element="City">
          <w:r w:rsidRPr="00F51496">
            <w:rPr>
              <w:rFonts w:ascii="Arial" w:hAnsi="Arial" w:cs="Arial"/>
              <w:i/>
              <w:color w:val="000000"/>
              <w:sz w:val="20"/>
            </w:rPr>
            <w:t>Garfield</w:t>
          </w:r>
        </w:smartTag>
      </w:smartTag>
      <w:r w:rsidRPr="00F51496">
        <w:rPr>
          <w:rFonts w:ascii="Arial" w:hAnsi="Arial" w:cs="Arial"/>
          <w:i/>
          <w:color w:val="000000"/>
          <w:sz w:val="20"/>
        </w:rPr>
        <w:t xml:space="preserve"> v Maddocks </w:t>
      </w:r>
      <w:r w:rsidRPr="00F51496">
        <w:rPr>
          <w:rFonts w:ascii="Arial" w:hAnsi="Arial" w:cs="Arial"/>
          <w:color w:val="000000"/>
          <w:sz w:val="20"/>
        </w:rPr>
        <w:t>[1973] 2 All ER 303 at 306."</w:t>
      </w:r>
    </w:p>
    <w:p w14:paraId="59FECC45" w14:textId="682F21FE" w:rsidR="00543C02" w:rsidRDefault="00543C02" w:rsidP="00543C02">
      <w:pPr>
        <w:jc w:val="both"/>
        <w:rPr>
          <w:rFonts w:ascii="Arial" w:hAnsi="Arial" w:cs="Arial"/>
          <w:color w:val="000000"/>
          <w:sz w:val="20"/>
          <w:szCs w:val="32"/>
        </w:rPr>
      </w:pPr>
    </w:p>
    <w:p w14:paraId="7337FEF0" w14:textId="1D692EF3" w:rsidR="000416BB" w:rsidRPr="00292608" w:rsidRDefault="000416BB" w:rsidP="00543C02">
      <w:pPr>
        <w:jc w:val="both"/>
        <w:rPr>
          <w:rFonts w:ascii="Arial" w:hAnsi="Arial" w:cs="Arial"/>
          <w:color w:val="000000"/>
          <w:sz w:val="20"/>
          <w:szCs w:val="20"/>
        </w:rPr>
      </w:pPr>
      <w:r w:rsidRPr="00292608">
        <w:rPr>
          <w:rFonts w:ascii="Arial" w:hAnsi="Arial" w:cs="Arial"/>
          <w:color w:val="000000"/>
          <w:sz w:val="20"/>
          <w:szCs w:val="20"/>
        </w:rPr>
        <w:t xml:space="preserve">Section 8 CPA is partly based on s.50 </w:t>
      </w:r>
      <w:r w:rsidRPr="00292608">
        <w:rPr>
          <w:rFonts w:ascii="Arial" w:hAnsi="Arial" w:cs="Arial"/>
          <w:i/>
          <w:iCs/>
          <w:color w:val="000000"/>
          <w:sz w:val="20"/>
          <w:szCs w:val="20"/>
        </w:rPr>
        <w:t>Magistrates’ Court Act 1989</w:t>
      </w:r>
      <w:r w:rsidRPr="00292608">
        <w:rPr>
          <w:rFonts w:ascii="Arial" w:hAnsi="Arial" w:cs="Arial"/>
          <w:color w:val="000000"/>
          <w:sz w:val="20"/>
          <w:szCs w:val="20"/>
        </w:rPr>
        <w:t xml:space="preserve">.  In </w:t>
      </w:r>
      <w:r w:rsidRPr="00292608">
        <w:rPr>
          <w:rFonts w:ascii="Arial" w:hAnsi="Arial" w:cs="Arial"/>
          <w:i/>
          <w:iCs/>
          <w:color w:val="000000"/>
          <w:sz w:val="20"/>
          <w:szCs w:val="20"/>
        </w:rPr>
        <w:t>DPP v Kypri</w:t>
      </w:r>
      <w:r w:rsidRPr="00292608">
        <w:rPr>
          <w:rFonts w:ascii="Arial" w:hAnsi="Arial" w:cs="Arial"/>
          <w:color w:val="000000"/>
          <w:sz w:val="20"/>
          <w:szCs w:val="20"/>
        </w:rPr>
        <w:t xml:space="preserve"> </w:t>
      </w:r>
      <w:r w:rsidR="00292608" w:rsidRPr="00292608">
        <w:rPr>
          <w:rFonts w:ascii="Arial" w:hAnsi="Arial" w:cs="Arial"/>
          <w:sz w:val="20"/>
          <w:szCs w:val="20"/>
        </w:rPr>
        <w:t>(2011) 33 VR 157;</w:t>
      </w:r>
      <w:r w:rsidR="00292608" w:rsidRPr="00292608">
        <w:rPr>
          <w:rFonts w:ascii="Arial" w:hAnsi="Arial" w:cs="Arial"/>
          <w:color w:val="000000"/>
          <w:sz w:val="20"/>
          <w:szCs w:val="20"/>
        </w:rPr>
        <w:t xml:space="preserve"> </w:t>
      </w:r>
      <w:r w:rsidRPr="00292608">
        <w:rPr>
          <w:rFonts w:ascii="Arial" w:hAnsi="Arial" w:cs="Arial"/>
          <w:color w:val="000000"/>
          <w:sz w:val="20"/>
          <w:szCs w:val="20"/>
        </w:rPr>
        <w:t>[2011] VSCA 257 the Court of Appeal (Nettle, Ashley &amp; Tate JJA) said at [24] in relation to s.50:</w:t>
      </w:r>
    </w:p>
    <w:p w14:paraId="1A6BEE3E" w14:textId="3D4739E3" w:rsidR="000416BB" w:rsidRPr="000416BB" w:rsidRDefault="000416BB" w:rsidP="000416BB">
      <w:pPr>
        <w:tabs>
          <w:tab w:val="left" w:pos="363"/>
        </w:tabs>
        <w:spacing w:before="60"/>
        <w:ind w:left="567" w:right="567"/>
        <w:jc w:val="both"/>
        <w:rPr>
          <w:rFonts w:ascii="Arial" w:hAnsi="Arial" w:cs="Arial"/>
          <w:sz w:val="20"/>
          <w:szCs w:val="16"/>
        </w:rPr>
      </w:pPr>
      <w:r>
        <w:rPr>
          <w:rFonts w:ascii="Arial" w:hAnsi="Arial" w:cs="Arial"/>
          <w:iCs/>
          <w:color w:val="000000"/>
          <w:sz w:val="20"/>
        </w:rPr>
        <w:lastRenderedPageBreak/>
        <w:t>“</w:t>
      </w:r>
      <w:r w:rsidRPr="000416BB">
        <w:rPr>
          <w:rFonts w:ascii="Arial" w:hAnsi="Arial" w:cs="Arial"/>
          <w:sz w:val="20"/>
          <w:szCs w:val="16"/>
        </w:rPr>
        <w:t>A charge which lacks an essential element of the alleged offence is defective and, at common law, may be described as a nullity. If, however, the true nature of the offence is apparent from the face of the charge, and the defendant has not been misled or otherwise prejudiced by the omission, the charge may be amended under s 50 (even out of time) to include the missing element</w:t>
      </w:r>
      <w:r>
        <w:rPr>
          <w:rFonts w:ascii="Arial" w:hAnsi="Arial" w:cs="Arial"/>
          <w:sz w:val="20"/>
          <w:szCs w:val="16"/>
        </w:rPr>
        <w:t xml:space="preserve"> – </w:t>
      </w:r>
      <w:r w:rsidRPr="000416BB">
        <w:rPr>
          <w:rFonts w:ascii="Arial" w:hAnsi="Arial" w:cs="Arial"/>
          <w:i/>
          <w:sz w:val="20"/>
          <w:szCs w:val="20"/>
          <w:lang w:val="en-US"/>
        </w:rPr>
        <w:t>Broome</w:t>
      </w:r>
      <w:r>
        <w:rPr>
          <w:rFonts w:ascii="Arial" w:hAnsi="Arial" w:cs="Arial"/>
          <w:i/>
          <w:sz w:val="20"/>
          <w:szCs w:val="20"/>
          <w:lang w:val="en-US"/>
        </w:rPr>
        <w:t xml:space="preserve"> </w:t>
      </w:r>
      <w:r w:rsidRPr="000416BB">
        <w:rPr>
          <w:rFonts w:ascii="Arial" w:hAnsi="Arial" w:cs="Arial"/>
          <w:i/>
          <w:sz w:val="20"/>
          <w:szCs w:val="20"/>
          <w:lang w:val="en-US"/>
        </w:rPr>
        <w:t>v Chenoweth</w:t>
      </w:r>
      <w:r w:rsidRPr="000416BB">
        <w:rPr>
          <w:rFonts w:ascii="Arial" w:hAnsi="Arial" w:cs="Arial"/>
          <w:sz w:val="20"/>
          <w:szCs w:val="20"/>
          <w:lang w:val="en-US"/>
        </w:rPr>
        <w:t xml:space="preserve"> (1946) 73 CLR 583, 601 (Dixon J);  </w:t>
      </w:r>
      <w:r w:rsidRPr="000416BB">
        <w:rPr>
          <w:rFonts w:ascii="Arial" w:hAnsi="Arial" w:cs="Arial"/>
          <w:i/>
          <w:sz w:val="20"/>
          <w:szCs w:val="20"/>
        </w:rPr>
        <w:t>DPP Reference No 2 of 2001</w:t>
      </w:r>
      <w:r w:rsidRPr="000416BB">
        <w:rPr>
          <w:rFonts w:ascii="Arial" w:hAnsi="Arial" w:cs="Arial"/>
          <w:sz w:val="20"/>
          <w:szCs w:val="20"/>
        </w:rPr>
        <w:t>;</w:t>
      </w:r>
      <w:r w:rsidRPr="000416BB">
        <w:rPr>
          <w:rFonts w:ascii="Arial" w:hAnsi="Arial" w:cs="Arial"/>
          <w:i/>
          <w:sz w:val="20"/>
          <w:szCs w:val="20"/>
        </w:rPr>
        <w:t xml:space="preserve"> Collicoat v DPP</w:t>
      </w:r>
      <w:r w:rsidRPr="000416BB">
        <w:rPr>
          <w:rFonts w:ascii="Arial" w:hAnsi="Arial" w:cs="Arial"/>
          <w:sz w:val="20"/>
          <w:szCs w:val="20"/>
        </w:rPr>
        <w:t xml:space="preserve"> (2001) 4 VR 55, 58–59 [12], 68 [40]</w:t>
      </w:r>
      <w:r>
        <w:rPr>
          <w:rFonts w:ascii="Arial" w:hAnsi="Arial" w:cs="Arial"/>
          <w:sz w:val="20"/>
          <w:szCs w:val="20"/>
        </w:rPr>
        <w:t xml:space="preserve"> – on the basis </w:t>
      </w:r>
      <w:r w:rsidRPr="000416BB">
        <w:rPr>
          <w:rFonts w:ascii="Arial" w:hAnsi="Arial" w:cs="Arial"/>
          <w:sz w:val="20"/>
          <w:szCs w:val="16"/>
        </w:rPr>
        <w:t>that such an amendment does no more than clarify what is already apparent from the face of the charge.”</w:t>
      </w:r>
    </w:p>
    <w:p w14:paraId="0D73F4E1" w14:textId="348607A6" w:rsidR="000416BB" w:rsidRDefault="000416BB" w:rsidP="00543C02">
      <w:pPr>
        <w:jc w:val="both"/>
        <w:rPr>
          <w:rFonts w:ascii="Arial" w:hAnsi="Arial" w:cs="Arial"/>
          <w:color w:val="000000"/>
          <w:sz w:val="20"/>
          <w:szCs w:val="32"/>
        </w:rPr>
      </w:pPr>
    </w:p>
    <w:p w14:paraId="7EC1E252" w14:textId="42E32C20" w:rsidR="00464CF8" w:rsidRDefault="000416BB" w:rsidP="00E83147">
      <w:pPr>
        <w:overflowPunct w:val="0"/>
        <w:autoSpaceDE w:val="0"/>
        <w:autoSpaceDN w:val="0"/>
        <w:adjustRightInd w:val="0"/>
        <w:jc w:val="both"/>
        <w:textAlignment w:val="baseline"/>
        <w:rPr>
          <w:rFonts w:ascii="Arial" w:hAnsi="Arial" w:cs="Arial"/>
          <w:iCs/>
          <w:sz w:val="20"/>
          <w:szCs w:val="20"/>
        </w:rPr>
      </w:pPr>
      <w:r w:rsidRPr="000416BB">
        <w:rPr>
          <w:rFonts w:ascii="Arial" w:hAnsi="Arial" w:cs="Arial"/>
          <w:iCs/>
          <w:sz w:val="20"/>
          <w:szCs w:val="20"/>
        </w:rPr>
        <w:t xml:space="preserve">In </w:t>
      </w:r>
      <w:r w:rsidRPr="000416BB">
        <w:rPr>
          <w:rFonts w:ascii="Arial" w:hAnsi="Arial" w:cs="Arial"/>
          <w:i/>
          <w:sz w:val="20"/>
          <w:szCs w:val="20"/>
        </w:rPr>
        <w:t>Fazal v Beauchamp &amp; Anor</w:t>
      </w:r>
      <w:r w:rsidRPr="000416BB">
        <w:rPr>
          <w:rFonts w:ascii="Arial" w:hAnsi="Arial" w:cs="Arial"/>
          <w:iCs/>
          <w:sz w:val="20"/>
          <w:szCs w:val="20"/>
        </w:rPr>
        <w:t xml:space="preserve"> [2021] VSCA 103, the Court of Appeal </w:t>
      </w:r>
      <w:r w:rsidR="00464CF8">
        <w:rPr>
          <w:rFonts w:ascii="Arial" w:hAnsi="Arial" w:cs="Arial"/>
          <w:iCs/>
          <w:sz w:val="20"/>
          <w:szCs w:val="20"/>
        </w:rPr>
        <w:t xml:space="preserve">refused to grant leave to appeal a decision </w:t>
      </w:r>
      <w:r w:rsidR="00C41DAD">
        <w:rPr>
          <w:rFonts w:ascii="Arial" w:hAnsi="Arial" w:cs="Arial"/>
          <w:iCs/>
          <w:sz w:val="20"/>
          <w:szCs w:val="20"/>
        </w:rPr>
        <w:t xml:space="preserve">of Beale J upholding an order of a County Court judge to amend a charge under s.49(1)(e) of the </w:t>
      </w:r>
      <w:r w:rsidR="00C41DAD" w:rsidRPr="00C41DAD">
        <w:rPr>
          <w:rFonts w:ascii="Arial" w:hAnsi="Arial" w:cs="Arial"/>
          <w:i/>
          <w:sz w:val="20"/>
          <w:szCs w:val="20"/>
        </w:rPr>
        <w:t>Road Safety Act 1986</w:t>
      </w:r>
      <w:r w:rsidR="00C41DAD">
        <w:rPr>
          <w:rFonts w:ascii="Arial" w:hAnsi="Arial" w:cs="Arial"/>
          <w:iCs/>
          <w:sz w:val="20"/>
          <w:szCs w:val="20"/>
        </w:rPr>
        <w:t>.  Holding at [28] that the applicant’s construction was without merit and the ground was not arguable, McLeish, Niall &amp; Kennedy JJA stated:</w:t>
      </w:r>
    </w:p>
    <w:p w14:paraId="68B16C94" w14:textId="41307BAE" w:rsidR="000416BB" w:rsidRPr="000416BB" w:rsidRDefault="00464CF8" w:rsidP="000416BB">
      <w:pPr>
        <w:tabs>
          <w:tab w:val="left" w:pos="363"/>
        </w:tabs>
        <w:spacing w:before="60"/>
        <w:ind w:left="567" w:right="567"/>
        <w:jc w:val="both"/>
        <w:rPr>
          <w:rFonts w:ascii="Arial" w:hAnsi="Arial" w:cs="Arial"/>
          <w:sz w:val="16"/>
          <w:szCs w:val="12"/>
        </w:rPr>
      </w:pPr>
      <w:r>
        <w:rPr>
          <w:rFonts w:ascii="Arial" w:hAnsi="Arial" w:cs="Arial"/>
          <w:sz w:val="20"/>
          <w:szCs w:val="16"/>
        </w:rPr>
        <w:t xml:space="preserve">[18] </w:t>
      </w:r>
      <w:r w:rsidR="000416BB" w:rsidRPr="000416BB">
        <w:rPr>
          <w:rFonts w:ascii="Arial" w:hAnsi="Arial" w:cs="Arial"/>
          <w:sz w:val="20"/>
          <w:szCs w:val="16"/>
        </w:rPr>
        <w:t>“Starting with the text, it is clear that </w:t>
      </w:r>
      <w:hyperlink r:id="rId22" w:history="1">
        <w:r w:rsidR="000416BB" w:rsidRPr="000416BB">
          <w:rPr>
            <w:rFonts w:ascii="Arial" w:hAnsi="Arial" w:cs="Arial"/>
            <w:sz w:val="20"/>
            <w:szCs w:val="16"/>
          </w:rPr>
          <w:t>s 8(1)</w:t>
        </w:r>
      </w:hyperlink>
      <w:r w:rsidR="000416BB" w:rsidRPr="000416BB">
        <w:rPr>
          <w:rFonts w:ascii="Arial" w:hAnsi="Arial" w:cs="Arial"/>
          <w:sz w:val="20"/>
          <w:szCs w:val="16"/>
        </w:rPr>
        <w:t> confers a broad power of amendment. An amendment to a charge-sheet may be made ‘at any time’ and ‘in any manner’ thought necessary. Further, the amendment permitted by </w:t>
      </w:r>
      <w:hyperlink r:id="rId23" w:history="1">
        <w:r w:rsidR="000416BB" w:rsidRPr="000416BB">
          <w:rPr>
            <w:rFonts w:ascii="Arial" w:hAnsi="Arial" w:cs="Arial"/>
            <w:sz w:val="20"/>
            <w:szCs w:val="16"/>
          </w:rPr>
          <w:t>s 8</w:t>
        </w:r>
      </w:hyperlink>
      <w:r w:rsidR="000416BB" w:rsidRPr="000416BB">
        <w:rPr>
          <w:rFonts w:ascii="Arial" w:hAnsi="Arial" w:cs="Arial"/>
          <w:sz w:val="20"/>
          <w:szCs w:val="16"/>
        </w:rPr>
        <w:t> is to the charge-sheet and not to a charge. Self-evidently, an amendment to a charge-sheet may involve amendment to an existing charge, but would also allow the addition of a charge without any alteration to existing charges contained on the charge-sheet. The ability to add an additional charge is made explicit by the terms of </w:t>
      </w:r>
      <w:hyperlink r:id="rId24" w:history="1">
        <w:r w:rsidR="000416BB" w:rsidRPr="000416BB">
          <w:rPr>
            <w:rFonts w:ascii="Arial" w:hAnsi="Arial" w:cs="Arial"/>
            <w:sz w:val="20"/>
            <w:szCs w:val="16"/>
          </w:rPr>
          <w:t>s 8(3)</w:t>
        </w:r>
      </w:hyperlink>
      <w:r w:rsidR="000416BB" w:rsidRPr="000416BB">
        <w:rPr>
          <w:rFonts w:ascii="Arial" w:hAnsi="Arial" w:cs="Arial"/>
          <w:sz w:val="20"/>
          <w:szCs w:val="16"/>
        </w:rPr>
        <w:t> which is predicated on an amendment that has the effect of charging a new offence. The CPA allows for multiple charges on the same charge-sheet.”</w:t>
      </w:r>
    </w:p>
    <w:p w14:paraId="2C599E3D" w14:textId="688C2198" w:rsidR="00464CF8" w:rsidRPr="00464CF8" w:rsidRDefault="00464CF8" w:rsidP="00464CF8">
      <w:pPr>
        <w:tabs>
          <w:tab w:val="left" w:pos="363"/>
        </w:tabs>
        <w:spacing w:before="60"/>
        <w:ind w:left="567" w:right="567"/>
        <w:jc w:val="both"/>
        <w:rPr>
          <w:rFonts w:ascii="Arial" w:hAnsi="Arial" w:cs="Arial"/>
          <w:sz w:val="20"/>
          <w:szCs w:val="16"/>
        </w:rPr>
      </w:pPr>
      <w:r w:rsidRPr="00464CF8">
        <w:rPr>
          <w:rFonts w:ascii="Arial" w:hAnsi="Arial" w:cs="Arial"/>
          <w:sz w:val="20"/>
          <w:szCs w:val="16"/>
        </w:rPr>
        <w:t>[22] “Section 8(3), and the use of the phrase ‘new offence’, arises in a particular context and is designed to prevent an amendment that would infringe a limitation period. The phrase ‘new offence’ is used to distinguish between an amendment to a charge already on the charge-sheet, including an amendment that overcomes a defect in the formulation of an existing charge, and an amendment that introduces a new offence. The phrase ‘new offence’ does not carry with it any general limitation on the scope of the power to amend in s 8(1) and merely informs the exercise of the power in the context of limitation periods.”</w:t>
      </w:r>
    </w:p>
    <w:p w14:paraId="687C252C" w14:textId="77777777" w:rsidR="00670B00" w:rsidRPr="00A878EB" w:rsidRDefault="00670B00" w:rsidP="00670B00">
      <w:pPr>
        <w:jc w:val="both"/>
        <w:rPr>
          <w:rFonts w:ascii="Arial" w:hAnsi="Arial" w:cs="Arial"/>
          <w:color w:val="000000"/>
          <w:sz w:val="20"/>
          <w:szCs w:val="32"/>
        </w:rPr>
      </w:pPr>
    </w:p>
    <w:p w14:paraId="2A1FAC90" w14:textId="3B08EBAC" w:rsidR="00624DEA" w:rsidRDefault="00624DEA" w:rsidP="00624DEA">
      <w:pPr>
        <w:jc w:val="both"/>
        <w:rPr>
          <w:rFonts w:ascii="Arial" w:eastAsia="Book Antiqua" w:hAnsi="Arial" w:cs="Arial"/>
          <w:iCs/>
          <w:sz w:val="20"/>
          <w:szCs w:val="22"/>
        </w:rPr>
      </w:pPr>
      <w:bookmarkStart w:id="295" w:name="_7.5.6_Proper_Venue"/>
      <w:bookmarkEnd w:id="295"/>
      <w:r>
        <w:rPr>
          <w:rFonts w:ascii="Arial" w:hAnsi="Arial" w:cs="Arial"/>
          <w:color w:val="000000"/>
          <w:sz w:val="20"/>
          <w:szCs w:val="32"/>
        </w:rPr>
        <w:t xml:space="preserve">In </w:t>
      </w:r>
      <w:r w:rsidRPr="00624DEA">
        <w:rPr>
          <w:rFonts w:ascii="Arial" w:hAnsi="Arial" w:cs="Arial"/>
          <w:i/>
          <w:iCs/>
          <w:color w:val="000000"/>
          <w:sz w:val="20"/>
          <w:szCs w:val="32"/>
        </w:rPr>
        <w:t>DPP v Lamb</w:t>
      </w:r>
      <w:r>
        <w:rPr>
          <w:rFonts w:ascii="Arial" w:hAnsi="Arial" w:cs="Arial"/>
          <w:color w:val="000000"/>
          <w:sz w:val="20"/>
          <w:szCs w:val="32"/>
        </w:rPr>
        <w:t xml:space="preserve"> [2021] VSC 615 Beale J had held that the impugned charges were valid [see 7.5.1 above].  However, his Honour went on to discuss whether they could be amended had he held them to be invalid notwithstanding that the limitation period had expired</w:t>
      </w:r>
      <w:r w:rsidR="00995540">
        <w:rPr>
          <w:rFonts w:ascii="Arial" w:hAnsi="Arial" w:cs="Arial"/>
          <w:color w:val="000000"/>
          <w:sz w:val="20"/>
          <w:szCs w:val="32"/>
        </w:rPr>
        <w:t xml:space="preserve">.  At [53] his Honour held that “applying </w:t>
      </w:r>
      <w:r w:rsidR="00995540" w:rsidRPr="00995540">
        <w:rPr>
          <w:rFonts w:ascii="Arial" w:hAnsi="Arial" w:cs="Arial"/>
          <w:i/>
          <w:iCs/>
          <w:color w:val="000000"/>
          <w:sz w:val="20"/>
          <w:szCs w:val="32"/>
        </w:rPr>
        <w:t>Kypri</w:t>
      </w:r>
      <w:r w:rsidR="00292608">
        <w:rPr>
          <w:rFonts w:ascii="Arial" w:hAnsi="Arial" w:cs="Arial"/>
          <w:i/>
          <w:iCs/>
          <w:color w:val="000000"/>
          <w:sz w:val="20"/>
          <w:szCs w:val="32"/>
        </w:rPr>
        <w:t xml:space="preserve"> </w:t>
      </w:r>
      <w:r w:rsidR="00292608" w:rsidRPr="00292608">
        <w:rPr>
          <w:rFonts w:ascii="Arial" w:hAnsi="Arial" w:cs="Arial"/>
          <w:sz w:val="20"/>
          <w:szCs w:val="20"/>
        </w:rPr>
        <w:t>(2011) 33 VR 157;</w:t>
      </w:r>
      <w:r w:rsidR="00292608" w:rsidRPr="00292608">
        <w:rPr>
          <w:rFonts w:ascii="Arial" w:hAnsi="Arial" w:cs="Arial"/>
          <w:color w:val="000000"/>
          <w:sz w:val="20"/>
          <w:szCs w:val="20"/>
        </w:rPr>
        <w:t xml:space="preserve"> [2011] VSCA 257</w:t>
      </w:r>
      <w:r w:rsidR="00995540">
        <w:rPr>
          <w:rFonts w:ascii="Arial" w:hAnsi="Arial" w:cs="Arial"/>
          <w:color w:val="000000"/>
          <w:sz w:val="20"/>
          <w:szCs w:val="32"/>
        </w:rPr>
        <w:t xml:space="preserve">, </w:t>
      </w:r>
      <w:r w:rsidR="00995540" w:rsidRPr="00995540">
        <w:rPr>
          <w:rFonts w:ascii="Arial" w:hAnsi="Arial" w:cs="Arial"/>
          <w:sz w:val="20"/>
          <w:szCs w:val="20"/>
        </w:rPr>
        <w:t>if there was evidence which satisfied the learned magistrate that, prior to the expiration of the limitation period, the prosecution made it clear to the accused in writing that it was alleged that he had breached a duty not to disclose the police information, it would have been open to the court to find that s</w:t>
      </w:r>
      <w:r w:rsidR="00995540">
        <w:rPr>
          <w:rFonts w:ascii="Arial" w:hAnsi="Arial" w:cs="Arial"/>
          <w:sz w:val="20"/>
          <w:szCs w:val="20"/>
        </w:rPr>
        <w:t>.</w:t>
      </w:r>
      <w:r w:rsidR="00995540" w:rsidRPr="00995540">
        <w:rPr>
          <w:rFonts w:ascii="Arial" w:hAnsi="Arial" w:cs="Arial"/>
          <w:sz w:val="20"/>
          <w:szCs w:val="20"/>
        </w:rPr>
        <w:t>8(4)(a) of the CPA was satisfied</w:t>
      </w:r>
      <w:r w:rsidR="00995540">
        <w:rPr>
          <w:rFonts w:ascii="Arial" w:hAnsi="Arial" w:cs="Arial"/>
          <w:sz w:val="20"/>
          <w:szCs w:val="20"/>
        </w:rPr>
        <w:t>.</w:t>
      </w:r>
      <w:r w:rsidR="0042172C">
        <w:rPr>
          <w:rFonts w:ascii="Arial" w:hAnsi="Arial" w:cs="Arial"/>
          <w:sz w:val="20"/>
          <w:szCs w:val="20"/>
        </w:rPr>
        <w:t>”</w:t>
      </w:r>
      <w:r w:rsidR="00995540">
        <w:rPr>
          <w:rFonts w:ascii="Arial" w:hAnsi="Arial" w:cs="Arial"/>
          <w:sz w:val="20"/>
          <w:szCs w:val="20"/>
        </w:rPr>
        <w:t xml:space="preserve">  In so holding</w:t>
      </w:r>
      <w:r w:rsidR="0042172C">
        <w:rPr>
          <w:rFonts w:ascii="Arial" w:hAnsi="Arial" w:cs="Arial"/>
          <w:sz w:val="20"/>
          <w:szCs w:val="20"/>
        </w:rPr>
        <w:t>,</w:t>
      </w:r>
      <w:r w:rsidR="00995540">
        <w:rPr>
          <w:rFonts w:ascii="Arial" w:hAnsi="Arial" w:cs="Arial"/>
          <w:sz w:val="20"/>
          <w:szCs w:val="20"/>
        </w:rPr>
        <w:t xml:space="preserve"> Beale J </w:t>
      </w:r>
      <w:r w:rsidR="0042172C">
        <w:rPr>
          <w:rFonts w:ascii="Arial" w:hAnsi="Arial" w:cs="Arial"/>
          <w:sz w:val="20"/>
          <w:szCs w:val="20"/>
        </w:rPr>
        <w:t xml:space="preserve">expressly </w:t>
      </w:r>
      <w:r w:rsidR="00995540">
        <w:rPr>
          <w:rFonts w:ascii="Arial" w:hAnsi="Arial" w:cs="Arial"/>
          <w:sz w:val="20"/>
          <w:szCs w:val="20"/>
        </w:rPr>
        <w:t xml:space="preserve">disagreed with the </w:t>
      </w:r>
      <w:r w:rsidR="00292608">
        <w:rPr>
          <w:rFonts w:ascii="Arial" w:hAnsi="Arial" w:cs="Arial"/>
          <w:sz w:val="20"/>
          <w:szCs w:val="20"/>
        </w:rPr>
        <w:t>reasoning</w:t>
      </w:r>
      <w:r w:rsidR="00995540">
        <w:rPr>
          <w:rFonts w:ascii="Arial" w:hAnsi="Arial" w:cs="Arial"/>
          <w:sz w:val="20"/>
          <w:szCs w:val="20"/>
        </w:rPr>
        <w:t xml:space="preserve"> of Ginnane J in </w:t>
      </w:r>
      <w:r w:rsidR="00995540" w:rsidRPr="00A878EB">
        <w:rPr>
          <w:rFonts w:ascii="Arial" w:eastAsia="Book Antiqua" w:hAnsi="Arial" w:cs="Arial"/>
          <w:i/>
          <w:sz w:val="20"/>
          <w:szCs w:val="22"/>
        </w:rPr>
        <w:t>Glenister</w:t>
      </w:r>
      <w:r w:rsidR="00292608">
        <w:rPr>
          <w:rFonts w:ascii="Arial" w:eastAsia="Book Antiqua" w:hAnsi="Arial" w:cs="Arial"/>
          <w:i/>
          <w:sz w:val="20"/>
          <w:szCs w:val="22"/>
        </w:rPr>
        <w:t xml:space="preserve"> v</w:t>
      </w:r>
      <w:r w:rsidR="00995540">
        <w:rPr>
          <w:rFonts w:ascii="Arial" w:eastAsia="Book Antiqua" w:hAnsi="Arial" w:cs="Arial"/>
          <w:i/>
          <w:sz w:val="20"/>
          <w:szCs w:val="22"/>
        </w:rPr>
        <w:t xml:space="preserve"> </w:t>
      </w:r>
      <w:r w:rsidR="00292608" w:rsidRPr="00A878EB">
        <w:rPr>
          <w:rFonts w:ascii="Arial" w:eastAsia="Book Antiqua" w:hAnsi="Arial" w:cs="Arial"/>
          <w:i/>
          <w:sz w:val="20"/>
          <w:szCs w:val="22"/>
        </w:rPr>
        <w:t xml:space="preserve">Baiada Poultry Pty Ltd </w:t>
      </w:r>
      <w:r w:rsidR="00292608" w:rsidRPr="0042172C">
        <w:rPr>
          <w:rFonts w:ascii="Arial" w:eastAsia="Book Antiqua" w:hAnsi="Arial" w:cs="Arial"/>
          <w:iCs/>
          <w:sz w:val="20"/>
          <w:szCs w:val="22"/>
        </w:rPr>
        <w:t xml:space="preserve">[2014] VSC 265 </w:t>
      </w:r>
      <w:r w:rsidR="00995540" w:rsidRPr="00995540">
        <w:rPr>
          <w:rFonts w:ascii="Arial" w:eastAsia="Book Antiqua" w:hAnsi="Arial" w:cs="Arial"/>
          <w:iCs/>
          <w:sz w:val="20"/>
          <w:szCs w:val="22"/>
        </w:rPr>
        <w:t xml:space="preserve">and </w:t>
      </w:r>
      <w:r w:rsidR="0042172C">
        <w:rPr>
          <w:rFonts w:ascii="Arial" w:eastAsia="Book Antiqua" w:hAnsi="Arial" w:cs="Arial"/>
          <w:iCs/>
          <w:sz w:val="20"/>
          <w:szCs w:val="22"/>
        </w:rPr>
        <w:t xml:space="preserve">the reasoning of </w:t>
      </w:r>
      <w:r w:rsidR="00995540">
        <w:rPr>
          <w:rFonts w:ascii="Arial" w:eastAsia="Book Antiqua" w:hAnsi="Arial" w:cs="Arial"/>
          <w:iCs/>
          <w:sz w:val="20"/>
          <w:szCs w:val="22"/>
        </w:rPr>
        <w:t xml:space="preserve">Zammit J in </w:t>
      </w:r>
      <w:r w:rsidR="0042172C" w:rsidRPr="009E183C">
        <w:rPr>
          <w:rFonts w:ascii="Arial" w:eastAsia="Book Antiqua" w:hAnsi="Arial" w:cs="Arial"/>
          <w:i/>
          <w:sz w:val="20"/>
          <w:szCs w:val="22"/>
        </w:rPr>
        <w:t>Walters</w:t>
      </w:r>
      <w:r w:rsidR="0042172C">
        <w:rPr>
          <w:rFonts w:ascii="Arial" w:eastAsia="Book Antiqua" w:hAnsi="Arial" w:cs="Arial"/>
          <w:iCs/>
          <w:sz w:val="20"/>
          <w:szCs w:val="22"/>
        </w:rPr>
        <w:t xml:space="preserve"> [2015] VSC 88, concluding at [66]: </w:t>
      </w:r>
    </w:p>
    <w:p w14:paraId="61BC7BC5" w14:textId="37E9B043" w:rsidR="0042172C" w:rsidRPr="00464CF8" w:rsidRDefault="0042172C" w:rsidP="0042172C">
      <w:pPr>
        <w:tabs>
          <w:tab w:val="left" w:pos="363"/>
        </w:tabs>
        <w:spacing w:before="60"/>
        <w:ind w:left="567" w:right="567"/>
        <w:jc w:val="both"/>
        <w:rPr>
          <w:rFonts w:ascii="Arial" w:hAnsi="Arial" w:cs="Arial"/>
          <w:sz w:val="20"/>
          <w:szCs w:val="16"/>
        </w:rPr>
      </w:pPr>
      <w:r>
        <w:rPr>
          <w:rFonts w:ascii="Arial" w:hAnsi="Arial" w:cs="Arial"/>
          <w:sz w:val="20"/>
          <w:szCs w:val="16"/>
        </w:rPr>
        <w:t>“</w:t>
      </w:r>
      <w:r w:rsidRPr="0042172C">
        <w:rPr>
          <w:rFonts w:ascii="Arial" w:hAnsi="Arial" w:cs="Arial"/>
          <w:sz w:val="20"/>
          <w:szCs w:val="20"/>
        </w:rPr>
        <w:t xml:space="preserve">Relying on </w:t>
      </w:r>
      <w:r w:rsidRPr="0042172C">
        <w:rPr>
          <w:rFonts w:ascii="Arial" w:hAnsi="Arial" w:cs="Arial"/>
          <w:i/>
          <w:iCs/>
          <w:sz w:val="20"/>
          <w:szCs w:val="20"/>
        </w:rPr>
        <w:t>Kypri</w:t>
      </w:r>
      <w:r w:rsidRPr="0042172C">
        <w:rPr>
          <w:rFonts w:ascii="Arial" w:hAnsi="Arial" w:cs="Arial"/>
          <w:sz w:val="20"/>
          <w:szCs w:val="20"/>
        </w:rPr>
        <w:t xml:space="preserve">, I consider the notion that </w:t>
      </w:r>
      <w:r>
        <w:rPr>
          <w:rFonts w:ascii="Arial" w:hAnsi="Arial" w:cs="Arial"/>
          <w:sz w:val="20"/>
          <w:szCs w:val="20"/>
        </w:rPr>
        <w:t>‘</w:t>
      </w:r>
      <w:r w:rsidRPr="0042172C">
        <w:rPr>
          <w:rFonts w:ascii="Arial" w:hAnsi="Arial" w:cs="Arial"/>
          <w:sz w:val="20"/>
          <w:szCs w:val="20"/>
        </w:rPr>
        <w:t>there is no real difference between the test for validity and the test for amendment</w:t>
      </w:r>
      <w:r>
        <w:rPr>
          <w:rFonts w:ascii="Arial" w:hAnsi="Arial" w:cs="Arial"/>
          <w:sz w:val="20"/>
          <w:szCs w:val="20"/>
        </w:rPr>
        <w:t>’</w:t>
      </w:r>
      <w:r w:rsidRPr="0042172C">
        <w:rPr>
          <w:rFonts w:ascii="Arial" w:hAnsi="Arial" w:cs="Arial"/>
          <w:sz w:val="20"/>
          <w:szCs w:val="20"/>
        </w:rPr>
        <w:t xml:space="preserve"> to be plainly wrong but that is the gist of both </w:t>
      </w:r>
      <w:r w:rsidRPr="0042172C">
        <w:rPr>
          <w:rFonts w:ascii="Arial" w:hAnsi="Arial" w:cs="Arial"/>
          <w:i/>
          <w:iCs/>
          <w:sz w:val="20"/>
          <w:szCs w:val="20"/>
        </w:rPr>
        <w:t>Glenister</w:t>
      </w:r>
      <w:r w:rsidRPr="0042172C">
        <w:rPr>
          <w:rFonts w:ascii="Arial" w:hAnsi="Arial" w:cs="Arial"/>
          <w:sz w:val="20"/>
          <w:szCs w:val="20"/>
        </w:rPr>
        <w:t xml:space="preserve"> and </w:t>
      </w:r>
      <w:r w:rsidRPr="00CE0F82">
        <w:rPr>
          <w:rFonts w:ascii="Arial" w:hAnsi="Arial" w:cs="Arial"/>
          <w:i/>
          <w:iCs/>
          <w:sz w:val="20"/>
          <w:szCs w:val="20"/>
        </w:rPr>
        <w:t>Walters</w:t>
      </w:r>
      <w:r w:rsidRPr="0042172C">
        <w:rPr>
          <w:rFonts w:ascii="Arial" w:hAnsi="Arial" w:cs="Arial"/>
          <w:sz w:val="20"/>
          <w:szCs w:val="20"/>
        </w:rPr>
        <w:t>.</w:t>
      </w:r>
      <w:r>
        <w:rPr>
          <w:rFonts w:ascii="Arial" w:hAnsi="Arial" w:cs="Arial"/>
          <w:sz w:val="20"/>
          <w:szCs w:val="20"/>
        </w:rPr>
        <w:t>”</w:t>
      </w:r>
    </w:p>
    <w:p w14:paraId="5811EFBB" w14:textId="6F365B40" w:rsidR="0042172C" w:rsidRDefault="0042172C" w:rsidP="00624DEA">
      <w:pPr>
        <w:jc w:val="both"/>
        <w:rPr>
          <w:rFonts w:ascii="Arial" w:eastAsia="Book Antiqua" w:hAnsi="Arial" w:cs="Arial"/>
          <w:iCs/>
          <w:sz w:val="20"/>
          <w:szCs w:val="22"/>
        </w:rPr>
      </w:pPr>
    </w:p>
    <w:p w14:paraId="1357AA94" w14:textId="47B72219" w:rsidR="00FF0379" w:rsidRDefault="00FF0379" w:rsidP="00624DEA">
      <w:pPr>
        <w:jc w:val="both"/>
        <w:rPr>
          <w:rFonts w:ascii="Arial" w:eastAsia="Book Antiqua" w:hAnsi="Arial" w:cs="Arial"/>
          <w:iCs/>
          <w:sz w:val="20"/>
          <w:szCs w:val="22"/>
        </w:rPr>
      </w:pPr>
      <w:r>
        <w:rPr>
          <w:rFonts w:ascii="Arial" w:eastAsia="Book Antiqua" w:hAnsi="Arial" w:cs="Arial"/>
          <w:iCs/>
          <w:sz w:val="20"/>
          <w:szCs w:val="22"/>
        </w:rPr>
        <w:t>In</w:t>
      </w:r>
      <w:r w:rsidR="00035D34">
        <w:rPr>
          <w:rFonts w:ascii="Arial" w:eastAsia="Book Antiqua" w:hAnsi="Arial" w:cs="Arial"/>
          <w:iCs/>
          <w:sz w:val="20"/>
          <w:szCs w:val="22"/>
        </w:rPr>
        <w:t xml:space="preserve"> the jointly heard </w:t>
      </w:r>
      <w:r w:rsidR="00035D34" w:rsidRPr="00035D34">
        <w:rPr>
          <w:rFonts w:ascii="Arial" w:eastAsia="Book Antiqua" w:hAnsi="Arial" w:cs="Arial"/>
          <w:i/>
          <w:sz w:val="20"/>
          <w:szCs w:val="22"/>
        </w:rPr>
        <w:t>Appeals of</w:t>
      </w:r>
      <w:r w:rsidRPr="00035D34">
        <w:rPr>
          <w:rFonts w:ascii="Arial" w:eastAsia="Book Antiqua" w:hAnsi="Arial" w:cs="Arial"/>
          <w:i/>
          <w:sz w:val="20"/>
          <w:szCs w:val="22"/>
        </w:rPr>
        <w:t xml:space="preserve"> </w:t>
      </w:r>
      <w:r w:rsidR="00066C4D" w:rsidRPr="00066C4D">
        <w:rPr>
          <w:rFonts w:ascii="Arial" w:eastAsia="Book Antiqua" w:hAnsi="Arial" w:cs="Arial"/>
          <w:i/>
          <w:sz w:val="20"/>
          <w:szCs w:val="22"/>
        </w:rPr>
        <w:t>Fox</w:t>
      </w:r>
      <w:r w:rsidR="00035D34">
        <w:rPr>
          <w:rFonts w:ascii="Arial" w:eastAsia="Book Antiqua" w:hAnsi="Arial" w:cs="Arial"/>
          <w:i/>
          <w:sz w:val="20"/>
          <w:szCs w:val="22"/>
        </w:rPr>
        <w:t>,</w:t>
      </w:r>
      <w:r w:rsidR="00066C4D" w:rsidRPr="00066C4D">
        <w:rPr>
          <w:rFonts w:ascii="Arial" w:eastAsia="Book Antiqua" w:hAnsi="Arial" w:cs="Arial"/>
          <w:i/>
          <w:sz w:val="20"/>
          <w:szCs w:val="22"/>
        </w:rPr>
        <w:t xml:space="preserve"> Bant</w:t>
      </w:r>
      <w:r w:rsidR="00035D34">
        <w:rPr>
          <w:rFonts w:ascii="Arial" w:eastAsia="Book Antiqua" w:hAnsi="Arial" w:cs="Arial"/>
          <w:i/>
          <w:sz w:val="20"/>
          <w:szCs w:val="22"/>
        </w:rPr>
        <w:t xml:space="preserve"> &amp;</w:t>
      </w:r>
      <w:r w:rsidR="00066C4D" w:rsidRPr="00066C4D">
        <w:rPr>
          <w:rFonts w:ascii="Arial" w:eastAsia="Book Antiqua" w:hAnsi="Arial" w:cs="Arial"/>
          <w:i/>
          <w:sz w:val="20"/>
          <w:szCs w:val="22"/>
        </w:rPr>
        <w:t xml:space="preserve"> Nunn</w:t>
      </w:r>
      <w:r w:rsidR="00066C4D">
        <w:rPr>
          <w:rFonts w:ascii="Arial" w:eastAsia="Book Antiqua" w:hAnsi="Arial" w:cs="Arial"/>
          <w:iCs/>
          <w:sz w:val="20"/>
          <w:szCs w:val="22"/>
        </w:rPr>
        <w:t xml:space="preserve"> [2022] VSCA 38</w:t>
      </w:r>
      <w:r w:rsidR="00003712">
        <w:rPr>
          <w:rFonts w:ascii="Arial" w:eastAsia="Book Antiqua" w:hAnsi="Arial" w:cs="Arial"/>
          <w:iCs/>
          <w:sz w:val="20"/>
          <w:szCs w:val="22"/>
        </w:rPr>
        <w:t>; (2022) 63 VR 228</w:t>
      </w:r>
      <w:r w:rsidR="00066C4D">
        <w:rPr>
          <w:rFonts w:ascii="Arial" w:eastAsia="Book Antiqua" w:hAnsi="Arial" w:cs="Arial"/>
          <w:iCs/>
          <w:sz w:val="20"/>
          <w:szCs w:val="22"/>
        </w:rPr>
        <w:t xml:space="preserve"> the Court of Appeal </w:t>
      </w:r>
      <w:r w:rsidR="0069585F">
        <w:rPr>
          <w:rFonts w:ascii="Arial" w:eastAsia="Book Antiqua" w:hAnsi="Arial" w:cs="Arial"/>
          <w:iCs/>
          <w:sz w:val="20"/>
          <w:szCs w:val="22"/>
        </w:rPr>
        <w:t xml:space="preserve">(Kennedy, Walker &amp; Whelan JJA) </w:t>
      </w:r>
      <w:r w:rsidR="007A059C">
        <w:rPr>
          <w:rFonts w:ascii="Arial" w:eastAsia="Book Antiqua" w:hAnsi="Arial" w:cs="Arial"/>
          <w:iCs/>
          <w:sz w:val="20"/>
          <w:szCs w:val="22"/>
        </w:rPr>
        <w:t xml:space="preserve">granted leave to appeal but </w:t>
      </w:r>
      <w:r w:rsidR="00066C4D">
        <w:rPr>
          <w:rFonts w:ascii="Arial" w:eastAsia="Book Antiqua" w:hAnsi="Arial" w:cs="Arial"/>
          <w:iCs/>
          <w:sz w:val="20"/>
          <w:szCs w:val="22"/>
        </w:rPr>
        <w:t>dismissed each of the appeals against judgments of Beale</w:t>
      </w:r>
      <w:r w:rsidR="00947D7A">
        <w:rPr>
          <w:rFonts w:ascii="Arial" w:eastAsia="Book Antiqua" w:hAnsi="Arial" w:cs="Arial"/>
          <w:iCs/>
          <w:sz w:val="20"/>
          <w:szCs w:val="22"/>
        </w:rPr>
        <w:t> </w:t>
      </w:r>
      <w:r w:rsidR="00066C4D">
        <w:rPr>
          <w:rFonts w:ascii="Arial" w:eastAsia="Book Antiqua" w:hAnsi="Arial" w:cs="Arial"/>
          <w:iCs/>
          <w:sz w:val="20"/>
          <w:szCs w:val="22"/>
        </w:rPr>
        <w:t xml:space="preserve">J </w:t>
      </w:r>
      <w:r w:rsidR="00ED31B5">
        <w:rPr>
          <w:rFonts w:ascii="Arial" w:eastAsia="Book Antiqua" w:hAnsi="Arial" w:cs="Arial"/>
          <w:iCs/>
          <w:sz w:val="20"/>
          <w:szCs w:val="22"/>
        </w:rPr>
        <w:t xml:space="preserve">&amp; </w:t>
      </w:r>
      <w:r w:rsidR="00066C4D">
        <w:rPr>
          <w:rFonts w:ascii="Arial" w:eastAsia="Book Antiqua" w:hAnsi="Arial" w:cs="Arial"/>
          <w:iCs/>
          <w:sz w:val="20"/>
          <w:szCs w:val="22"/>
        </w:rPr>
        <w:t>Richards J</w:t>
      </w:r>
      <w:r w:rsidR="00ED31B5">
        <w:rPr>
          <w:rFonts w:ascii="Arial" w:eastAsia="Book Antiqua" w:hAnsi="Arial" w:cs="Arial"/>
          <w:iCs/>
          <w:sz w:val="20"/>
          <w:szCs w:val="22"/>
        </w:rPr>
        <w:t xml:space="preserve"> which</w:t>
      </w:r>
      <w:r w:rsidR="001E10AF">
        <w:rPr>
          <w:rFonts w:ascii="Arial" w:eastAsia="Book Antiqua" w:hAnsi="Arial" w:cs="Arial"/>
          <w:iCs/>
          <w:sz w:val="20"/>
          <w:szCs w:val="22"/>
        </w:rPr>
        <w:t xml:space="preserve"> involved </w:t>
      </w:r>
      <w:r w:rsidR="0069585F">
        <w:rPr>
          <w:rFonts w:ascii="Arial" w:eastAsia="Book Antiqua" w:hAnsi="Arial" w:cs="Arial"/>
          <w:iCs/>
          <w:sz w:val="20"/>
          <w:szCs w:val="22"/>
        </w:rPr>
        <w:t xml:space="preserve">similar but not identical issues concerning the adequacy of a charge for a summary offence laid under the </w:t>
      </w:r>
      <w:r w:rsidR="0069585F" w:rsidRPr="0069585F">
        <w:rPr>
          <w:rFonts w:ascii="Arial" w:eastAsia="Book Antiqua" w:hAnsi="Arial" w:cs="Arial"/>
          <w:i/>
          <w:sz w:val="20"/>
          <w:szCs w:val="22"/>
        </w:rPr>
        <w:t>Criminal Procedure Act 2009</w:t>
      </w:r>
      <w:r w:rsidR="00AC28BC">
        <w:rPr>
          <w:rFonts w:ascii="Arial" w:eastAsia="Book Antiqua" w:hAnsi="Arial" w:cs="Arial"/>
          <w:i/>
          <w:sz w:val="20"/>
          <w:szCs w:val="22"/>
        </w:rPr>
        <w:t xml:space="preserve"> [CPA]</w:t>
      </w:r>
      <w:r w:rsidR="0069585F">
        <w:rPr>
          <w:rFonts w:ascii="Arial" w:eastAsia="Book Antiqua" w:hAnsi="Arial" w:cs="Arial"/>
          <w:iCs/>
          <w:sz w:val="20"/>
          <w:szCs w:val="22"/>
        </w:rPr>
        <w:t>:</w:t>
      </w:r>
    </w:p>
    <w:p w14:paraId="613C61AE" w14:textId="0CE480AF" w:rsidR="00FF0379" w:rsidRDefault="001E10AF" w:rsidP="00AC28BC">
      <w:pPr>
        <w:spacing w:before="60"/>
        <w:jc w:val="both"/>
        <w:rPr>
          <w:rFonts w:ascii="Arial" w:eastAsia="Book Antiqua" w:hAnsi="Arial" w:cs="Arial"/>
          <w:iCs/>
          <w:sz w:val="20"/>
          <w:szCs w:val="22"/>
        </w:rPr>
      </w:pPr>
      <w:r w:rsidRPr="00DC2A14">
        <w:rPr>
          <w:rFonts w:ascii="Arial" w:eastAsia="Book Antiqua" w:hAnsi="Arial" w:cs="Arial"/>
          <w:i/>
          <w:sz w:val="20"/>
          <w:szCs w:val="22"/>
          <w:u w:val="single"/>
        </w:rPr>
        <w:t>Fox v DPP</w:t>
      </w:r>
      <w:r w:rsidR="00ED31B5" w:rsidRPr="00ED31B5">
        <w:rPr>
          <w:rFonts w:ascii="Arial" w:eastAsia="Book Antiqua" w:hAnsi="Arial" w:cs="Arial"/>
          <w:iCs/>
          <w:sz w:val="20"/>
          <w:szCs w:val="22"/>
          <w:u w:val="single"/>
        </w:rPr>
        <w:t xml:space="preserve"> [2021] VSC 226</w:t>
      </w:r>
      <w:r>
        <w:rPr>
          <w:rFonts w:ascii="Arial" w:eastAsia="Book Antiqua" w:hAnsi="Arial" w:cs="Arial"/>
          <w:iCs/>
          <w:sz w:val="20"/>
          <w:szCs w:val="22"/>
        </w:rPr>
        <w:t xml:space="preserve">: </w:t>
      </w:r>
      <w:r w:rsidR="00DC2A14">
        <w:rPr>
          <w:rFonts w:ascii="Arial" w:eastAsia="Book Antiqua" w:hAnsi="Arial" w:cs="Arial"/>
          <w:iCs/>
          <w:sz w:val="20"/>
          <w:szCs w:val="22"/>
        </w:rPr>
        <w:t xml:space="preserve">A speeding charge stated the date but did not state the time of day of the alleged offence.  It also misstated the place of the offence.  A magistrate had held that </w:t>
      </w:r>
      <w:r w:rsidR="0069585F">
        <w:rPr>
          <w:rFonts w:ascii="Arial" w:eastAsia="Book Antiqua" w:hAnsi="Arial" w:cs="Arial"/>
          <w:iCs/>
          <w:sz w:val="20"/>
          <w:szCs w:val="22"/>
        </w:rPr>
        <w:t>the charge was invalid.  Beale J held that the charge was valid and capable of amendment in relation to the place of the offence notwithstanding that it was more than 12 months after the alleged offence.</w:t>
      </w:r>
    </w:p>
    <w:p w14:paraId="5B5C8B47" w14:textId="7842A45B" w:rsidR="00C70E02" w:rsidRDefault="0069585F" w:rsidP="00AC28BC">
      <w:pPr>
        <w:spacing w:before="60"/>
        <w:jc w:val="both"/>
        <w:rPr>
          <w:rFonts w:ascii="Arial" w:eastAsia="Book Antiqua" w:hAnsi="Arial" w:cs="Arial"/>
          <w:iCs/>
          <w:sz w:val="20"/>
          <w:szCs w:val="22"/>
        </w:rPr>
      </w:pPr>
      <w:r w:rsidRPr="00593FD1">
        <w:rPr>
          <w:rFonts w:ascii="Arial" w:eastAsia="Book Antiqua" w:hAnsi="Arial" w:cs="Arial"/>
          <w:i/>
          <w:sz w:val="20"/>
          <w:szCs w:val="22"/>
          <w:u w:val="single"/>
        </w:rPr>
        <w:t>Bant v Grant</w:t>
      </w:r>
      <w:r w:rsidR="00ED31B5" w:rsidRPr="00ED31B5">
        <w:rPr>
          <w:rFonts w:ascii="Arial" w:eastAsia="Book Antiqua" w:hAnsi="Arial" w:cs="Arial"/>
          <w:iCs/>
          <w:sz w:val="20"/>
          <w:szCs w:val="22"/>
          <w:u w:val="single"/>
        </w:rPr>
        <w:t xml:space="preserve"> [2021] VSC 276</w:t>
      </w:r>
      <w:r>
        <w:rPr>
          <w:rFonts w:ascii="Arial" w:eastAsia="Book Antiqua" w:hAnsi="Arial" w:cs="Arial"/>
          <w:iCs/>
          <w:sz w:val="20"/>
          <w:szCs w:val="22"/>
        </w:rPr>
        <w:t xml:space="preserve">: </w:t>
      </w:r>
      <w:r w:rsidR="00593FD1">
        <w:rPr>
          <w:rFonts w:ascii="Arial" w:eastAsia="Book Antiqua" w:hAnsi="Arial" w:cs="Arial"/>
          <w:iCs/>
          <w:sz w:val="20"/>
          <w:szCs w:val="22"/>
        </w:rPr>
        <w:t xml:space="preserve">A speeding charge </w:t>
      </w:r>
      <w:r w:rsidR="005E1265">
        <w:rPr>
          <w:rFonts w:ascii="Arial" w:eastAsia="Book Antiqua" w:hAnsi="Arial" w:cs="Arial"/>
          <w:iCs/>
          <w:sz w:val="20"/>
          <w:szCs w:val="22"/>
        </w:rPr>
        <w:t>misstated the place of the offence</w:t>
      </w:r>
      <w:r w:rsidR="007A059C">
        <w:rPr>
          <w:rFonts w:ascii="Arial" w:eastAsia="Book Antiqua" w:hAnsi="Arial" w:cs="Arial"/>
          <w:iCs/>
          <w:sz w:val="20"/>
          <w:szCs w:val="22"/>
        </w:rPr>
        <w:t xml:space="preserve"> </w:t>
      </w:r>
      <w:r w:rsidR="00DE6A2C">
        <w:rPr>
          <w:rFonts w:ascii="Arial" w:eastAsia="Book Antiqua" w:hAnsi="Arial" w:cs="Arial"/>
          <w:iCs/>
          <w:sz w:val="20"/>
          <w:szCs w:val="22"/>
        </w:rPr>
        <w:t xml:space="preserve">as </w:t>
      </w:r>
      <w:r w:rsidR="00E6141B">
        <w:rPr>
          <w:rFonts w:ascii="Arial" w:eastAsia="Book Antiqua" w:hAnsi="Arial" w:cs="Arial"/>
          <w:iCs/>
          <w:sz w:val="20"/>
          <w:szCs w:val="22"/>
        </w:rPr>
        <w:t>‘</w:t>
      </w:r>
      <w:r w:rsidR="00DE6A2C">
        <w:rPr>
          <w:rFonts w:ascii="Arial" w:eastAsia="Book Antiqua" w:hAnsi="Arial" w:cs="Arial"/>
          <w:iCs/>
          <w:sz w:val="20"/>
          <w:szCs w:val="22"/>
        </w:rPr>
        <w:t>Princes Hwy Camperdown between Rowans Rd &amp; Jubilee Park Rd</w:t>
      </w:r>
      <w:r w:rsidR="00E6141B">
        <w:rPr>
          <w:rFonts w:ascii="Arial" w:eastAsia="Book Antiqua" w:hAnsi="Arial" w:cs="Arial"/>
          <w:iCs/>
          <w:sz w:val="20"/>
          <w:szCs w:val="22"/>
        </w:rPr>
        <w:t>’</w:t>
      </w:r>
      <w:r w:rsidR="00DE6A2C">
        <w:rPr>
          <w:rFonts w:ascii="Arial" w:eastAsia="Book Antiqua" w:hAnsi="Arial" w:cs="Arial"/>
          <w:iCs/>
          <w:sz w:val="20"/>
          <w:szCs w:val="22"/>
        </w:rPr>
        <w:t xml:space="preserve"> rather than </w:t>
      </w:r>
      <w:r w:rsidR="00E6141B">
        <w:rPr>
          <w:rFonts w:ascii="Arial" w:eastAsia="Book Antiqua" w:hAnsi="Arial" w:cs="Arial"/>
          <w:iCs/>
          <w:sz w:val="20"/>
          <w:szCs w:val="22"/>
        </w:rPr>
        <w:t>‘</w:t>
      </w:r>
      <w:r w:rsidR="00DE6A2C">
        <w:rPr>
          <w:rFonts w:ascii="Arial" w:eastAsia="Book Antiqua" w:hAnsi="Arial" w:cs="Arial"/>
          <w:iCs/>
          <w:sz w:val="20"/>
          <w:szCs w:val="22"/>
        </w:rPr>
        <w:t>Pr</w:t>
      </w:r>
      <w:r w:rsidR="00C70E02">
        <w:rPr>
          <w:rFonts w:ascii="Arial" w:eastAsia="Book Antiqua" w:hAnsi="Arial" w:cs="Arial"/>
          <w:iCs/>
          <w:sz w:val="20"/>
          <w:szCs w:val="22"/>
        </w:rPr>
        <w:t>inces Hwy Allansford between Rowans Lane and Jubilee Park Rd</w:t>
      </w:r>
      <w:r w:rsidR="00E6141B">
        <w:rPr>
          <w:rFonts w:ascii="Arial" w:eastAsia="Book Antiqua" w:hAnsi="Arial" w:cs="Arial"/>
          <w:iCs/>
          <w:sz w:val="20"/>
          <w:szCs w:val="22"/>
        </w:rPr>
        <w:t>’</w:t>
      </w:r>
      <w:r w:rsidR="00C70E02">
        <w:rPr>
          <w:rFonts w:ascii="Arial" w:eastAsia="Book Antiqua" w:hAnsi="Arial" w:cs="Arial"/>
          <w:iCs/>
          <w:sz w:val="20"/>
          <w:szCs w:val="22"/>
        </w:rPr>
        <w:t xml:space="preserve">.  It also did not </w:t>
      </w:r>
      <w:r w:rsidR="007A059C">
        <w:rPr>
          <w:rFonts w:ascii="Arial" w:eastAsia="Book Antiqua" w:hAnsi="Arial" w:cs="Arial"/>
          <w:iCs/>
          <w:sz w:val="20"/>
          <w:szCs w:val="22"/>
        </w:rPr>
        <w:t>state the time of day or the description of the vehicle</w:t>
      </w:r>
      <w:r w:rsidR="00C70E02">
        <w:rPr>
          <w:rFonts w:ascii="Arial" w:eastAsia="Book Antiqua" w:hAnsi="Arial" w:cs="Arial"/>
          <w:iCs/>
          <w:sz w:val="20"/>
          <w:szCs w:val="22"/>
        </w:rPr>
        <w:t xml:space="preserve"> other than stating the registration number</w:t>
      </w:r>
      <w:r w:rsidR="007A059C">
        <w:rPr>
          <w:rFonts w:ascii="Arial" w:eastAsia="Book Antiqua" w:hAnsi="Arial" w:cs="Arial"/>
          <w:iCs/>
          <w:sz w:val="20"/>
          <w:szCs w:val="22"/>
        </w:rPr>
        <w:t>.</w:t>
      </w:r>
      <w:r w:rsidR="00C70E02">
        <w:rPr>
          <w:rFonts w:ascii="Arial" w:eastAsia="Book Antiqua" w:hAnsi="Arial" w:cs="Arial"/>
          <w:iCs/>
          <w:sz w:val="20"/>
          <w:szCs w:val="22"/>
        </w:rPr>
        <w:t xml:space="preserve">  </w:t>
      </w:r>
      <w:r w:rsidR="00DE6A2C">
        <w:rPr>
          <w:rFonts w:ascii="Arial" w:eastAsia="Book Antiqua" w:hAnsi="Arial" w:cs="Arial"/>
          <w:iCs/>
          <w:sz w:val="20"/>
          <w:szCs w:val="22"/>
        </w:rPr>
        <w:t>More than 12 months after the alleged offence a</w:t>
      </w:r>
      <w:r w:rsidR="007A059C">
        <w:rPr>
          <w:rFonts w:ascii="Arial" w:eastAsia="Book Antiqua" w:hAnsi="Arial" w:cs="Arial"/>
          <w:iCs/>
          <w:sz w:val="20"/>
          <w:szCs w:val="22"/>
        </w:rPr>
        <w:t xml:space="preserve"> magistrate </w:t>
      </w:r>
      <w:r w:rsidR="00DE6A2C">
        <w:rPr>
          <w:rFonts w:ascii="Arial" w:eastAsia="Book Antiqua" w:hAnsi="Arial" w:cs="Arial"/>
          <w:iCs/>
          <w:sz w:val="20"/>
          <w:szCs w:val="22"/>
        </w:rPr>
        <w:t>had given</w:t>
      </w:r>
      <w:r w:rsidR="007A059C">
        <w:rPr>
          <w:rFonts w:ascii="Arial" w:eastAsia="Book Antiqua" w:hAnsi="Arial" w:cs="Arial"/>
          <w:iCs/>
          <w:sz w:val="20"/>
          <w:szCs w:val="22"/>
        </w:rPr>
        <w:t xml:space="preserve"> leave to amend the charge in the manner sought by the prosecution</w:t>
      </w:r>
      <w:r w:rsidR="00E6141B">
        <w:rPr>
          <w:rFonts w:ascii="Arial" w:eastAsia="Book Antiqua" w:hAnsi="Arial" w:cs="Arial"/>
          <w:iCs/>
          <w:sz w:val="20"/>
          <w:szCs w:val="22"/>
        </w:rPr>
        <w:t xml:space="preserve"> and</w:t>
      </w:r>
      <w:r w:rsidR="007A059C">
        <w:rPr>
          <w:rFonts w:ascii="Arial" w:eastAsia="Book Antiqua" w:hAnsi="Arial" w:cs="Arial"/>
          <w:iCs/>
          <w:sz w:val="20"/>
          <w:szCs w:val="22"/>
        </w:rPr>
        <w:t xml:space="preserve"> </w:t>
      </w:r>
      <w:r w:rsidR="00E6141B">
        <w:rPr>
          <w:rFonts w:ascii="Arial" w:eastAsia="Book Antiqua" w:hAnsi="Arial" w:cs="Arial"/>
          <w:iCs/>
          <w:sz w:val="20"/>
          <w:szCs w:val="22"/>
        </w:rPr>
        <w:t xml:space="preserve">had </w:t>
      </w:r>
      <w:r w:rsidR="007A059C">
        <w:rPr>
          <w:rFonts w:ascii="Arial" w:eastAsia="Book Antiqua" w:hAnsi="Arial" w:cs="Arial"/>
          <w:iCs/>
          <w:sz w:val="20"/>
          <w:szCs w:val="22"/>
        </w:rPr>
        <w:t xml:space="preserve">ruled </w:t>
      </w:r>
      <w:r w:rsidR="00E6141B">
        <w:rPr>
          <w:rFonts w:ascii="Arial" w:eastAsia="Book Antiqua" w:hAnsi="Arial" w:cs="Arial"/>
          <w:iCs/>
          <w:sz w:val="20"/>
          <w:szCs w:val="22"/>
        </w:rPr>
        <w:t xml:space="preserve">with written reasons </w:t>
      </w:r>
      <w:r w:rsidR="007A059C">
        <w:rPr>
          <w:rFonts w:ascii="Arial" w:eastAsia="Book Antiqua" w:hAnsi="Arial" w:cs="Arial"/>
          <w:iCs/>
          <w:sz w:val="20"/>
          <w:szCs w:val="22"/>
        </w:rPr>
        <w:t>that the charge as amended was val</w:t>
      </w:r>
      <w:r w:rsidR="00E6141B">
        <w:rPr>
          <w:rFonts w:ascii="Arial" w:eastAsia="Book Antiqua" w:hAnsi="Arial" w:cs="Arial"/>
          <w:iCs/>
          <w:sz w:val="20"/>
          <w:szCs w:val="22"/>
        </w:rPr>
        <w:t>id</w:t>
      </w:r>
      <w:r w:rsidR="007A059C">
        <w:rPr>
          <w:rFonts w:ascii="Arial" w:eastAsia="Book Antiqua" w:hAnsi="Arial" w:cs="Arial"/>
          <w:iCs/>
          <w:sz w:val="20"/>
          <w:szCs w:val="22"/>
        </w:rPr>
        <w:t>.</w:t>
      </w:r>
      <w:r w:rsidR="003A41EF">
        <w:rPr>
          <w:rFonts w:ascii="Arial" w:eastAsia="Book Antiqua" w:hAnsi="Arial" w:cs="Arial"/>
          <w:iCs/>
          <w:sz w:val="20"/>
          <w:szCs w:val="22"/>
        </w:rPr>
        <w:t xml:space="preserve">  Richards J held that the arguments pressed on behalf of Mr Bant were without merit</w:t>
      </w:r>
      <w:r w:rsidR="00C70E02">
        <w:rPr>
          <w:rFonts w:ascii="Arial" w:eastAsia="Book Antiqua" w:hAnsi="Arial" w:cs="Arial"/>
          <w:iCs/>
          <w:sz w:val="20"/>
          <w:szCs w:val="22"/>
        </w:rPr>
        <w:t>, stating:</w:t>
      </w:r>
    </w:p>
    <w:p w14:paraId="42A45DC4" w14:textId="27E326DF" w:rsidR="00C70E02" w:rsidRDefault="00C70E02" w:rsidP="00591749">
      <w:pPr>
        <w:pStyle w:val="ListParagraph"/>
        <w:numPr>
          <w:ilvl w:val="0"/>
          <w:numId w:val="56"/>
        </w:numPr>
        <w:spacing w:after="0" w:line="240" w:lineRule="auto"/>
        <w:ind w:left="357" w:hanging="357"/>
        <w:jc w:val="both"/>
        <w:rPr>
          <w:rFonts w:ascii="Arial" w:eastAsia="Book Antiqua" w:hAnsi="Arial" w:cs="Arial"/>
          <w:iCs/>
          <w:sz w:val="20"/>
        </w:rPr>
      </w:pPr>
      <w:r w:rsidRPr="00C70E02">
        <w:rPr>
          <w:rFonts w:ascii="Arial" w:eastAsia="Book Antiqua" w:hAnsi="Arial" w:cs="Arial"/>
          <w:iCs/>
          <w:sz w:val="20"/>
        </w:rPr>
        <w:t>The charge</w:t>
      </w:r>
      <w:r>
        <w:rPr>
          <w:rFonts w:ascii="Arial" w:eastAsia="Book Antiqua" w:hAnsi="Arial" w:cs="Arial"/>
          <w:iCs/>
          <w:sz w:val="20"/>
        </w:rPr>
        <w:t>-sheet before amendment</w:t>
      </w:r>
      <w:r w:rsidRPr="00C70E02">
        <w:rPr>
          <w:rFonts w:ascii="Arial" w:eastAsia="Book Antiqua" w:hAnsi="Arial" w:cs="Arial"/>
          <w:iCs/>
          <w:sz w:val="20"/>
        </w:rPr>
        <w:t xml:space="preserve"> sufficiently described the nature of the offence.</w:t>
      </w:r>
    </w:p>
    <w:p w14:paraId="2C1EBCB3" w14:textId="733C14EC" w:rsidR="001E10AF" w:rsidRDefault="00C70E02" w:rsidP="00591749">
      <w:pPr>
        <w:pStyle w:val="ListParagraph"/>
        <w:numPr>
          <w:ilvl w:val="0"/>
          <w:numId w:val="56"/>
        </w:numPr>
        <w:spacing w:after="0" w:line="240" w:lineRule="auto"/>
        <w:ind w:left="357" w:hanging="357"/>
        <w:jc w:val="both"/>
        <w:rPr>
          <w:rFonts w:ascii="Arial" w:eastAsia="Book Antiqua" w:hAnsi="Arial" w:cs="Arial"/>
          <w:iCs/>
          <w:sz w:val="20"/>
        </w:rPr>
      </w:pPr>
      <w:r w:rsidRPr="00C70E02">
        <w:rPr>
          <w:rFonts w:ascii="Arial" w:eastAsia="Book Antiqua" w:hAnsi="Arial" w:cs="Arial"/>
          <w:iCs/>
          <w:sz w:val="20"/>
        </w:rPr>
        <w:t xml:space="preserve">The </w:t>
      </w:r>
      <w:r>
        <w:rPr>
          <w:rFonts w:ascii="Arial" w:eastAsia="Book Antiqua" w:hAnsi="Arial" w:cs="Arial"/>
          <w:iCs/>
          <w:sz w:val="20"/>
        </w:rPr>
        <w:t>amendment did not have the effect of charging a new offence.</w:t>
      </w:r>
    </w:p>
    <w:p w14:paraId="62FBA083" w14:textId="51CF0060" w:rsidR="00C70E02" w:rsidRPr="00C70E02" w:rsidRDefault="00C70E02" w:rsidP="00591749">
      <w:pPr>
        <w:pStyle w:val="ListParagraph"/>
        <w:numPr>
          <w:ilvl w:val="0"/>
          <w:numId w:val="56"/>
        </w:numPr>
        <w:spacing w:after="0" w:line="240" w:lineRule="auto"/>
        <w:ind w:left="357" w:hanging="357"/>
        <w:jc w:val="both"/>
        <w:rPr>
          <w:rFonts w:ascii="Arial" w:eastAsia="Book Antiqua" w:hAnsi="Arial" w:cs="Arial"/>
          <w:iCs/>
          <w:sz w:val="20"/>
        </w:rPr>
      </w:pPr>
      <w:r>
        <w:rPr>
          <w:rFonts w:ascii="Arial" w:eastAsia="Book Antiqua" w:hAnsi="Arial" w:cs="Arial"/>
          <w:iCs/>
          <w:sz w:val="20"/>
        </w:rPr>
        <w:t>The time of day was not an essential element of the offence.</w:t>
      </w:r>
    </w:p>
    <w:p w14:paraId="714479E7" w14:textId="7E399CD1" w:rsidR="001E10AF" w:rsidRDefault="00593FD1" w:rsidP="00AC28BC">
      <w:pPr>
        <w:spacing w:before="60"/>
        <w:jc w:val="both"/>
        <w:rPr>
          <w:rFonts w:ascii="Arial" w:eastAsia="Book Antiqua" w:hAnsi="Arial" w:cs="Arial"/>
          <w:iCs/>
          <w:sz w:val="20"/>
          <w:szCs w:val="22"/>
        </w:rPr>
      </w:pPr>
      <w:r w:rsidRPr="00593FD1">
        <w:rPr>
          <w:rFonts w:ascii="Arial" w:eastAsia="Book Antiqua" w:hAnsi="Arial" w:cs="Arial"/>
          <w:i/>
          <w:sz w:val="20"/>
          <w:szCs w:val="22"/>
          <w:u w:val="single"/>
        </w:rPr>
        <w:lastRenderedPageBreak/>
        <w:t>Nunn v Pezzimenti</w:t>
      </w:r>
      <w:r w:rsidR="00ED31B5">
        <w:rPr>
          <w:rFonts w:ascii="Arial" w:eastAsia="Book Antiqua" w:hAnsi="Arial" w:cs="Arial"/>
          <w:i/>
          <w:sz w:val="20"/>
          <w:szCs w:val="22"/>
          <w:u w:val="single"/>
        </w:rPr>
        <w:t xml:space="preserve"> </w:t>
      </w:r>
      <w:r w:rsidR="00ED31B5" w:rsidRPr="00ED31B5">
        <w:rPr>
          <w:rFonts w:ascii="Arial" w:eastAsia="Book Antiqua" w:hAnsi="Arial" w:cs="Arial"/>
          <w:iCs/>
          <w:sz w:val="20"/>
          <w:szCs w:val="22"/>
          <w:u w:val="single"/>
        </w:rPr>
        <w:t>[2021] VSC 313</w:t>
      </w:r>
      <w:r>
        <w:rPr>
          <w:rFonts w:ascii="Arial" w:eastAsia="Book Antiqua" w:hAnsi="Arial" w:cs="Arial"/>
          <w:iCs/>
          <w:sz w:val="20"/>
          <w:szCs w:val="22"/>
        </w:rPr>
        <w:t xml:space="preserve">: </w:t>
      </w:r>
      <w:r w:rsidR="00947D7A">
        <w:rPr>
          <w:rFonts w:ascii="Arial" w:eastAsia="Book Antiqua" w:hAnsi="Arial" w:cs="Arial"/>
          <w:iCs/>
          <w:sz w:val="20"/>
          <w:szCs w:val="22"/>
        </w:rPr>
        <w:t>In t</w:t>
      </w:r>
      <w:r w:rsidR="00ED31B5">
        <w:rPr>
          <w:rFonts w:ascii="Arial" w:eastAsia="Book Antiqua" w:hAnsi="Arial" w:cs="Arial"/>
          <w:iCs/>
          <w:sz w:val="20"/>
          <w:szCs w:val="22"/>
        </w:rPr>
        <w:t>wo related drug driving offences the drug was not named.  The</w:t>
      </w:r>
      <w:r w:rsidR="00E6141B">
        <w:rPr>
          <w:rFonts w:ascii="Arial" w:eastAsia="Book Antiqua" w:hAnsi="Arial" w:cs="Arial"/>
          <w:iCs/>
          <w:sz w:val="20"/>
          <w:szCs w:val="22"/>
        </w:rPr>
        <w:t> </w:t>
      </w:r>
      <w:r w:rsidR="00ED31B5">
        <w:rPr>
          <w:rFonts w:ascii="Arial" w:eastAsia="Book Antiqua" w:hAnsi="Arial" w:cs="Arial"/>
          <w:iCs/>
          <w:sz w:val="20"/>
          <w:szCs w:val="22"/>
        </w:rPr>
        <w:t xml:space="preserve">second charge also contained the </w:t>
      </w:r>
      <w:r w:rsidR="003A41EF">
        <w:rPr>
          <w:rFonts w:ascii="Arial" w:eastAsia="Book Antiqua" w:hAnsi="Arial" w:cs="Arial"/>
          <w:iCs/>
          <w:sz w:val="20"/>
          <w:szCs w:val="22"/>
        </w:rPr>
        <w:t xml:space="preserve">duplicitous </w:t>
      </w:r>
      <w:r w:rsidR="00ED31B5">
        <w:rPr>
          <w:rFonts w:ascii="Arial" w:eastAsia="Book Antiqua" w:hAnsi="Arial" w:cs="Arial"/>
          <w:iCs/>
          <w:sz w:val="20"/>
          <w:szCs w:val="22"/>
        </w:rPr>
        <w:t>words ‘or in charge of’.  The magistrate found both charges valid but amended both by including the name of the drug (methylamphetamine) and deleting the words ‘or in charge of’ from the second charge.  Beale J held that the magistrate had the power to amend the charges after the expiration of the amendment period.</w:t>
      </w:r>
    </w:p>
    <w:p w14:paraId="14F25666" w14:textId="7576FF1B" w:rsidR="00D015C8" w:rsidRDefault="00D015C8" w:rsidP="00044192">
      <w:pPr>
        <w:spacing w:before="60"/>
        <w:jc w:val="both"/>
        <w:rPr>
          <w:rFonts w:ascii="Arial" w:eastAsia="Book Antiqua" w:hAnsi="Arial" w:cs="Arial"/>
          <w:iCs/>
          <w:sz w:val="20"/>
          <w:szCs w:val="22"/>
        </w:rPr>
      </w:pPr>
      <w:r>
        <w:rPr>
          <w:rFonts w:ascii="Arial" w:eastAsia="Book Antiqua" w:hAnsi="Arial" w:cs="Arial"/>
          <w:iCs/>
          <w:sz w:val="20"/>
          <w:szCs w:val="22"/>
        </w:rPr>
        <w:t xml:space="preserve">In </w:t>
      </w:r>
      <w:r w:rsidR="009E183C">
        <w:rPr>
          <w:rFonts w:ascii="Arial" w:eastAsia="Book Antiqua" w:hAnsi="Arial" w:cs="Arial"/>
          <w:iCs/>
          <w:sz w:val="20"/>
          <w:szCs w:val="22"/>
        </w:rPr>
        <w:t xml:space="preserve">upholding the validity of each of the impugned amendments and </w:t>
      </w:r>
      <w:r>
        <w:rPr>
          <w:rFonts w:ascii="Arial" w:eastAsia="Book Antiqua" w:hAnsi="Arial" w:cs="Arial"/>
          <w:iCs/>
          <w:sz w:val="20"/>
          <w:szCs w:val="22"/>
        </w:rPr>
        <w:t xml:space="preserve">dismissing each of the appeals the Court of Appeal applied dicta of the </w:t>
      </w:r>
      <w:r w:rsidR="009E183C">
        <w:rPr>
          <w:rFonts w:ascii="Arial" w:eastAsia="Book Antiqua" w:hAnsi="Arial" w:cs="Arial"/>
          <w:iCs/>
          <w:sz w:val="20"/>
          <w:szCs w:val="22"/>
        </w:rPr>
        <w:t xml:space="preserve">Court of Appeal in </w:t>
      </w:r>
      <w:r w:rsidR="009E183C" w:rsidRPr="00A878EB">
        <w:rPr>
          <w:rFonts w:ascii="Arial" w:eastAsia="Book Antiqua" w:hAnsi="Arial" w:cs="Arial"/>
          <w:i/>
          <w:sz w:val="20"/>
          <w:szCs w:val="22"/>
        </w:rPr>
        <w:t>Baiada Poultry Pty Ltd v Glenister</w:t>
      </w:r>
      <w:r w:rsidR="009E183C" w:rsidRPr="00A878EB">
        <w:rPr>
          <w:rFonts w:ascii="Arial" w:eastAsia="Book Antiqua" w:hAnsi="Arial" w:cs="Arial"/>
          <w:sz w:val="20"/>
          <w:szCs w:val="22"/>
        </w:rPr>
        <w:t xml:space="preserve"> [2015] VSCA 344</w:t>
      </w:r>
      <w:r w:rsidR="009E183C">
        <w:rPr>
          <w:rFonts w:ascii="Arial" w:eastAsia="Book Antiqua" w:hAnsi="Arial" w:cs="Arial"/>
          <w:sz w:val="20"/>
          <w:szCs w:val="22"/>
        </w:rPr>
        <w:t xml:space="preserve">, discussed with approval the judgment of Nettle JA in </w:t>
      </w:r>
      <w:r w:rsidR="009E183C" w:rsidRPr="009E183C">
        <w:rPr>
          <w:rFonts w:ascii="Arial" w:eastAsia="Book Antiqua" w:hAnsi="Arial" w:cs="Arial"/>
          <w:i/>
          <w:iCs/>
          <w:sz w:val="20"/>
          <w:szCs w:val="22"/>
        </w:rPr>
        <w:t>DPP v</w:t>
      </w:r>
      <w:r w:rsidR="009E183C">
        <w:rPr>
          <w:rFonts w:ascii="Arial" w:eastAsia="Book Antiqua" w:hAnsi="Arial" w:cs="Arial"/>
          <w:sz w:val="20"/>
          <w:szCs w:val="22"/>
        </w:rPr>
        <w:t xml:space="preserve"> </w:t>
      </w:r>
      <w:r w:rsidR="009E183C" w:rsidRPr="00995540">
        <w:rPr>
          <w:rFonts w:ascii="Arial" w:hAnsi="Arial" w:cs="Arial"/>
          <w:i/>
          <w:iCs/>
          <w:color w:val="000000"/>
          <w:sz w:val="20"/>
          <w:szCs w:val="32"/>
        </w:rPr>
        <w:t>Kypri</w:t>
      </w:r>
      <w:r w:rsidR="009E183C">
        <w:rPr>
          <w:rFonts w:ascii="Arial" w:hAnsi="Arial" w:cs="Arial"/>
          <w:i/>
          <w:iCs/>
          <w:color w:val="000000"/>
          <w:sz w:val="20"/>
          <w:szCs w:val="32"/>
        </w:rPr>
        <w:t xml:space="preserve"> </w:t>
      </w:r>
      <w:r w:rsidR="009E183C" w:rsidRPr="00292608">
        <w:rPr>
          <w:rFonts w:ascii="Arial" w:hAnsi="Arial" w:cs="Arial"/>
          <w:sz w:val="20"/>
          <w:szCs w:val="20"/>
        </w:rPr>
        <w:t>(2011) 33 VR 157;</w:t>
      </w:r>
      <w:r w:rsidR="009E183C" w:rsidRPr="00292608">
        <w:rPr>
          <w:rFonts w:ascii="Arial" w:hAnsi="Arial" w:cs="Arial"/>
          <w:color w:val="000000"/>
          <w:sz w:val="20"/>
          <w:szCs w:val="20"/>
        </w:rPr>
        <w:t xml:space="preserve"> [2011] VSCA 257</w:t>
      </w:r>
      <w:r w:rsidR="009E183C">
        <w:rPr>
          <w:rFonts w:ascii="Arial" w:hAnsi="Arial" w:cs="Arial"/>
          <w:color w:val="000000"/>
          <w:sz w:val="20"/>
          <w:szCs w:val="20"/>
        </w:rPr>
        <w:t xml:space="preserve"> </w:t>
      </w:r>
      <w:r w:rsidR="00163BB1">
        <w:rPr>
          <w:rFonts w:ascii="Arial" w:hAnsi="Arial" w:cs="Arial"/>
          <w:color w:val="000000"/>
          <w:sz w:val="20"/>
          <w:szCs w:val="20"/>
        </w:rPr>
        <w:t xml:space="preserve">and “respectfully disagreed” with the judgment of Ginnane J in </w:t>
      </w:r>
      <w:r w:rsidR="00163BB1" w:rsidRPr="00163BB1">
        <w:rPr>
          <w:rFonts w:ascii="Arial" w:hAnsi="Arial" w:cs="Arial"/>
          <w:i/>
          <w:iCs/>
          <w:color w:val="000000"/>
          <w:sz w:val="20"/>
          <w:szCs w:val="20"/>
        </w:rPr>
        <w:t>Glenister v Magistrates’ Court of Victoria</w:t>
      </w:r>
      <w:r w:rsidR="00163BB1">
        <w:rPr>
          <w:rFonts w:ascii="Arial" w:hAnsi="Arial" w:cs="Arial"/>
          <w:color w:val="000000"/>
          <w:sz w:val="20"/>
          <w:szCs w:val="20"/>
        </w:rPr>
        <w:t xml:space="preserve"> [2014] VSC 265.  At [73]-[74] the Court of Appeal summarised its conclusions on the </w:t>
      </w:r>
      <w:r w:rsidR="004912C2">
        <w:rPr>
          <w:rFonts w:ascii="Arial" w:hAnsi="Arial" w:cs="Arial"/>
          <w:color w:val="000000"/>
          <w:sz w:val="20"/>
          <w:szCs w:val="20"/>
        </w:rPr>
        <w:t xml:space="preserve">adequacy of the </w:t>
      </w:r>
      <w:r w:rsidR="00BF64CD">
        <w:rPr>
          <w:rFonts w:ascii="Arial" w:hAnsi="Arial" w:cs="Arial"/>
          <w:color w:val="000000"/>
          <w:sz w:val="20"/>
          <w:szCs w:val="20"/>
        </w:rPr>
        <w:t xml:space="preserve">charge-sheet and </w:t>
      </w:r>
      <w:r w:rsidR="004912C2">
        <w:rPr>
          <w:rFonts w:ascii="Arial" w:hAnsi="Arial" w:cs="Arial"/>
          <w:color w:val="000000"/>
          <w:sz w:val="20"/>
          <w:szCs w:val="20"/>
        </w:rPr>
        <w:t xml:space="preserve">charge and on the </w:t>
      </w:r>
      <w:r w:rsidR="00163BB1">
        <w:rPr>
          <w:rFonts w:ascii="Arial" w:hAnsi="Arial" w:cs="Arial"/>
          <w:color w:val="000000"/>
          <w:sz w:val="20"/>
          <w:szCs w:val="20"/>
        </w:rPr>
        <w:t>amendment issue as follows:</w:t>
      </w:r>
    </w:p>
    <w:p w14:paraId="46EFF2D8" w14:textId="46D433C7" w:rsidR="00044192" w:rsidRPr="00464CF8" w:rsidRDefault="00163BB1" w:rsidP="00044192">
      <w:pPr>
        <w:tabs>
          <w:tab w:val="left" w:pos="363"/>
        </w:tabs>
        <w:spacing w:before="60"/>
        <w:ind w:left="567" w:right="567"/>
        <w:jc w:val="both"/>
        <w:rPr>
          <w:rFonts w:ascii="Arial" w:hAnsi="Arial" w:cs="Arial"/>
          <w:sz w:val="20"/>
          <w:szCs w:val="16"/>
        </w:rPr>
      </w:pPr>
      <w:r>
        <w:rPr>
          <w:rFonts w:ascii="Arial" w:hAnsi="Arial" w:cs="Arial"/>
          <w:sz w:val="20"/>
          <w:szCs w:val="16"/>
        </w:rPr>
        <w:t xml:space="preserve">[73] </w:t>
      </w:r>
      <w:r w:rsidR="00044192">
        <w:rPr>
          <w:rFonts w:ascii="Arial" w:hAnsi="Arial" w:cs="Arial"/>
          <w:sz w:val="20"/>
          <w:szCs w:val="16"/>
        </w:rPr>
        <w:t>“</w:t>
      </w:r>
      <w:r w:rsidR="00035D34">
        <w:rPr>
          <w:rFonts w:ascii="Arial" w:hAnsi="Arial" w:cs="Arial"/>
          <w:sz w:val="20"/>
          <w:szCs w:val="16"/>
        </w:rPr>
        <w:t>…[S]</w:t>
      </w:r>
      <w:r>
        <w:rPr>
          <w:rFonts w:ascii="Arial" w:hAnsi="Arial" w:cs="Arial"/>
          <w:sz w:val="20"/>
          <w:szCs w:val="16"/>
        </w:rPr>
        <w:t xml:space="preserve">ome of the questions concerning the interpretation of the provisions of the </w:t>
      </w:r>
      <w:r w:rsidRPr="00163BB1">
        <w:rPr>
          <w:rFonts w:ascii="Arial" w:hAnsi="Arial" w:cs="Arial"/>
          <w:i/>
          <w:iCs/>
          <w:sz w:val="20"/>
          <w:szCs w:val="16"/>
        </w:rPr>
        <w:t>CPA</w:t>
      </w:r>
      <w:r w:rsidR="00AC28BC">
        <w:rPr>
          <w:rFonts w:ascii="Arial" w:hAnsi="Arial" w:cs="Arial"/>
          <w:sz w:val="20"/>
          <w:szCs w:val="16"/>
        </w:rPr>
        <w:t>, and the interaction of those provisions with one another, are complex</w:t>
      </w:r>
      <w:r w:rsidR="00947D7A">
        <w:rPr>
          <w:rFonts w:ascii="Arial" w:hAnsi="Arial" w:cs="Arial"/>
          <w:sz w:val="20"/>
          <w:szCs w:val="16"/>
        </w:rPr>
        <w:t>.  However, in light of the above discussion, w</w:t>
      </w:r>
      <w:r w:rsidR="00AC28BC">
        <w:rPr>
          <w:rFonts w:ascii="Arial" w:hAnsi="Arial" w:cs="Arial"/>
          <w:sz w:val="20"/>
          <w:szCs w:val="16"/>
        </w:rPr>
        <w:t>e can summarise our conclusions as follows:</w:t>
      </w:r>
    </w:p>
    <w:p w14:paraId="7D8E60F5" w14:textId="28B80C00" w:rsidR="007A059C" w:rsidRDefault="00947D7A" w:rsidP="00861283">
      <w:pPr>
        <w:spacing w:before="60"/>
        <w:ind w:left="924" w:right="567" w:hanging="357"/>
        <w:jc w:val="both"/>
        <w:rPr>
          <w:rFonts w:ascii="Arial" w:hAnsi="Arial" w:cs="Arial"/>
          <w:color w:val="000000"/>
          <w:sz w:val="20"/>
          <w:szCs w:val="20"/>
          <w:lang w:eastAsia="en-AU"/>
        </w:rPr>
      </w:pPr>
      <w:r>
        <w:rPr>
          <w:rFonts w:ascii="Arial" w:eastAsia="Book Antiqua" w:hAnsi="Arial" w:cs="Arial"/>
          <w:iCs/>
          <w:sz w:val="20"/>
          <w:szCs w:val="22"/>
        </w:rPr>
        <w:t>(a)</w:t>
      </w:r>
      <w:r>
        <w:rPr>
          <w:rFonts w:ascii="Arial" w:eastAsia="Book Antiqua" w:hAnsi="Arial" w:cs="Arial"/>
          <w:iCs/>
          <w:sz w:val="20"/>
          <w:szCs w:val="22"/>
        </w:rPr>
        <w:tab/>
      </w:r>
      <w:r w:rsidRPr="003233D8">
        <w:rPr>
          <w:rFonts w:ascii="Arial" w:hAnsi="Arial" w:cs="Arial"/>
          <w:color w:val="000000"/>
          <w:sz w:val="20"/>
          <w:szCs w:val="20"/>
          <w:lang w:eastAsia="en-AU"/>
        </w:rPr>
        <w:t>Filing a charge-sheet confers jurisdiction on the Magistrates’ Court to hear and determine the charges on the charge-sheet.</w:t>
      </w:r>
    </w:p>
    <w:p w14:paraId="37B130D2" w14:textId="3CEE7712" w:rsidR="00947D7A" w:rsidRDefault="00947D7A" w:rsidP="00861283">
      <w:pPr>
        <w:spacing w:before="60"/>
        <w:ind w:left="924" w:right="567" w:hanging="357"/>
        <w:jc w:val="both"/>
        <w:rPr>
          <w:rFonts w:ascii="Arial" w:hAnsi="Arial" w:cs="Arial"/>
          <w:color w:val="000000" w:themeColor="text1"/>
          <w:sz w:val="20"/>
          <w:szCs w:val="20"/>
          <w:lang w:eastAsia="en-AU"/>
        </w:rPr>
      </w:pPr>
      <w:r>
        <w:rPr>
          <w:rFonts w:ascii="Arial" w:eastAsia="Book Antiqua" w:hAnsi="Arial" w:cs="Arial"/>
          <w:iCs/>
          <w:sz w:val="20"/>
          <w:szCs w:val="22"/>
        </w:rPr>
        <w:t>(b)</w:t>
      </w:r>
      <w:r>
        <w:rPr>
          <w:rFonts w:ascii="Arial" w:eastAsia="Book Antiqua" w:hAnsi="Arial" w:cs="Arial"/>
          <w:iCs/>
          <w:sz w:val="20"/>
          <w:szCs w:val="22"/>
        </w:rPr>
        <w:tab/>
      </w:r>
      <w:r w:rsidRPr="00947D7A">
        <w:rPr>
          <w:rFonts w:ascii="Arial" w:hAnsi="Arial" w:cs="Arial"/>
          <w:color w:val="000000" w:themeColor="text1"/>
          <w:sz w:val="20"/>
          <w:szCs w:val="20"/>
          <w:lang w:eastAsia="en-AU"/>
        </w:rPr>
        <w:t>A charge-sheet must comply with sch 1 of the </w:t>
      </w:r>
      <w:r w:rsidRPr="00947D7A">
        <w:rPr>
          <w:rFonts w:ascii="Arial" w:hAnsi="Arial" w:cs="Arial"/>
          <w:i/>
          <w:iCs/>
          <w:color w:val="000000" w:themeColor="text1"/>
          <w:sz w:val="20"/>
          <w:szCs w:val="20"/>
          <w:lang w:eastAsia="en-AU"/>
        </w:rPr>
        <w:t>CPA</w:t>
      </w:r>
      <w:r w:rsidRPr="00947D7A">
        <w:rPr>
          <w:rFonts w:ascii="Arial" w:hAnsi="Arial" w:cs="Arial"/>
          <w:color w:val="000000" w:themeColor="text1"/>
          <w:sz w:val="20"/>
          <w:szCs w:val="20"/>
          <w:lang w:eastAsia="en-AU"/>
        </w:rPr>
        <w:t>: s </w:t>
      </w:r>
      <w:hyperlink r:id="rId25" w:history="1">
        <w:r w:rsidRPr="00947D7A">
          <w:rPr>
            <w:rFonts w:ascii="Arial" w:hAnsi="Arial" w:cs="Arial"/>
            <w:color w:val="000000" w:themeColor="text1"/>
            <w:sz w:val="20"/>
            <w:szCs w:val="20"/>
            <w:lang w:eastAsia="en-AU"/>
          </w:rPr>
          <w:t>6(3)(c)</w:t>
        </w:r>
      </w:hyperlink>
      <w:r w:rsidRPr="00947D7A">
        <w:rPr>
          <w:rFonts w:ascii="Arial" w:hAnsi="Arial" w:cs="Arial"/>
          <w:color w:val="000000" w:themeColor="text1"/>
          <w:sz w:val="20"/>
          <w:szCs w:val="20"/>
          <w:lang w:eastAsia="en-AU"/>
        </w:rPr>
        <w:t>. However, a charge-sheet that does not comply with sch 1 is not invalid simply by reason of that failure: s 9(1).</w:t>
      </w:r>
    </w:p>
    <w:p w14:paraId="0F3BE0CB" w14:textId="3B65A19D" w:rsidR="00947D7A" w:rsidRDefault="00947D7A" w:rsidP="00861283">
      <w:pPr>
        <w:spacing w:before="60"/>
        <w:ind w:left="924" w:right="567" w:hanging="357"/>
        <w:jc w:val="both"/>
        <w:rPr>
          <w:rFonts w:ascii="Arial" w:hAnsi="Arial" w:cs="Arial"/>
          <w:color w:val="000000" w:themeColor="text1"/>
          <w:sz w:val="20"/>
          <w:szCs w:val="20"/>
          <w:lang w:eastAsia="en-AU"/>
        </w:rPr>
      </w:pPr>
      <w:r w:rsidRPr="00947D7A">
        <w:rPr>
          <w:rFonts w:ascii="Arial" w:eastAsia="Book Antiqua" w:hAnsi="Arial" w:cs="Arial"/>
          <w:iCs/>
          <w:color w:val="000000" w:themeColor="text1"/>
          <w:sz w:val="20"/>
          <w:szCs w:val="22"/>
        </w:rPr>
        <w:t>(c)</w:t>
      </w:r>
      <w:r w:rsidRPr="00947D7A">
        <w:rPr>
          <w:rFonts w:ascii="Arial" w:eastAsia="Book Antiqua" w:hAnsi="Arial" w:cs="Arial"/>
          <w:iCs/>
          <w:color w:val="000000" w:themeColor="text1"/>
          <w:sz w:val="20"/>
          <w:szCs w:val="22"/>
        </w:rPr>
        <w:tab/>
      </w:r>
      <w:r w:rsidRPr="00947D7A">
        <w:rPr>
          <w:rFonts w:ascii="Arial" w:hAnsi="Arial" w:cs="Arial"/>
          <w:color w:val="000000" w:themeColor="text1"/>
          <w:sz w:val="20"/>
          <w:szCs w:val="20"/>
          <w:lang w:eastAsia="en-AU"/>
        </w:rPr>
        <w:t>Clause 1(b) of sch 1 supplies a statutory test for determining the adequacy of the particulars furnished as part of the charge: that it provides the particulars ‘necessary’ to provide ‘reasonable information’ about the ‘nature of the charge’. The common law informs the content of that statutory test. It is not necessary, in order to comply with cl 1(b), for the charge to set out all the matters that the prosecution may need to prove at trial.</w:t>
      </w:r>
    </w:p>
    <w:p w14:paraId="79CD3330" w14:textId="27F29A2E" w:rsidR="00947D7A" w:rsidRDefault="00947D7A" w:rsidP="00861283">
      <w:pPr>
        <w:spacing w:before="60"/>
        <w:ind w:left="924" w:right="567" w:hanging="357"/>
        <w:jc w:val="both"/>
        <w:rPr>
          <w:rFonts w:ascii="Arial" w:hAnsi="Arial" w:cs="Arial"/>
          <w:color w:val="000000" w:themeColor="text1"/>
          <w:sz w:val="20"/>
          <w:szCs w:val="20"/>
          <w:lang w:eastAsia="en-AU"/>
        </w:rPr>
      </w:pPr>
      <w:r>
        <w:rPr>
          <w:rFonts w:ascii="Arial" w:hAnsi="Arial" w:cs="Arial"/>
          <w:color w:val="000000" w:themeColor="text1"/>
          <w:sz w:val="20"/>
          <w:szCs w:val="20"/>
          <w:lang w:eastAsia="en-AU"/>
        </w:rPr>
        <w:t>(d)</w:t>
      </w:r>
      <w:r>
        <w:rPr>
          <w:rFonts w:ascii="Arial" w:hAnsi="Arial" w:cs="Arial"/>
          <w:color w:val="000000" w:themeColor="text1"/>
          <w:sz w:val="20"/>
          <w:szCs w:val="20"/>
          <w:lang w:eastAsia="en-AU"/>
        </w:rPr>
        <w:tab/>
      </w:r>
      <w:r w:rsidRPr="00947D7A">
        <w:rPr>
          <w:rFonts w:ascii="Arial" w:hAnsi="Arial" w:cs="Arial"/>
          <w:color w:val="000000" w:themeColor="text1"/>
          <w:sz w:val="20"/>
          <w:szCs w:val="20"/>
          <w:lang w:eastAsia="en-AU"/>
        </w:rPr>
        <w:t>A charge-sheet may contain an error and yet comply with cl 1 of sch 1. In such a case, a magistrate would have jurisdiction to hear and determine the charge without amendment. However, if an error of this kind is identified, it would usually be preferable for the charge-sheet to be amended to correct the error.</w:t>
      </w:r>
    </w:p>
    <w:p w14:paraId="0DA963C4" w14:textId="66147EBA" w:rsidR="00947D7A" w:rsidRDefault="00947D7A" w:rsidP="00861283">
      <w:pPr>
        <w:spacing w:before="60"/>
        <w:ind w:left="924" w:right="567" w:hanging="357"/>
        <w:jc w:val="both"/>
        <w:rPr>
          <w:rFonts w:ascii="Arial" w:hAnsi="Arial" w:cs="Arial"/>
          <w:color w:val="000000" w:themeColor="text1"/>
          <w:sz w:val="20"/>
          <w:szCs w:val="20"/>
          <w:lang w:eastAsia="en-AU"/>
        </w:rPr>
      </w:pPr>
      <w:r>
        <w:rPr>
          <w:rFonts w:ascii="Arial" w:eastAsia="Book Antiqua" w:hAnsi="Arial" w:cs="Arial"/>
          <w:iCs/>
          <w:color w:val="000000" w:themeColor="text1"/>
          <w:sz w:val="20"/>
          <w:szCs w:val="22"/>
        </w:rPr>
        <w:t>(e)</w:t>
      </w:r>
      <w:r>
        <w:rPr>
          <w:rFonts w:ascii="Arial" w:eastAsia="Book Antiqua" w:hAnsi="Arial" w:cs="Arial"/>
          <w:iCs/>
          <w:color w:val="000000" w:themeColor="text1"/>
          <w:sz w:val="20"/>
          <w:szCs w:val="22"/>
        </w:rPr>
        <w:tab/>
      </w:r>
      <w:r w:rsidRPr="00947D7A">
        <w:rPr>
          <w:rFonts w:ascii="Arial" w:hAnsi="Arial" w:cs="Arial"/>
          <w:color w:val="000000" w:themeColor="text1"/>
          <w:sz w:val="20"/>
          <w:szCs w:val="20"/>
          <w:lang w:eastAsia="en-AU"/>
        </w:rPr>
        <w:t>Where a charge-sheet or a charge fails to comply with cl 1 of sch </w:t>
      </w:r>
      <w:hyperlink r:id="rId26" w:history="1">
        <w:r w:rsidRPr="00947D7A">
          <w:rPr>
            <w:rFonts w:ascii="Arial" w:hAnsi="Arial" w:cs="Arial"/>
            <w:color w:val="000000" w:themeColor="text1"/>
            <w:sz w:val="20"/>
            <w:szCs w:val="20"/>
            <w:lang w:eastAsia="en-AU"/>
          </w:rPr>
          <w:t>1</w:t>
        </w:r>
      </w:hyperlink>
      <w:r w:rsidRPr="00947D7A">
        <w:rPr>
          <w:rFonts w:ascii="Arial" w:hAnsi="Arial" w:cs="Arial"/>
          <w:color w:val="000000" w:themeColor="text1"/>
          <w:sz w:val="20"/>
          <w:szCs w:val="20"/>
          <w:lang w:eastAsia="en-AU"/>
        </w:rPr>
        <w:t>, it may be able to be amended pursuant to s 8 of the </w:t>
      </w:r>
      <w:r w:rsidRPr="00947D7A">
        <w:rPr>
          <w:rFonts w:ascii="Arial" w:hAnsi="Arial" w:cs="Arial"/>
          <w:i/>
          <w:iCs/>
          <w:color w:val="000000" w:themeColor="text1"/>
          <w:sz w:val="20"/>
          <w:szCs w:val="20"/>
          <w:lang w:eastAsia="en-AU"/>
        </w:rPr>
        <w:t>CPA</w:t>
      </w:r>
      <w:r w:rsidRPr="00947D7A">
        <w:rPr>
          <w:rFonts w:ascii="Arial" w:hAnsi="Arial" w:cs="Arial"/>
          <w:color w:val="000000" w:themeColor="text1"/>
          <w:sz w:val="20"/>
          <w:szCs w:val="20"/>
          <w:lang w:eastAsia="en-AU"/>
        </w:rPr>
        <w:t>, subject to the limitations found in that section.</w:t>
      </w:r>
    </w:p>
    <w:p w14:paraId="6916F126" w14:textId="36132C56" w:rsidR="00947D7A" w:rsidRDefault="00947D7A" w:rsidP="00861283">
      <w:pPr>
        <w:spacing w:before="60"/>
        <w:ind w:left="924" w:right="567" w:hanging="357"/>
        <w:jc w:val="both"/>
        <w:rPr>
          <w:rFonts w:ascii="Arial" w:hAnsi="Arial" w:cs="Arial"/>
          <w:color w:val="000000" w:themeColor="text1"/>
          <w:sz w:val="20"/>
          <w:szCs w:val="20"/>
          <w:lang w:eastAsia="en-AU"/>
        </w:rPr>
      </w:pPr>
      <w:r>
        <w:rPr>
          <w:rFonts w:ascii="Arial" w:hAnsi="Arial" w:cs="Arial"/>
          <w:color w:val="000000" w:themeColor="text1"/>
          <w:sz w:val="20"/>
          <w:szCs w:val="20"/>
          <w:lang w:eastAsia="en-AU"/>
        </w:rPr>
        <w:t>(f)</w:t>
      </w:r>
      <w:r>
        <w:rPr>
          <w:rFonts w:ascii="Arial" w:hAnsi="Arial" w:cs="Arial"/>
          <w:color w:val="000000" w:themeColor="text1"/>
          <w:sz w:val="20"/>
          <w:szCs w:val="20"/>
          <w:lang w:eastAsia="en-AU"/>
        </w:rPr>
        <w:tab/>
      </w:r>
      <w:r w:rsidRPr="00947D7A">
        <w:rPr>
          <w:rFonts w:ascii="Arial" w:hAnsi="Arial" w:cs="Arial"/>
          <w:color w:val="000000" w:themeColor="text1"/>
          <w:sz w:val="20"/>
          <w:szCs w:val="20"/>
          <w:lang w:eastAsia="en-AU"/>
        </w:rPr>
        <w:t>A charge-sheet may be amended under s 8 of the </w:t>
      </w:r>
      <w:r w:rsidRPr="00947D7A">
        <w:rPr>
          <w:rFonts w:ascii="Arial" w:hAnsi="Arial" w:cs="Arial"/>
          <w:i/>
          <w:iCs/>
          <w:color w:val="000000" w:themeColor="text1"/>
          <w:sz w:val="20"/>
          <w:szCs w:val="20"/>
          <w:lang w:eastAsia="en-AU"/>
        </w:rPr>
        <w:t>CPA </w:t>
      </w:r>
      <w:r w:rsidRPr="00947D7A">
        <w:rPr>
          <w:rFonts w:ascii="Arial" w:hAnsi="Arial" w:cs="Arial"/>
          <w:color w:val="000000" w:themeColor="text1"/>
          <w:sz w:val="20"/>
          <w:szCs w:val="20"/>
          <w:lang w:eastAsia="en-AU"/>
        </w:rPr>
        <w:t>even if the charge fails to include an essential element of the offence or otherwise fails to disclose an offence known to law. More generally, the fact that a charge may have been invalid at common law does not mean that it cannot be amended under s 8 of the </w:t>
      </w:r>
      <w:r w:rsidRPr="00947D7A">
        <w:rPr>
          <w:rFonts w:ascii="Arial" w:hAnsi="Arial" w:cs="Arial"/>
          <w:i/>
          <w:iCs/>
          <w:color w:val="000000" w:themeColor="text1"/>
          <w:sz w:val="20"/>
          <w:szCs w:val="20"/>
          <w:lang w:eastAsia="en-AU"/>
        </w:rPr>
        <w:t>CPA</w:t>
      </w:r>
      <w:r w:rsidRPr="00947D7A">
        <w:rPr>
          <w:rFonts w:ascii="Arial" w:hAnsi="Arial" w:cs="Arial"/>
          <w:color w:val="000000" w:themeColor="text1"/>
          <w:sz w:val="20"/>
          <w:szCs w:val="20"/>
          <w:lang w:eastAsia="en-AU"/>
        </w:rPr>
        <w:t>.  However, such a charge would be ineffective unless amended.</w:t>
      </w:r>
    </w:p>
    <w:p w14:paraId="43D7EDDD" w14:textId="3201DA58" w:rsidR="00947D7A" w:rsidRDefault="00947D7A" w:rsidP="00861283">
      <w:pPr>
        <w:spacing w:before="60"/>
        <w:ind w:left="924" w:right="567" w:hanging="357"/>
        <w:jc w:val="both"/>
        <w:rPr>
          <w:rFonts w:ascii="Arial" w:hAnsi="Arial" w:cs="Arial"/>
          <w:color w:val="000000" w:themeColor="text1"/>
          <w:sz w:val="20"/>
          <w:szCs w:val="20"/>
          <w:lang w:eastAsia="en-AU"/>
        </w:rPr>
      </w:pPr>
      <w:r>
        <w:rPr>
          <w:rFonts w:ascii="Arial" w:hAnsi="Arial" w:cs="Arial"/>
          <w:color w:val="000000" w:themeColor="text1"/>
          <w:sz w:val="20"/>
          <w:szCs w:val="20"/>
          <w:lang w:eastAsia="en-AU"/>
        </w:rPr>
        <w:t>(g)</w:t>
      </w:r>
      <w:r>
        <w:rPr>
          <w:rFonts w:ascii="Arial" w:hAnsi="Arial" w:cs="Arial"/>
          <w:color w:val="000000" w:themeColor="text1"/>
          <w:sz w:val="20"/>
          <w:szCs w:val="20"/>
          <w:lang w:eastAsia="en-AU"/>
        </w:rPr>
        <w:tab/>
      </w:r>
      <w:r w:rsidRPr="00947D7A">
        <w:rPr>
          <w:rFonts w:ascii="Arial" w:hAnsi="Arial" w:cs="Arial"/>
          <w:color w:val="000000" w:themeColor="text1"/>
          <w:sz w:val="20"/>
          <w:szCs w:val="20"/>
          <w:lang w:eastAsia="en-AU"/>
        </w:rPr>
        <w:t>If the limitation period for the offence has not expired, the power of amendment is broad, but constrained by the requirement to ensure that there is no injustice to the accused: s 8(1). In those circumstances a charge-sheet can be amended in such a manner as to add a new charge.</w:t>
      </w:r>
    </w:p>
    <w:p w14:paraId="291F5708" w14:textId="163E52D0" w:rsidR="00947D7A" w:rsidRDefault="00947D7A" w:rsidP="003361A5">
      <w:pPr>
        <w:spacing w:before="60"/>
        <w:ind w:left="924" w:right="567" w:hanging="357"/>
        <w:jc w:val="both"/>
        <w:rPr>
          <w:rFonts w:ascii="Arial" w:hAnsi="Arial" w:cs="Arial"/>
          <w:color w:val="000000"/>
          <w:sz w:val="20"/>
          <w:szCs w:val="20"/>
          <w:lang w:eastAsia="en-AU"/>
        </w:rPr>
      </w:pPr>
      <w:r>
        <w:rPr>
          <w:rFonts w:ascii="Arial" w:hAnsi="Arial" w:cs="Arial"/>
          <w:color w:val="000000" w:themeColor="text1"/>
          <w:sz w:val="20"/>
          <w:szCs w:val="20"/>
          <w:lang w:eastAsia="en-AU"/>
        </w:rPr>
        <w:t>(h)</w:t>
      </w:r>
      <w:r>
        <w:rPr>
          <w:rFonts w:ascii="Arial" w:hAnsi="Arial" w:cs="Arial"/>
          <w:color w:val="000000" w:themeColor="text1"/>
          <w:sz w:val="20"/>
          <w:szCs w:val="20"/>
          <w:lang w:eastAsia="en-AU"/>
        </w:rPr>
        <w:tab/>
      </w:r>
      <w:r w:rsidRPr="003233D8">
        <w:rPr>
          <w:rFonts w:ascii="Arial" w:hAnsi="Arial" w:cs="Arial"/>
          <w:color w:val="000000"/>
          <w:sz w:val="20"/>
          <w:szCs w:val="20"/>
          <w:lang w:eastAsia="en-AU"/>
        </w:rPr>
        <w:t>If the limitation period for the offence has expired, there are greater constraints on the power to amend, namely:</w:t>
      </w:r>
    </w:p>
    <w:p w14:paraId="6FFBC0A3" w14:textId="4234BD83" w:rsidR="00947D7A" w:rsidRDefault="00947D7A" w:rsidP="00861283">
      <w:pPr>
        <w:spacing w:before="60"/>
        <w:ind w:left="1378" w:right="567" w:hanging="454"/>
        <w:jc w:val="both"/>
        <w:rPr>
          <w:rFonts w:ascii="Arial" w:hAnsi="Arial" w:cs="Arial"/>
          <w:color w:val="000000" w:themeColor="text1"/>
          <w:sz w:val="20"/>
          <w:szCs w:val="20"/>
          <w:lang w:eastAsia="en-AU"/>
        </w:rPr>
      </w:pPr>
      <w:r>
        <w:rPr>
          <w:rFonts w:ascii="Arial" w:eastAsia="Book Antiqua" w:hAnsi="Arial" w:cs="Arial"/>
          <w:iCs/>
          <w:color w:val="000000" w:themeColor="text1"/>
          <w:sz w:val="20"/>
          <w:szCs w:val="22"/>
        </w:rPr>
        <w:t>(i)</w:t>
      </w:r>
      <w:r>
        <w:rPr>
          <w:rFonts w:ascii="Arial" w:eastAsia="Book Antiqua" w:hAnsi="Arial" w:cs="Arial"/>
          <w:iCs/>
          <w:color w:val="000000" w:themeColor="text1"/>
          <w:sz w:val="20"/>
          <w:szCs w:val="22"/>
        </w:rPr>
        <w:tab/>
      </w:r>
      <w:r w:rsidRPr="00947D7A">
        <w:rPr>
          <w:rFonts w:ascii="Arial" w:hAnsi="Arial" w:cs="Arial"/>
          <w:color w:val="000000" w:themeColor="text1"/>
          <w:sz w:val="20"/>
          <w:szCs w:val="20"/>
          <w:lang w:eastAsia="en-AU"/>
        </w:rPr>
        <w:t>The unamended charge must sufficiently disclose the nature of the offence: s 8(4)(a). This is different from, and broader than, the requirements in cl 1 of sch 1 concerning the statement of the offence and the provision of reasonable information concerning the charge. The fact that a charge does not comply with cl 1 of sch 1 does not mean that the charge necessarily fails to sufficiently disclose the nature of the offence.</w:t>
      </w:r>
    </w:p>
    <w:p w14:paraId="51123F22" w14:textId="58631197" w:rsidR="00947D7A" w:rsidRDefault="00947D7A" w:rsidP="00861283">
      <w:pPr>
        <w:spacing w:before="60"/>
        <w:ind w:left="1378" w:right="567" w:hanging="454"/>
        <w:jc w:val="both"/>
        <w:rPr>
          <w:rFonts w:ascii="Arial" w:hAnsi="Arial" w:cs="Arial"/>
          <w:color w:val="000000" w:themeColor="text1"/>
          <w:sz w:val="20"/>
          <w:szCs w:val="20"/>
          <w:lang w:eastAsia="en-AU"/>
        </w:rPr>
      </w:pPr>
      <w:r>
        <w:rPr>
          <w:rFonts w:ascii="Arial" w:eastAsia="Book Antiqua" w:hAnsi="Arial" w:cs="Arial"/>
          <w:iCs/>
          <w:color w:val="000000" w:themeColor="text1"/>
          <w:sz w:val="20"/>
          <w:szCs w:val="22"/>
        </w:rPr>
        <w:t>(ii)</w:t>
      </w:r>
      <w:r>
        <w:rPr>
          <w:rFonts w:ascii="Arial" w:eastAsia="Book Antiqua" w:hAnsi="Arial" w:cs="Arial"/>
          <w:iCs/>
          <w:color w:val="000000" w:themeColor="text1"/>
          <w:sz w:val="20"/>
          <w:szCs w:val="22"/>
        </w:rPr>
        <w:tab/>
      </w:r>
      <w:r w:rsidRPr="00947D7A">
        <w:rPr>
          <w:rFonts w:ascii="Arial" w:hAnsi="Arial" w:cs="Arial"/>
          <w:color w:val="000000" w:themeColor="text1"/>
          <w:sz w:val="20"/>
          <w:szCs w:val="20"/>
          <w:lang w:eastAsia="en-AU"/>
        </w:rPr>
        <w:t>The amendment cannot amount to the commencement of a proceeding for a new offence: ss 8(3) and 8(4)(b). An amendment that cures a defect that would have caused a charge to be invalid at common law does not necessarily involve the commencement of a proceeding for a new offence. The fact that an amendment cures a failure to comply with cl 1 of sch 1 does not necessarily mean that it involves a proceeding of that kind. Whether an amendment amounts to the commencement of a proceeding for a new offence is a case-specific inquiry, and will require consideration of the particular offence initially alleged, compared with the offence alleged after the amendment.</w:t>
      </w:r>
    </w:p>
    <w:p w14:paraId="4F8646A4" w14:textId="7786FAC7" w:rsidR="00947D7A" w:rsidRPr="00947D7A" w:rsidRDefault="00947D7A" w:rsidP="00861283">
      <w:pPr>
        <w:spacing w:before="60"/>
        <w:ind w:left="1378" w:right="567" w:hanging="454"/>
        <w:jc w:val="both"/>
        <w:rPr>
          <w:rFonts w:ascii="Arial" w:eastAsia="Book Antiqua" w:hAnsi="Arial" w:cs="Arial"/>
          <w:iCs/>
          <w:color w:val="000000" w:themeColor="text1"/>
          <w:sz w:val="20"/>
          <w:szCs w:val="22"/>
        </w:rPr>
      </w:pPr>
      <w:r>
        <w:rPr>
          <w:rFonts w:ascii="Arial" w:hAnsi="Arial" w:cs="Arial"/>
          <w:color w:val="000000" w:themeColor="text1"/>
          <w:sz w:val="20"/>
          <w:szCs w:val="20"/>
          <w:lang w:eastAsia="en-AU"/>
        </w:rPr>
        <w:t>(iii)</w:t>
      </w:r>
      <w:r>
        <w:rPr>
          <w:rFonts w:ascii="Arial" w:hAnsi="Arial" w:cs="Arial"/>
          <w:color w:val="000000" w:themeColor="text1"/>
          <w:sz w:val="20"/>
          <w:szCs w:val="20"/>
          <w:lang w:eastAsia="en-AU"/>
        </w:rPr>
        <w:tab/>
      </w:r>
      <w:r w:rsidRPr="00947D7A">
        <w:rPr>
          <w:rFonts w:ascii="Arial" w:hAnsi="Arial" w:cs="Arial"/>
          <w:color w:val="000000" w:themeColor="text1"/>
          <w:sz w:val="20"/>
          <w:szCs w:val="20"/>
          <w:lang w:eastAsia="en-AU"/>
        </w:rPr>
        <w:t>The amendment cannot cause injustice to the accused: s 8(4)(c). Whether an amendment causes injustice to an accused will be a question of fact in each case.</w:t>
      </w:r>
    </w:p>
    <w:p w14:paraId="140FB923" w14:textId="454BD6AB" w:rsidR="00947D7A" w:rsidRDefault="00A8616C" w:rsidP="00591749">
      <w:pPr>
        <w:pStyle w:val="ListParagraph"/>
        <w:numPr>
          <w:ilvl w:val="0"/>
          <w:numId w:val="55"/>
        </w:numPr>
        <w:tabs>
          <w:tab w:val="clear" w:pos="780"/>
        </w:tabs>
        <w:spacing w:before="60" w:after="0" w:line="240" w:lineRule="auto"/>
        <w:ind w:left="924" w:right="567" w:hanging="357"/>
        <w:jc w:val="both"/>
        <w:rPr>
          <w:rFonts w:ascii="Arial" w:hAnsi="Arial" w:cs="Arial"/>
          <w:color w:val="000000"/>
          <w:sz w:val="20"/>
          <w:szCs w:val="20"/>
          <w:lang w:eastAsia="en-AU"/>
        </w:rPr>
      </w:pPr>
      <w:r w:rsidRPr="00A8616C">
        <w:rPr>
          <w:rFonts w:ascii="Arial" w:hAnsi="Arial" w:cs="Arial"/>
          <w:color w:val="000000"/>
          <w:sz w:val="20"/>
          <w:szCs w:val="20"/>
          <w:lang w:eastAsia="en-AU"/>
        </w:rPr>
        <w:lastRenderedPageBreak/>
        <w:t>A magistrate has a duty to consider whether to amend a charge-sheet even if no application is made to amend, and a power to amend the charge-sheet on his or her own motion.</w:t>
      </w:r>
      <w:r w:rsidR="00861283">
        <w:rPr>
          <w:rFonts w:ascii="Arial" w:hAnsi="Arial" w:cs="Arial"/>
          <w:color w:val="000000"/>
          <w:sz w:val="20"/>
          <w:szCs w:val="20"/>
          <w:lang w:eastAsia="en-AU"/>
        </w:rPr>
        <w:t xml:space="preserve">  Even where no application to amend has been made, if the power to amend is available then the prosecution ought to assist the magistrate in formulating an appropriate amendment.</w:t>
      </w:r>
    </w:p>
    <w:p w14:paraId="577E6AF8" w14:textId="77777777" w:rsidR="00A8616C" w:rsidRPr="00A8616C" w:rsidRDefault="00A8616C" w:rsidP="00861283">
      <w:pPr>
        <w:ind w:left="567" w:right="567"/>
        <w:jc w:val="both"/>
        <w:rPr>
          <w:rFonts w:ascii="Arial" w:hAnsi="Arial" w:cs="Arial"/>
          <w:color w:val="000000"/>
          <w:sz w:val="6"/>
          <w:szCs w:val="6"/>
          <w:lang w:eastAsia="en-AU"/>
        </w:rPr>
      </w:pPr>
    </w:p>
    <w:p w14:paraId="6112BD05" w14:textId="567E1AE3" w:rsidR="00A8616C" w:rsidRPr="00A8616C" w:rsidRDefault="00A8616C" w:rsidP="00591749">
      <w:pPr>
        <w:pStyle w:val="ListParagraph"/>
        <w:numPr>
          <w:ilvl w:val="0"/>
          <w:numId w:val="55"/>
        </w:numPr>
        <w:tabs>
          <w:tab w:val="clear" w:pos="780"/>
        </w:tabs>
        <w:spacing w:after="0" w:line="240" w:lineRule="auto"/>
        <w:ind w:left="924" w:right="567" w:hanging="357"/>
        <w:jc w:val="both"/>
        <w:rPr>
          <w:rFonts w:ascii="Arial" w:hAnsi="Arial" w:cs="Arial"/>
          <w:color w:val="000000"/>
          <w:sz w:val="20"/>
          <w:szCs w:val="20"/>
          <w:lang w:eastAsia="en-AU"/>
        </w:rPr>
      </w:pPr>
      <w:r w:rsidRPr="00A8616C">
        <w:rPr>
          <w:rFonts w:ascii="Arial" w:eastAsia="Times New Roman" w:hAnsi="Arial" w:cs="Arial"/>
          <w:color w:val="000000" w:themeColor="text1"/>
          <w:sz w:val="20"/>
          <w:szCs w:val="20"/>
          <w:lang w:eastAsia="en-AU"/>
        </w:rPr>
        <w:t>If a charge is ineffective and an amendment cannot be, or is not, made under s 8 then the charge should be dismissed</w:t>
      </w:r>
      <w:r>
        <w:rPr>
          <w:rFonts w:ascii="Arial" w:eastAsia="Times New Roman" w:hAnsi="Arial" w:cs="Arial"/>
          <w:color w:val="000000" w:themeColor="text1"/>
          <w:sz w:val="20"/>
          <w:szCs w:val="20"/>
          <w:lang w:eastAsia="en-AU"/>
        </w:rPr>
        <w:t>.</w:t>
      </w:r>
    </w:p>
    <w:p w14:paraId="5A1947BF" w14:textId="77777777" w:rsidR="00861283" w:rsidRPr="00861283" w:rsidRDefault="00861283" w:rsidP="003361A5">
      <w:pPr>
        <w:ind w:left="567"/>
        <w:jc w:val="both"/>
        <w:rPr>
          <w:rFonts w:ascii="Arial" w:hAnsi="Arial" w:cs="Arial"/>
          <w:color w:val="000000"/>
          <w:sz w:val="6"/>
          <w:szCs w:val="6"/>
          <w:lang w:eastAsia="en-AU"/>
        </w:rPr>
      </w:pPr>
    </w:p>
    <w:p w14:paraId="2D75AC05" w14:textId="1CD46682" w:rsidR="00947D7A" w:rsidRPr="00861283" w:rsidRDefault="00861283" w:rsidP="003361A5">
      <w:pPr>
        <w:shd w:val="clear" w:color="auto" w:fill="FFFFFF"/>
        <w:ind w:left="567" w:right="567"/>
        <w:jc w:val="both"/>
        <w:rPr>
          <w:rFonts w:ascii="Arial" w:hAnsi="Arial" w:cs="Arial"/>
          <w:color w:val="000000" w:themeColor="text1"/>
          <w:sz w:val="20"/>
          <w:szCs w:val="20"/>
          <w:lang w:eastAsia="en-AU"/>
        </w:rPr>
      </w:pPr>
      <w:r w:rsidRPr="00861283">
        <w:rPr>
          <w:rFonts w:ascii="Arial" w:hAnsi="Arial" w:cs="Arial"/>
          <w:color w:val="000000" w:themeColor="text1"/>
          <w:sz w:val="20"/>
          <w:szCs w:val="20"/>
          <w:lang w:eastAsia="en-AU"/>
        </w:rPr>
        <w:t xml:space="preserve">[74] </w:t>
      </w:r>
      <w:r w:rsidR="00947D7A" w:rsidRPr="00861283">
        <w:rPr>
          <w:rFonts w:ascii="Arial" w:hAnsi="Arial" w:cs="Arial"/>
          <w:color w:val="000000" w:themeColor="text1"/>
          <w:sz w:val="20"/>
          <w:szCs w:val="20"/>
          <w:lang w:eastAsia="en-AU"/>
        </w:rPr>
        <w:t>We also wish to emphasise that, when confronted with an argument that a charge or a charge-sheet is invalid, or should be dismissed because it fails to comply with cl 1(b) of sch 1, it will often be the case that the first step that a magistrate should take is to consider whether the issue that has been taken with the charge or charge-sheet can be addressed by amendment. It is only if the issue cannot be addressed by amendment that it would be appropriate for a magistrate to dismiss or strike out the charges (assuming the complaint about the charge has merit).</w:t>
      </w:r>
      <w:r>
        <w:rPr>
          <w:rFonts w:ascii="Arial" w:hAnsi="Arial" w:cs="Arial"/>
          <w:color w:val="000000" w:themeColor="text1"/>
          <w:sz w:val="20"/>
          <w:szCs w:val="20"/>
          <w:lang w:eastAsia="en-AU"/>
        </w:rPr>
        <w:t>”</w:t>
      </w:r>
    </w:p>
    <w:p w14:paraId="31F146ED" w14:textId="77777777" w:rsidR="007A059C" w:rsidRDefault="007A059C" w:rsidP="007A059C">
      <w:pPr>
        <w:jc w:val="both"/>
        <w:rPr>
          <w:rFonts w:ascii="Arial" w:hAnsi="Arial" w:cs="Arial"/>
          <w:color w:val="000000"/>
          <w:sz w:val="20"/>
          <w:szCs w:val="32"/>
        </w:rPr>
      </w:pPr>
    </w:p>
    <w:p w14:paraId="1EF6699C" w14:textId="4CFCDBD3" w:rsidR="00DB79DE" w:rsidRDefault="007A059C" w:rsidP="007A059C">
      <w:pPr>
        <w:spacing w:line="248" w:lineRule="auto"/>
        <w:ind w:left="27" w:right="1" w:hanging="10"/>
        <w:jc w:val="both"/>
        <w:rPr>
          <w:rFonts w:ascii="Arial" w:eastAsia="Book Antiqua" w:hAnsi="Arial" w:cs="Arial"/>
          <w:sz w:val="20"/>
          <w:szCs w:val="22"/>
        </w:rPr>
      </w:pPr>
      <w:r w:rsidRPr="00444BEA">
        <w:rPr>
          <w:rFonts w:ascii="Arial" w:hAnsi="Arial" w:cs="Arial"/>
          <w:color w:val="000000"/>
          <w:sz w:val="20"/>
          <w:szCs w:val="32"/>
        </w:rPr>
        <w:t xml:space="preserve">See also </w:t>
      </w:r>
      <w:r w:rsidRPr="00A878EB">
        <w:rPr>
          <w:rFonts w:ascii="Arial" w:eastAsia="Book Antiqua" w:hAnsi="Arial" w:cs="Arial"/>
          <w:i/>
          <w:sz w:val="20"/>
          <w:szCs w:val="22"/>
        </w:rPr>
        <w:t>DPP Reference No 2 of 2001</w:t>
      </w:r>
      <w:r w:rsidRPr="00A878EB">
        <w:rPr>
          <w:rFonts w:ascii="Arial" w:eastAsia="Book Antiqua" w:hAnsi="Arial" w:cs="Arial"/>
          <w:sz w:val="20"/>
          <w:szCs w:val="22"/>
        </w:rPr>
        <w:t xml:space="preserve"> (2001) 4</w:t>
      </w:r>
      <w:r>
        <w:rPr>
          <w:rFonts w:ascii="Arial" w:eastAsia="Book Antiqua" w:hAnsi="Arial" w:cs="Arial"/>
          <w:sz w:val="20"/>
          <w:szCs w:val="22"/>
        </w:rPr>
        <w:t> </w:t>
      </w:r>
      <w:r w:rsidRPr="00A878EB">
        <w:rPr>
          <w:rFonts w:ascii="Arial" w:eastAsia="Book Antiqua" w:hAnsi="Arial" w:cs="Arial"/>
          <w:sz w:val="20"/>
          <w:szCs w:val="22"/>
        </w:rPr>
        <w:t>VR 55; [2001] VSCA 114</w:t>
      </w:r>
      <w:r>
        <w:rPr>
          <w:rFonts w:ascii="Arial" w:eastAsia="Book Antiqua" w:hAnsi="Arial" w:cs="Arial"/>
          <w:sz w:val="20"/>
          <w:szCs w:val="22"/>
        </w:rPr>
        <w:t xml:space="preserve">; </w:t>
      </w:r>
      <w:r w:rsidRPr="00A878EB">
        <w:rPr>
          <w:rFonts w:ascii="Arial" w:eastAsia="Book Antiqua" w:hAnsi="Arial" w:cs="Arial"/>
          <w:i/>
          <w:sz w:val="20"/>
          <w:szCs w:val="22"/>
        </w:rPr>
        <w:t>John L Pty Ltd v Attorney General (N.S.W.)</w:t>
      </w:r>
      <w:r w:rsidRPr="00A878EB">
        <w:rPr>
          <w:rFonts w:ascii="Arial" w:eastAsia="Book Antiqua" w:hAnsi="Arial" w:cs="Arial"/>
          <w:sz w:val="20"/>
          <w:szCs w:val="22"/>
        </w:rPr>
        <w:t xml:space="preserve"> </w:t>
      </w:r>
      <w:r>
        <w:rPr>
          <w:rFonts w:ascii="Arial" w:eastAsia="Book Antiqua" w:hAnsi="Arial" w:cs="Arial"/>
          <w:sz w:val="20"/>
          <w:szCs w:val="22"/>
        </w:rPr>
        <w:t>(</w:t>
      </w:r>
      <w:r w:rsidRPr="00A878EB">
        <w:rPr>
          <w:rFonts w:ascii="Arial" w:eastAsia="Book Antiqua" w:hAnsi="Arial" w:cs="Arial"/>
          <w:sz w:val="20"/>
          <w:szCs w:val="22"/>
        </w:rPr>
        <w:t>1987</w:t>
      </w:r>
      <w:r>
        <w:rPr>
          <w:rFonts w:ascii="Arial" w:eastAsia="Book Antiqua" w:hAnsi="Arial" w:cs="Arial"/>
          <w:sz w:val="20"/>
          <w:szCs w:val="22"/>
        </w:rPr>
        <w:t>)</w:t>
      </w:r>
      <w:r w:rsidRPr="00A878EB">
        <w:rPr>
          <w:rFonts w:ascii="Arial" w:eastAsia="Book Antiqua" w:hAnsi="Arial" w:cs="Arial"/>
          <w:sz w:val="20"/>
          <w:szCs w:val="22"/>
        </w:rPr>
        <w:t xml:space="preserve"> 163 CLR 508</w:t>
      </w:r>
      <w:r>
        <w:rPr>
          <w:rFonts w:ascii="Arial" w:eastAsia="Book Antiqua" w:hAnsi="Arial" w:cs="Arial"/>
          <w:sz w:val="20"/>
          <w:szCs w:val="22"/>
        </w:rPr>
        <w:t>;</w:t>
      </w:r>
      <w:r w:rsidRPr="00A878EB">
        <w:rPr>
          <w:rFonts w:ascii="Arial" w:eastAsia="Book Antiqua" w:hAnsi="Arial" w:cs="Arial"/>
          <w:sz w:val="20"/>
          <w:szCs w:val="22"/>
        </w:rPr>
        <w:t xml:space="preserve"> </w:t>
      </w:r>
      <w:r w:rsidRPr="00A878EB">
        <w:rPr>
          <w:rFonts w:ascii="Arial" w:eastAsia="Book Antiqua" w:hAnsi="Arial" w:cs="Arial"/>
          <w:i/>
          <w:sz w:val="20"/>
          <w:szCs w:val="22"/>
        </w:rPr>
        <w:t>Johnson v Miller</w:t>
      </w:r>
      <w:r w:rsidRPr="00A878EB">
        <w:rPr>
          <w:rFonts w:ascii="Arial" w:eastAsia="Book Antiqua" w:hAnsi="Arial" w:cs="Arial"/>
          <w:sz w:val="20"/>
          <w:szCs w:val="22"/>
        </w:rPr>
        <w:t xml:space="preserve"> </w:t>
      </w:r>
      <w:r>
        <w:rPr>
          <w:rFonts w:ascii="Arial" w:eastAsia="Book Antiqua" w:hAnsi="Arial" w:cs="Arial"/>
          <w:sz w:val="20"/>
          <w:szCs w:val="22"/>
        </w:rPr>
        <w:t>(</w:t>
      </w:r>
      <w:r w:rsidRPr="00A878EB">
        <w:rPr>
          <w:rFonts w:ascii="Arial" w:eastAsia="Book Antiqua" w:hAnsi="Arial" w:cs="Arial"/>
          <w:sz w:val="20"/>
          <w:szCs w:val="22"/>
        </w:rPr>
        <w:t>1937</w:t>
      </w:r>
      <w:r>
        <w:rPr>
          <w:rFonts w:ascii="Arial" w:eastAsia="Book Antiqua" w:hAnsi="Arial" w:cs="Arial"/>
          <w:sz w:val="20"/>
          <w:szCs w:val="22"/>
        </w:rPr>
        <w:t>)</w:t>
      </w:r>
      <w:r w:rsidRPr="00A878EB">
        <w:rPr>
          <w:rFonts w:ascii="Arial" w:eastAsia="Book Antiqua" w:hAnsi="Arial" w:cs="Arial"/>
          <w:sz w:val="20"/>
          <w:szCs w:val="22"/>
        </w:rPr>
        <w:t xml:space="preserve"> </w:t>
      </w:r>
      <w:r>
        <w:rPr>
          <w:rFonts w:ascii="Arial" w:eastAsia="Book Antiqua" w:hAnsi="Arial" w:cs="Arial"/>
          <w:sz w:val="20"/>
          <w:szCs w:val="22"/>
        </w:rPr>
        <w:t xml:space="preserve">59 </w:t>
      </w:r>
      <w:r w:rsidRPr="00A878EB">
        <w:rPr>
          <w:rFonts w:ascii="Arial" w:eastAsia="Book Antiqua" w:hAnsi="Arial" w:cs="Arial"/>
          <w:sz w:val="20"/>
          <w:szCs w:val="22"/>
        </w:rPr>
        <w:t>CLR 467</w:t>
      </w:r>
      <w:r>
        <w:rPr>
          <w:rFonts w:ascii="Arial" w:eastAsia="Book Antiqua" w:hAnsi="Arial" w:cs="Arial"/>
          <w:sz w:val="20"/>
          <w:szCs w:val="22"/>
        </w:rPr>
        <w:t>;</w:t>
      </w:r>
      <w:r w:rsidRPr="00A878EB">
        <w:rPr>
          <w:rFonts w:ascii="Arial" w:eastAsia="Book Antiqua" w:hAnsi="Arial" w:cs="Arial"/>
          <w:sz w:val="20"/>
          <w:szCs w:val="22"/>
        </w:rPr>
        <w:t xml:space="preserve"> </w:t>
      </w:r>
      <w:r w:rsidRPr="00A878EB">
        <w:rPr>
          <w:rFonts w:ascii="Arial" w:eastAsia="Book Antiqua" w:hAnsi="Arial" w:cs="Arial"/>
          <w:i/>
          <w:sz w:val="20"/>
          <w:szCs w:val="22"/>
        </w:rPr>
        <w:t xml:space="preserve">Southgate Management Pty Ltd v Nitschke </w:t>
      </w:r>
      <w:r w:rsidRPr="00A878EB">
        <w:rPr>
          <w:rFonts w:ascii="Arial" w:eastAsia="Book Antiqua" w:hAnsi="Arial" w:cs="Arial"/>
          <w:sz w:val="20"/>
          <w:szCs w:val="22"/>
        </w:rPr>
        <w:t>[2018] VSC 236</w:t>
      </w:r>
      <w:r>
        <w:rPr>
          <w:rFonts w:ascii="Arial" w:eastAsia="Book Antiqua" w:hAnsi="Arial" w:cs="Arial"/>
          <w:sz w:val="20"/>
          <w:szCs w:val="22"/>
        </w:rPr>
        <w:t xml:space="preserve">; </w:t>
      </w:r>
      <w:r w:rsidRPr="00A878EB">
        <w:rPr>
          <w:rFonts w:ascii="Arial" w:eastAsia="Book Antiqua" w:hAnsi="Arial" w:cs="Arial"/>
          <w:i/>
          <w:sz w:val="20"/>
          <w:szCs w:val="22"/>
        </w:rPr>
        <w:t>Wells v Stillman &amp; Anor</w:t>
      </w:r>
      <w:r w:rsidRPr="00A878EB">
        <w:rPr>
          <w:rFonts w:ascii="Arial" w:eastAsia="Book Antiqua" w:hAnsi="Arial" w:cs="Arial"/>
          <w:sz w:val="20"/>
          <w:szCs w:val="22"/>
        </w:rPr>
        <w:t xml:space="preserve"> [2020] VSC 51</w:t>
      </w:r>
      <w:r>
        <w:rPr>
          <w:rFonts w:ascii="Arial" w:eastAsia="Book Antiqua" w:hAnsi="Arial" w:cs="Arial"/>
          <w:sz w:val="20"/>
          <w:szCs w:val="22"/>
        </w:rPr>
        <w:t xml:space="preserve">; </w:t>
      </w:r>
      <w:r w:rsidRPr="004E76DE">
        <w:rPr>
          <w:rFonts w:ascii="Arial" w:eastAsia="Book Antiqua" w:hAnsi="Arial" w:cs="Arial"/>
          <w:i/>
          <w:iCs/>
          <w:sz w:val="20"/>
          <w:szCs w:val="22"/>
        </w:rPr>
        <w:t>DPP v Fogarty</w:t>
      </w:r>
      <w:r>
        <w:rPr>
          <w:rFonts w:ascii="Arial" w:eastAsia="Book Antiqua" w:hAnsi="Arial" w:cs="Arial"/>
          <w:sz w:val="20"/>
          <w:szCs w:val="22"/>
        </w:rPr>
        <w:t xml:space="preserve"> [2021] VSC 392</w:t>
      </w:r>
      <w:r w:rsidR="00772A7B">
        <w:rPr>
          <w:rFonts w:ascii="Arial" w:eastAsia="Book Antiqua" w:hAnsi="Arial" w:cs="Arial"/>
          <w:sz w:val="20"/>
          <w:szCs w:val="22"/>
        </w:rPr>
        <w:t xml:space="preserve">; </w:t>
      </w:r>
      <w:bookmarkStart w:id="296" w:name="_Hlk108776205"/>
      <w:r w:rsidR="00772A7B" w:rsidRPr="00772A7B">
        <w:rPr>
          <w:rFonts w:ascii="Arial" w:eastAsia="Book Antiqua" w:hAnsi="Arial" w:cs="Arial"/>
          <w:i/>
          <w:iCs/>
          <w:sz w:val="20"/>
          <w:szCs w:val="22"/>
        </w:rPr>
        <w:t>Whedlock v Flaws</w:t>
      </w:r>
      <w:r w:rsidR="00772A7B">
        <w:rPr>
          <w:rFonts w:ascii="Arial" w:eastAsia="Book Antiqua" w:hAnsi="Arial" w:cs="Arial"/>
          <w:sz w:val="20"/>
          <w:szCs w:val="22"/>
        </w:rPr>
        <w:t xml:space="preserve"> [2022] VSC 359</w:t>
      </w:r>
      <w:bookmarkEnd w:id="296"/>
      <w:r w:rsidR="00003712">
        <w:rPr>
          <w:rFonts w:ascii="Arial" w:eastAsia="Book Antiqua" w:hAnsi="Arial" w:cs="Arial"/>
          <w:sz w:val="20"/>
          <w:szCs w:val="22"/>
        </w:rPr>
        <w:t xml:space="preserve">; </w:t>
      </w:r>
      <w:r w:rsidR="00003712" w:rsidRPr="00003712">
        <w:rPr>
          <w:rFonts w:ascii="Arial" w:eastAsia="Book Antiqua" w:hAnsi="Arial" w:cs="Arial"/>
          <w:i/>
          <w:iCs/>
          <w:sz w:val="20"/>
          <w:szCs w:val="22"/>
        </w:rPr>
        <w:t>DPP v Babacan (a pseudonym)</w:t>
      </w:r>
      <w:r w:rsidR="00003712">
        <w:rPr>
          <w:rFonts w:ascii="Arial" w:eastAsia="Book Antiqua" w:hAnsi="Arial" w:cs="Arial"/>
          <w:sz w:val="20"/>
          <w:szCs w:val="22"/>
        </w:rPr>
        <w:t xml:space="preserve"> [2024] VSCA 228</w:t>
      </w:r>
      <w:r w:rsidR="004A6706">
        <w:rPr>
          <w:rFonts w:ascii="Arial" w:eastAsia="Book Antiqua" w:hAnsi="Arial" w:cs="Arial"/>
          <w:sz w:val="20"/>
          <w:szCs w:val="22"/>
        </w:rPr>
        <w:t xml:space="preserve">; </w:t>
      </w:r>
      <w:bookmarkStart w:id="297" w:name="_Hlk193375602"/>
      <w:r w:rsidR="004A6706" w:rsidRPr="004A6706">
        <w:rPr>
          <w:rFonts w:ascii="Arial" w:eastAsia="Book Antiqua" w:hAnsi="Arial" w:cs="Arial"/>
          <w:i/>
          <w:iCs/>
          <w:sz w:val="20"/>
          <w:szCs w:val="22"/>
        </w:rPr>
        <w:t>Greater Shepparton City Council v The Magistrates’ Court of Victoria &amp; Anor</w:t>
      </w:r>
      <w:r w:rsidR="004A6706">
        <w:rPr>
          <w:rFonts w:ascii="Arial" w:eastAsia="Book Antiqua" w:hAnsi="Arial" w:cs="Arial"/>
          <w:sz w:val="20"/>
          <w:szCs w:val="22"/>
        </w:rPr>
        <w:t xml:space="preserve"> [2025] VSCA 33 at [32]-[51], [58]</w:t>
      </w:r>
      <w:r w:rsidR="004A6706">
        <w:rPr>
          <w:rFonts w:ascii="Arial" w:eastAsia="Book Antiqua" w:hAnsi="Arial" w:cs="Arial"/>
          <w:sz w:val="20"/>
          <w:szCs w:val="22"/>
        </w:rPr>
        <w:noBreakHyphen/>
        <w:t>[62] &amp; [70]-[73]</w:t>
      </w:r>
      <w:r w:rsidR="0029656D">
        <w:rPr>
          <w:rFonts w:ascii="Arial" w:eastAsia="Book Antiqua" w:hAnsi="Arial" w:cs="Arial"/>
          <w:sz w:val="20"/>
          <w:szCs w:val="22"/>
        </w:rPr>
        <w:t xml:space="preserve">; </w:t>
      </w:r>
      <w:r w:rsidR="0029656D" w:rsidRPr="0029656D">
        <w:rPr>
          <w:rFonts w:ascii="Arial" w:eastAsia="Book Antiqua" w:hAnsi="Arial" w:cs="Arial"/>
          <w:i/>
          <w:iCs/>
          <w:sz w:val="20"/>
          <w:szCs w:val="22"/>
        </w:rPr>
        <w:t>Andel v Carter</w:t>
      </w:r>
      <w:r w:rsidR="0029656D">
        <w:rPr>
          <w:rFonts w:ascii="Arial" w:eastAsia="Book Antiqua" w:hAnsi="Arial" w:cs="Arial"/>
          <w:sz w:val="20"/>
          <w:szCs w:val="22"/>
        </w:rPr>
        <w:t xml:space="preserve"> [2025] VSC 433</w:t>
      </w:r>
      <w:r w:rsidR="00DB79DE">
        <w:rPr>
          <w:rFonts w:ascii="Arial" w:eastAsia="Book Antiqua" w:hAnsi="Arial" w:cs="Arial"/>
          <w:sz w:val="20"/>
          <w:szCs w:val="22"/>
        </w:rPr>
        <w:t xml:space="preserve">; </w:t>
      </w:r>
      <w:bookmarkStart w:id="298" w:name="_Hlk206062573"/>
      <w:r w:rsidR="00DB79DE" w:rsidRPr="00DB79DE">
        <w:rPr>
          <w:rFonts w:ascii="Arial" w:eastAsia="Book Antiqua" w:hAnsi="Arial" w:cs="Arial"/>
          <w:i/>
          <w:iCs/>
          <w:sz w:val="20"/>
          <w:szCs w:val="22"/>
        </w:rPr>
        <w:t>DPP v Atalay</w:t>
      </w:r>
      <w:r w:rsidR="00DB79DE">
        <w:rPr>
          <w:rFonts w:ascii="Arial" w:eastAsia="Book Antiqua" w:hAnsi="Arial" w:cs="Arial"/>
          <w:sz w:val="20"/>
          <w:szCs w:val="22"/>
        </w:rPr>
        <w:t xml:space="preserve"> [2025] VSC 480</w:t>
      </w:r>
      <w:bookmarkEnd w:id="298"/>
      <w:r w:rsidR="00DB79DE">
        <w:rPr>
          <w:rFonts w:ascii="Arial" w:eastAsia="Book Antiqua" w:hAnsi="Arial" w:cs="Arial"/>
          <w:sz w:val="20"/>
          <w:szCs w:val="22"/>
        </w:rPr>
        <w:t>.</w:t>
      </w:r>
    </w:p>
    <w:bookmarkEnd w:id="297"/>
    <w:p w14:paraId="4B2AEC38" w14:textId="77777777" w:rsidR="00593FD1" w:rsidRDefault="00593FD1" w:rsidP="00624DEA">
      <w:pPr>
        <w:jc w:val="both"/>
        <w:rPr>
          <w:rFonts w:ascii="Arial" w:eastAsia="Book Antiqua" w:hAnsi="Arial" w:cs="Arial"/>
          <w:iCs/>
          <w:sz w:val="20"/>
          <w:szCs w:val="22"/>
        </w:rPr>
      </w:pPr>
    </w:p>
    <w:p w14:paraId="3601A6AB" w14:textId="20706AF2" w:rsidR="00E869E6" w:rsidRPr="00830DE2" w:rsidRDefault="00543C02" w:rsidP="00E869E6">
      <w:pPr>
        <w:pStyle w:val="Heading3"/>
        <w:keepNext/>
        <w:spacing w:after="120" w:line="240" w:lineRule="auto"/>
        <w:rPr>
          <w:rFonts w:ascii="Arial" w:hAnsi="Arial" w:cs="Arial"/>
          <w:b/>
          <w:bCs/>
          <w:color w:val="000000"/>
          <w:sz w:val="20"/>
          <w:lang w:val="en-US"/>
        </w:rPr>
      </w:pPr>
      <w:bookmarkStart w:id="299" w:name="_7.5.6_Venue_of"/>
      <w:bookmarkEnd w:id="299"/>
      <w:r w:rsidRPr="00F51496">
        <w:rPr>
          <w:rFonts w:ascii="Arial" w:hAnsi="Arial" w:cs="Arial"/>
          <w:b/>
          <w:bCs/>
          <w:color w:val="000000"/>
          <w:sz w:val="20"/>
        </w:rPr>
        <w:t>7.</w:t>
      </w:r>
      <w:r>
        <w:rPr>
          <w:rFonts w:ascii="Arial" w:hAnsi="Arial" w:cs="Arial"/>
          <w:b/>
          <w:bCs/>
          <w:color w:val="000000"/>
          <w:sz w:val="20"/>
        </w:rPr>
        <w:t>5</w:t>
      </w:r>
      <w:r w:rsidRPr="00F51496">
        <w:rPr>
          <w:rFonts w:ascii="Arial" w:hAnsi="Arial" w:cs="Arial"/>
          <w:b/>
          <w:bCs/>
          <w:color w:val="000000"/>
          <w:sz w:val="20"/>
        </w:rPr>
        <w:t>.</w:t>
      </w:r>
      <w:r w:rsidR="00DA2BA0">
        <w:rPr>
          <w:rFonts w:ascii="Arial" w:hAnsi="Arial" w:cs="Arial"/>
          <w:b/>
          <w:bCs/>
          <w:color w:val="000000"/>
          <w:sz w:val="20"/>
        </w:rPr>
        <w:t>6</w:t>
      </w:r>
      <w:r w:rsidRPr="00F51496">
        <w:rPr>
          <w:rFonts w:ascii="Arial" w:hAnsi="Arial" w:cs="Arial"/>
          <w:b/>
          <w:bCs/>
          <w:color w:val="000000"/>
          <w:sz w:val="20"/>
        </w:rPr>
        <w:tab/>
      </w:r>
      <w:r>
        <w:rPr>
          <w:rFonts w:ascii="Arial" w:hAnsi="Arial" w:cs="Arial"/>
          <w:b/>
          <w:bCs/>
          <w:color w:val="000000"/>
          <w:sz w:val="20"/>
        </w:rPr>
        <w:t>Venue</w:t>
      </w:r>
      <w:r w:rsidR="0090594D">
        <w:rPr>
          <w:rFonts w:ascii="Arial" w:hAnsi="Arial" w:cs="Arial"/>
          <w:b/>
          <w:bCs/>
          <w:color w:val="000000"/>
          <w:sz w:val="20"/>
        </w:rPr>
        <w:t xml:space="preserve"> of the Court</w:t>
      </w:r>
    </w:p>
    <w:p w14:paraId="54AA843C" w14:textId="7E77D514" w:rsidR="00D362EC" w:rsidRDefault="00D362EC" w:rsidP="00543C02">
      <w:pPr>
        <w:jc w:val="both"/>
        <w:rPr>
          <w:rFonts w:ascii="Arial" w:hAnsi="Arial" w:cs="Arial"/>
          <w:color w:val="000000"/>
          <w:sz w:val="20"/>
        </w:rPr>
      </w:pPr>
      <w:r>
        <w:rPr>
          <w:rFonts w:ascii="Arial" w:hAnsi="Arial" w:cs="Arial"/>
          <w:color w:val="000000"/>
          <w:sz w:val="20"/>
        </w:rPr>
        <w:t>Section 505 of the CYFA provides that the Court may sit at any time and place.</w:t>
      </w:r>
    </w:p>
    <w:p w14:paraId="09BB793C" w14:textId="77777777" w:rsidR="00D362EC" w:rsidRDefault="00D362EC" w:rsidP="00543C02">
      <w:pPr>
        <w:jc w:val="both"/>
        <w:rPr>
          <w:rFonts w:ascii="Arial" w:hAnsi="Arial" w:cs="Arial"/>
          <w:color w:val="000000"/>
          <w:sz w:val="20"/>
        </w:rPr>
      </w:pPr>
    </w:p>
    <w:p w14:paraId="7863B826" w14:textId="6DB39849" w:rsidR="00543C02" w:rsidRPr="00F51496" w:rsidRDefault="00543C02" w:rsidP="00543C02">
      <w:pPr>
        <w:jc w:val="both"/>
        <w:rPr>
          <w:rFonts w:ascii="Arial" w:hAnsi="Arial" w:cs="Arial"/>
          <w:color w:val="000000"/>
          <w:sz w:val="20"/>
        </w:rPr>
      </w:pPr>
      <w:r w:rsidRPr="00F51496">
        <w:rPr>
          <w:rFonts w:ascii="Arial" w:hAnsi="Arial" w:cs="Arial"/>
          <w:color w:val="000000"/>
          <w:sz w:val="20"/>
        </w:rPr>
        <w:t>In s.3(1) of the CYFA</w:t>
      </w:r>
      <w:r w:rsidR="00C23C75">
        <w:rPr>
          <w:rFonts w:ascii="Arial" w:hAnsi="Arial" w:cs="Arial"/>
          <w:color w:val="000000"/>
          <w:sz w:val="20"/>
        </w:rPr>
        <w:t xml:space="preserve"> and s.3(1) of the YJA</w:t>
      </w:r>
      <w:r w:rsidRPr="00F51496">
        <w:rPr>
          <w:rFonts w:ascii="Arial" w:hAnsi="Arial" w:cs="Arial"/>
          <w:color w:val="000000"/>
          <w:sz w:val="20"/>
        </w:rPr>
        <w:t>, the "proper venue", in relation to a proceeding in the Criminal Division, is the venue of the Court that is nearest to:</w:t>
      </w:r>
    </w:p>
    <w:p w14:paraId="249C7554" w14:textId="77777777" w:rsidR="00543C02" w:rsidRPr="00F51496" w:rsidRDefault="00543C02" w:rsidP="00D362EC">
      <w:pPr>
        <w:ind w:left="357" w:hanging="357"/>
        <w:jc w:val="both"/>
        <w:rPr>
          <w:rFonts w:ascii="Arial" w:hAnsi="Arial" w:cs="Arial"/>
          <w:color w:val="000000"/>
          <w:sz w:val="20"/>
        </w:rPr>
      </w:pPr>
      <w:r w:rsidRPr="00F51496">
        <w:rPr>
          <w:rFonts w:ascii="Arial" w:hAnsi="Arial" w:cs="Arial"/>
          <w:color w:val="000000"/>
          <w:sz w:val="20"/>
        </w:rPr>
        <w:t>(i)</w:t>
      </w:r>
      <w:r w:rsidRPr="00F51496">
        <w:rPr>
          <w:rFonts w:ascii="Arial" w:hAnsi="Arial" w:cs="Arial"/>
          <w:color w:val="000000"/>
          <w:sz w:val="20"/>
        </w:rPr>
        <w:tab/>
        <w:t>the place of residence of the child; or</w:t>
      </w:r>
    </w:p>
    <w:p w14:paraId="214DE42B" w14:textId="77777777" w:rsidR="00543C02" w:rsidRPr="00F51496" w:rsidRDefault="00543C02" w:rsidP="00D362EC">
      <w:pPr>
        <w:ind w:left="357" w:hanging="357"/>
        <w:jc w:val="both"/>
        <w:rPr>
          <w:rFonts w:ascii="Arial" w:hAnsi="Arial" w:cs="Arial"/>
          <w:color w:val="000000"/>
          <w:sz w:val="20"/>
        </w:rPr>
      </w:pPr>
      <w:r w:rsidRPr="00F51496">
        <w:rPr>
          <w:rFonts w:ascii="Arial" w:hAnsi="Arial" w:cs="Arial"/>
          <w:color w:val="000000"/>
          <w:sz w:val="20"/>
        </w:rPr>
        <w:t>(ii)</w:t>
      </w:r>
      <w:r w:rsidRPr="00F51496">
        <w:rPr>
          <w:rFonts w:ascii="Arial" w:hAnsi="Arial" w:cs="Arial"/>
          <w:color w:val="000000"/>
          <w:sz w:val="20"/>
        </w:rPr>
        <w:tab/>
        <w:t>the place where the offence is alleged to have been committed.</w:t>
      </w:r>
    </w:p>
    <w:p w14:paraId="4437187E" w14:textId="77777777" w:rsidR="00543C02" w:rsidRPr="00F51496" w:rsidRDefault="00543C02" w:rsidP="00543C02">
      <w:pPr>
        <w:jc w:val="both"/>
        <w:rPr>
          <w:rFonts w:ascii="Arial" w:hAnsi="Arial" w:cs="Arial"/>
          <w:color w:val="000000"/>
          <w:sz w:val="20"/>
        </w:rPr>
      </w:pPr>
      <w:r w:rsidRPr="00F51496">
        <w:rPr>
          <w:rFonts w:ascii="Arial" w:hAnsi="Arial" w:cs="Arial"/>
          <w:color w:val="000000"/>
          <w:sz w:val="20"/>
        </w:rPr>
        <w:t>'Appropriate registrar' means the registrar at the proper venue of the Court.</w:t>
      </w:r>
    </w:p>
    <w:p w14:paraId="215138AF" w14:textId="77777777" w:rsidR="001D108B" w:rsidRDefault="001D108B" w:rsidP="00543C02">
      <w:pPr>
        <w:jc w:val="both"/>
        <w:rPr>
          <w:rFonts w:ascii="Arial" w:hAnsi="Arial" w:cs="Arial"/>
          <w:color w:val="000000"/>
          <w:sz w:val="20"/>
        </w:rPr>
      </w:pPr>
    </w:p>
    <w:p w14:paraId="2A57C90A" w14:textId="2BB10FDE" w:rsidR="001D108B" w:rsidRDefault="001D108B" w:rsidP="00543C02">
      <w:pPr>
        <w:jc w:val="both"/>
        <w:rPr>
          <w:rFonts w:ascii="Arial" w:hAnsi="Arial" w:cs="Arial"/>
          <w:color w:val="000000"/>
          <w:sz w:val="20"/>
        </w:rPr>
      </w:pPr>
      <w:r>
        <w:rPr>
          <w:rFonts w:ascii="Arial" w:hAnsi="Arial" w:cs="Arial"/>
          <w:color w:val="000000"/>
          <w:sz w:val="20"/>
        </w:rPr>
        <w:t>Section 505A</w:t>
      </w:r>
      <w:r w:rsidR="0090594D">
        <w:rPr>
          <w:rFonts w:ascii="Arial" w:hAnsi="Arial" w:cs="Arial"/>
          <w:color w:val="000000"/>
          <w:sz w:val="20"/>
        </w:rPr>
        <w:t>(1)</w:t>
      </w:r>
      <w:r>
        <w:rPr>
          <w:rFonts w:ascii="Arial" w:hAnsi="Arial" w:cs="Arial"/>
          <w:color w:val="000000"/>
          <w:sz w:val="20"/>
        </w:rPr>
        <w:t xml:space="preserve"> </w:t>
      </w:r>
      <w:r w:rsidR="00C23C75">
        <w:rPr>
          <w:rFonts w:ascii="Arial" w:hAnsi="Arial" w:cs="Arial"/>
          <w:color w:val="000000"/>
          <w:sz w:val="20"/>
        </w:rPr>
        <w:t xml:space="preserve">CYFA </w:t>
      </w:r>
      <w:r>
        <w:rPr>
          <w:rFonts w:ascii="Arial" w:hAnsi="Arial" w:cs="Arial"/>
          <w:color w:val="000000"/>
          <w:sz w:val="20"/>
        </w:rPr>
        <w:t xml:space="preserve">provides that without limiting s.505, the Court may order that a hearing be held at an appropriate place that is not the “proper venue” for the hearing if the Court </w:t>
      </w:r>
      <w:r w:rsidR="0090594D">
        <w:rPr>
          <w:rFonts w:ascii="Arial" w:hAnsi="Arial" w:cs="Arial"/>
          <w:color w:val="000000"/>
          <w:sz w:val="20"/>
        </w:rPr>
        <w:t>considers that</w:t>
      </w:r>
      <w:r w:rsidR="00235652">
        <w:rPr>
          <w:rFonts w:ascii="Arial" w:hAnsi="Arial" w:cs="Arial"/>
          <w:color w:val="000000"/>
          <w:sz w:val="20"/>
        </w:rPr>
        <w:t>–</w:t>
      </w:r>
    </w:p>
    <w:p w14:paraId="77DEC6C0" w14:textId="793B056F" w:rsidR="0090594D" w:rsidRDefault="0090594D" w:rsidP="00591749">
      <w:pPr>
        <w:numPr>
          <w:ilvl w:val="0"/>
          <w:numId w:val="51"/>
        </w:numPr>
        <w:ind w:left="357" w:hanging="357"/>
        <w:jc w:val="both"/>
        <w:rPr>
          <w:rFonts w:ascii="Arial" w:hAnsi="Arial" w:cs="Arial"/>
          <w:color w:val="000000"/>
          <w:sz w:val="20"/>
        </w:rPr>
      </w:pPr>
      <w:r>
        <w:rPr>
          <w:rFonts w:ascii="Arial" w:hAnsi="Arial" w:cs="Arial"/>
          <w:color w:val="000000"/>
          <w:sz w:val="20"/>
        </w:rPr>
        <w:t>for any reason it is appropriate that the hearing not be held at the proper venue; and</w:t>
      </w:r>
    </w:p>
    <w:p w14:paraId="684C7D91" w14:textId="764CF2E7" w:rsidR="0090594D" w:rsidRDefault="0090594D" w:rsidP="00591749">
      <w:pPr>
        <w:numPr>
          <w:ilvl w:val="0"/>
          <w:numId w:val="51"/>
        </w:numPr>
        <w:ind w:left="357" w:hanging="357"/>
        <w:jc w:val="both"/>
        <w:rPr>
          <w:rFonts w:ascii="Arial" w:hAnsi="Arial" w:cs="Arial"/>
          <w:color w:val="000000"/>
          <w:sz w:val="20"/>
        </w:rPr>
      </w:pPr>
      <w:r>
        <w:rPr>
          <w:rFonts w:ascii="Arial" w:hAnsi="Arial" w:cs="Arial"/>
          <w:color w:val="000000"/>
          <w:sz w:val="20"/>
        </w:rPr>
        <w:t>it is in the interests of justice that the hearing not be held at the proper venue.</w:t>
      </w:r>
    </w:p>
    <w:p w14:paraId="10EF3268" w14:textId="5A8BE759" w:rsidR="001D108B" w:rsidRDefault="001D108B" w:rsidP="00543C02">
      <w:pPr>
        <w:jc w:val="both"/>
        <w:rPr>
          <w:rFonts w:ascii="Arial" w:hAnsi="Arial" w:cs="Arial"/>
          <w:color w:val="000000"/>
          <w:sz w:val="20"/>
        </w:rPr>
      </w:pPr>
    </w:p>
    <w:p w14:paraId="44371C5F" w14:textId="44802CCB" w:rsidR="0090594D" w:rsidRDefault="0090594D" w:rsidP="00543C02">
      <w:pPr>
        <w:jc w:val="both"/>
        <w:rPr>
          <w:rFonts w:ascii="Arial" w:hAnsi="Arial" w:cs="Arial"/>
          <w:color w:val="000000"/>
          <w:sz w:val="20"/>
        </w:rPr>
      </w:pPr>
      <w:r>
        <w:rPr>
          <w:rFonts w:ascii="Arial" w:hAnsi="Arial" w:cs="Arial"/>
          <w:color w:val="000000"/>
          <w:sz w:val="20"/>
        </w:rPr>
        <w:t xml:space="preserve">Section 505A(2) </w:t>
      </w:r>
      <w:r w:rsidR="00C23C75">
        <w:rPr>
          <w:rFonts w:ascii="Arial" w:hAnsi="Arial" w:cs="Arial"/>
          <w:color w:val="000000"/>
          <w:sz w:val="20"/>
        </w:rPr>
        <w:t xml:space="preserve">CYFA </w:t>
      </w:r>
      <w:r>
        <w:rPr>
          <w:rFonts w:ascii="Arial" w:hAnsi="Arial" w:cs="Arial"/>
          <w:color w:val="000000"/>
          <w:sz w:val="20"/>
        </w:rPr>
        <w:t>provides that in determining an appropriate place to hold a hearing</w:t>
      </w:r>
      <w:r w:rsidR="00D362EC">
        <w:rPr>
          <w:rFonts w:ascii="Arial" w:hAnsi="Arial" w:cs="Arial"/>
          <w:color w:val="000000"/>
          <w:sz w:val="20"/>
        </w:rPr>
        <w:t>, the Court must first have regard to</w:t>
      </w:r>
      <w:r w:rsidR="00235652">
        <w:rPr>
          <w:rFonts w:ascii="Arial" w:hAnsi="Arial" w:cs="Arial"/>
          <w:color w:val="000000"/>
          <w:sz w:val="20"/>
        </w:rPr>
        <w:t>–</w:t>
      </w:r>
    </w:p>
    <w:p w14:paraId="664B8220" w14:textId="7A232508" w:rsidR="00D362EC" w:rsidRDefault="00D362EC" w:rsidP="00591749">
      <w:pPr>
        <w:numPr>
          <w:ilvl w:val="0"/>
          <w:numId w:val="52"/>
        </w:numPr>
        <w:ind w:left="357" w:hanging="357"/>
        <w:jc w:val="both"/>
        <w:rPr>
          <w:rFonts w:ascii="Arial" w:hAnsi="Arial" w:cs="Arial"/>
          <w:color w:val="000000"/>
          <w:sz w:val="20"/>
        </w:rPr>
      </w:pPr>
      <w:r>
        <w:rPr>
          <w:rFonts w:ascii="Arial" w:hAnsi="Arial" w:cs="Arial"/>
          <w:color w:val="000000"/>
          <w:sz w:val="20"/>
        </w:rPr>
        <w:t>places closest to the proper venue for the hearing; and</w:t>
      </w:r>
    </w:p>
    <w:p w14:paraId="3150A921" w14:textId="56A15DCA" w:rsidR="00D362EC" w:rsidRDefault="00D362EC" w:rsidP="00591749">
      <w:pPr>
        <w:numPr>
          <w:ilvl w:val="0"/>
          <w:numId w:val="52"/>
        </w:numPr>
        <w:ind w:left="357" w:hanging="357"/>
        <w:jc w:val="both"/>
        <w:rPr>
          <w:rFonts w:ascii="Arial" w:hAnsi="Arial" w:cs="Arial"/>
          <w:color w:val="000000"/>
          <w:sz w:val="20"/>
        </w:rPr>
      </w:pPr>
      <w:r>
        <w:rPr>
          <w:rFonts w:ascii="Arial" w:hAnsi="Arial" w:cs="Arial"/>
          <w:color w:val="000000"/>
          <w:sz w:val="20"/>
        </w:rPr>
        <w:t>the views of the parties to the proceeding.</w:t>
      </w:r>
    </w:p>
    <w:p w14:paraId="1A62FCAD" w14:textId="77777777" w:rsidR="0090594D" w:rsidRDefault="0090594D" w:rsidP="00543C02">
      <w:pPr>
        <w:jc w:val="both"/>
        <w:rPr>
          <w:rFonts w:ascii="Arial" w:hAnsi="Arial" w:cs="Arial"/>
          <w:color w:val="000000"/>
          <w:sz w:val="20"/>
        </w:rPr>
      </w:pPr>
    </w:p>
    <w:p w14:paraId="10B36F92" w14:textId="04C83D95" w:rsidR="00543C02" w:rsidRDefault="00543C02" w:rsidP="00543C02">
      <w:pPr>
        <w:jc w:val="both"/>
        <w:rPr>
          <w:rFonts w:ascii="Arial" w:hAnsi="Arial" w:cs="Arial"/>
          <w:color w:val="000000"/>
          <w:sz w:val="20"/>
        </w:rPr>
      </w:pPr>
      <w:r w:rsidRPr="00F51496">
        <w:rPr>
          <w:rFonts w:ascii="Arial" w:hAnsi="Arial" w:cs="Arial"/>
          <w:color w:val="000000"/>
          <w:sz w:val="20"/>
        </w:rPr>
        <w:t>Compare s.11 of the CPA relating to the appropriate place of hearing of a criminal proce</w:t>
      </w:r>
      <w:r>
        <w:rPr>
          <w:rFonts w:ascii="Arial" w:hAnsi="Arial" w:cs="Arial"/>
          <w:color w:val="000000"/>
          <w:sz w:val="20"/>
        </w:rPr>
        <w:t xml:space="preserve">eding in the Magistrates’ Court.  See also </w:t>
      </w:r>
      <w:r w:rsidRPr="00935042">
        <w:rPr>
          <w:rFonts w:ascii="Arial" w:hAnsi="Arial" w:cs="Arial"/>
          <w:i/>
          <w:color w:val="000000"/>
          <w:sz w:val="20"/>
        </w:rPr>
        <w:t>Rossi v Martland</w:t>
      </w:r>
      <w:r>
        <w:rPr>
          <w:rFonts w:ascii="Arial" w:hAnsi="Arial" w:cs="Arial"/>
          <w:color w:val="000000"/>
          <w:sz w:val="20"/>
        </w:rPr>
        <w:t xml:space="preserve"> (1994) 75 A Crim R 411 and compare </w:t>
      </w:r>
      <w:r w:rsidRPr="00D04051">
        <w:rPr>
          <w:rFonts w:ascii="Arial" w:hAnsi="Arial" w:cs="Arial"/>
          <w:b/>
          <w:bCs/>
          <w:color w:val="000000"/>
          <w:sz w:val="20"/>
          <w:shd w:val="clear" w:color="auto" w:fill="C5E0B3"/>
        </w:rPr>
        <w:t>section 7.11.5</w:t>
      </w:r>
      <w:r>
        <w:rPr>
          <w:rFonts w:ascii="Arial" w:hAnsi="Arial" w:cs="Arial"/>
          <w:color w:val="000000"/>
          <w:sz w:val="20"/>
        </w:rPr>
        <w:t xml:space="preserve"> for the relationship between “proper venue” for a mainstream court and “proper venue” for Koori Court.</w:t>
      </w:r>
    </w:p>
    <w:p w14:paraId="7DCADD79" w14:textId="77777777" w:rsidR="000D66B2" w:rsidRPr="0042172C" w:rsidRDefault="000D66B2" w:rsidP="000D66B2">
      <w:pPr>
        <w:jc w:val="both"/>
        <w:rPr>
          <w:rFonts w:ascii="Arial" w:eastAsia="Book Antiqua" w:hAnsi="Arial" w:cs="Arial"/>
          <w:iCs/>
          <w:sz w:val="20"/>
          <w:szCs w:val="22"/>
        </w:rPr>
      </w:pPr>
    </w:p>
    <w:p w14:paraId="6A9F647D" w14:textId="2B9ECBA6" w:rsidR="000D66B2" w:rsidRPr="00830DE2" w:rsidRDefault="000D66B2" w:rsidP="000D66B2">
      <w:pPr>
        <w:pStyle w:val="Heading3"/>
        <w:keepNext/>
        <w:spacing w:after="120" w:line="240" w:lineRule="auto"/>
        <w:rPr>
          <w:rFonts w:ascii="Arial" w:hAnsi="Arial" w:cs="Arial"/>
          <w:b/>
          <w:bCs/>
          <w:color w:val="000000"/>
          <w:sz w:val="20"/>
          <w:lang w:val="en-US"/>
        </w:rPr>
      </w:pPr>
      <w:bookmarkStart w:id="300" w:name="_7.5.7_Criminal_Division"/>
      <w:bookmarkEnd w:id="300"/>
      <w:r w:rsidRPr="00F51496">
        <w:rPr>
          <w:rFonts w:ascii="Arial" w:hAnsi="Arial" w:cs="Arial"/>
          <w:b/>
          <w:bCs/>
          <w:color w:val="000000"/>
          <w:sz w:val="20"/>
        </w:rPr>
        <w:t>7.</w:t>
      </w:r>
      <w:r>
        <w:rPr>
          <w:rFonts w:ascii="Arial" w:hAnsi="Arial" w:cs="Arial"/>
          <w:b/>
          <w:bCs/>
          <w:color w:val="000000"/>
          <w:sz w:val="20"/>
        </w:rPr>
        <w:t>5</w:t>
      </w:r>
      <w:r w:rsidRPr="00F51496">
        <w:rPr>
          <w:rFonts w:ascii="Arial" w:hAnsi="Arial" w:cs="Arial"/>
          <w:b/>
          <w:bCs/>
          <w:color w:val="000000"/>
          <w:sz w:val="20"/>
        </w:rPr>
        <w:t>.</w:t>
      </w:r>
      <w:r w:rsidR="00DA2BA0">
        <w:rPr>
          <w:rFonts w:ascii="Arial" w:hAnsi="Arial" w:cs="Arial"/>
          <w:b/>
          <w:bCs/>
          <w:color w:val="000000"/>
          <w:sz w:val="20"/>
        </w:rPr>
        <w:t>7</w:t>
      </w:r>
      <w:r w:rsidRPr="00F51496">
        <w:rPr>
          <w:rFonts w:ascii="Arial" w:hAnsi="Arial" w:cs="Arial"/>
          <w:b/>
          <w:bCs/>
          <w:color w:val="000000"/>
          <w:sz w:val="20"/>
        </w:rPr>
        <w:tab/>
      </w:r>
      <w:r>
        <w:rPr>
          <w:rFonts w:ascii="Arial" w:hAnsi="Arial" w:cs="Arial"/>
          <w:b/>
          <w:bCs/>
          <w:color w:val="000000"/>
          <w:sz w:val="20"/>
        </w:rPr>
        <w:t>Criminal Division processing statistics</w:t>
      </w:r>
      <w:r w:rsidR="00D0058B">
        <w:rPr>
          <w:rFonts w:ascii="Arial" w:hAnsi="Arial" w:cs="Arial"/>
          <w:b/>
          <w:bCs/>
          <w:color w:val="000000"/>
          <w:sz w:val="20"/>
        </w:rPr>
        <w:t xml:space="preserve"> (excluding CAYPINS)</w:t>
      </w:r>
    </w:p>
    <w:p w14:paraId="07B6562B" w14:textId="35AD0A3F" w:rsidR="005B5F7A" w:rsidRDefault="005B5F7A" w:rsidP="00543C02">
      <w:pPr>
        <w:jc w:val="both"/>
        <w:rPr>
          <w:rFonts w:ascii="Arial" w:hAnsi="Arial" w:cs="Arial"/>
          <w:color w:val="000000"/>
          <w:sz w:val="20"/>
        </w:rPr>
      </w:pPr>
      <w:r w:rsidRPr="00F563F4">
        <w:rPr>
          <w:rFonts w:ascii="Arial" w:hAnsi="Arial" w:cs="Arial"/>
          <w:b/>
          <w:bCs/>
          <w:color w:val="FFFFFF" w:themeColor="background1"/>
          <w:sz w:val="20"/>
          <w:shd w:val="clear" w:color="auto" w:fill="000000" w:themeFill="text1"/>
        </w:rPr>
        <w:t>Table 1A</w:t>
      </w:r>
      <w:r>
        <w:rPr>
          <w:rFonts w:ascii="Arial" w:hAnsi="Arial" w:cs="Arial"/>
          <w:color w:val="000000"/>
          <w:sz w:val="20"/>
        </w:rPr>
        <w:t xml:space="preserve"> shows the total number of </w:t>
      </w:r>
      <w:r w:rsidR="00F563F4">
        <w:rPr>
          <w:rFonts w:ascii="Arial" w:hAnsi="Arial" w:cs="Arial"/>
          <w:color w:val="000000"/>
          <w:sz w:val="20"/>
        </w:rPr>
        <w:t xml:space="preserve">criminal </w:t>
      </w:r>
      <w:r>
        <w:rPr>
          <w:rFonts w:ascii="Arial" w:hAnsi="Arial" w:cs="Arial"/>
          <w:color w:val="000000"/>
          <w:sz w:val="20"/>
        </w:rPr>
        <w:t xml:space="preserve">charges </w:t>
      </w:r>
      <w:r w:rsidR="00E06ADC">
        <w:rPr>
          <w:rFonts w:ascii="Arial" w:hAnsi="Arial" w:cs="Arial"/>
          <w:color w:val="000000"/>
          <w:sz w:val="20"/>
        </w:rPr>
        <w:t>(excluding the</w:t>
      </w:r>
      <w:r w:rsidR="00E06ADC" w:rsidRPr="00FC058B">
        <w:rPr>
          <w:rFonts w:ascii="Arial" w:hAnsi="Arial" w:cs="Arial"/>
          <w:color w:val="000000"/>
          <w:sz w:val="16"/>
          <w:szCs w:val="20"/>
        </w:rPr>
        <w:t xml:space="preserve"> </w:t>
      </w:r>
      <w:r w:rsidR="00E06ADC" w:rsidRPr="00FC058B">
        <w:rPr>
          <w:rFonts w:ascii="Arial" w:hAnsi="Arial" w:cs="Arial"/>
          <w:color w:val="000000"/>
          <w:sz w:val="20"/>
          <w:szCs w:val="20"/>
        </w:rPr>
        <w:t>Children and Young Persons Infringement Notice System</w:t>
      </w:r>
      <w:r w:rsidR="00E06ADC">
        <w:rPr>
          <w:rFonts w:ascii="Arial" w:hAnsi="Arial" w:cs="Arial"/>
          <w:color w:val="000000"/>
          <w:sz w:val="20"/>
        </w:rPr>
        <w:t xml:space="preserve">) </w:t>
      </w:r>
      <w:r>
        <w:rPr>
          <w:rFonts w:ascii="Arial" w:hAnsi="Arial" w:cs="Arial"/>
          <w:color w:val="000000"/>
          <w:sz w:val="20"/>
        </w:rPr>
        <w:t>initiated, finalised and pending in the Children’s Court Criminal Division for each of the financial years from 201</w:t>
      </w:r>
      <w:r w:rsidR="00A33272">
        <w:rPr>
          <w:rFonts w:ascii="Arial" w:hAnsi="Arial" w:cs="Arial"/>
          <w:color w:val="000000"/>
          <w:sz w:val="20"/>
        </w:rPr>
        <w:t>4</w:t>
      </w:r>
      <w:r>
        <w:rPr>
          <w:rFonts w:ascii="Arial" w:hAnsi="Arial" w:cs="Arial"/>
          <w:color w:val="000000"/>
          <w:sz w:val="20"/>
        </w:rPr>
        <w:t>/1</w:t>
      </w:r>
      <w:r w:rsidR="00A33272">
        <w:rPr>
          <w:rFonts w:ascii="Arial" w:hAnsi="Arial" w:cs="Arial"/>
          <w:color w:val="000000"/>
          <w:sz w:val="20"/>
        </w:rPr>
        <w:t>5</w:t>
      </w:r>
      <w:r>
        <w:rPr>
          <w:rFonts w:ascii="Arial" w:hAnsi="Arial" w:cs="Arial"/>
          <w:color w:val="000000"/>
          <w:sz w:val="20"/>
        </w:rPr>
        <w:t xml:space="preserve"> to 202</w:t>
      </w:r>
      <w:r w:rsidR="00A33272">
        <w:rPr>
          <w:rFonts w:ascii="Arial" w:hAnsi="Arial" w:cs="Arial"/>
          <w:color w:val="000000"/>
          <w:sz w:val="20"/>
        </w:rPr>
        <w:t>3</w:t>
      </w:r>
      <w:r>
        <w:rPr>
          <w:rFonts w:ascii="Arial" w:hAnsi="Arial" w:cs="Arial"/>
          <w:color w:val="000000"/>
          <w:sz w:val="20"/>
        </w:rPr>
        <w:t>/2</w:t>
      </w:r>
      <w:r w:rsidR="00A33272">
        <w:rPr>
          <w:rFonts w:ascii="Arial" w:hAnsi="Arial" w:cs="Arial"/>
          <w:color w:val="000000"/>
          <w:sz w:val="20"/>
        </w:rPr>
        <w:t>4</w:t>
      </w:r>
      <w:r>
        <w:rPr>
          <w:rFonts w:ascii="Arial" w:hAnsi="Arial" w:cs="Arial"/>
          <w:color w:val="000000"/>
          <w:sz w:val="20"/>
        </w:rPr>
        <w:t>.</w:t>
      </w:r>
    </w:p>
    <w:p w14:paraId="1A08BCE0" w14:textId="77777777" w:rsidR="005B5F7A" w:rsidRDefault="005B5F7A" w:rsidP="005B5F7A">
      <w:pPr>
        <w:jc w:val="both"/>
        <w:rPr>
          <w:rFonts w:ascii="Arial" w:hAnsi="Arial" w:cs="Arial"/>
          <w:color w:val="000000"/>
          <w:sz w:val="20"/>
        </w:rPr>
      </w:pPr>
    </w:p>
    <w:tbl>
      <w:tblPr>
        <w:tblStyle w:val="TableGrid"/>
        <w:tblW w:w="0" w:type="auto"/>
        <w:tblLook w:val="04A0" w:firstRow="1" w:lastRow="0" w:firstColumn="1" w:lastColumn="0" w:noHBand="0" w:noVBand="1"/>
      </w:tblPr>
      <w:tblGrid>
        <w:gridCol w:w="1510"/>
        <w:gridCol w:w="1506"/>
        <w:gridCol w:w="1506"/>
        <w:gridCol w:w="1506"/>
        <w:gridCol w:w="1506"/>
        <w:gridCol w:w="1506"/>
      </w:tblGrid>
      <w:tr w:rsidR="00F05F41" w:rsidRPr="00F05F41" w14:paraId="24E6452A" w14:textId="77777777" w:rsidTr="00A13504">
        <w:tc>
          <w:tcPr>
            <w:tcW w:w="9040" w:type="dxa"/>
            <w:gridSpan w:val="6"/>
            <w:tcBorders>
              <w:top w:val="nil"/>
              <w:left w:val="single" w:sz="12" w:space="0" w:color="auto"/>
              <w:bottom w:val="nil"/>
              <w:right w:val="single" w:sz="12" w:space="0" w:color="auto"/>
            </w:tcBorders>
            <w:shd w:val="clear" w:color="auto" w:fill="000000" w:themeFill="text1"/>
          </w:tcPr>
          <w:p w14:paraId="12E98D81" w14:textId="45344341" w:rsidR="00F05F41" w:rsidRPr="00F05F41" w:rsidRDefault="00F05F41" w:rsidP="005B5F7A">
            <w:pPr>
              <w:jc w:val="center"/>
              <w:rPr>
                <w:rFonts w:ascii="Arial" w:hAnsi="Arial" w:cs="Arial"/>
                <w:b/>
                <w:bCs/>
                <w:color w:val="FFFFFF" w:themeColor="background1"/>
                <w:szCs w:val="32"/>
              </w:rPr>
            </w:pPr>
            <w:r w:rsidRPr="00F05F41">
              <w:rPr>
                <w:rFonts w:ascii="Arial" w:hAnsi="Arial" w:cs="Arial"/>
                <w:b/>
                <w:bCs/>
                <w:color w:val="FFFFFF" w:themeColor="background1"/>
                <w:szCs w:val="32"/>
              </w:rPr>
              <w:t>TABLE 1A – CRIMINAL DIVISION MATTERS (excluding CAYPINS)</w:t>
            </w:r>
          </w:p>
        </w:tc>
      </w:tr>
      <w:tr w:rsidR="00A33272" w14:paraId="605A7F91" w14:textId="77777777" w:rsidTr="00F05F41">
        <w:tc>
          <w:tcPr>
            <w:tcW w:w="1510" w:type="dxa"/>
            <w:tcBorders>
              <w:top w:val="nil"/>
              <w:left w:val="single" w:sz="12" w:space="0" w:color="auto"/>
              <w:bottom w:val="nil"/>
              <w:right w:val="nil"/>
            </w:tcBorders>
            <w:shd w:val="clear" w:color="auto" w:fill="000000" w:themeFill="text1"/>
          </w:tcPr>
          <w:p w14:paraId="38F29E66" w14:textId="77777777" w:rsidR="00A33272" w:rsidRPr="005B5F7A" w:rsidRDefault="00A33272" w:rsidP="00A33272">
            <w:pPr>
              <w:jc w:val="center"/>
              <w:rPr>
                <w:rFonts w:ascii="Arial" w:hAnsi="Arial" w:cs="Arial"/>
                <w:b/>
                <w:bCs/>
                <w:color w:val="FFFFFF" w:themeColor="background1"/>
                <w:sz w:val="20"/>
              </w:rPr>
            </w:pPr>
          </w:p>
        </w:tc>
        <w:tc>
          <w:tcPr>
            <w:tcW w:w="1506" w:type="dxa"/>
            <w:tcBorders>
              <w:left w:val="nil"/>
            </w:tcBorders>
            <w:shd w:val="clear" w:color="auto" w:fill="000000" w:themeFill="text1"/>
          </w:tcPr>
          <w:p w14:paraId="4EB38B71" w14:textId="0D599A4E"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2014/15</w:t>
            </w:r>
          </w:p>
        </w:tc>
        <w:tc>
          <w:tcPr>
            <w:tcW w:w="1506" w:type="dxa"/>
            <w:shd w:val="clear" w:color="auto" w:fill="000000" w:themeFill="text1"/>
          </w:tcPr>
          <w:p w14:paraId="58F94677" w14:textId="418150CB"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2015/16</w:t>
            </w:r>
          </w:p>
        </w:tc>
        <w:tc>
          <w:tcPr>
            <w:tcW w:w="1506" w:type="dxa"/>
            <w:shd w:val="clear" w:color="auto" w:fill="000000" w:themeFill="text1"/>
          </w:tcPr>
          <w:p w14:paraId="6E1129F4" w14:textId="190546E7"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2016/17</w:t>
            </w:r>
          </w:p>
        </w:tc>
        <w:tc>
          <w:tcPr>
            <w:tcW w:w="1506" w:type="dxa"/>
            <w:shd w:val="clear" w:color="auto" w:fill="000000" w:themeFill="text1"/>
          </w:tcPr>
          <w:p w14:paraId="238376F8" w14:textId="7A7DC682"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2017/18</w:t>
            </w:r>
          </w:p>
        </w:tc>
        <w:tc>
          <w:tcPr>
            <w:tcW w:w="1506" w:type="dxa"/>
            <w:tcBorders>
              <w:right w:val="single" w:sz="12" w:space="0" w:color="auto"/>
            </w:tcBorders>
            <w:shd w:val="clear" w:color="auto" w:fill="000000" w:themeFill="text1"/>
          </w:tcPr>
          <w:p w14:paraId="0577CF5B" w14:textId="4131E83E"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201</w:t>
            </w:r>
            <w:r>
              <w:rPr>
                <w:rFonts w:ascii="Arial" w:hAnsi="Arial" w:cs="Arial"/>
                <w:b/>
                <w:bCs/>
                <w:color w:val="FFFFFF" w:themeColor="background1"/>
                <w:sz w:val="20"/>
              </w:rPr>
              <w:t>8</w:t>
            </w:r>
            <w:r w:rsidRPr="005B5F7A">
              <w:rPr>
                <w:rFonts w:ascii="Arial" w:hAnsi="Arial" w:cs="Arial"/>
                <w:b/>
                <w:bCs/>
                <w:color w:val="FFFFFF" w:themeColor="background1"/>
                <w:sz w:val="20"/>
              </w:rPr>
              <w:t>/1</w:t>
            </w:r>
            <w:r>
              <w:rPr>
                <w:rFonts w:ascii="Arial" w:hAnsi="Arial" w:cs="Arial"/>
                <w:b/>
                <w:bCs/>
                <w:color w:val="FFFFFF" w:themeColor="background1"/>
                <w:sz w:val="20"/>
              </w:rPr>
              <w:t>9</w:t>
            </w:r>
          </w:p>
        </w:tc>
      </w:tr>
      <w:tr w:rsidR="00A33272" w14:paraId="6829E5DF" w14:textId="77777777" w:rsidTr="00F05F41">
        <w:tc>
          <w:tcPr>
            <w:tcW w:w="1510" w:type="dxa"/>
            <w:tcBorders>
              <w:top w:val="nil"/>
              <w:left w:val="single" w:sz="12" w:space="0" w:color="auto"/>
              <w:bottom w:val="nil"/>
              <w:right w:val="nil"/>
            </w:tcBorders>
            <w:shd w:val="clear" w:color="auto" w:fill="DDDDDD"/>
          </w:tcPr>
          <w:p w14:paraId="0ADCCFA5" w14:textId="2501FC8A"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Initiations</w:t>
            </w:r>
          </w:p>
        </w:tc>
        <w:tc>
          <w:tcPr>
            <w:tcW w:w="1506" w:type="dxa"/>
            <w:tcBorders>
              <w:left w:val="nil"/>
            </w:tcBorders>
          </w:tcPr>
          <w:p w14:paraId="5416AAFB" w14:textId="46356B14"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10217</w:t>
            </w:r>
          </w:p>
        </w:tc>
        <w:tc>
          <w:tcPr>
            <w:tcW w:w="1506" w:type="dxa"/>
            <w:shd w:val="clear" w:color="auto" w:fill="DDDDDD"/>
          </w:tcPr>
          <w:p w14:paraId="04AA4850" w14:textId="0A59AFDE"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10014</w:t>
            </w:r>
          </w:p>
        </w:tc>
        <w:tc>
          <w:tcPr>
            <w:tcW w:w="1506" w:type="dxa"/>
          </w:tcPr>
          <w:p w14:paraId="13A4D279" w14:textId="2DBC83B5"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10477</w:t>
            </w:r>
          </w:p>
        </w:tc>
        <w:tc>
          <w:tcPr>
            <w:tcW w:w="1506" w:type="dxa"/>
            <w:shd w:val="clear" w:color="auto" w:fill="DDDDDD"/>
          </w:tcPr>
          <w:p w14:paraId="352B2248" w14:textId="3415891A"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9277</w:t>
            </w:r>
          </w:p>
        </w:tc>
        <w:tc>
          <w:tcPr>
            <w:tcW w:w="1506" w:type="dxa"/>
            <w:tcBorders>
              <w:right w:val="single" w:sz="12" w:space="0" w:color="auto"/>
            </w:tcBorders>
          </w:tcPr>
          <w:p w14:paraId="52CEF215" w14:textId="32A777C1"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9339</w:t>
            </w:r>
          </w:p>
        </w:tc>
      </w:tr>
      <w:tr w:rsidR="00A33272" w14:paraId="3581AFAF" w14:textId="77777777" w:rsidTr="00F05F41">
        <w:tc>
          <w:tcPr>
            <w:tcW w:w="1510" w:type="dxa"/>
            <w:tcBorders>
              <w:top w:val="nil"/>
              <w:left w:val="single" w:sz="12" w:space="0" w:color="auto"/>
              <w:bottom w:val="nil"/>
              <w:right w:val="nil"/>
            </w:tcBorders>
            <w:shd w:val="clear" w:color="auto" w:fill="DDDDDD"/>
          </w:tcPr>
          <w:p w14:paraId="2A64787A" w14:textId="6FBD0888"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Finalisations</w:t>
            </w:r>
          </w:p>
        </w:tc>
        <w:tc>
          <w:tcPr>
            <w:tcW w:w="1506" w:type="dxa"/>
            <w:tcBorders>
              <w:left w:val="nil"/>
            </w:tcBorders>
          </w:tcPr>
          <w:p w14:paraId="6B6E9957" w14:textId="393975D3"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11728</w:t>
            </w:r>
          </w:p>
        </w:tc>
        <w:tc>
          <w:tcPr>
            <w:tcW w:w="1506" w:type="dxa"/>
            <w:shd w:val="clear" w:color="auto" w:fill="DDDDDD"/>
          </w:tcPr>
          <w:p w14:paraId="0CFD8137" w14:textId="6C69EF26"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11555</w:t>
            </w:r>
          </w:p>
        </w:tc>
        <w:tc>
          <w:tcPr>
            <w:tcW w:w="1506" w:type="dxa"/>
          </w:tcPr>
          <w:p w14:paraId="7452CFF4" w14:textId="37087A4B"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12201</w:t>
            </w:r>
          </w:p>
        </w:tc>
        <w:tc>
          <w:tcPr>
            <w:tcW w:w="1506" w:type="dxa"/>
            <w:shd w:val="clear" w:color="auto" w:fill="DDDDDD"/>
          </w:tcPr>
          <w:p w14:paraId="2800AD97" w14:textId="5B4861E4"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9530</w:t>
            </w:r>
          </w:p>
        </w:tc>
        <w:tc>
          <w:tcPr>
            <w:tcW w:w="1506" w:type="dxa"/>
            <w:tcBorders>
              <w:right w:val="single" w:sz="12" w:space="0" w:color="auto"/>
            </w:tcBorders>
          </w:tcPr>
          <w:p w14:paraId="3D104DB3" w14:textId="5DA9E9CC"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9230</w:t>
            </w:r>
          </w:p>
        </w:tc>
      </w:tr>
      <w:tr w:rsidR="00A33272" w14:paraId="02549B54" w14:textId="77777777" w:rsidTr="00F05F41">
        <w:tc>
          <w:tcPr>
            <w:tcW w:w="1510" w:type="dxa"/>
            <w:tcBorders>
              <w:top w:val="nil"/>
              <w:left w:val="single" w:sz="12" w:space="0" w:color="auto"/>
              <w:bottom w:val="nil"/>
              <w:right w:val="nil"/>
            </w:tcBorders>
            <w:shd w:val="clear" w:color="auto" w:fill="DDDDDD"/>
          </w:tcPr>
          <w:p w14:paraId="4B3D9661" w14:textId="713D819D"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Pending</w:t>
            </w:r>
          </w:p>
        </w:tc>
        <w:tc>
          <w:tcPr>
            <w:tcW w:w="1506" w:type="dxa"/>
            <w:tcBorders>
              <w:left w:val="nil"/>
            </w:tcBorders>
          </w:tcPr>
          <w:p w14:paraId="14BEDDDC" w14:textId="02E04F15"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2389</w:t>
            </w:r>
          </w:p>
        </w:tc>
        <w:tc>
          <w:tcPr>
            <w:tcW w:w="1506" w:type="dxa"/>
            <w:shd w:val="clear" w:color="auto" w:fill="DDDDDD"/>
          </w:tcPr>
          <w:p w14:paraId="7951F37F" w14:textId="724697A4"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2452</w:t>
            </w:r>
          </w:p>
        </w:tc>
        <w:tc>
          <w:tcPr>
            <w:tcW w:w="1506" w:type="dxa"/>
          </w:tcPr>
          <w:p w14:paraId="57F74047" w14:textId="19346592"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2573</w:t>
            </w:r>
          </w:p>
        </w:tc>
        <w:tc>
          <w:tcPr>
            <w:tcW w:w="1506" w:type="dxa"/>
            <w:shd w:val="clear" w:color="auto" w:fill="DDDDDD"/>
          </w:tcPr>
          <w:p w14:paraId="4369C86C" w14:textId="0A294751"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1914</w:t>
            </w:r>
          </w:p>
        </w:tc>
        <w:tc>
          <w:tcPr>
            <w:tcW w:w="1506" w:type="dxa"/>
            <w:tcBorders>
              <w:right w:val="single" w:sz="12" w:space="0" w:color="auto"/>
            </w:tcBorders>
          </w:tcPr>
          <w:p w14:paraId="4C3AAEE6" w14:textId="5A7B2A46"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2400</w:t>
            </w:r>
          </w:p>
        </w:tc>
      </w:tr>
      <w:tr w:rsidR="00A33272" w14:paraId="4C92613B" w14:textId="77777777" w:rsidTr="00F05F41">
        <w:tc>
          <w:tcPr>
            <w:tcW w:w="1510" w:type="dxa"/>
            <w:tcBorders>
              <w:top w:val="nil"/>
              <w:left w:val="single" w:sz="12" w:space="0" w:color="auto"/>
              <w:bottom w:val="nil"/>
              <w:right w:val="nil"/>
            </w:tcBorders>
            <w:shd w:val="clear" w:color="auto" w:fill="000000" w:themeFill="text1"/>
          </w:tcPr>
          <w:p w14:paraId="723D7DCA" w14:textId="77777777" w:rsidR="00A33272" w:rsidRPr="00E06ADC" w:rsidRDefault="00A33272" w:rsidP="00A33272">
            <w:pPr>
              <w:jc w:val="center"/>
              <w:rPr>
                <w:rFonts w:ascii="Arial" w:hAnsi="Arial" w:cs="Arial"/>
                <w:b/>
                <w:bCs/>
                <w:color w:val="FFFFFF" w:themeColor="background1"/>
                <w:sz w:val="20"/>
              </w:rPr>
            </w:pPr>
          </w:p>
        </w:tc>
        <w:tc>
          <w:tcPr>
            <w:tcW w:w="1506" w:type="dxa"/>
            <w:tcBorders>
              <w:left w:val="nil"/>
            </w:tcBorders>
            <w:shd w:val="clear" w:color="auto" w:fill="000000" w:themeFill="text1"/>
          </w:tcPr>
          <w:p w14:paraId="3C0F9E2D" w14:textId="2BADD222"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201</w:t>
            </w:r>
            <w:r>
              <w:rPr>
                <w:rFonts w:ascii="Arial" w:hAnsi="Arial" w:cs="Arial"/>
                <w:b/>
                <w:bCs/>
                <w:color w:val="FFFFFF" w:themeColor="background1"/>
                <w:sz w:val="20"/>
              </w:rPr>
              <w:t>9</w:t>
            </w:r>
            <w:r w:rsidRPr="005B5F7A">
              <w:rPr>
                <w:rFonts w:ascii="Arial" w:hAnsi="Arial" w:cs="Arial"/>
                <w:b/>
                <w:bCs/>
                <w:color w:val="FFFFFF" w:themeColor="background1"/>
                <w:sz w:val="20"/>
              </w:rPr>
              <w:t>/</w:t>
            </w:r>
            <w:r>
              <w:rPr>
                <w:rFonts w:ascii="Arial" w:hAnsi="Arial" w:cs="Arial"/>
                <w:b/>
                <w:bCs/>
                <w:color w:val="FFFFFF" w:themeColor="background1"/>
                <w:sz w:val="20"/>
              </w:rPr>
              <w:t>20</w:t>
            </w:r>
          </w:p>
        </w:tc>
        <w:tc>
          <w:tcPr>
            <w:tcW w:w="1506" w:type="dxa"/>
            <w:shd w:val="clear" w:color="auto" w:fill="000000" w:themeFill="text1"/>
          </w:tcPr>
          <w:p w14:paraId="3E33FE7D" w14:textId="46633419"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w:t>
            </w:r>
            <w:r>
              <w:rPr>
                <w:rFonts w:ascii="Arial" w:hAnsi="Arial" w:cs="Arial"/>
                <w:b/>
                <w:bCs/>
                <w:color w:val="FFFFFF" w:themeColor="background1"/>
                <w:sz w:val="20"/>
              </w:rPr>
              <w:t>20</w:t>
            </w:r>
            <w:r w:rsidRPr="005B5F7A">
              <w:rPr>
                <w:rFonts w:ascii="Arial" w:hAnsi="Arial" w:cs="Arial"/>
                <w:b/>
                <w:bCs/>
                <w:color w:val="FFFFFF" w:themeColor="background1"/>
                <w:sz w:val="20"/>
              </w:rPr>
              <w:t>/</w:t>
            </w:r>
            <w:r>
              <w:rPr>
                <w:rFonts w:ascii="Arial" w:hAnsi="Arial" w:cs="Arial"/>
                <w:b/>
                <w:bCs/>
                <w:color w:val="FFFFFF" w:themeColor="background1"/>
                <w:sz w:val="20"/>
              </w:rPr>
              <w:t>21</w:t>
            </w:r>
          </w:p>
        </w:tc>
        <w:tc>
          <w:tcPr>
            <w:tcW w:w="1506" w:type="dxa"/>
            <w:shd w:val="clear" w:color="auto" w:fill="000000" w:themeFill="text1"/>
          </w:tcPr>
          <w:p w14:paraId="6BB6C897" w14:textId="66D28370"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w:t>
            </w:r>
            <w:r>
              <w:rPr>
                <w:rFonts w:ascii="Arial" w:hAnsi="Arial" w:cs="Arial"/>
                <w:b/>
                <w:bCs/>
                <w:color w:val="FFFFFF" w:themeColor="background1"/>
                <w:sz w:val="20"/>
              </w:rPr>
              <w:t>21</w:t>
            </w:r>
            <w:r w:rsidRPr="005B5F7A">
              <w:rPr>
                <w:rFonts w:ascii="Arial" w:hAnsi="Arial" w:cs="Arial"/>
                <w:b/>
                <w:bCs/>
                <w:color w:val="FFFFFF" w:themeColor="background1"/>
                <w:sz w:val="20"/>
              </w:rPr>
              <w:t>/</w:t>
            </w:r>
            <w:r>
              <w:rPr>
                <w:rFonts w:ascii="Arial" w:hAnsi="Arial" w:cs="Arial"/>
                <w:b/>
                <w:bCs/>
                <w:color w:val="FFFFFF" w:themeColor="background1"/>
                <w:sz w:val="20"/>
              </w:rPr>
              <w:t>22</w:t>
            </w:r>
          </w:p>
        </w:tc>
        <w:tc>
          <w:tcPr>
            <w:tcW w:w="1506" w:type="dxa"/>
            <w:shd w:val="clear" w:color="auto" w:fill="000000" w:themeFill="text1"/>
          </w:tcPr>
          <w:p w14:paraId="5E3A381F" w14:textId="35095028" w:rsidR="00A33272" w:rsidRPr="005B5F7A" w:rsidRDefault="00A33272" w:rsidP="00A33272">
            <w:pPr>
              <w:jc w:val="center"/>
              <w:rPr>
                <w:rFonts w:ascii="Arial" w:hAnsi="Arial" w:cs="Arial"/>
                <w:b/>
                <w:bCs/>
                <w:color w:val="FFFFFF" w:themeColor="background1"/>
                <w:sz w:val="20"/>
              </w:rPr>
            </w:pPr>
            <w:r w:rsidRPr="005B5F7A">
              <w:rPr>
                <w:rFonts w:ascii="Arial" w:hAnsi="Arial" w:cs="Arial"/>
                <w:b/>
                <w:bCs/>
                <w:color w:val="FFFFFF" w:themeColor="background1"/>
                <w:sz w:val="20"/>
              </w:rPr>
              <w:t>20</w:t>
            </w:r>
            <w:r>
              <w:rPr>
                <w:rFonts w:ascii="Arial" w:hAnsi="Arial" w:cs="Arial"/>
                <w:b/>
                <w:bCs/>
                <w:color w:val="FFFFFF" w:themeColor="background1"/>
                <w:sz w:val="20"/>
              </w:rPr>
              <w:t>22</w:t>
            </w:r>
            <w:r w:rsidRPr="005B5F7A">
              <w:rPr>
                <w:rFonts w:ascii="Arial" w:hAnsi="Arial" w:cs="Arial"/>
                <w:b/>
                <w:bCs/>
                <w:color w:val="FFFFFF" w:themeColor="background1"/>
                <w:sz w:val="20"/>
              </w:rPr>
              <w:t>/</w:t>
            </w:r>
            <w:r>
              <w:rPr>
                <w:rFonts w:ascii="Arial" w:hAnsi="Arial" w:cs="Arial"/>
                <w:b/>
                <w:bCs/>
                <w:color w:val="FFFFFF" w:themeColor="background1"/>
                <w:sz w:val="20"/>
              </w:rPr>
              <w:t>23</w:t>
            </w:r>
          </w:p>
        </w:tc>
        <w:tc>
          <w:tcPr>
            <w:tcW w:w="1506" w:type="dxa"/>
            <w:tcBorders>
              <w:right w:val="single" w:sz="12" w:space="0" w:color="auto"/>
            </w:tcBorders>
            <w:shd w:val="clear" w:color="auto" w:fill="000000" w:themeFill="text1"/>
          </w:tcPr>
          <w:p w14:paraId="7A87F36C" w14:textId="24AA2336" w:rsidR="00A33272" w:rsidRPr="005B5F7A" w:rsidRDefault="00A33272" w:rsidP="00A33272">
            <w:pPr>
              <w:jc w:val="center"/>
              <w:rPr>
                <w:rFonts w:ascii="Arial" w:hAnsi="Arial" w:cs="Arial"/>
                <w:b/>
                <w:bCs/>
                <w:color w:val="FFFFFF" w:themeColor="background1"/>
                <w:sz w:val="20"/>
              </w:rPr>
            </w:pPr>
            <w:r>
              <w:rPr>
                <w:rFonts w:ascii="Arial" w:hAnsi="Arial" w:cs="Arial"/>
                <w:b/>
                <w:bCs/>
                <w:color w:val="FFFFFF" w:themeColor="background1"/>
                <w:sz w:val="20"/>
              </w:rPr>
              <w:t>2023/24</w:t>
            </w:r>
          </w:p>
        </w:tc>
      </w:tr>
      <w:tr w:rsidR="00A33272" w14:paraId="022C4B5C" w14:textId="77777777" w:rsidTr="00F05F41">
        <w:tc>
          <w:tcPr>
            <w:tcW w:w="1510" w:type="dxa"/>
            <w:tcBorders>
              <w:top w:val="nil"/>
              <w:left w:val="single" w:sz="12" w:space="0" w:color="auto"/>
              <w:bottom w:val="nil"/>
              <w:right w:val="nil"/>
            </w:tcBorders>
            <w:shd w:val="clear" w:color="auto" w:fill="DDDDDD"/>
          </w:tcPr>
          <w:p w14:paraId="26A8FCF6" w14:textId="77777777"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Initiations</w:t>
            </w:r>
          </w:p>
        </w:tc>
        <w:tc>
          <w:tcPr>
            <w:tcW w:w="1506" w:type="dxa"/>
            <w:tcBorders>
              <w:left w:val="nil"/>
            </w:tcBorders>
          </w:tcPr>
          <w:p w14:paraId="3BFD2BC1" w14:textId="4154DAA9"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10154</w:t>
            </w:r>
          </w:p>
        </w:tc>
        <w:tc>
          <w:tcPr>
            <w:tcW w:w="1506" w:type="dxa"/>
            <w:shd w:val="clear" w:color="auto" w:fill="DDDDDD"/>
          </w:tcPr>
          <w:p w14:paraId="7A846267" w14:textId="6F554DD9"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7715</w:t>
            </w:r>
          </w:p>
        </w:tc>
        <w:tc>
          <w:tcPr>
            <w:tcW w:w="1506" w:type="dxa"/>
          </w:tcPr>
          <w:p w14:paraId="43BFFAB6" w14:textId="36987079"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6683</w:t>
            </w:r>
          </w:p>
        </w:tc>
        <w:tc>
          <w:tcPr>
            <w:tcW w:w="1506" w:type="dxa"/>
            <w:shd w:val="clear" w:color="auto" w:fill="DDDDDD"/>
          </w:tcPr>
          <w:p w14:paraId="3701E42C" w14:textId="111FA881"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7458</w:t>
            </w:r>
          </w:p>
        </w:tc>
        <w:tc>
          <w:tcPr>
            <w:tcW w:w="1506" w:type="dxa"/>
            <w:tcBorders>
              <w:right w:val="single" w:sz="12" w:space="0" w:color="auto"/>
            </w:tcBorders>
          </w:tcPr>
          <w:p w14:paraId="5E9B2D78" w14:textId="61576DC6" w:rsidR="00A33272" w:rsidRPr="00E06ADC" w:rsidRDefault="00A33272" w:rsidP="00A33272">
            <w:pPr>
              <w:jc w:val="center"/>
              <w:rPr>
                <w:rFonts w:ascii="Arial" w:hAnsi="Arial" w:cs="Arial"/>
                <w:b/>
                <w:bCs/>
                <w:color w:val="000000"/>
                <w:sz w:val="20"/>
              </w:rPr>
            </w:pPr>
            <w:r>
              <w:rPr>
                <w:rFonts w:ascii="Arial" w:hAnsi="Arial" w:cs="Arial"/>
                <w:b/>
                <w:bCs/>
                <w:color w:val="000000"/>
                <w:sz w:val="20"/>
              </w:rPr>
              <w:t>7266</w:t>
            </w:r>
          </w:p>
        </w:tc>
      </w:tr>
      <w:tr w:rsidR="00A33272" w14:paraId="48E94043" w14:textId="77777777" w:rsidTr="00F05F41">
        <w:tc>
          <w:tcPr>
            <w:tcW w:w="1510" w:type="dxa"/>
            <w:tcBorders>
              <w:top w:val="nil"/>
              <w:left w:val="single" w:sz="12" w:space="0" w:color="auto"/>
              <w:bottom w:val="nil"/>
              <w:right w:val="nil"/>
            </w:tcBorders>
            <w:shd w:val="clear" w:color="auto" w:fill="DDDDDD"/>
          </w:tcPr>
          <w:p w14:paraId="7853B813" w14:textId="77777777"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Finalisations</w:t>
            </w:r>
          </w:p>
        </w:tc>
        <w:tc>
          <w:tcPr>
            <w:tcW w:w="1506" w:type="dxa"/>
            <w:tcBorders>
              <w:left w:val="nil"/>
            </w:tcBorders>
          </w:tcPr>
          <w:p w14:paraId="3EC99ED3" w14:textId="0690087A"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8142</w:t>
            </w:r>
          </w:p>
        </w:tc>
        <w:tc>
          <w:tcPr>
            <w:tcW w:w="1506" w:type="dxa"/>
            <w:shd w:val="clear" w:color="auto" w:fill="DDDDDD"/>
          </w:tcPr>
          <w:p w14:paraId="57DEE10A" w14:textId="5EA1D8DB"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7708</w:t>
            </w:r>
          </w:p>
        </w:tc>
        <w:tc>
          <w:tcPr>
            <w:tcW w:w="1506" w:type="dxa"/>
          </w:tcPr>
          <w:p w14:paraId="1C6C150D" w14:textId="02092DAB"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8444</w:t>
            </w:r>
          </w:p>
        </w:tc>
        <w:tc>
          <w:tcPr>
            <w:tcW w:w="1506" w:type="dxa"/>
            <w:shd w:val="clear" w:color="auto" w:fill="DDDDDD"/>
          </w:tcPr>
          <w:p w14:paraId="79705415" w14:textId="3529A003"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8197</w:t>
            </w:r>
          </w:p>
        </w:tc>
        <w:tc>
          <w:tcPr>
            <w:tcW w:w="1506" w:type="dxa"/>
            <w:tcBorders>
              <w:right w:val="single" w:sz="12" w:space="0" w:color="auto"/>
            </w:tcBorders>
          </w:tcPr>
          <w:p w14:paraId="6556AAF4" w14:textId="4D2CEC74" w:rsidR="00A33272" w:rsidRPr="00E06ADC" w:rsidRDefault="00A33272" w:rsidP="00A33272">
            <w:pPr>
              <w:jc w:val="center"/>
              <w:rPr>
                <w:rFonts w:ascii="Arial" w:hAnsi="Arial" w:cs="Arial"/>
                <w:b/>
                <w:bCs/>
                <w:color w:val="000000"/>
                <w:sz w:val="20"/>
              </w:rPr>
            </w:pPr>
            <w:r>
              <w:rPr>
                <w:rFonts w:ascii="Arial" w:hAnsi="Arial" w:cs="Arial"/>
                <w:b/>
                <w:bCs/>
                <w:color w:val="000000"/>
                <w:sz w:val="20"/>
              </w:rPr>
              <w:t>8040</w:t>
            </w:r>
          </w:p>
        </w:tc>
      </w:tr>
      <w:tr w:rsidR="00A33272" w14:paraId="22751C32" w14:textId="77777777" w:rsidTr="00F05F41">
        <w:tc>
          <w:tcPr>
            <w:tcW w:w="1510" w:type="dxa"/>
            <w:tcBorders>
              <w:top w:val="nil"/>
              <w:left w:val="single" w:sz="12" w:space="0" w:color="auto"/>
              <w:bottom w:val="single" w:sz="12" w:space="0" w:color="auto"/>
              <w:right w:val="nil"/>
            </w:tcBorders>
            <w:shd w:val="clear" w:color="auto" w:fill="DDDDDD"/>
          </w:tcPr>
          <w:p w14:paraId="37531A37" w14:textId="77777777"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Pending</w:t>
            </w:r>
          </w:p>
        </w:tc>
        <w:tc>
          <w:tcPr>
            <w:tcW w:w="1506" w:type="dxa"/>
            <w:tcBorders>
              <w:left w:val="nil"/>
              <w:bottom w:val="single" w:sz="12" w:space="0" w:color="auto"/>
            </w:tcBorders>
          </w:tcPr>
          <w:p w14:paraId="0A217B96" w14:textId="18EC50FC"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4512</w:t>
            </w:r>
          </w:p>
        </w:tc>
        <w:tc>
          <w:tcPr>
            <w:tcW w:w="1506" w:type="dxa"/>
            <w:tcBorders>
              <w:bottom w:val="single" w:sz="12" w:space="0" w:color="auto"/>
            </w:tcBorders>
            <w:shd w:val="clear" w:color="auto" w:fill="DDDDDD"/>
          </w:tcPr>
          <w:p w14:paraId="418EE788" w14:textId="3CEB9F60"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4410</w:t>
            </w:r>
          </w:p>
        </w:tc>
        <w:tc>
          <w:tcPr>
            <w:tcW w:w="1506" w:type="dxa"/>
            <w:tcBorders>
              <w:bottom w:val="single" w:sz="12" w:space="0" w:color="auto"/>
            </w:tcBorders>
          </w:tcPr>
          <w:p w14:paraId="22553588" w14:textId="364DF8D2"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3085</w:t>
            </w:r>
          </w:p>
        </w:tc>
        <w:tc>
          <w:tcPr>
            <w:tcW w:w="1506" w:type="dxa"/>
            <w:tcBorders>
              <w:bottom w:val="single" w:sz="12" w:space="0" w:color="auto"/>
            </w:tcBorders>
            <w:shd w:val="clear" w:color="auto" w:fill="DDDDDD"/>
          </w:tcPr>
          <w:p w14:paraId="39F3762D" w14:textId="684F6D0C" w:rsidR="00A33272" w:rsidRPr="00E06ADC" w:rsidRDefault="00A33272" w:rsidP="00A33272">
            <w:pPr>
              <w:jc w:val="center"/>
              <w:rPr>
                <w:rFonts w:ascii="Arial" w:hAnsi="Arial" w:cs="Arial"/>
                <w:b/>
                <w:bCs/>
                <w:color w:val="000000"/>
                <w:sz w:val="20"/>
              </w:rPr>
            </w:pPr>
            <w:r w:rsidRPr="00E06ADC">
              <w:rPr>
                <w:rFonts w:ascii="Arial" w:hAnsi="Arial" w:cs="Arial"/>
                <w:b/>
                <w:bCs/>
                <w:color w:val="000000"/>
                <w:sz w:val="20"/>
              </w:rPr>
              <w:t>2798</w:t>
            </w:r>
          </w:p>
        </w:tc>
        <w:tc>
          <w:tcPr>
            <w:tcW w:w="1506" w:type="dxa"/>
            <w:tcBorders>
              <w:bottom w:val="single" w:sz="12" w:space="0" w:color="auto"/>
              <w:right w:val="single" w:sz="12" w:space="0" w:color="auto"/>
            </w:tcBorders>
          </w:tcPr>
          <w:p w14:paraId="4C097909" w14:textId="36B07AE0" w:rsidR="00A33272" w:rsidRPr="00E06ADC" w:rsidRDefault="00A33272" w:rsidP="00A33272">
            <w:pPr>
              <w:jc w:val="center"/>
              <w:rPr>
                <w:rFonts w:ascii="Arial" w:hAnsi="Arial" w:cs="Arial"/>
                <w:b/>
                <w:bCs/>
                <w:color w:val="000000"/>
                <w:sz w:val="20"/>
              </w:rPr>
            </w:pPr>
            <w:r>
              <w:rPr>
                <w:rFonts w:ascii="Arial" w:hAnsi="Arial" w:cs="Arial"/>
                <w:b/>
                <w:bCs/>
                <w:color w:val="000000"/>
                <w:sz w:val="20"/>
              </w:rPr>
              <w:t>2448</w:t>
            </w:r>
          </w:p>
        </w:tc>
      </w:tr>
    </w:tbl>
    <w:p w14:paraId="1B2C0440" w14:textId="2EFB71D3" w:rsidR="005B5F7A" w:rsidRDefault="005B5F7A" w:rsidP="005B5F7A">
      <w:pPr>
        <w:jc w:val="both"/>
        <w:rPr>
          <w:rFonts w:ascii="Arial" w:hAnsi="Arial" w:cs="Arial"/>
          <w:color w:val="000000"/>
          <w:sz w:val="20"/>
        </w:rPr>
      </w:pPr>
    </w:p>
    <w:p w14:paraId="22C168E5" w14:textId="5856108C" w:rsidR="00F05F41" w:rsidRDefault="00F05F41" w:rsidP="00F05F41">
      <w:pPr>
        <w:jc w:val="both"/>
        <w:rPr>
          <w:rFonts w:ascii="Arial" w:hAnsi="Arial" w:cs="Arial"/>
          <w:sz w:val="20"/>
          <w:szCs w:val="20"/>
        </w:rPr>
      </w:pPr>
      <w:r>
        <w:rPr>
          <w:rFonts w:ascii="Arial" w:hAnsi="Arial" w:cs="Arial"/>
          <w:sz w:val="20"/>
          <w:szCs w:val="20"/>
        </w:rPr>
        <w:lastRenderedPageBreak/>
        <w:t xml:space="preserve">There was an overall 9% increase in initiations from 2018/19 to 2019/20.  This was followed by a decrease of 24% in 2020/21, a further decrease of </w:t>
      </w:r>
      <w:r w:rsidR="00EF7CB1">
        <w:rPr>
          <w:rFonts w:ascii="Arial" w:hAnsi="Arial" w:cs="Arial"/>
          <w:sz w:val="20"/>
          <w:szCs w:val="20"/>
        </w:rPr>
        <w:t>13</w:t>
      </w:r>
      <w:r>
        <w:rPr>
          <w:rFonts w:ascii="Arial" w:hAnsi="Arial" w:cs="Arial"/>
          <w:sz w:val="20"/>
          <w:szCs w:val="20"/>
        </w:rPr>
        <w:t xml:space="preserve">% in 2021/22 and an increase of </w:t>
      </w:r>
      <w:r w:rsidR="00EF7CB1">
        <w:rPr>
          <w:rFonts w:ascii="Arial" w:hAnsi="Arial" w:cs="Arial"/>
          <w:sz w:val="20"/>
          <w:szCs w:val="20"/>
        </w:rPr>
        <w:t>12</w:t>
      </w:r>
      <w:r>
        <w:rPr>
          <w:rFonts w:ascii="Arial" w:hAnsi="Arial" w:cs="Arial"/>
          <w:sz w:val="20"/>
          <w:szCs w:val="20"/>
        </w:rPr>
        <w:t xml:space="preserve">% in 2022/23.  The writer wonders whether </w:t>
      </w:r>
      <w:r w:rsidR="00CF7314">
        <w:rPr>
          <w:rFonts w:ascii="Arial" w:hAnsi="Arial" w:cs="Arial"/>
          <w:sz w:val="20"/>
          <w:szCs w:val="20"/>
        </w:rPr>
        <w:t>a factor contributing to the decline in the overall rate of charges initiated against youth in 2020/21 &amp; 2021/22 was the COVID-19 pandemic.</w:t>
      </w:r>
      <w:r w:rsidR="00EF7CB1">
        <w:rPr>
          <w:rFonts w:ascii="Arial" w:hAnsi="Arial" w:cs="Arial"/>
          <w:sz w:val="20"/>
          <w:szCs w:val="20"/>
        </w:rPr>
        <w:t xml:space="preserve">  However, the number of initiations in 2022/23 is still 27% lower than the number in 2019/20.</w:t>
      </w:r>
    </w:p>
    <w:p w14:paraId="24B1688D" w14:textId="77777777" w:rsidR="00F05F41" w:rsidRDefault="00F05F41" w:rsidP="00F05F41">
      <w:pPr>
        <w:jc w:val="both"/>
        <w:rPr>
          <w:rFonts w:ascii="Arial" w:hAnsi="Arial" w:cs="Arial"/>
          <w:sz w:val="20"/>
          <w:szCs w:val="20"/>
        </w:rPr>
      </w:pPr>
    </w:p>
    <w:p w14:paraId="5D4CCD14" w14:textId="3CB7170A" w:rsidR="00F05F41" w:rsidRDefault="00CF7314" w:rsidP="00F05F41">
      <w:pPr>
        <w:jc w:val="both"/>
        <w:rPr>
          <w:rFonts w:ascii="Arial" w:hAnsi="Arial" w:cs="Arial"/>
          <w:sz w:val="20"/>
          <w:szCs w:val="20"/>
        </w:rPr>
      </w:pPr>
      <w:r>
        <w:rPr>
          <w:rFonts w:ascii="Arial" w:hAnsi="Arial" w:cs="Arial"/>
          <w:sz w:val="20"/>
          <w:szCs w:val="20"/>
        </w:rPr>
        <w:t xml:space="preserve">The writer also </w:t>
      </w:r>
      <w:r w:rsidR="00E06ADC">
        <w:rPr>
          <w:rFonts w:ascii="Arial" w:hAnsi="Arial" w:cs="Arial"/>
          <w:sz w:val="20"/>
          <w:szCs w:val="20"/>
        </w:rPr>
        <w:t>speculates that</w:t>
      </w:r>
      <w:r>
        <w:rPr>
          <w:rFonts w:ascii="Arial" w:hAnsi="Arial" w:cs="Arial"/>
          <w:sz w:val="20"/>
          <w:szCs w:val="20"/>
        </w:rPr>
        <w:t xml:space="preserve"> the lockdowns associated with the COVID-19 pandemic </w:t>
      </w:r>
      <w:r w:rsidR="00E06ADC">
        <w:rPr>
          <w:rFonts w:ascii="Arial" w:hAnsi="Arial" w:cs="Arial"/>
          <w:sz w:val="20"/>
          <w:szCs w:val="20"/>
        </w:rPr>
        <w:t xml:space="preserve">may have </w:t>
      </w:r>
      <w:r>
        <w:rPr>
          <w:rFonts w:ascii="Arial" w:hAnsi="Arial" w:cs="Arial"/>
          <w:sz w:val="20"/>
          <w:szCs w:val="20"/>
        </w:rPr>
        <w:t xml:space="preserve">contributed to the increase in the number of pending cases in 2019/20 &amp; 2020/21.  </w:t>
      </w:r>
      <w:r w:rsidR="0054711C">
        <w:rPr>
          <w:rFonts w:ascii="Arial" w:hAnsi="Arial" w:cs="Arial"/>
          <w:sz w:val="20"/>
          <w:szCs w:val="20"/>
        </w:rPr>
        <w:t>But i</w:t>
      </w:r>
      <w:r>
        <w:rPr>
          <w:rFonts w:ascii="Arial" w:hAnsi="Arial" w:cs="Arial"/>
          <w:sz w:val="20"/>
          <w:szCs w:val="20"/>
        </w:rPr>
        <w:t xml:space="preserve">n any event, in 2021/22 &amp; 2022/23 there has been a significant decline in the number of pending charges: a reduction of </w:t>
      </w:r>
      <w:r w:rsidR="00EF7CB1">
        <w:rPr>
          <w:rFonts w:ascii="Arial" w:hAnsi="Arial" w:cs="Arial"/>
          <w:sz w:val="20"/>
          <w:szCs w:val="20"/>
        </w:rPr>
        <w:t>30</w:t>
      </w:r>
      <w:r>
        <w:rPr>
          <w:rFonts w:ascii="Arial" w:hAnsi="Arial" w:cs="Arial"/>
          <w:sz w:val="20"/>
          <w:szCs w:val="20"/>
        </w:rPr>
        <w:t xml:space="preserve">% in 2021/22 and a </w:t>
      </w:r>
      <w:r w:rsidR="00F563F4">
        <w:rPr>
          <w:rFonts w:ascii="Arial" w:hAnsi="Arial" w:cs="Arial"/>
          <w:sz w:val="20"/>
          <w:szCs w:val="20"/>
        </w:rPr>
        <w:t xml:space="preserve">further </w:t>
      </w:r>
      <w:r>
        <w:rPr>
          <w:rFonts w:ascii="Arial" w:hAnsi="Arial" w:cs="Arial"/>
          <w:sz w:val="20"/>
          <w:szCs w:val="20"/>
        </w:rPr>
        <w:t xml:space="preserve">reduction of </w:t>
      </w:r>
      <w:r w:rsidR="00EF7CB1">
        <w:rPr>
          <w:rFonts w:ascii="Arial" w:hAnsi="Arial" w:cs="Arial"/>
          <w:sz w:val="20"/>
          <w:szCs w:val="20"/>
        </w:rPr>
        <w:t>9</w:t>
      </w:r>
      <w:r>
        <w:rPr>
          <w:rFonts w:ascii="Arial" w:hAnsi="Arial" w:cs="Arial"/>
          <w:sz w:val="20"/>
          <w:szCs w:val="20"/>
        </w:rPr>
        <w:t>% in 2022/23.</w:t>
      </w:r>
    </w:p>
    <w:p w14:paraId="2EAE5E92" w14:textId="74F17DFF" w:rsidR="00F05F41" w:rsidRDefault="00F05F41" w:rsidP="00F05F41">
      <w:pPr>
        <w:jc w:val="both"/>
        <w:rPr>
          <w:rFonts w:ascii="Arial" w:hAnsi="Arial" w:cs="Arial"/>
          <w:sz w:val="20"/>
          <w:szCs w:val="20"/>
        </w:rPr>
      </w:pPr>
    </w:p>
    <w:p w14:paraId="0D327BB1" w14:textId="5505C442" w:rsidR="00F05F41" w:rsidRDefault="00CF7314" w:rsidP="00F05F41">
      <w:pPr>
        <w:jc w:val="both"/>
        <w:rPr>
          <w:rFonts w:ascii="Arial" w:hAnsi="Arial" w:cs="Arial"/>
          <w:color w:val="000000"/>
          <w:sz w:val="20"/>
        </w:rPr>
      </w:pPr>
      <w:r w:rsidRPr="00F563F4">
        <w:rPr>
          <w:rFonts w:ascii="Arial" w:hAnsi="Arial" w:cs="Arial"/>
          <w:b/>
          <w:bCs/>
          <w:color w:val="FFFFFF" w:themeColor="background1"/>
          <w:sz w:val="20"/>
          <w:shd w:val="clear" w:color="auto" w:fill="000000" w:themeFill="text1"/>
        </w:rPr>
        <w:t>Table 1B</w:t>
      </w:r>
      <w:r>
        <w:rPr>
          <w:rFonts w:ascii="Arial" w:hAnsi="Arial" w:cs="Arial"/>
          <w:color w:val="000000"/>
          <w:sz w:val="20"/>
        </w:rPr>
        <w:t xml:space="preserve"> shows the </w:t>
      </w:r>
      <w:r w:rsidR="00F563F4">
        <w:rPr>
          <w:rFonts w:ascii="Arial" w:hAnsi="Arial" w:cs="Arial"/>
          <w:color w:val="000000"/>
          <w:sz w:val="20"/>
        </w:rPr>
        <w:t xml:space="preserve">total </w:t>
      </w:r>
      <w:r w:rsidR="00E06ADC">
        <w:rPr>
          <w:rFonts w:ascii="Arial" w:hAnsi="Arial" w:cs="Arial"/>
          <w:color w:val="000000"/>
          <w:sz w:val="20"/>
        </w:rPr>
        <w:t>n</w:t>
      </w:r>
      <w:r w:rsidR="00F05F41">
        <w:rPr>
          <w:rFonts w:ascii="Arial" w:hAnsi="Arial" w:cs="Arial"/>
          <w:color w:val="000000"/>
          <w:sz w:val="20"/>
        </w:rPr>
        <w:t xml:space="preserve">umber of </w:t>
      </w:r>
      <w:r w:rsidR="00F563F4">
        <w:rPr>
          <w:rFonts w:ascii="Arial" w:hAnsi="Arial" w:cs="Arial"/>
          <w:color w:val="000000"/>
          <w:sz w:val="20"/>
        </w:rPr>
        <w:t>c</w:t>
      </w:r>
      <w:r w:rsidR="00F05F41">
        <w:rPr>
          <w:rFonts w:ascii="Arial" w:hAnsi="Arial" w:cs="Arial"/>
          <w:color w:val="000000"/>
          <w:sz w:val="20"/>
        </w:rPr>
        <w:t xml:space="preserve">riminal </w:t>
      </w:r>
      <w:r w:rsidR="00EF7CB1">
        <w:rPr>
          <w:rFonts w:ascii="Arial" w:hAnsi="Arial" w:cs="Arial"/>
          <w:color w:val="000000"/>
          <w:sz w:val="20"/>
        </w:rPr>
        <w:t>matters</w:t>
      </w:r>
      <w:r w:rsidR="00F05F41">
        <w:rPr>
          <w:rFonts w:ascii="Arial" w:hAnsi="Arial" w:cs="Arial"/>
          <w:color w:val="000000"/>
          <w:sz w:val="20"/>
        </w:rPr>
        <w:t xml:space="preserve"> (excluding </w:t>
      </w:r>
      <w:r w:rsidR="00916332">
        <w:rPr>
          <w:rFonts w:ascii="Arial" w:hAnsi="Arial" w:cs="Arial"/>
          <w:color w:val="000000"/>
          <w:sz w:val="20"/>
        </w:rPr>
        <w:t>CAYPINS</w:t>
      </w:r>
      <w:r w:rsidR="00F05F41">
        <w:rPr>
          <w:rFonts w:ascii="Arial" w:hAnsi="Arial" w:cs="Arial"/>
          <w:color w:val="000000"/>
          <w:sz w:val="20"/>
        </w:rPr>
        <w:t>) which were initiated, finalised and pending in each of the 13 Court regions for the years 2018/19, 2019/20 &amp; 2020/21.  In the 2020/21 financial year 50% of criminal matters were processed within 3 months of initiation and 24% were processed within 3-6 months of initiation.</w:t>
      </w:r>
    </w:p>
    <w:p w14:paraId="2D9908C5" w14:textId="62F22F20" w:rsidR="00F05F41" w:rsidRDefault="00F05F41" w:rsidP="005B5F7A">
      <w:pPr>
        <w:jc w:val="both"/>
        <w:rPr>
          <w:rFonts w:ascii="Arial" w:hAnsi="Arial" w:cs="Arial"/>
          <w:color w:val="000000"/>
          <w:sz w:val="20"/>
        </w:rPr>
      </w:pPr>
    </w:p>
    <w:tbl>
      <w:tblPr>
        <w:tblStyle w:val="TableGrid"/>
        <w:tblW w:w="0" w:type="auto"/>
        <w:tblLook w:val="04A0" w:firstRow="1" w:lastRow="0" w:firstColumn="1" w:lastColumn="0" w:noHBand="0" w:noVBand="1"/>
      </w:tblPr>
      <w:tblGrid>
        <w:gridCol w:w="1607"/>
        <w:gridCol w:w="810"/>
        <w:gridCol w:w="855"/>
        <w:gridCol w:w="820"/>
        <w:gridCol w:w="809"/>
        <w:gridCol w:w="855"/>
        <w:gridCol w:w="820"/>
        <w:gridCol w:w="809"/>
        <w:gridCol w:w="855"/>
        <w:gridCol w:w="820"/>
      </w:tblGrid>
      <w:tr w:rsidR="00F05F41" w:rsidRPr="002B6EDE" w14:paraId="3F86C3C8" w14:textId="77777777" w:rsidTr="0012104A">
        <w:tc>
          <w:tcPr>
            <w:tcW w:w="9060" w:type="dxa"/>
            <w:gridSpan w:val="10"/>
            <w:shd w:val="clear" w:color="auto" w:fill="000000" w:themeFill="text1"/>
          </w:tcPr>
          <w:p w14:paraId="7B106886" w14:textId="6F11244B" w:rsidR="00F05F41" w:rsidRPr="005B5F7A" w:rsidRDefault="00F563F4" w:rsidP="0012104A">
            <w:pPr>
              <w:keepNext/>
              <w:keepLines/>
              <w:tabs>
                <w:tab w:val="left" w:pos="357"/>
              </w:tabs>
              <w:jc w:val="center"/>
              <w:rPr>
                <w:rFonts w:ascii="Arial" w:hAnsi="Arial" w:cs="Arial"/>
                <w:b/>
                <w:bCs/>
                <w:color w:val="FFFFFF" w:themeColor="background1"/>
              </w:rPr>
            </w:pPr>
            <w:r>
              <w:rPr>
                <w:rFonts w:ascii="Arial" w:hAnsi="Arial" w:cs="Arial"/>
                <w:b/>
                <w:bCs/>
                <w:color w:val="FFFFFF" w:themeColor="background1"/>
              </w:rPr>
              <w:t xml:space="preserve">TABLE </w:t>
            </w:r>
            <w:r w:rsidR="00F05F41">
              <w:rPr>
                <w:rFonts w:ascii="Arial" w:hAnsi="Arial" w:cs="Arial"/>
                <w:b/>
                <w:bCs/>
                <w:color w:val="FFFFFF" w:themeColor="background1"/>
              </w:rPr>
              <w:t>1B</w:t>
            </w:r>
            <w:r w:rsidR="00E06ADC" w:rsidRPr="00F05F41">
              <w:rPr>
                <w:rFonts w:ascii="Arial" w:hAnsi="Arial" w:cs="Arial"/>
                <w:b/>
                <w:bCs/>
                <w:color w:val="FFFFFF" w:themeColor="background1"/>
                <w:szCs w:val="32"/>
              </w:rPr>
              <w:t xml:space="preserve"> – </w:t>
            </w:r>
            <w:r w:rsidR="00F05F41" w:rsidRPr="005B5F7A">
              <w:rPr>
                <w:rFonts w:ascii="Arial" w:hAnsi="Arial" w:cs="Arial"/>
                <w:b/>
                <w:bCs/>
                <w:color w:val="FFFFFF" w:themeColor="background1"/>
              </w:rPr>
              <w:t>CRIMINAL DIVISION MATTERS (excluding CAYPINS)</w:t>
            </w:r>
          </w:p>
        </w:tc>
      </w:tr>
      <w:tr w:rsidR="00F05F41" w:rsidRPr="002B6EDE" w14:paraId="7D36DC92" w14:textId="77777777" w:rsidTr="0012104A">
        <w:tc>
          <w:tcPr>
            <w:tcW w:w="1607" w:type="dxa"/>
            <w:vMerge w:val="restart"/>
            <w:shd w:val="clear" w:color="auto" w:fill="000000" w:themeFill="text1"/>
          </w:tcPr>
          <w:p w14:paraId="3011A719" w14:textId="77777777" w:rsidR="00F05F41" w:rsidRPr="00BC34CF" w:rsidRDefault="00F05F41" w:rsidP="0012104A">
            <w:pPr>
              <w:keepNext/>
              <w:keepLines/>
              <w:spacing w:before="120"/>
              <w:jc w:val="center"/>
              <w:rPr>
                <w:rFonts w:ascii="Arial" w:hAnsi="Arial" w:cs="Arial"/>
                <w:b/>
                <w:bCs/>
                <w:color w:val="FFFFFF" w:themeColor="background1"/>
                <w:sz w:val="20"/>
                <w:szCs w:val="20"/>
              </w:rPr>
            </w:pPr>
            <w:r w:rsidRPr="00BC34CF">
              <w:rPr>
                <w:rFonts w:ascii="Arial" w:hAnsi="Arial" w:cs="Arial"/>
                <w:b/>
                <w:bCs/>
                <w:color w:val="FFFFFF" w:themeColor="background1"/>
                <w:sz w:val="20"/>
                <w:szCs w:val="20"/>
              </w:rPr>
              <w:t>Court region</w:t>
            </w:r>
          </w:p>
        </w:tc>
        <w:tc>
          <w:tcPr>
            <w:tcW w:w="2485" w:type="dxa"/>
            <w:gridSpan w:val="3"/>
            <w:shd w:val="clear" w:color="auto" w:fill="DDDDDD"/>
          </w:tcPr>
          <w:p w14:paraId="304442F3" w14:textId="77777777" w:rsidR="00F05F41" w:rsidRPr="002B6EDE" w:rsidRDefault="00F05F41" w:rsidP="0012104A">
            <w:pPr>
              <w:keepNext/>
              <w:keepLines/>
              <w:jc w:val="center"/>
              <w:rPr>
                <w:rFonts w:ascii="Arial" w:hAnsi="Arial" w:cs="Arial"/>
                <w:b/>
                <w:bCs/>
                <w:sz w:val="20"/>
                <w:szCs w:val="20"/>
              </w:rPr>
            </w:pPr>
            <w:r w:rsidRPr="002B6EDE">
              <w:rPr>
                <w:rFonts w:ascii="Arial" w:hAnsi="Arial" w:cs="Arial"/>
                <w:b/>
                <w:bCs/>
                <w:sz w:val="20"/>
                <w:szCs w:val="20"/>
              </w:rPr>
              <w:t>2018/19</w:t>
            </w:r>
          </w:p>
        </w:tc>
        <w:tc>
          <w:tcPr>
            <w:tcW w:w="2484" w:type="dxa"/>
            <w:gridSpan w:val="3"/>
            <w:shd w:val="clear" w:color="auto" w:fill="DDDDDD"/>
          </w:tcPr>
          <w:p w14:paraId="45C92816" w14:textId="77777777" w:rsidR="00F05F41" w:rsidRPr="002B6EDE" w:rsidRDefault="00F05F41" w:rsidP="0012104A">
            <w:pPr>
              <w:keepNext/>
              <w:keepLines/>
              <w:jc w:val="center"/>
              <w:rPr>
                <w:rFonts w:ascii="Arial" w:hAnsi="Arial" w:cs="Arial"/>
                <w:b/>
                <w:bCs/>
                <w:sz w:val="20"/>
                <w:szCs w:val="20"/>
              </w:rPr>
            </w:pPr>
            <w:r w:rsidRPr="002B6EDE">
              <w:rPr>
                <w:rFonts w:ascii="Arial" w:hAnsi="Arial" w:cs="Arial"/>
                <w:b/>
                <w:bCs/>
                <w:sz w:val="20"/>
                <w:szCs w:val="20"/>
              </w:rPr>
              <w:t>2019/20</w:t>
            </w:r>
          </w:p>
        </w:tc>
        <w:tc>
          <w:tcPr>
            <w:tcW w:w="2484" w:type="dxa"/>
            <w:gridSpan w:val="3"/>
            <w:shd w:val="clear" w:color="auto" w:fill="DDDDDD"/>
          </w:tcPr>
          <w:p w14:paraId="5113BC97" w14:textId="77777777" w:rsidR="00F05F41" w:rsidRPr="002B6EDE" w:rsidRDefault="00F05F41" w:rsidP="0012104A">
            <w:pPr>
              <w:keepNext/>
              <w:keepLines/>
              <w:jc w:val="center"/>
              <w:rPr>
                <w:rFonts w:ascii="Arial" w:hAnsi="Arial" w:cs="Arial"/>
                <w:b/>
                <w:bCs/>
                <w:sz w:val="20"/>
                <w:szCs w:val="20"/>
              </w:rPr>
            </w:pPr>
            <w:r w:rsidRPr="002B6EDE">
              <w:rPr>
                <w:rFonts w:ascii="Arial" w:hAnsi="Arial" w:cs="Arial"/>
                <w:b/>
                <w:bCs/>
                <w:sz w:val="20"/>
                <w:szCs w:val="20"/>
              </w:rPr>
              <w:t>2020/21</w:t>
            </w:r>
          </w:p>
        </w:tc>
      </w:tr>
      <w:tr w:rsidR="00F05F41" w:rsidRPr="002B6EDE" w14:paraId="719674EA" w14:textId="77777777" w:rsidTr="0012104A">
        <w:tc>
          <w:tcPr>
            <w:tcW w:w="1607" w:type="dxa"/>
            <w:vMerge/>
            <w:shd w:val="clear" w:color="auto" w:fill="000000" w:themeFill="text1"/>
          </w:tcPr>
          <w:p w14:paraId="3CB8C693" w14:textId="77777777" w:rsidR="00F05F41" w:rsidRPr="002B6EDE" w:rsidRDefault="00F05F41" w:rsidP="0012104A">
            <w:pPr>
              <w:keepNext/>
              <w:keepLines/>
              <w:jc w:val="center"/>
              <w:rPr>
                <w:rFonts w:ascii="Arial" w:hAnsi="Arial" w:cs="Arial"/>
                <w:b/>
                <w:bCs/>
                <w:sz w:val="16"/>
                <w:szCs w:val="16"/>
              </w:rPr>
            </w:pPr>
          </w:p>
        </w:tc>
        <w:tc>
          <w:tcPr>
            <w:tcW w:w="810" w:type="dxa"/>
            <w:shd w:val="clear" w:color="auto" w:fill="DDDDDD"/>
          </w:tcPr>
          <w:p w14:paraId="17A6C0DC" w14:textId="77777777" w:rsidR="00F05F41" w:rsidRPr="00FE7E97" w:rsidRDefault="00F05F41" w:rsidP="0012104A">
            <w:pPr>
              <w:keepNext/>
              <w:keepLines/>
              <w:jc w:val="both"/>
              <w:rPr>
                <w:rFonts w:ascii="Arial" w:hAnsi="Arial" w:cs="Arial"/>
                <w:b/>
                <w:bCs/>
                <w:sz w:val="14"/>
                <w:szCs w:val="14"/>
              </w:rPr>
            </w:pPr>
            <w:r w:rsidRPr="00FE7E97">
              <w:rPr>
                <w:rFonts w:ascii="Arial" w:hAnsi="Arial" w:cs="Arial"/>
                <w:b/>
                <w:bCs/>
                <w:sz w:val="14"/>
                <w:szCs w:val="14"/>
              </w:rPr>
              <w:t>Initiated</w:t>
            </w:r>
          </w:p>
        </w:tc>
        <w:tc>
          <w:tcPr>
            <w:tcW w:w="855" w:type="dxa"/>
            <w:shd w:val="clear" w:color="auto" w:fill="DDDDDD"/>
          </w:tcPr>
          <w:p w14:paraId="73416806" w14:textId="77777777" w:rsidR="00F05F41" w:rsidRPr="00FE7E97" w:rsidRDefault="00F05F41" w:rsidP="0012104A">
            <w:pPr>
              <w:jc w:val="both"/>
              <w:rPr>
                <w:rFonts w:ascii="Arial" w:hAnsi="Arial" w:cs="Arial"/>
                <w:b/>
                <w:bCs/>
                <w:sz w:val="14"/>
                <w:szCs w:val="14"/>
              </w:rPr>
            </w:pPr>
            <w:r w:rsidRPr="00FE7E97">
              <w:rPr>
                <w:rFonts w:ascii="Arial" w:hAnsi="Arial" w:cs="Arial"/>
                <w:b/>
                <w:bCs/>
                <w:sz w:val="14"/>
                <w:szCs w:val="14"/>
              </w:rPr>
              <w:t>Finalised</w:t>
            </w:r>
          </w:p>
        </w:tc>
        <w:tc>
          <w:tcPr>
            <w:tcW w:w="820" w:type="dxa"/>
            <w:shd w:val="clear" w:color="auto" w:fill="DDDDDD"/>
          </w:tcPr>
          <w:p w14:paraId="2F409F8C" w14:textId="77777777" w:rsidR="00F05F41" w:rsidRPr="00FE7E97" w:rsidRDefault="00F05F41" w:rsidP="0012104A">
            <w:pPr>
              <w:jc w:val="both"/>
              <w:rPr>
                <w:rFonts w:ascii="Arial" w:hAnsi="Arial" w:cs="Arial"/>
                <w:b/>
                <w:bCs/>
                <w:sz w:val="14"/>
                <w:szCs w:val="14"/>
              </w:rPr>
            </w:pPr>
            <w:r w:rsidRPr="00FE7E97">
              <w:rPr>
                <w:rFonts w:ascii="Arial" w:hAnsi="Arial" w:cs="Arial"/>
                <w:b/>
                <w:bCs/>
                <w:sz w:val="14"/>
                <w:szCs w:val="14"/>
              </w:rPr>
              <w:t>Pending</w:t>
            </w:r>
          </w:p>
        </w:tc>
        <w:tc>
          <w:tcPr>
            <w:tcW w:w="809" w:type="dxa"/>
            <w:shd w:val="clear" w:color="auto" w:fill="DDDDDD"/>
          </w:tcPr>
          <w:p w14:paraId="5D3590F4" w14:textId="77777777" w:rsidR="00F05F41" w:rsidRPr="00FE7E97" w:rsidRDefault="00F05F41" w:rsidP="0012104A">
            <w:pPr>
              <w:jc w:val="both"/>
              <w:rPr>
                <w:rFonts w:ascii="Arial" w:hAnsi="Arial" w:cs="Arial"/>
                <w:b/>
                <w:bCs/>
                <w:sz w:val="14"/>
                <w:szCs w:val="14"/>
              </w:rPr>
            </w:pPr>
            <w:r w:rsidRPr="00FE7E97">
              <w:rPr>
                <w:rFonts w:ascii="Arial" w:hAnsi="Arial" w:cs="Arial"/>
                <w:b/>
                <w:bCs/>
                <w:sz w:val="14"/>
                <w:szCs w:val="14"/>
              </w:rPr>
              <w:t>Initiated</w:t>
            </w:r>
          </w:p>
        </w:tc>
        <w:tc>
          <w:tcPr>
            <w:tcW w:w="855" w:type="dxa"/>
            <w:shd w:val="clear" w:color="auto" w:fill="DDDDDD"/>
          </w:tcPr>
          <w:p w14:paraId="6B06CB56" w14:textId="77777777" w:rsidR="00F05F41" w:rsidRPr="00FE7E97" w:rsidRDefault="00F05F41" w:rsidP="0012104A">
            <w:pPr>
              <w:jc w:val="both"/>
              <w:rPr>
                <w:rFonts w:ascii="Arial" w:hAnsi="Arial" w:cs="Arial"/>
                <w:b/>
                <w:bCs/>
                <w:sz w:val="14"/>
                <w:szCs w:val="14"/>
              </w:rPr>
            </w:pPr>
            <w:r w:rsidRPr="00FE7E97">
              <w:rPr>
                <w:rFonts w:ascii="Arial" w:hAnsi="Arial" w:cs="Arial"/>
                <w:b/>
                <w:bCs/>
                <w:sz w:val="14"/>
                <w:szCs w:val="14"/>
              </w:rPr>
              <w:t>Finalised</w:t>
            </w:r>
          </w:p>
        </w:tc>
        <w:tc>
          <w:tcPr>
            <w:tcW w:w="820" w:type="dxa"/>
            <w:shd w:val="clear" w:color="auto" w:fill="DDDDDD"/>
          </w:tcPr>
          <w:p w14:paraId="7EB39541" w14:textId="77777777" w:rsidR="00F05F41" w:rsidRPr="00FE7E97" w:rsidRDefault="00F05F41" w:rsidP="0012104A">
            <w:pPr>
              <w:jc w:val="both"/>
              <w:rPr>
                <w:rFonts w:ascii="Arial" w:hAnsi="Arial" w:cs="Arial"/>
                <w:b/>
                <w:bCs/>
                <w:sz w:val="14"/>
                <w:szCs w:val="14"/>
              </w:rPr>
            </w:pPr>
            <w:r w:rsidRPr="00FE7E97">
              <w:rPr>
                <w:rFonts w:ascii="Arial" w:hAnsi="Arial" w:cs="Arial"/>
                <w:b/>
                <w:bCs/>
                <w:sz w:val="14"/>
                <w:szCs w:val="14"/>
              </w:rPr>
              <w:t>Pending</w:t>
            </w:r>
          </w:p>
        </w:tc>
        <w:tc>
          <w:tcPr>
            <w:tcW w:w="809" w:type="dxa"/>
            <w:shd w:val="clear" w:color="auto" w:fill="DDDDDD"/>
          </w:tcPr>
          <w:p w14:paraId="4A71D7EC" w14:textId="77777777" w:rsidR="00F05F41" w:rsidRPr="00FE7E97" w:rsidRDefault="00F05F41" w:rsidP="0012104A">
            <w:pPr>
              <w:jc w:val="both"/>
              <w:rPr>
                <w:rFonts w:ascii="Arial" w:hAnsi="Arial" w:cs="Arial"/>
                <w:b/>
                <w:bCs/>
                <w:sz w:val="14"/>
                <w:szCs w:val="14"/>
              </w:rPr>
            </w:pPr>
            <w:r w:rsidRPr="00FE7E97">
              <w:rPr>
                <w:rFonts w:ascii="Arial" w:hAnsi="Arial" w:cs="Arial"/>
                <w:b/>
                <w:bCs/>
                <w:sz w:val="14"/>
                <w:szCs w:val="14"/>
              </w:rPr>
              <w:t>Initiated</w:t>
            </w:r>
          </w:p>
        </w:tc>
        <w:tc>
          <w:tcPr>
            <w:tcW w:w="855" w:type="dxa"/>
            <w:shd w:val="clear" w:color="auto" w:fill="DDDDDD"/>
          </w:tcPr>
          <w:p w14:paraId="0C755593" w14:textId="77777777" w:rsidR="00F05F41" w:rsidRPr="00FE7E97" w:rsidRDefault="00F05F41" w:rsidP="0012104A">
            <w:pPr>
              <w:jc w:val="both"/>
              <w:rPr>
                <w:rFonts w:ascii="Arial" w:hAnsi="Arial" w:cs="Arial"/>
                <w:b/>
                <w:bCs/>
                <w:sz w:val="14"/>
                <w:szCs w:val="14"/>
              </w:rPr>
            </w:pPr>
            <w:r w:rsidRPr="00FE7E97">
              <w:rPr>
                <w:rFonts w:ascii="Arial" w:hAnsi="Arial" w:cs="Arial"/>
                <w:b/>
                <w:bCs/>
                <w:sz w:val="14"/>
                <w:szCs w:val="14"/>
              </w:rPr>
              <w:t>Finalised</w:t>
            </w:r>
          </w:p>
        </w:tc>
        <w:tc>
          <w:tcPr>
            <w:tcW w:w="820" w:type="dxa"/>
            <w:shd w:val="clear" w:color="auto" w:fill="DDDDDD"/>
          </w:tcPr>
          <w:p w14:paraId="0C609DE8" w14:textId="77777777" w:rsidR="00F05F41" w:rsidRPr="00FE7E97" w:rsidRDefault="00F05F41" w:rsidP="0012104A">
            <w:pPr>
              <w:jc w:val="both"/>
              <w:rPr>
                <w:rFonts w:ascii="Arial" w:hAnsi="Arial" w:cs="Arial"/>
                <w:b/>
                <w:bCs/>
                <w:sz w:val="14"/>
                <w:szCs w:val="14"/>
              </w:rPr>
            </w:pPr>
            <w:r w:rsidRPr="00FE7E97">
              <w:rPr>
                <w:rFonts w:ascii="Arial" w:hAnsi="Arial" w:cs="Arial"/>
                <w:b/>
                <w:bCs/>
                <w:sz w:val="14"/>
                <w:szCs w:val="14"/>
              </w:rPr>
              <w:t>Pending</w:t>
            </w:r>
          </w:p>
        </w:tc>
      </w:tr>
      <w:tr w:rsidR="00F05F41" w14:paraId="5D6C4511" w14:textId="77777777" w:rsidTr="0012104A">
        <w:tc>
          <w:tcPr>
            <w:tcW w:w="1607" w:type="dxa"/>
          </w:tcPr>
          <w:p w14:paraId="34103895" w14:textId="77777777" w:rsidR="00F05F41" w:rsidRDefault="00F05F41" w:rsidP="0012104A">
            <w:pPr>
              <w:keepNext/>
              <w:keepLines/>
              <w:jc w:val="both"/>
              <w:rPr>
                <w:rFonts w:ascii="Arial" w:hAnsi="Arial" w:cs="Arial"/>
                <w:sz w:val="20"/>
                <w:szCs w:val="20"/>
              </w:rPr>
            </w:pPr>
            <w:r>
              <w:rPr>
                <w:rFonts w:ascii="Arial" w:hAnsi="Arial" w:cs="Arial"/>
                <w:sz w:val="20"/>
                <w:szCs w:val="20"/>
              </w:rPr>
              <w:t>Melbourne</w:t>
            </w:r>
          </w:p>
        </w:tc>
        <w:tc>
          <w:tcPr>
            <w:tcW w:w="810" w:type="dxa"/>
          </w:tcPr>
          <w:p w14:paraId="6D578478" w14:textId="77777777" w:rsidR="00F05F41" w:rsidRDefault="00F05F41" w:rsidP="0012104A">
            <w:pPr>
              <w:jc w:val="right"/>
              <w:rPr>
                <w:rFonts w:ascii="Arial" w:hAnsi="Arial" w:cs="Arial"/>
                <w:sz w:val="20"/>
                <w:szCs w:val="20"/>
              </w:rPr>
            </w:pPr>
            <w:r>
              <w:rPr>
                <w:rFonts w:ascii="Arial" w:hAnsi="Arial" w:cs="Arial"/>
                <w:sz w:val="20"/>
                <w:szCs w:val="20"/>
              </w:rPr>
              <w:t>1605</w:t>
            </w:r>
          </w:p>
        </w:tc>
        <w:tc>
          <w:tcPr>
            <w:tcW w:w="855" w:type="dxa"/>
          </w:tcPr>
          <w:p w14:paraId="5181CF5A" w14:textId="77777777" w:rsidR="00F05F41" w:rsidRDefault="00F05F41" w:rsidP="0012104A">
            <w:pPr>
              <w:jc w:val="right"/>
              <w:rPr>
                <w:rFonts w:ascii="Arial" w:hAnsi="Arial" w:cs="Arial"/>
                <w:sz w:val="20"/>
                <w:szCs w:val="20"/>
              </w:rPr>
            </w:pPr>
            <w:r>
              <w:rPr>
                <w:rFonts w:ascii="Arial" w:hAnsi="Arial" w:cs="Arial"/>
                <w:sz w:val="20"/>
                <w:szCs w:val="20"/>
              </w:rPr>
              <w:t>1552</w:t>
            </w:r>
          </w:p>
        </w:tc>
        <w:tc>
          <w:tcPr>
            <w:tcW w:w="820" w:type="dxa"/>
          </w:tcPr>
          <w:p w14:paraId="7BFC8EED" w14:textId="77777777" w:rsidR="00F05F41" w:rsidRDefault="00F05F41" w:rsidP="0012104A">
            <w:pPr>
              <w:jc w:val="right"/>
              <w:rPr>
                <w:rFonts w:ascii="Arial" w:hAnsi="Arial" w:cs="Arial"/>
                <w:sz w:val="20"/>
                <w:szCs w:val="20"/>
              </w:rPr>
            </w:pPr>
            <w:r>
              <w:rPr>
                <w:rFonts w:ascii="Arial" w:hAnsi="Arial" w:cs="Arial"/>
                <w:sz w:val="20"/>
                <w:szCs w:val="20"/>
              </w:rPr>
              <w:t>354</w:t>
            </w:r>
          </w:p>
        </w:tc>
        <w:tc>
          <w:tcPr>
            <w:tcW w:w="809" w:type="dxa"/>
            <w:shd w:val="clear" w:color="auto" w:fill="DDDDDD"/>
          </w:tcPr>
          <w:p w14:paraId="23041522" w14:textId="77777777" w:rsidR="00F05F41" w:rsidRDefault="00F05F41" w:rsidP="0012104A">
            <w:pPr>
              <w:jc w:val="right"/>
              <w:rPr>
                <w:rFonts w:ascii="Arial" w:hAnsi="Arial" w:cs="Arial"/>
                <w:sz w:val="20"/>
                <w:szCs w:val="20"/>
              </w:rPr>
            </w:pPr>
            <w:r>
              <w:rPr>
                <w:rFonts w:ascii="Arial" w:hAnsi="Arial" w:cs="Arial"/>
                <w:sz w:val="20"/>
                <w:szCs w:val="20"/>
              </w:rPr>
              <w:t>2110</w:t>
            </w:r>
          </w:p>
        </w:tc>
        <w:tc>
          <w:tcPr>
            <w:tcW w:w="855" w:type="dxa"/>
            <w:shd w:val="clear" w:color="auto" w:fill="DDDDDD"/>
          </w:tcPr>
          <w:p w14:paraId="6EAB76B7" w14:textId="77777777" w:rsidR="00F05F41" w:rsidRDefault="00F05F41" w:rsidP="0012104A">
            <w:pPr>
              <w:jc w:val="right"/>
              <w:rPr>
                <w:rFonts w:ascii="Arial" w:hAnsi="Arial" w:cs="Arial"/>
                <w:sz w:val="20"/>
                <w:szCs w:val="20"/>
              </w:rPr>
            </w:pPr>
            <w:r>
              <w:rPr>
                <w:rFonts w:ascii="Arial" w:hAnsi="Arial" w:cs="Arial"/>
                <w:sz w:val="20"/>
                <w:szCs w:val="20"/>
              </w:rPr>
              <w:t>1622</w:t>
            </w:r>
          </w:p>
        </w:tc>
        <w:tc>
          <w:tcPr>
            <w:tcW w:w="820" w:type="dxa"/>
            <w:shd w:val="clear" w:color="auto" w:fill="DDDDDD"/>
          </w:tcPr>
          <w:p w14:paraId="42F6419E" w14:textId="77777777" w:rsidR="00F05F41" w:rsidRDefault="00F05F41" w:rsidP="0012104A">
            <w:pPr>
              <w:jc w:val="right"/>
              <w:rPr>
                <w:rFonts w:ascii="Arial" w:hAnsi="Arial" w:cs="Arial"/>
                <w:sz w:val="20"/>
                <w:szCs w:val="20"/>
              </w:rPr>
            </w:pPr>
            <w:r>
              <w:rPr>
                <w:rFonts w:ascii="Arial" w:hAnsi="Arial" w:cs="Arial"/>
                <w:sz w:val="20"/>
                <w:szCs w:val="20"/>
              </w:rPr>
              <w:t>799</w:t>
            </w:r>
          </w:p>
        </w:tc>
        <w:tc>
          <w:tcPr>
            <w:tcW w:w="809" w:type="dxa"/>
          </w:tcPr>
          <w:p w14:paraId="7C401D0A" w14:textId="77777777" w:rsidR="00F05F41" w:rsidRDefault="00F05F41" w:rsidP="0012104A">
            <w:pPr>
              <w:jc w:val="right"/>
              <w:rPr>
                <w:rFonts w:ascii="Arial" w:hAnsi="Arial" w:cs="Arial"/>
                <w:sz w:val="20"/>
                <w:szCs w:val="20"/>
              </w:rPr>
            </w:pPr>
            <w:r>
              <w:rPr>
                <w:rFonts w:ascii="Arial" w:hAnsi="Arial" w:cs="Arial"/>
                <w:sz w:val="20"/>
                <w:szCs w:val="20"/>
              </w:rPr>
              <w:t>1698</w:t>
            </w:r>
          </w:p>
        </w:tc>
        <w:tc>
          <w:tcPr>
            <w:tcW w:w="855" w:type="dxa"/>
          </w:tcPr>
          <w:p w14:paraId="42A7163F" w14:textId="77777777" w:rsidR="00F05F41" w:rsidRDefault="00F05F41" w:rsidP="0012104A">
            <w:pPr>
              <w:jc w:val="right"/>
              <w:rPr>
                <w:rFonts w:ascii="Arial" w:hAnsi="Arial" w:cs="Arial"/>
                <w:sz w:val="20"/>
                <w:szCs w:val="20"/>
              </w:rPr>
            </w:pPr>
            <w:r>
              <w:rPr>
                <w:rFonts w:ascii="Arial" w:hAnsi="Arial" w:cs="Arial"/>
                <w:sz w:val="20"/>
                <w:szCs w:val="20"/>
              </w:rPr>
              <w:t>1762</w:t>
            </w:r>
          </w:p>
        </w:tc>
        <w:tc>
          <w:tcPr>
            <w:tcW w:w="820" w:type="dxa"/>
          </w:tcPr>
          <w:p w14:paraId="1F0D546B" w14:textId="77777777" w:rsidR="00F05F41" w:rsidRDefault="00F05F41" w:rsidP="0012104A">
            <w:pPr>
              <w:jc w:val="right"/>
              <w:rPr>
                <w:rFonts w:ascii="Arial" w:hAnsi="Arial" w:cs="Arial"/>
                <w:sz w:val="20"/>
                <w:szCs w:val="20"/>
              </w:rPr>
            </w:pPr>
            <w:r>
              <w:rPr>
                <w:rFonts w:ascii="Arial" w:hAnsi="Arial" w:cs="Arial"/>
                <w:sz w:val="20"/>
                <w:szCs w:val="20"/>
              </w:rPr>
              <w:t>703</w:t>
            </w:r>
          </w:p>
        </w:tc>
      </w:tr>
      <w:tr w:rsidR="00F05F41" w14:paraId="16F58A27" w14:textId="77777777" w:rsidTr="0012104A">
        <w:tc>
          <w:tcPr>
            <w:tcW w:w="1607" w:type="dxa"/>
          </w:tcPr>
          <w:p w14:paraId="1DA27FDC" w14:textId="77777777" w:rsidR="00F05F41" w:rsidRDefault="00F05F41" w:rsidP="0012104A">
            <w:pPr>
              <w:jc w:val="both"/>
              <w:rPr>
                <w:rFonts w:ascii="Arial" w:hAnsi="Arial" w:cs="Arial"/>
                <w:sz w:val="20"/>
                <w:szCs w:val="20"/>
              </w:rPr>
            </w:pPr>
            <w:r>
              <w:rPr>
                <w:rFonts w:ascii="Arial" w:hAnsi="Arial" w:cs="Arial"/>
                <w:sz w:val="20"/>
                <w:szCs w:val="20"/>
              </w:rPr>
              <w:t>Grampians</w:t>
            </w:r>
          </w:p>
        </w:tc>
        <w:tc>
          <w:tcPr>
            <w:tcW w:w="810" w:type="dxa"/>
          </w:tcPr>
          <w:p w14:paraId="7E0FD6DC" w14:textId="77777777" w:rsidR="00F05F41" w:rsidRDefault="00F05F41" w:rsidP="0012104A">
            <w:pPr>
              <w:jc w:val="right"/>
              <w:rPr>
                <w:rFonts w:ascii="Arial" w:hAnsi="Arial" w:cs="Arial"/>
                <w:sz w:val="20"/>
                <w:szCs w:val="20"/>
              </w:rPr>
            </w:pPr>
            <w:r>
              <w:rPr>
                <w:rFonts w:ascii="Arial" w:hAnsi="Arial" w:cs="Arial"/>
                <w:sz w:val="20"/>
                <w:szCs w:val="20"/>
              </w:rPr>
              <w:t>440</w:t>
            </w:r>
          </w:p>
        </w:tc>
        <w:tc>
          <w:tcPr>
            <w:tcW w:w="855" w:type="dxa"/>
          </w:tcPr>
          <w:p w14:paraId="40B2C21D" w14:textId="77777777" w:rsidR="00F05F41" w:rsidRDefault="00F05F41" w:rsidP="0012104A">
            <w:pPr>
              <w:jc w:val="right"/>
              <w:rPr>
                <w:rFonts w:ascii="Arial" w:hAnsi="Arial" w:cs="Arial"/>
                <w:sz w:val="20"/>
                <w:szCs w:val="20"/>
              </w:rPr>
            </w:pPr>
            <w:r>
              <w:rPr>
                <w:rFonts w:ascii="Arial" w:hAnsi="Arial" w:cs="Arial"/>
                <w:sz w:val="20"/>
                <w:szCs w:val="20"/>
              </w:rPr>
              <w:t>466</w:t>
            </w:r>
          </w:p>
        </w:tc>
        <w:tc>
          <w:tcPr>
            <w:tcW w:w="820" w:type="dxa"/>
          </w:tcPr>
          <w:p w14:paraId="24CDA6AE" w14:textId="77777777" w:rsidR="00F05F41" w:rsidRDefault="00F05F41" w:rsidP="0012104A">
            <w:pPr>
              <w:jc w:val="right"/>
              <w:rPr>
                <w:rFonts w:ascii="Arial" w:hAnsi="Arial" w:cs="Arial"/>
                <w:sz w:val="20"/>
                <w:szCs w:val="20"/>
              </w:rPr>
            </w:pPr>
            <w:r>
              <w:rPr>
                <w:rFonts w:ascii="Arial" w:hAnsi="Arial" w:cs="Arial"/>
                <w:sz w:val="20"/>
                <w:szCs w:val="20"/>
              </w:rPr>
              <w:t>84</w:t>
            </w:r>
          </w:p>
        </w:tc>
        <w:tc>
          <w:tcPr>
            <w:tcW w:w="809" w:type="dxa"/>
            <w:shd w:val="clear" w:color="auto" w:fill="DDDDDD"/>
          </w:tcPr>
          <w:p w14:paraId="00803A61" w14:textId="77777777" w:rsidR="00F05F41" w:rsidRDefault="00F05F41" w:rsidP="0012104A">
            <w:pPr>
              <w:jc w:val="right"/>
              <w:rPr>
                <w:rFonts w:ascii="Arial" w:hAnsi="Arial" w:cs="Arial"/>
                <w:sz w:val="20"/>
                <w:szCs w:val="20"/>
              </w:rPr>
            </w:pPr>
            <w:r>
              <w:rPr>
                <w:rFonts w:ascii="Arial" w:hAnsi="Arial" w:cs="Arial"/>
                <w:sz w:val="20"/>
                <w:szCs w:val="20"/>
              </w:rPr>
              <w:t>445</w:t>
            </w:r>
          </w:p>
        </w:tc>
        <w:tc>
          <w:tcPr>
            <w:tcW w:w="855" w:type="dxa"/>
            <w:shd w:val="clear" w:color="auto" w:fill="DDDDDD"/>
          </w:tcPr>
          <w:p w14:paraId="524C548F" w14:textId="77777777" w:rsidR="00F05F41" w:rsidRDefault="00F05F41" w:rsidP="0012104A">
            <w:pPr>
              <w:jc w:val="right"/>
              <w:rPr>
                <w:rFonts w:ascii="Arial" w:hAnsi="Arial" w:cs="Arial"/>
                <w:sz w:val="20"/>
                <w:szCs w:val="20"/>
              </w:rPr>
            </w:pPr>
            <w:r>
              <w:rPr>
                <w:rFonts w:ascii="Arial" w:hAnsi="Arial" w:cs="Arial"/>
                <w:sz w:val="20"/>
                <w:szCs w:val="20"/>
              </w:rPr>
              <w:t>314</w:t>
            </w:r>
          </w:p>
        </w:tc>
        <w:tc>
          <w:tcPr>
            <w:tcW w:w="820" w:type="dxa"/>
            <w:shd w:val="clear" w:color="auto" w:fill="DDDDDD"/>
          </w:tcPr>
          <w:p w14:paraId="5554CA11" w14:textId="77777777" w:rsidR="00F05F41" w:rsidRDefault="00F05F41" w:rsidP="0012104A">
            <w:pPr>
              <w:jc w:val="right"/>
              <w:rPr>
                <w:rFonts w:ascii="Arial" w:hAnsi="Arial" w:cs="Arial"/>
                <w:sz w:val="20"/>
                <w:szCs w:val="20"/>
              </w:rPr>
            </w:pPr>
            <w:r>
              <w:rPr>
                <w:rFonts w:ascii="Arial" w:hAnsi="Arial" w:cs="Arial"/>
                <w:sz w:val="20"/>
                <w:szCs w:val="20"/>
              </w:rPr>
              <w:t>198</w:t>
            </w:r>
          </w:p>
        </w:tc>
        <w:tc>
          <w:tcPr>
            <w:tcW w:w="809" w:type="dxa"/>
          </w:tcPr>
          <w:p w14:paraId="30D8C47F" w14:textId="77777777" w:rsidR="00F05F41" w:rsidRDefault="00F05F41" w:rsidP="0012104A">
            <w:pPr>
              <w:jc w:val="right"/>
              <w:rPr>
                <w:rFonts w:ascii="Arial" w:hAnsi="Arial" w:cs="Arial"/>
                <w:sz w:val="20"/>
                <w:szCs w:val="20"/>
              </w:rPr>
            </w:pPr>
            <w:r>
              <w:rPr>
                <w:rFonts w:ascii="Arial" w:hAnsi="Arial" w:cs="Arial"/>
                <w:sz w:val="20"/>
                <w:szCs w:val="20"/>
              </w:rPr>
              <w:t>280</w:t>
            </w:r>
          </w:p>
        </w:tc>
        <w:tc>
          <w:tcPr>
            <w:tcW w:w="855" w:type="dxa"/>
          </w:tcPr>
          <w:p w14:paraId="06F6F935" w14:textId="77777777" w:rsidR="00F05F41" w:rsidRDefault="00F05F41" w:rsidP="0012104A">
            <w:pPr>
              <w:jc w:val="right"/>
              <w:rPr>
                <w:rFonts w:ascii="Arial" w:hAnsi="Arial" w:cs="Arial"/>
                <w:sz w:val="20"/>
                <w:szCs w:val="20"/>
              </w:rPr>
            </w:pPr>
            <w:r>
              <w:rPr>
                <w:rFonts w:ascii="Arial" w:hAnsi="Arial" w:cs="Arial"/>
                <w:sz w:val="20"/>
                <w:szCs w:val="20"/>
              </w:rPr>
              <w:t>365</w:t>
            </w:r>
          </w:p>
        </w:tc>
        <w:tc>
          <w:tcPr>
            <w:tcW w:w="820" w:type="dxa"/>
          </w:tcPr>
          <w:p w14:paraId="4BC31B27" w14:textId="77777777" w:rsidR="00F05F41" w:rsidRDefault="00F05F41" w:rsidP="0012104A">
            <w:pPr>
              <w:jc w:val="right"/>
              <w:rPr>
                <w:rFonts w:ascii="Arial" w:hAnsi="Arial" w:cs="Arial"/>
                <w:sz w:val="20"/>
                <w:szCs w:val="20"/>
              </w:rPr>
            </w:pPr>
            <w:r>
              <w:rPr>
                <w:rFonts w:ascii="Arial" w:hAnsi="Arial" w:cs="Arial"/>
                <w:sz w:val="20"/>
                <w:szCs w:val="20"/>
              </w:rPr>
              <w:t>108</w:t>
            </w:r>
          </w:p>
        </w:tc>
      </w:tr>
      <w:tr w:rsidR="00F05F41" w14:paraId="08941932" w14:textId="77777777" w:rsidTr="0012104A">
        <w:tc>
          <w:tcPr>
            <w:tcW w:w="1607" w:type="dxa"/>
          </w:tcPr>
          <w:p w14:paraId="64C1AB9E" w14:textId="77777777" w:rsidR="00F05F41" w:rsidRDefault="00F05F41" w:rsidP="0012104A">
            <w:pPr>
              <w:jc w:val="both"/>
              <w:rPr>
                <w:rFonts w:ascii="Arial" w:hAnsi="Arial" w:cs="Arial"/>
                <w:sz w:val="20"/>
                <w:szCs w:val="20"/>
              </w:rPr>
            </w:pPr>
            <w:r>
              <w:rPr>
                <w:rFonts w:ascii="Arial" w:hAnsi="Arial" w:cs="Arial"/>
                <w:sz w:val="20"/>
                <w:szCs w:val="20"/>
              </w:rPr>
              <w:t>Loddon Mallee</w:t>
            </w:r>
          </w:p>
        </w:tc>
        <w:tc>
          <w:tcPr>
            <w:tcW w:w="810" w:type="dxa"/>
          </w:tcPr>
          <w:p w14:paraId="74E1C81A" w14:textId="77777777" w:rsidR="00F05F41" w:rsidRDefault="00F05F41" w:rsidP="0012104A">
            <w:pPr>
              <w:jc w:val="right"/>
              <w:rPr>
                <w:rFonts w:ascii="Arial" w:hAnsi="Arial" w:cs="Arial"/>
                <w:sz w:val="20"/>
                <w:szCs w:val="20"/>
              </w:rPr>
            </w:pPr>
            <w:r>
              <w:rPr>
                <w:rFonts w:ascii="Arial" w:hAnsi="Arial" w:cs="Arial"/>
                <w:sz w:val="20"/>
                <w:szCs w:val="20"/>
              </w:rPr>
              <w:t>531</w:t>
            </w:r>
          </w:p>
        </w:tc>
        <w:tc>
          <w:tcPr>
            <w:tcW w:w="855" w:type="dxa"/>
          </w:tcPr>
          <w:p w14:paraId="14C68961" w14:textId="77777777" w:rsidR="00F05F41" w:rsidRDefault="00F05F41" w:rsidP="0012104A">
            <w:pPr>
              <w:jc w:val="right"/>
              <w:rPr>
                <w:rFonts w:ascii="Arial" w:hAnsi="Arial" w:cs="Arial"/>
                <w:sz w:val="20"/>
                <w:szCs w:val="20"/>
              </w:rPr>
            </w:pPr>
            <w:r>
              <w:rPr>
                <w:rFonts w:ascii="Arial" w:hAnsi="Arial" w:cs="Arial"/>
                <w:sz w:val="20"/>
                <w:szCs w:val="20"/>
              </w:rPr>
              <w:t>526</w:t>
            </w:r>
          </w:p>
        </w:tc>
        <w:tc>
          <w:tcPr>
            <w:tcW w:w="820" w:type="dxa"/>
          </w:tcPr>
          <w:p w14:paraId="1F911280" w14:textId="77777777" w:rsidR="00F05F41" w:rsidRDefault="00F05F41" w:rsidP="0012104A">
            <w:pPr>
              <w:jc w:val="right"/>
              <w:rPr>
                <w:rFonts w:ascii="Arial" w:hAnsi="Arial" w:cs="Arial"/>
                <w:sz w:val="20"/>
                <w:szCs w:val="20"/>
              </w:rPr>
            </w:pPr>
            <w:r>
              <w:rPr>
                <w:rFonts w:ascii="Arial" w:hAnsi="Arial" w:cs="Arial"/>
                <w:sz w:val="20"/>
                <w:szCs w:val="20"/>
              </w:rPr>
              <w:t>122</w:t>
            </w:r>
          </w:p>
        </w:tc>
        <w:tc>
          <w:tcPr>
            <w:tcW w:w="809" w:type="dxa"/>
            <w:shd w:val="clear" w:color="auto" w:fill="DDDDDD"/>
          </w:tcPr>
          <w:p w14:paraId="1B7F7E30" w14:textId="77777777" w:rsidR="00F05F41" w:rsidRDefault="00F05F41" w:rsidP="0012104A">
            <w:pPr>
              <w:jc w:val="right"/>
              <w:rPr>
                <w:rFonts w:ascii="Arial" w:hAnsi="Arial" w:cs="Arial"/>
                <w:sz w:val="20"/>
                <w:szCs w:val="20"/>
              </w:rPr>
            </w:pPr>
            <w:r>
              <w:rPr>
                <w:rFonts w:ascii="Arial" w:hAnsi="Arial" w:cs="Arial"/>
                <w:sz w:val="20"/>
                <w:szCs w:val="20"/>
              </w:rPr>
              <w:t>683</w:t>
            </w:r>
          </w:p>
        </w:tc>
        <w:tc>
          <w:tcPr>
            <w:tcW w:w="855" w:type="dxa"/>
            <w:shd w:val="clear" w:color="auto" w:fill="DDDDDD"/>
          </w:tcPr>
          <w:p w14:paraId="0518A812" w14:textId="77777777" w:rsidR="00F05F41" w:rsidRDefault="00F05F41" w:rsidP="0012104A">
            <w:pPr>
              <w:jc w:val="right"/>
              <w:rPr>
                <w:rFonts w:ascii="Arial" w:hAnsi="Arial" w:cs="Arial"/>
                <w:sz w:val="20"/>
                <w:szCs w:val="20"/>
              </w:rPr>
            </w:pPr>
            <w:r>
              <w:rPr>
                <w:rFonts w:ascii="Arial" w:hAnsi="Arial" w:cs="Arial"/>
                <w:sz w:val="20"/>
                <w:szCs w:val="20"/>
              </w:rPr>
              <w:t>608</w:t>
            </w:r>
          </w:p>
        </w:tc>
        <w:tc>
          <w:tcPr>
            <w:tcW w:w="820" w:type="dxa"/>
            <w:shd w:val="clear" w:color="auto" w:fill="DDDDDD"/>
          </w:tcPr>
          <w:p w14:paraId="1DF46999" w14:textId="77777777" w:rsidR="00F05F41" w:rsidRDefault="00F05F41" w:rsidP="0012104A">
            <w:pPr>
              <w:jc w:val="right"/>
              <w:rPr>
                <w:rFonts w:ascii="Arial" w:hAnsi="Arial" w:cs="Arial"/>
                <w:sz w:val="20"/>
                <w:szCs w:val="20"/>
              </w:rPr>
            </w:pPr>
            <w:r>
              <w:rPr>
                <w:rFonts w:ascii="Arial" w:hAnsi="Arial" w:cs="Arial"/>
                <w:sz w:val="20"/>
                <w:szCs w:val="20"/>
              </w:rPr>
              <w:t>257</w:t>
            </w:r>
          </w:p>
        </w:tc>
        <w:tc>
          <w:tcPr>
            <w:tcW w:w="809" w:type="dxa"/>
          </w:tcPr>
          <w:p w14:paraId="4483C8C1" w14:textId="77777777" w:rsidR="00F05F41" w:rsidRDefault="00F05F41" w:rsidP="0012104A">
            <w:pPr>
              <w:jc w:val="right"/>
              <w:rPr>
                <w:rFonts w:ascii="Arial" w:hAnsi="Arial" w:cs="Arial"/>
                <w:sz w:val="20"/>
                <w:szCs w:val="20"/>
              </w:rPr>
            </w:pPr>
            <w:r>
              <w:rPr>
                <w:rFonts w:ascii="Arial" w:hAnsi="Arial" w:cs="Arial"/>
                <w:sz w:val="20"/>
                <w:szCs w:val="20"/>
              </w:rPr>
              <w:t>541</w:t>
            </w:r>
          </w:p>
        </w:tc>
        <w:tc>
          <w:tcPr>
            <w:tcW w:w="855" w:type="dxa"/>
          </w:tcPr>
          <w:p w14:paraId="0EB97A78" w14:textId="77777777" w:rsidR="00F05F41" w:rsidRDefault="00F05F41" w:rsidP="0012104A">
            <w:pPr>
              <w:jc w:val="right"/>
              <w:rPr>
                <w:rFonts w:ascii="Arial" w:hAnsi="Arial" w:cs="Arial"/>
                <w:sz w:val="20"/>
                <w:szCs w:val="20"/>
              </w:rPr>
            </w:pPr>
            <w:r>
              <w:rPr>
                <w:rFonts w:ascii="Arial" w:hAnsi="Arial" w:cs="Arial"/>
                <w:sz w:val="20"/>
                <w:szCs w:val="20"/>
              </w:rPr>
              <w:t>589</w:t>
            </w:r>
          </w:p>
        </w:tc>
        <w:tc>
          <w:tcPr>
            <w:tcW w:w="820" w:type="dxa"/>
          </w:tcPr>
          <w:p w14:paraId="7C9C05B6" w14:textId="77777777" w:rsidR="00F05F41" w:rsidRDefault="00F05F41" w:rsidP="0012104A">
            <w:pPr>
              <w:jc w:val="right"/>
              <w:rPr>
                <w:rFonts w:ascii="Arial" w:hAnsi="Arial" w:cs="Arial"/>
                <w:sz w:val="20"/>
                <w:szCs w:val="20"/>
              </w:rPr>
            </w:pPr>
            <w:r>
              <w:rPr>
                <w:rFonts w:ascii="Arial" w:hAnsi="Arial" w:cs="Arial"/>
                <w:sz w:val="20"/>
                <w:szCs w:val="20"/>
              </w:rPr>
              <w:t>198</w:t>
            </w:r>
          </w:p>
        </w:tc>
      </w:tr>
      <w:tr w:rsidR="00F05F41" w14:paraId="6DCF5922" w14:textId="77777777" w:rsidTr="0012104A">
        <w:tc>
          <w:tcPr>
            <w:tcW w:w="1607" w:type="dxa"/>
          </w:tcPr>
          <w:p w14:paraId="3497533B" w14:textId="77777777" w:rsidR="00F05F41" w:rsidRDefault="00F05F41" w:rsidP="0012104A">
            <w:pPr>
              <w:jc w:val="both"/>
              <w:rPr>
                <w:rFonts w:ascii="Arial" w:hAnsi="Arial" w:cs="Arial"/>
                <w:sz w:val="20"/>
                <w:szCs w:val="20"/>
              </w:rPr>
            </w:pPr>
            <w:r>
              <w:rPr>
                <w:rFonts w:ascii="Arial" w:hAnsi="Arial" w:cs="Arial"/>
                <w:sz w:val="20"/>
                <w:szCs w:val="20"/>
              </w:rPr>
              <w:t>Broadmeadows</w:t>
            </w:r>
          </w:p>
        </w:tc>
        <w:tc>
          <w:tcPr>
            <w:tcW w:w="810" w:type="dxa"/>
          </w:tcPr>
          <w:p w14:paraId="2C60BD86" w14:textId="77777777" w:rsidR="00F05F41" w:rsidRDefault="00F05F41" w:rsidP="0012104A">
            <w:pPr>
              <w:jc w:val="right"/>
              <w:rPr>
                <w:rFonts w:ascii="Arial" w:hAnsi="Arial" w:cs="Arial"/>
                <w:sz w:val="20"/>
                <w:szCs w:val="20"/>
              </w:rPr>
            </w:pPr>
            <w:r>
              <w:rPr>
                <w:rFonts w:ascii="Arial" w:hAnsi="Arial" w:cs="Arial"/>
                <w:sz w:val="20"/>
                <w:szCs w:val="20"/>
              </w:rPr>
              <w:t>499</w:t>
            </w:r>
          </w:p>
        </w:tc>
        <w:tc>
          <w:tcPr>
            <w:tcW w:w="855" w:type="dxa"/>
          </w:tcPr>
          <w:p w14:paraId="16539546" w14:textId="77777777" w:rsidR="00F05F41" w:rsidRDefault="00F05F41" w:rsidP="0012104A">
            <w:pPr>
              <w:jc w:val="right"/>
              <w:rPr>
                <w:rFonts w:ascii="Arial" w:hAnsi="Arial" w:cs="Arial"/>
                <w:sz w:val="20"/>
                <w:szCs w:val="20"/>
              </w:rPr>
            </w:pPr>
            <w:r>
              <w:rPr>
                <w:rFonts w:ascii="Arial" w:hAnsi="Arial" w:cs="Arial"/>
                <w:sz w:val="20"/>
                <w:szCs w:val="20"/>
              </w:rPr>
              <w:t>423</w:t>
            </w:r>
          </w:p>
        </w:tc>
        <w:tc>
          <w:tcPr>
            <w:tcW w:w="820" w:type="dxa"/>
          </w:tcPr>
          <w:p w14:paraId="1F925EDF" w14:textId="77777777" w:rsidR="00F05F41" w:rsidRDefault="00F05F41" w:rsidP="0012104A">
            <w:pPr>
              <w:jc w:val="right"/>
              <w:rPr>
                <w:rFonts w:ascii="Arial" w:hAnsi="Arial" w:cs="Arial"/>
                <w:sz w:val="20"/>
                <w:szCs w:val="20"/>
              </w:rPr>
            </w:pPr>
            <w:r>
              <w:rPr>
                <w:rFonts w:ascii="Arial" w:hAnsi="Arial" w:cs="Arial"/>
                <w:sz w:val="20"/>
                <w:szCs w:val="20"/>
              </w:rPr>
              <w:t>146</w:t>
            </w:r>
          </w:p>
        </w:tc>
        <w:tc>
          <w:tcPr>
            <w:tcW w:w="809" w:type="dxa"/>
            <w:shd w:val="clear" w:color="auto" w:fill="DDDDDD"/>
          </w:tcPr>
          <w:p w14:paraId="4D4E4C94" w14:textId="77777777" w:rsidR="00F05F41" w:rsidRDefault="00F05F41" w:rsidP="0012104A">
            <w:pPr>
              <w:jc w:val="right"/>
              <w:rPr>
                <w:rFonts w:ascii="Arial" w:hAnsi="Arial" w:cs="Arial"/>
                <w:sz w:val="20"/>
                <w:szCs w:val="20"/>
              </w:rPr>
            </w:pPr>
            <w:r>
              <w:rPr>
                <w:rFonts w:ascii="Arial" w:hAnsi="Arial" w:cs="Arial"/>
                <w:sz w:val="20"/>
                <w:szCs w:val="20"/>
              </w:rPr>
              <w:t>500</w:t>
            </w:r>
          </w:p>
        </w:tc>
        <w:tc>
          <w:tcPr>
            <w:tcW w:w="855" w:type="dxa"/>
            <w:shd w:val="clear" w:color="auto" w:fill="DDDDDD"/>
          </w:tcPr>
          <w:p w14:paraId="4FDCB31D" w14:textId="77777777" w:rsidR="00F05F41" w:rsidRDefault="00F05F41" w:rsidP="0012104A">
            <w:pPr>
              <w:jc w:val="right"/>
              <w:rPr>
                <w:rFonts w:ascii="Arial" w:hAnsi="Arial" w:cs="Arial"/>
                <w:sz w:val="20"/>
                <w:szCs w:val="20"/>
              </w:rPr>
            </w:pPr>
            <w:r>
              <w:rPr>
                <w:rFonts w:ascii="Arial" w:hAnsi="Arial" w:cs="Arial"/>
                <w:sz w:val="20"/>
                <w:szCs w:val="20"/>
              </w:rPr>
              <w:t>383</w:t>
            </w:r>
          </w:p>
        </w:tc>
        <w:tc>
          <w:tcPr>
            <w:tcW w:w="820" w:type="dxa"/>
            <w:shd w:val="clear" w:color="auto" w:fill="DDDDDD"/>
          </w:tcPr>
          <w:p w14:paraId="60D04835" w14:textId="77777777" w:rsidR="00F05F41" w:rsidRDefault="00F05F41" w:rsidP="0012104A">
            <w:pPr>
              <w:jc w:val="right"/>
              <w:rPr>
                <w:rFonts w:ascii="Arial" w:hAnsi="Arial" w:cs="Arial"/>
                <w:sz w:val="20"/>
                <w:szCs w:val="20"/>
              </w:rPr>
            </w:pPr>
            <w:r>
              <w:rPr>
                <w:rFonts w:ascii="Arial" w:hAnsi="Arial" w:cs="Arial"/>
                <w:sz w:val="20"/>
                <w:szCs w:val="20"/>
              </w:rPr>
              <w:t>274</w:t>
            </w:r>
          </w:p>
        </w:tc>
        <w:tc>
          <w:tcPr>
            <w:tcW w:w="809" w:type="dxa"/>
          </w:tcPr>
          <w:p w14:paraId="316F0FF1" w14:textId="77777777" w:rsidR="00F05F41" w:rsidRDefault="00F05F41" w:rsidP="0012104A">
            <w:pPr>
              <w:jc w:val="right"/>
              <w:rPr>
                <w:rFonts w:ascii="Arial" w:hAnsi="Arial" w:cs="Arial"/>
                <w:sz w:val="20"/>
                <w:szCs w:val="20"/>
              </w:rPr>
            </w:pPr>
            <w:r>
              <w:rPr>
                <w:rFonts w:ascii="Arial" w:hAnsi="Arial" w:cs="Arial"/>
                <w:sz w:val="20"/>
                <w:szCs w:val="20"/>
              </w:rPr>
              <w:t>495</w:t>
            </w:r>
          </w:p>
        </w:tc>
        <w:tc>
          <w:tcPr>
            <w:tcW w:w="855" w:type="dxa"/>
          </w:tcPr>
          <w:p w14:paraId="0CC35F9B" w14:textId="77777777" w:rsidR="00F05F41" w:rsidRDefault="00F05F41" w:rsidP="0012104A">
            <w:pPr>
              <w:jc w:val="right"/>
              <w:rPr>
                <w:rFonts w:ascii="Arial" w:hAnsi="Arial" w:cs="Arial"/>
                <w:sz w:val="20"/>
                <w:szCs w:val="20"/>
              </w:rPr>
            </w:pPr>
            <w:r>
              <w:rPr>
                <w:rFonts w:ascii="Arial" w:hAnsi="Arial" w:cs="Arial"/>
                <w:sz w:val="20"/>
                <w:szCs w:val="20"/>
              </w:rPr>
              <w:t>402</w:t>
            </w:r>
          </w:p>
        </w:tc>
        <w:tc>
          <w:tcPr>
            <w:tcW w:w="820" w:type="dxa"/>
          </w:tcPr>
          <w:p w14:paraId="3E3762A0" w14:textId="77777777" w:rsidR="00F05F41" w:rsidRDefault="00F05F41" w:rsidP="0012104A">
            <w:pPr>
              <w:jc w:val="right"/>
              <w:rPr>
                <w:rFonts w:ascii="Arial" w:hAnsi="Arial" w:cs="Arial"/>
                <w:sz w:val="20"/>
                <w:szCs w:val="20"/>
              </w:rPr>
            </w:pPr>
            <w:r>
              <w:rPr>
                <w:rFonts w:ascii="Arial" w:hAnsi="Arial" w:cs="Arial"/>
                <w:sz w:val="20"/>
                <w:szCs w:val="20"/>
              </w:rPr>
              <w:t>379</w:t>
            </w:r>
          </w:p>
        </w:tc>
      </w:tr>
      <w:tr w:rsidR="00F05F41" w14:paraId="53E1CED9" w14:textId="77777777" w:rsidTr="0012104A">
        <w:tc>
          <w:tcPr>
            <w:tcW w:w="1607" w:type="dxa"/>
          </w:tcPr>
          <w:p w14:paraId="469B525B" w14:textId="77777777" w:rsidR="00F05F41" w:rsidRDefault="00F05F41" w:rsidP="0012104A">
            <w:pPr>
              <w:jc w:val="both"/>
              <w:rPr>
                <w:rFonts w:ascii="Arial" w:hAnsi="Arial" w:cs="Arial"/>
                <w:sz w:val="20"/>
                <w:szCs w:val="20"/>
              </w:rPr>
            </w:pPr>
            <w:r>
              <w:rPr>
                <w:rFonts w:ascii="Arial" w:hAnsi="Arial" w:cs="Arial"/>
                <w:sz w:val="20"/>
                <w:szCs w:val="20"/>
              </w:rPr>
              <w:t>Dandenong</w:t>
            </w:r>
          </w:p>
        </w:tc>
        <w:tc>
          <w:tcPr>
            <w:tcW w:w="810" w:type="dxa"/>
          </w:tcPr>
          <w:p w14:paraId="4FB34134" w14:textId="77777777" w:rsidR="00F05F41" w:rsidRDefault="00F05F41" w:rsidP="0012104A">
            <w:pPr>
              <w:jc w:val="right"/>
              <w:rPr>
                <w:rFonts w:ascii="Arial" w:hAnsi="Arial" w:cs="Arial"/>
                <w:sz w:val="20"/>
                <w:szCs w:val="20"/>
              </w:rPr>
            </w:pPr>
            <w:r>
              <w:rPr>
                <w:rFonts w:ascii="Arial" w:hAnsi="Arial" w:cs="Arial"/>
                <w:sz w:val="20"/>
                <w:szCs w:val="20"/>
              </w:rPr>
              <w:t>796</w:t>
            </w:r>
          </w:p>
        </w:tc>
        <w:tc>
          <w:tcPr>
            <w:tcW w:w="855" w:type="dxa"/>
          </w:tcPr>
          <w:p w14:paraId="2AD9410F" w14:textId="77777777" w:rsidR="00F05F41" w:rsidRDefault="00F05F41" w:rsidP="0012104A">
            <w:pPr>
              <w:jc w:val="right"/>
              <w:rPr>
                <w:rFonts w:ascii="Arial" w:hAnsi="Arial" w:cs="Arial"/>
                <w:sz w:val="20"/>
                <w:szCs w:val="20"/>
              </w:rPr>
            </w:pPr>
            <w:r>
              <w:rPr>
                <w:rFonts w:ascii="Arial" w:hAnsi="Arial" w:cs="Arial"/>
                <w:sz w:val="20"/>
                <w:szCs w:val="20"/>
              </w:rPr>
              <w:t>781</w:t>
            </w:r>
          </w:p>
        </w:tc>
        <w:tc>
          <w:tcPr>
            <w:tcW w:w="820" w:type="dxa"/>
          </w:tcPr>
          <w:p w14:paraId="6BA195C4" w14:textId="77777777" w:rsidR="00F05F41" w:rsidRDefault="00F05F41" w:rsidP="0012104A">
            <w:pPr>
              <w:jc w:val="right"/>
              <w:rPr>
                <w:rFonts w:ascii="Arial" w:hAnsi="Arial" w:cs="Arial"/>
                <w:sz w:val="20"/>
                <w:szCs w:val="20"/>
              </w:rPr>
            </w:pPr>
            <w:r>
              <w:rPr>
                <w:rFonts w:ascii="Arial" w:hAnsi="Arial" w:cs="Arial"/>
                <w:sz w:val="20"/>
                <w:szCs w:val="20"/>
              </w:rPr>
              <w:t>144</w:t>
            </w:r>
          </w:p>
        </w:tc>
        <w:tc>
          <w:tcPr>
            <w:tcW w:w="809" w:type="dxa"/>
            <w:shd w:val="clear" w:color="auto" w:fill="DDDDDD"/>
          </w:tcPr>
          <w:p w14:paraId="30FB7EAF" w14:textId="77777777" w:rsidR="00F05F41" w:rsidRDefault="00F05F41" w:rsidP="0012104A">
            <w:pPr>
              <w:jc w:val="right"/>
              <w:rPr>
                <w:rFonts w:ascii="Arial" w:hAnsi="Arial" w:cs="Arial"/>
                <w:sz w:val="20"/>
                <w:szCs w:val="20"/>
              </w:rPr>
            </w:pPr>
            <w:r>
              <w:rPr>
                <w:rFonts w:ascii="Arial" w:hAnsi="Arial" w:cs="Arial"/>
                <w:sz w:val="20"/>
                <w:szCs w:val="20"/>
              </w:rPr>
              <w:t>1084</w:t>
            </w:r>
          </w:p>
        </w:tc>
        <w:tc>
          <w:tcPr>
            <w:tcW w:w="855" w:type="dxa"/>
            <w:shd w:val="clear" w:color="auto" w:fill="DDDDDD"/>
          </w:tcPr>
          <w:p w14:paraId="3B37CA6E" w14:textId="77777777" w:rsidR="00F05F41" w:rsidRDefault="00F05F41" w:rsidP="0012104A">
            <w:pPr>
              <w:jc w:val="right"/>
              <w:rPr>
                <w:rFonts w:ascii="Arial" w:hAnsi="Arial" w:cs="Arial"/>
                <w:sz w:val="20"/>
                <w:szCs w:val="20"/>
              </w:rPr>
            </w:pPr>
            <w:r>
              <w:rPr>
                <w:rFonts w:ascii="Arial" w:hAnsi="Arial" w:cs="Arial"/>
                <w:sz w:val="20"/>
                <w:szCs w:val="20"/>
              </w:rPr>
              <w:t>831</w:t>
            </w:r>
          </w:p>
        </w:tc>
        <w:tc>
          <w:tcPr>
            <w:tcW w:w="820" w:type="dxa"/>
            <w:shd w:val="clear" w:color="auto" w:fill="DDDDDD"/>
          </w:tcPr>
          <w:p w14:paraId="665DA30B" w14:textId="77777777" w:rsidR="00F05F41" w:rsidRDefault="00F05F41" w:rsidP="0012104A">
            <w:pPr>
              <w:jc w:val="right"/>
              <w:rPr>
                <w:rFonts w:ascii="Arial" w:hAnsi="Arial" w:cs="Arial"/>
                <w:sz w:val="20"/>
                <w:szCs w:val="20"/>
              </w:rPr>
            </w:pPr>
            <w:r>
              <w:rPr>
                <w:rFonts w:ascii="Arial" w:hAnsi="Arial" w:cs="Arial"/>
                <w:sz w:val="20"/>
                <w:szCs w:val="20"/>
              </w:rPr>
              <w:t>388</w:t>
            </w:r>
          </w:p>
        </w:tc>
        <w:tc>
          <w:tcPr>
            <w:tcW w:w="809" w:type="dxa"/>
          </w:tcPr>
          <w:p w14:paraId="3144C8F8" w14:textId="77777777" w:rsidR="00F05F41" w:rsidRDefault="00F05F41" w:rsidP="0012104A">
            <w:pPr>
              <w:jc w:val="right"/>
              <w:rPr>
                <w:rFonts w:ascii="Arial" w:hAnsi="Arial" w:cs="Arial"/>
                <w:sz w:val="20"/>
                <w:szCs w:val="20"/>
              </w:rPr>
            </w:pPr>
            <w:r>
              <w:rPr>
                <w:rFonts w:ascii="Arial" w:hAnsi="Arial" w:cs="Arial"/>
                <w:sz w:val="20"/>
                <w:szCs w:val="20"/>
              </w:rPr>
              <w:t>814</w:t>
            </w:r>
          </w:p>
        </w:tc>
        <w:tc>
          <w:tcPr>
            <w:tcW w:w="855" w:type="dxa"/>
          </w:tcPr>
          <w:p w14:paraId="36DEA21E" w14:textId="77777777" w:rsidR="00F05F41" w:rsidRDefault="00F05F41" w:rsidP="0012104A">
            <w:pPr>
              <w:jc w:val="right"/>
              <w:rPr>
                <w:rFonts w:ascii="Arial" w:hAnsi="Arial" w:cs="Arial"/>
                <w:sz w:val="20"/>
                <w:szCs w:val="20"/>
              </w:rPr>
            </w:pPr>
            <w:r>
              <w:rPr>
                <w:rFonts w:ascii="Arial" w:hAnsi="Arial" w:cs="Arial"/>
                <w:sz w:val="20"/>
                <w:szCs w:val="20"/>
              </w:rPr>
              <w:t>810</w:t>
            </w:r>
          </w:p>
        </w:tc>
        <w:tc>
          <w:tcPr>
            <w:tcW w:w="820" w:type="dxa"/>
          </w:tcPr>
          <w:p w14:paraId="15FE3271" w14:textId="77777777" w:rsidR="00F05F41" w:rsidRDefault="00F05F41" w:rsidP="0012104A">
            <w:pPr>
              <w:jc w:val="right"/>
              <w:rPr>
                <w:rFonts w:ascii="Arial" w:hAnsi="Arial" w:cs="Arial"/>
                <w:sz w:val="20"/>
                <w:szCs w:val="20"/>
              </w:rPr>
            </w:pPr>
            <w:r>
              <w:rPr>
                <w:rFonts w:ascii="Arial" w:hAnsi="Arial" w:cs="Arial"/>
                <w:sz w:val="20"/>
                <w:szCs w:val="20"/>
              </w:rPr>
              <w:t>384</w:t>
            </w:r>
          </w:p>
        </w:tc>
      </w:tr>
      <w:tr w:rsidR="00F05F41" w14:paraId="4E453D9F" w14:textId="77777777" w:rsidTr="0012104A">
        <w:tc>
          <w:tcPr>
            <w:tcW w:w="1607" w:type="dxa"/>
          </w:tcPr>
          <w:p w14:paraId="18C944B5" w14:textId="77777777" w:rsidR="00F05F41" w:rsidRDefault="00F05F41" w:rsidP="0012104A">
            <w:pPr>
              <w:jc w:val="both"/>
              <w:rPr>
                <w:rFonts w:ascii="Arial" w:hAnsi="Arial" w:cs="Arial"/>
                <w:sz w:val="20"/>
                <w:szCs w:val="20"/>
              </w:rPr>
            </w:pPr>
            <w:r>
              <w:rPr>
                <w:rFonts w:ascii="Arial" w:hAnsi="Arial" w:cs="Arial"/>
                <w:sz w:val="20"/>
                <w:szCs w:val="20"/>
              </w:rPr>
              <w:t>Frankston</w:t>
            </w:r>
          </w:p>
        </w:tc>
        <w:tc>
          <w:tcPr>
            <w:tcW w:w="810" w:type="dxa"/>
          </w:tcPr>
          <w:p w14:paraId="7C5DA07A" w14:textId="77777777" w:rsidR="00F05F41" w:rsidRDefault="00F05F41" w:rsidP="0012104A">
            <w:pPr>
              <w:jc w:val="right"/>
              <w:rPr>
                <w:rFonts w:ascii="Arial" w:hAnsi="Arial" w:cs="Arial"/>
                <w:sz w:val="20"/>
                <w:szCs w:val="20"/>
              </w:rPr>
            </w:pPr>
            <w:r>
              <w:rPr>
                <w:rFonts w:ascii="Arial" w:hAnsi="Arial" w:cs="Arial"/>
                <w:sz w:val="20"/>
                <w:szCs w:val="20"/>
              </w:rPr>
              <w:t>856</w:t>
            </w:r>
          </w:p>
        </w:tc>
        <w:tc>
          <w:tcPr>
            <w:tcW w:w="855" w:type="dxa"/>
          </w:tcPr>
          <w:p w14:paraId="2EE26886" w14:textId="77777777" w:rsidR="00F05F41" w:rsidRDefault="00F05F41" w:rsidP="0012104A">
            <w:pPr>
              <w:jc w:val="right"/>
              <w:rPr>
                <w:rFonts w:ascii="Arial" w:hAnsi="Arial" w:cs="Arial"/>
                <w:sz w:val="20"/>
                <w:szCs w:val="20"/>
              </w:rPr>
            </w:pPr>
            <w:r>
              <w:rPr>
                <w:rFonts w:ascii="Arial" w:hAnsi="Arial" w:cs="Arial"/>
                <w:sz w:val="20"/>
                <w:szCs w:val="20"/>
              </w:rPr>
              <w:t>914</w:t>
            </w:r>
          </w:p>
        </w:tc>
        <w:tc>
          <w:tcPr>
            <w:tcW w:w="820" w:type="dxa"/>
          </w:tcPr>
          <w:p w14:paraId="3ED0AE6D" w14:textId="77777777" w:rsidR="00F05F41" w:rsidRDefault="00F05F41" w:rsidP="0012104A">
            <w:pPr>
              <w:jc w:val="right"/>
              <w:rPr>
                <w:rFonts w:ascii="Arial" w:hAnsi="Arial" w:cs="Arial"/>
                <w:sz w:val="20"/>
                <w:szCs w:val="20"/>
              </w:rPr>
            </w:pPr>
            <w:r>
              <w:rPr>
                <w:rFonts w:ascii="Arial" w:hAnsi="Arial" w:cs="Arial"/>
                <w:sz w:val="20"/>
                <w:szCs w:val="20"/>
              </w:rPr>
              <w:t>228</w:t>
            </w:r>
          </w:p>
        </w:tc>
        <w:tc>
          <w:tcPr>
            <w:tcW w:w="809" w:type="dxa"/>
            <w:shd w:val="clear" w:color="auto" w:fill="DDDDDD"/>
          </w:tcPr>
          <w:p w14:paraId="66C06BF4" w14:textId="77777777" w:rsidR="00F05F41" w:rsidRDefault="00F05F41" w:rsidP="0012104A">
            <w:pPr>
              <w:jc w:val="right"/>
              <w:rPr>
                <w:rFonts w:ascii="Arial" w:hAnsi="Arial" w:cs="Arial"/>
                <w:sz w:val="20"/>
                <w:szCs w:val="20"/>
              </w:rPr>
            </w:pPr>
            <w:r>
              <w:rPr>
                <w:rFonts w:ascii="Arial" w:hAnsi="Arial" w:cs="Arial"/>
                <w:sz w:val="20"/>
                <w:szCs w:val="20"/>
              </w:rPr>
              <w:t>903</w:t>
            </w:r>
          </w:p>
        </w:tc>
        <w:tc>
          <w:tcPr>
            <w:tcW w:w="855" w:type="dxa"/>
            <w:shd w:val="clear" w:color="auto" w:fill="DDDDDD"/>
          </w:tcPr>
          <w:p w14:paraId="7EFA601B" w14:textId="77777777" w:rsidR="00F05F41" w:rsidRDefault="00F05F41" w:rsidP="0012104A">
            <w:pPr>
              <w:jc w:val="right"/>
              <w:rPr>
                <w:rFonts w:ascii="Arial" w:hAnsi="Arial" w:cs="Arial"/>
                <w:sz w:val="20"/>
                <w:szCs w:val="20"/>
              </w:rPr>
            </w:pPr>
            <w:r>
              <w:rPr>
                <w:rFonts w:ascii="Arial" w:hAnsi="Arial" w:cs="Arial"/>
                <w:sz w:val="20"/>
                <w:szCs w:val="20"/>
              </w:rPr>
              <w:t>728</w:t>
            </w:r>
          </w:p>
        </w:tc>
        <w:tc>
          <w:tcPr>
            <w:tcW w:w="820" w:type="dxa"/>
            <w:shd w:val="clear" w:color="auto" w:fill="DDDDDD"/>
          </w:tcPr>
          <w:p w14:paraId="6645DE4C" w14:textId="77777777" w:rsidR="00F05F41" w:rsidRDefault="00F05F41" w:rsidP="0012104A">
            <w:pPr>
              <w:jc w:val="right"/>
              <w:rPr>
                <w:rFonts w:ascii="Arial" w:hAnsi="Arial" w:cs="Arial"/>
                <w:sz w:val="20"/>
                <w:szCs w:val="20"/>
              </w:rPr>
            </w:pPr>
            <w:r>
              <w:rPr>
                <w:rFonts w:ascii="Arial" w:hAnsi="Arial" w:cs="Arial"/>
                <w:sz w:val="20"/>
                <w:szCs w:val="20"/>
              </w:rPr>
              <w:t>435</w:t>
            </w:r>
          </w:p>
        </w:tc>
        <w:tc>
          <w:tcPr>
            <w:tcW w:w="809" w:type="dxa"/>
          </w:tcPr>
          <w:p w14:paraId="216DF86E" w14:textId="77777777" w:rsidR="00F05F41" w:rsidRDefault="00F05F41" w:rsidP="0012104A">
            <w:pPr>
              <w:jc w:val="right"/>
              <w:rPr>
                <w:rFonts w:ascii="Arial" w:hAnsi="Arial" w:cs="Arial"/>
                <w:sz w:val="20"/>
                <w:szCs w:val="20"/>
              </w:rPr>
            </w:pPr>
            <w:r>
              <w:rPr>
                <w:rFonts w:ascii="Arial" w:hAnsi="Arial" w:cs="Arial"/>
                <w:sz w:val="20"/>
                <w:szCs w:val="20"/>
              </w:rPr>
              <w:t>637</w:t>
            </w:r>
          </w:p>
        </w:tc>
        <w:tc>
          <w:tcPr>
            <w:tcW w:w="855" w:type="dxa"/>
          </w:tcPr>
          <w:p w14:paraId="12E0603E" w14:textId="77777777" w:rsidR="00F05F41" w:rsidRDefault="00F05F41" w:rsidP="0012104A">
            <w:pPr>
              <w:jc w:val="right"/>
              <w:rPr>
                <w:rFonts w:ascii="Arial" w:hAnsi="Arial" w:cs="Arial"/>
                <w:sz w:val="20"/>
                <w:szCs w:val="20"/>
              </w:rPr>
            </w:pPr>
            <w:r>
              <w:rPr>
                <w:rFonts w:ascii="Arial" w:hAnsi="Arial" w:cs="Arial"/>
                <w:sz w:val="20"/>
                <w:szCs w:val="20"/>
              </w:rPr>
              <w:t>578</w:t>
            </w:r>
          </w:p>
        </w:tc>
        <w:tc>
          <w:tcPr>
            <w:tcW w:w="820" w:type="dxa"/>
          </w:tcPr>
          <w:p w14:paraId="44D8DA8D" w14:textId="77777777" w:rsidR="00F05F41" w:rsidRDefault="00F05F41" w:rsidP="0012104A">
            <w:pPr>
              <w:jc w:val="right"/>
              <w:rPr>
                <w:rFonts w:ascii="Arial" w:hAnsi="Arial" w:cs="Arial"/>
                <w:sz w:val="20"/>
                <w:szCs w:val="20"/>
              </w:rPr>
            </w:pPr>
            <w:r>
              <w:rPr>
                <w:rFonts w:ascii="Arial" w:hAnsi="Arial" w:cs="Arial"/>
                <w:sz w:val="20"/>
                <w:szCs w:val="20"/>
              </w:rPr>
              <w:t>484</w:t>
            </w:r>
          </w:p>
        </w:tc>
      </w:tr>
      <w:tr w:rsidR="00F05F41" w14:paraId="6B43277C" w14:textId="77777777" w:rsidTr="0012104A">
        <w:tc>
          <w:tcPr>
            <w:tcW w:w="1607" w:type="dxa"/>
          </w:tcPr>
          <w:p w14:paraId="5159D3E7" w14:textId="77777777" w:rsidR="00F05F41" w:rsidRDefault="00F05F41" w:rsidP="0012104A">
            <w:pPr>
              <w:jc w:val="both"/>
              <w:rPr>
                <w:rFonts w:ascii="Arial" w:hAnsi="Arial" w:cs="Arial"/>
                <w:sz w:val="20"/>
                <w:szCs w:val="20"/>
              </w:rPr>
            </w:pPr>
            <w:r>
              <w:rPr>
                <w:rFonts w:ascii="Arial" w:hAnsi="Arial" w:cs="Arial"/>
                <w:sz w:val="20"/>
                <w:szCs w:val="20"/>
              </w:rPr>
              <w:t>Barwon</w:t>
            </w:r>
          </w:p>
          <w:p w14:paraId="7E232845" w14:textId="77777777" w:rsidR="00F05F41" w:rsidRDefault="00F05F41" w:rsidP="0012104A">
            <w:pPr>
              <w:jc w:val="both"/>
              <w:rPr>
                <w:rFonts w:ascii="Arial" w:hAnsi="Arial" w:cs="Arial"/>
                <w:sz w:val="20"/>
                <w:szCs w:val="20"/>
              </w:rPr>
            </w:pPr>
            <w:r>
              <w:rPr>
                <w:rFonts w:ascii="Arial" w:hAnsi="Arial" w:cs="Arial"/>
                <w:sz w:val="20"/>
                <w:szCs w:val="20"/>
              </w:rPr>
              <w:t>South West</w:t>
            </w:r>
          </w:p>
        </w:tc>
        <w:tc>
          <w:tcPr>
            <w:tcW w:w="810" w:type="dxa"/>
          </w:tcPr>
          <w:p w14:paraId="25CCD9BA" w14:textId="77777777" w:rsidR="00F05F41" w:rsidRDefault="00F05F41" w:rsidP="0012104A">
            <w:pPr>
              <w:jc w:val="right"/>
              <w:rPr>
                <w:rFonts w:ascii="Arial" w:hAnsi="Arial" w:cs="Arial"/>
                <w:sz w:val="20"/>
                <w:szCs w:val="20"/>
              </w:rPr>
            </w:pPr>
            <w:r>
              <w:rPr>
                <w:rFonts w:ascii="Arial" w:hAnsi="Arial" w:cs="Arial"/>
                <w:sz w:val="20"/>
                <w:szCs w:val="20"/>
              </w:rPr>
              <w:t>790</w:t>
            </w:r>
          </w:p>
        </w:tc>
        <w:tc>
          <w:tcPr>
            <w:tcW w:w="855" w:type="dxa"/>
          </w:tcPr>
          <w:p w14:paraId="3EC97562" w14:textId="77777777" w:rsidR="00F05F41" w:rsidRDefault="00F05F41" w:rsidP="0012104A">
            <w:pPr>
              <w:jc w:val="right"/>
              <w:rPr>
                <w:rFonts w:ascii="Arial" w:hAnsi="Arial" w:cs="Arial"/>
                <w:sz w:val="20"/>
                <w:szCs w:val="20"/>
              </w:rPr>
            </w:pPr>
            <w:r>
              <w:rPr>
                <w:rFonts w:ascii="Arial" w:hAnsi="Arial" w:cs="Arial"/>
                <w:sz w:val="20"/>
                <w:szCs w:val="20"/>
              </w:rPr>
              <w:t>810</w:t>
            </w:r>
          </w:p>
        </w:tc>
        <w:tc>
          <w:tcPr>
            <w:tcW w:w="820" w:type="dxa"/>
          </w:tcPr>
          <w:p w14:paraId="51A90F03" w14:textId="77777777" w:rsidR="00F05F41" w:rsidRDefault="00F05F41" w:rsidP="0012104A">
            <w:pPr>
              <w:jc w:val="right"/>
              <w:rPr>
                <w:rFonts w:ascii="Arial" w:hAnsi="Arial" w:cs="Arial"/>
                <w:sz w:val="20"/>
                <w:szCs w:val="20"/>
              </w:rPr>
            </w:pPr>
            <w:r>
              <w:rPr>
                <w:rFonts w:ascii="Arial" w:hAnsi="Arial" w:cs="Arial"/>
                <w:sz w:val="20"/>
                <w:szCs w:val="20"/>
              </w:rPr>
              <w:t>152</w:t>
            </w:r>
          </w:p>
        </w:tc>
        <w:tc>
          <w:tcPr>
            <w:tcW w:w="809" w:type="dxa"/>
            <w:shd w:val="clear" w:color="auto" w:fill="DDDDDD"/>
          </w:tcPr>
          <w:p w14:paraId="5DB1BAD5" w14:textId="77777777" w:rsidR="00F05F41" w:rsidRDefault="00F05F41" w:rsidP="0012104A">
            <w:pPr>
              <w:jc w:val="right"/>
              <w:rPr>
                <w:rFonts w:ascii="Arial" w:hAnsi="Arial" w:cs="Arial"/>
                <w:sz w:val="20"/>
                <w:szCs w:val="20"/>
              </w:rPr>
            </w:pPr>
            <w:r>
              <w:rPr>
                <w:rFonts w:ascii="Arial" w:hAnsi="Arial" w:cs="Arial"/>
                <w:sz w:val="20"/>
                <w:szCs w:val="20"/>
              </w:rPr>
              <w:t>750</w:t>
            </w:r>
          </w:p>
        </w:tc>
        <w:tc>
          <w:tcPr>
            <w:tcW w:w="855" w:type="dxa"/>
            <w:shd w:val="clear" w:color="auto" w:fill="DDDDDD"/>
          </w:tcPr>
          <w:p w14:paraId="065967EE" w14:textId="77777777" w:rsidR="00F05F41" w:rsidRDefault="00F05F41" w:rsidP="0012104A">
            <w:pPr>
              <w:jc w:val="right"/>
              <w:rPr>
                <w:rFonts w:ascii="Arial" w:hAnsi="Arial" w:cs="Arial"/>
                <w:sz w:val="20"/>
                <w:szCs w:val="20"/>
              </w:rPr>
            </w:pPr>
            <w:r>
              <w:rPr>
                <w:rFonts w:ascii="Arial" w:hAnsi="Arial" w:cs="Arial"/>
                <w:sz w:val="20"/>
                <w:szCs w:val="20"/>
              </w:rPr>
              <w:t>634</w:t>
            </w:r>
          </w:p>
        </w:tc>
        <w:tc>
          <w:tcPr>
            <w:tcW w:w="820" w:type="dxa"/>
            <w:shd w:val="clear" w:color="auto" w:fill="DDDDDD"/>
          </w:tcPr>
          <w:p w14:paraId="2EF4D42D" w14:textId="77777777" w:rsidR="00F05F41" w:rsidRDefault="00F05F41" w:rsidP="0012104A">
            <w:pPr>
              <w:jc w:val="right"/>
              <w:rPr>
                <w:rFonts w:ascii="Arial" w:hAnsi="Arial" w:cs="Arial"/>
                <w:sz w:val="20"/>
                <w:szCs w:val="20"/>
              </w:rPr>
            </w:pPr>
            <w:r>
              <w:rPr>
                <w:rFonts w:ascii="Arial" w:hAnsi="Arial" w:cs="Arial"/>
                <w:sz w:val="20"/>
                <w:szCs w:val="20"/>
              </w:rPr>
              <w:t>270</w:t>
            </w:r>
          </w:p>
        </w:tc>
        <w:tc>
          <w:tcPr>
            <w:tcW w:w="809" w:type="dxa"/>
          </w:tcPr>
          <w:p w14:paraId="017C9D77" w14:textId="77777777" w:rsidR="00F05F41" w:rsidRDefault="00F05F41" w:rsidP="0012104A">
            <w:pPr>
              <w:jc w:val="right"/>
              <w:rPr>
                <w:rFonts w:ascii="Arial" w:hAnsi="Arial" w:cs="Arial"/>
                <w:sz w:val="20"/>
                <w:szCs w:val="20"/>
              </w:rPr>
            </w:pPr>
            <w:r>
              <w:rPr>
                <w:rFonts w:ascii="Arial" w:hAnsi="Arial" w:cs="Arial"/>
                <w:sz w:val="20"/>
                <w:szCs w:val="20"/>
              </w:rPr>
              <w:t>568</w:t>
            </w:r>
          </w:p>
        </w:tc>
        <w:tc>
          <w:tcPr>
            <w:tcW w:w="855" w:type="dxa"/>
          </w:tcPr>
          <w:p w14:paraId="24B18CEA" w14:textId="77777777" w:rsidR="00F05F41" w:rsidRDefault="00F05F41" w:rsidP="0012104A">
            <w:pPr>
              <w:jc w:val="right"/>
              <w:rPr>
                <w:rFonts w:ascii="Arial" w:hAnsi="Arial" w:cs="Arial"/>
                <w:sz w:val="20"/>
                <w:szCs w:val="20"/>
              </w:rPr>
            </w:pPr>
            <w:r>
              <w:rPr>
                <w:rFonts w:ascii="Arial" w:hAnsi="Arial" w:cs="Arial"/>
                <w:sz w:val="20"/>
                <w:szCs w:val="20"/>
              </w:rPr>
              <w:t>559</w:t>
            </w:r>
          </w:p>
        </w:tc>
        <w:tc>
          <w:tcPr>
            <w:tcW w:w="820" w:type="dxa"/>
          </w:tcPr>
          <w:p w14:paraId="4A77A6B4" w14:textId="77777777" w:rsidR="00F05F41" w:rsidRDefault="00F05F41" w:rsidP="0012104A">
            <w:pPr>
              <w:jc w:val="right"/>
              <w:rPr>
                <w:rFonts w:ascii="Arial" w:hAnsi="Arial" w:cs="Arial"/>
                <w:sz w:val="20"/>
                <w:szCs w:val="20"/>
              </w:rPr>
            </w:pPr>
            <w:r>
              <w:rPr>
                <w:rFonts w:ascii="Arial" w:hAnsi="Arial" w:cs="Arial"/>
                <w:sz w:val="20"/>
                <w:szCs w:val="20"/>
              </w:rPr>
              <w:t>275</w:t>
            </w:r>
          </w:p>
        </w:tc>
      </w:tr>
      <w:tr w:rsidR="00F05F41" w14:paraId="0476E461" w14:textId="77777777" w:rsidTr="0012104A">
        <w:tc>
          <w:tcPr>
            <w:tcW w:w="1607" w:type="dxa"/>
          </w:tcPr>
          <w:p w14:paraId="0A4EAB59" w14:textId="77777777" w:rsidR="00F05F41" w:rsidRDefault="00F05F41" w:rsidP="0012104A">
            <w:pPr>
              <w:jc w:val="both"/>
              <w:rPr>
                <w:rFonts w:ascii="Arial" w:hAnsi="Arial" w:cs="Arial"/>
                <w:sz w:val="20"/>
                <w:szCs w:val="20"/>
              </w:rPr>
            </w:pPr>
            <w:r>
              <w:rPr>
                <w:rFonts w:ascii="Arial" w:hAnsi="Arial" w:cs="Arial"/>
                <w:sz w:val="20"/>
                <w:szCs w:val="20"/>
              </w:rPr>
              <w:t>Heidelberg</w:t>
            </w:r>
          </w:p>
        </w:tc>
        <w:tc>
          <w:tcPr>
            <w:tcW w:w="810" w:type="dxa"/>
          </w:tcPr>
          <w:p w14:paraId="07102D02" w14:textId="77777777" w:rsidR="00F05F41" w:rsidRDefault="00F05F41" w:rsidP="0012104A">
            <w:pPr>
              <w:jc w:val="right"/>
              <w:rPr>
                <w:rFonts w:ascii="Arial" w:hAnsi="Arial" w:cs="Arial"/>
                <w:sz w:val="20"/>
                <w:szCs w:val="20"/>
              </w:rPr>
            </w:pPr>
            <w:r>
              <w:rPr>
                <w:rFonts w:ascii="Arial" w:hAnsi="Arial" w:cs="Arial"/>
                <w:sz w:val="20"/>
                <w:szCs w:val="20"/>
              </w:rPr>
              <w:t>737</w:t>
            </w:r>
          </w:p>
        </w:tc>
        <w:tc>
          <w:tcPr>
            <w:tcW w:w="855" w:type="dxa"/>
          </w:tcPr>
          <w:p w14:paraId="129B57A2" w14:textId="77777777" w:rsidR="00F05F41" w:rsidRDefault="00F05F41" w:rsidP="0012104A">
            <w:pPr>
              <w:jc w:val="right"/>
              <w:rPr>
                <w:rFonts w:ascii="Arial" w:hAnsi="Arial" w:cs="Arial"/>
                <w:sz w:val="20"/>
                <w:szCs w:val="20"/>
              </w:rPr>
            </w:pPr>
            <w:r>
              <w:rPr>
                <w:rFonts w:ascii="Arial" w:hAnsi="Arial" w:cs="Arial"/>
                <w:sz w:val="20"/>
                <w:szCs w:val="20"/>
              </w:rPr>
              <w:t>661</w:t>
            </w:r>
          </w:p>
        </w:tc>
        <w:tc>
          <w:tcPr>
            <w:tcW w:w="820" w:type="dxa"/>
          </w:tcPr>
          <w:p w14:paraId="6C7D9447" w14:textId="77777777" w:rsidR="00F05F41" w:rsidRDefault="00F05F41" w:rsidP="0012104A">
            <w:pPr>
              <w:jc w:val="right"/>
              <w:rPr>
                <w:rFonts w:ascii="Arial" w:hAnsi="Arial" w:cs="Arial"/>
                <w:sz w:val="20"/>
                <w:szCs w:val="20"/>
              </w:rPr>
            </w:pPr>
            <w:r>
              <w:rPr>
                <w:rFonts w:ascii="Arial" w:hAnsi="Arial" w:cs="Arial"/>
                <w:sz w:val="20"/>
                <w:szCs w:val="20"/>
              </w:rPr>
              <w:t>207</w:t>
            </w:r>
          </w:p>
        </w:tc>
        <w:tc>
          <w:tcPr>
            <w:tcW w:w="809" w:type="dxa"/>
            <w:shd w:val="clear" w:color="auto" w:fill="DDDDDD"/>
          </w:tcPr>
          <w:p w14:paraId="28AE4B00" w14:textId="77777777" w:rsidR="00F05F41" w:rsidRDefault="00F05F41" w:rsidP="0012104A">
            <w:pPr>
              <w:jc w:val="right"/>
              <w:rPr>
                <w:rFonts w:ascii="Arial" w:hAnsi="Arial" w:cs="Arial"/>
                <w:sz w:val="20"/>
                <w:szCs w:val="20"/>
              </w:rPr>
            </w:pPr>
            <w:r>
              <w:rPr>
                <w:rFonts w:ascii="Arial" w:hAnsi="Arial" w:cs="Arial"/>
                <w:sz w:val="20"/>
                <w:szCs w:val="20"/>
              </w:rPr>
              <w:t>733</w:t>
            </w:r>
          </w:p>
        </w:tc>
        <w:tc>
          <w:tcPr>
            <w:tcW w:w="855" w:type="dxa"/>
            <w:shd w:val="clear" w:color="auto" w:fill="DDDDDD"/>
          </w:tcPr>
          <w:p w14:paraId="4180055C" w14:textId="77777777" w:rsidR="00F05F41" w:rsidRDefault="00F05F41" w:rsidP="0012104A">
            <w:pPr>
              <w:jc w:val="right"/>
              <w:rPr>
                <w:rFonts w:ascii="Arial" w:hAnsi="Arial" w:cs="Arial"/>
                <w:sz w:val="20"/>
                <w:szCs w:val="20"/>
              </w:rPr>
            </w:pPr>
            <w:r>
              <w:rPr>
                <w:rFonts w:ascii="Arial" w:hAnsi="Arial" w:cs="Arial"/>
                <w:sz w:val="20"/>
                <w:szCs w:val="20"/>
              </w:rPr>
              <w:t>617</w:t>
            </w:r>
          </w:p>
        </w:tc>
        <w:tc>
          <w:tcPr>
            <w:tcW w:w="820" w:type="dxa"/>
            <w:shd w:val="clear" w:color="auto" w:fill="DDDDDD"/>
          </w:tcPr>
          <w:p w14:paraId="675A6366" w14:textId="77777777" w:rsidR="00F05F41" w:rsidRDefault="00F05F41" w:rsidP="0012104A">
            <w:pPr>
              <w:jc w:val="right"/>
              <w:rPr>
                <w:rFonts w:ascii="Arial" w:hAnsi="Arial" w:cs="Arial"/>
                <w:sz w:val="20"/>
                <w:szCs w:val="20"/>
              </w:rPr>
            </w:pPr>
            <w:r>
              <w:rPr>
                <w:rFonts w:ascii="Arial" w:hAnsi="Arial" w:cs="Arial"/>
                <w:sz w:val="20"/>
                <w:szCs w:val="20"/>
              </w:rPr>
              <w:t>331</w:t>
            </w:r>
          </w:p>
        </w:tc>
        <w:tc>
          <w:tcPr>
            <w:tcW w:w="809" w:type="dxa"/>
          </w:tcPr>
          <w:p w14:paraId="11A43D1D" w14:textId="77777777" w:rsidR="00F05F41" w:rsidRDefault="00F05F41" w:rsidP="0012104A">
            <w:pPr>
              <w:jc w:val="right"/>
              <w:rPr>
                <w:rFonts w:ascii="Arial" w:hAnsi="Arial" w:cs="Arial"/>
                <w:sz w:val="20"/>
                <w:szCs w:val="20"/>
              </w:rPr>
            </w:pPr>
            <w:r>
              <w:rPr>
                <w:rFonts w:ascii="Arial" w:hAnsi="Arial" w:cs="Arial"/>
                <w:sz w:val="20"/>
                <w:szCs w:val="20"/>
              </w:rPr>
              <w:t>484</w:t>
            </w:r>
          </w:p>
        </w:tc>
        <w:tc>
          <w:tcPr>
            <w:tcW w:w="855" w:type="dxa"/>
          </w:tcPr>
          <w:p w14:paraId="64C93B14" w14:textId="77777777" w:rsidR="00F05F41" w:rsidRDefault="00F05F41" w:rsidP="0012104A">
            <w:pPr>
              <w:jc w:val="right"/>
              <w:rPr>
                <w:rFonts w:ascii="Arial" w:hAnsi="Arial" w:cs="Arial"/>
                <w:sz w:val="20"/>
                <w:szCs w:val="20"/>
              </w:rPr>
            </w:pPr>
            <w:r>
              <w:rPr>
                <w:rFonts w:ascii="Arial" w:hAnsi="Arial" w:cs="Arial"/>
                <w:sz w:val="20"/>
                <w:szCs w:val="20"/>
              </w:rPr>
              <w:t>560</w:t>
            </w:r>
          </w:p>
        </w:tc>
        <w:tc>
          <w:tcPr>
            <w:tcW w:w="820" w:type="dxa"/>
          </w:tcPr>
          <w:p w14:paraId="16EC5B4A" w14:textId="77777777" w:rsidR="00F05F41" w:rsidRDefault="00F05F41" w:rsidP="0012104A">
            <w:pPr>
              <w:jc w:val="right"/>
              <w:rPr>
                <w:rFonts w:ascii="Arial" w:hAnsi="Arial" w:cs="Arial"/>
                <w:sz w:val="20"/>
                <w:szCs w:val="20"/>
              </w:rPr>
            </w:pPr>
            <w:r>
              <w:rPr>
                <w:rFonts w:ascii="Arial" w:hAnsi="Arial" w:cs="Arial"/>
                <w:sz w:val="20"/>
                <w:szCs w:val="20"/>
              </w:rPr>
              <w:t>269</w:t>
            </w:r>
          </w:p>
        </w:tc>
      </w:tr>
      <w:tr w:rsidR="00F05F41" w14:paraId="2666C34A" w14:textId="77777777" w:rsidTr="0012104A">
        <w:tc>
          <w:tcPr>
            <w:tcW w:w="1607" w:type="dxa"/>
          </w:tcPr>
          <w:p w14:paraId="6023FD15" w14:textId="77777777" w:rsidR="00F05F41" w:rsidRDefault="00F05F41" w:rsidP="0012104A">
            <w:pPr>
              <w:jc w:val="both"/>
              <w:rPr>
                <w:rFonts w:ascii="Arial" w:hAnsi="Arial" w:cs="Arial"/>
                <w:sz w:val="20"/>
                <w:szCs w:val="20"/>
              </w:rPr>
            </w:pPr>
            <w:r>
              <w:rPr>
                <w:rFonts w:ascii="Arial" w:hAnsi="Arial" w:cs="Arial"/>
                <w:sz w:val="20"/>
                <w:szCs w:val="20"/>
              </w:rPr>
              <w:t>Gippsland</w:t>
            </w:r>
          </w:p>
        </w:tc>
        <w:tc>
          <w:tcPr>
            <w:tcW w:w="810" w:type="dxa"/>
          </w:tcPr>
          <w:p w14:paraId="5FB0F009" w14:textId="77777777" w:rsidR="00F05F41" w:rsidRDefault="00F05F41" w:rsidP="0012104A">
            <w:pPr>
              <w:jc w:val="right"/>
              <w:rPr>
                <w:rFonts w:ascii="Arial" w:hAnsi="Arial" w:cs="Arial"/>
                <w:sz w:val="20"/>
                <w:szCs w:val="20"/>
              </w:rPr>
            </w:pPr>
            <w:r>
              <w:rPr>
                <w:rFonts w:ascii="Arial" w:hAnsi="Arial" w:cs="Arial"/>
                <w:sz w:val="20"/>
                <w:szCs w:val="20"/>
              </w:rPr>
              <w:t>764</w:t>
            </w:r>
          </w:p>
        </w:tc>
        <w:tc>
          <w:tcPr>
            <w:tcW w:w="855" w:type="dxa"/>
          </w:tcPr>
          <w:p w14:paraId="21F56835" w14:textId="77777777" w:rsidR="00F05F41" w:rsidRDefault="00F05F41" w:rsidP="0012104A">
            <w:pPr>
              <w:jc w:val="right"/>
              <w:rPr>
                <w:rFonts w:ascii="Arial" w:hAnsi="Arial" w:cs="Arial"/>
                <w:sz w:val="20"/>
                <w:szCs w:val="20"/>
              </w:rPr>
            </w:pPr>
            <w:r>
              <w:rPr>
                <w:rFonts w:ascii="Arial" w:hAnsi="Arial" w:cs="Arial"/>
                <w:sz w:val="20"/>
                <w:szCs w:val="20"/>
              </w:rPr>
              <w:t>730</w:t>
            </w:r>
          </w:p>
        </w:tc>
        <w:tc>
          <w:tcPr>
            <w:tcW w:w="820" w:type="dxa"/>
          </w:tcPr>
          <w:p w14:paraId="5EAB720C" w14:textId="77777777" w:rsidR="00F05F41" w:rsidRDefault="00F05F41" w:rsidP="0012104A">
            <w:pPr>
              <w:jc w:val="right"/>
              <w:rPr>
                <w:rFonts w:ascii="Arial" w:hAnsi="Arial" w:cs="Arial"/>
                <w:sz w:val="20"/>
                <w:szCs w:val="20"/>
              </w:rPr>
            </w:pPr>
            <w:r>
              <w:rPr>
                <w:rFonts w:ascii="Arial" w:hAnsi="Arial" w:cs="Arial"/>
                <w:sz w:val="20"/>
                <w:szCs w:val="20"/>
              </w:rPr>
              <w:t>247</w:t>
            </w:r>
          </w:p>
        </w:tc>
        <w:tc>
          <w:tcPr>
            <w:tcW w:w="809" w:type="dxa"/>
            <w:shd w:val="clear" w:color="auto" w:fill="DDDDDD"/>
          </w:tcPr>
          <w:p w14:paraId="72432A6C" w14:textId="77777777" w:rsidR="00F05F41" w:rsidRDefault="00F05F41" w:rsidP="0012104A">
            <w:pPr>
              <w:jc w:val="right"/>
              <w:rPr>
                <w:rFonts w:ascii="Arial" w:hAnsi="Arial" w:cs="Arial"/>
                <w:sz w:val="20"/>
                <w:szCs w:val="20"/>
              </w:rPr>
            </w:pPr>
            <w:r>
              <w:rPr>
                <w:rFonts w:ascii="Arial" w:hAnsi="Arial" w:cs="Arial"/>
                <w:sz w:val="20"/>
                <w:szCs w:val="20"/>
              </w:rPr>
              <w:t>682</w:t>
            </w:r>
          </w:p>
        </w:tc>
        <w:tc>
          <w:tcPr>
            <w:tcW w:w="855" w:type="dxa"/>
            <w:shd w:val="clear" w:color="auto" w:fill="DDDDDD"/>
          </w:tcPr>
          <w:p w14:paraId="15BF58F0" w14:textId="77777777" w:rsidR="00F05F41" w:rsidRDefault="00F05F41" w:rsidP="0012104A">
            <w:pPr>
              <w:jc w:val="right"/>
              <w:rPr>
                <w:rFonts w:ascii="Arial" w:hAnsi="Arial" w:cs="Arial"/>
                <w:sz w:val="20"/>
                <w:szCs w:val="20"/>
              </w:rPr>
            </w:pPr>
            <w:r>
              <w:rPr>
                <w:rFonts w:ascii="Arial" w:hAnsi="Arial" w:cs="Arial"/>
                <w:sz w:val="20"/>
                <w:szCs w:val="20"/>
              </w:rPr>
              <w:t>596</w:t>
            </w:r>
          </w:p>
        </w:tc>
        <w:tc>
          <w:tcPr>
            <w:tcW w:w="820" w:type="dxa"/>
            <w:shd w:val="clear" w:color="auto" w:fill="DDDDDD"/>
          </w:tcPr>
          <w:p w14:paraId="68C3B1A6" w14:textId="77777777" w:rsidR="00F05F41" w:rsidRDefault="00F05F41" w:rsidP="0012104A">
            <w:pPr>
              <w:jc w:val="right"/>
              <w:rPr>
                <w:rFonts w:ascii="Arial" w:hAnsi="Arial" w:cs="Arial"/>
                <w:sz w:val="20"/>
                <w:szCs w:val="20"/>
              </w:rPr>
            </w:pPr>
            <w:r>
              <w:rPr>
                <w:rFonts w:ascii="Arial" w:hAnsi="Arial" w:cs="Arial"/>
                <w:sz w:val="20"/>
                <w:szCs w:val="20"/>
              </w:rPr>
              <w:t>334</w:t>
            </w:r>
          </w:p>
        </w:tc>
        <w:tc>
          <w:tcPr>
            <w:tcW w:w="809" w:type="dxa"/>
          </w:tcPr>
          <w:p w14:paraId="36830B91" w14:textId="77777777" w:rsidR="00F05F41" w:rsidRDefault="00F05F41" w:rsidP="0012104A">
            <w:pPr>
              <w:jc w:val="right"/>
              <w:rPr>
                <w:rFonts w:ascii="Arial" w:hAnsi="Arial" w:cs="Arial"/>
                <w:sz w:val="20"/>
                <w:szCs w:val="20"/>
              </w:rPr>
            </w:pPr>
            <w:r>
              <w:rPr>
                <w:rFonts w:ascii="Arial" w:hAnsi="Arial" w:cs="Arial"/>
                <w:sz w:val="20"/>
                <w:szCs w:val="20"/>
              </w:rPr>
              <w:t>505</w:t>
            </w:r>
          </w:p>
        </w:tc>
        <w:tc>
          <w:tcPr>
            <w:tcW w:w="855" w:type="dxa"/>
          </w:tcPr>
          <w:p w14:paraId="5C5F807B" w14:textId="77777777" w:rsidR="00F05F41" w:rsidRDefault="00F05F41" w:rsidP="0012104A">
            <w:pPr>
              <w:jc w:val="right"/>
              <w:rPr>
                <w:rFonts w:ascii="Arial" w:hAnsi="Arial" w:cs="Arial"/>
                <w:sz w:val="20"/>
                <w:szCs w:val="20"/>
              </w:rPr>
            </w:pPr>
            <w:r>
              <w:rPr>
                <w:rFonts w:ascii="Arial" w:hAnsi="Arial" w:cs="Arial"/>
                <w:sz w:val="20"/>
                <w:szCs w:val="20"/>
              </w:rPr>
              <w:t>493</w:t>
            </w:r>
          </w:p>
        </w:tc>
        <w:tc>
          <w:tcPr>
            <w:tcW w:w="820" w:type="dxa"/>
          </w:tcPr>
          <w:p w14:paraId="56D0E179" w14:textId="77777777" w:rsidR="00F05F41" w:rsidRDefault="00F05F41" w:rsidP="0012104A">
            <w:pPr>
              <w:jc w:val="right"/>
              <w:rPr>
                <w:rFonts w:ascii="Arial" w:hAnsi="Arial" w:cs="Arial"/>
                <w:sz w:val="20"/>
                <w:szCs w:val="20"/>
              </w:rPr>
            </w:pPr>
            <w:r>
              <w:rPr>
                <w:rFonts w:ascii="Arial" w:hAnsi="Arial" w:cs="Arial"/>
                <w:sz w:val="20"/>
                <w:szCs w:val="20"/>
              </w:rPr>
              <w:t>327</w:t>
            </w:r>
          </w:p>
        </w:tc>
      </w:tr>
      <w:tr w:rsidR="00F05F41" w14:paraId="4F816554" w14:textId="77777777" w:rsidTr="0012104A">
        <w:tc>
          <w:tcPr>
            <w:tcW w:w="1607" w:type="dxa"/>
          </w:tcPr>
          <w:p w14:paraId="4F5EA9AD" w14:textId="77777777" w:rsidR="00F05F41" w:rsidRDefault="00F05F41" w:rsidP="0012104A">
            <w:pPr>
              <w:jc w:val="both"/>
              <w:rPr>
                <w:rFonts w:ascii="Arial" w:hAnsi="Arial" w:cs="Arial"/>
                <w:sz w:val="20"/>
                <w:szCs w:val="20"/>
              </w:rPr>
            </w:pPr>
            <w:r>
              <w:rPr>
                <w:rFonts w:ascii="Arial" w:hAnsi="Arial" w:cs="Arial"/>
                <w:sz w:val="20"/>
                <w:szCs w:val="20"/>
              </w:rPr>
              <w:t>Ringwood</w:t>
            </w:r>
          </w:p>
        </w:tc>
        <w:tc>
          <w:tcPr>
            <w:tcW w:w="810" w:type="dxa"/>
          </w:tcPr>
          <w:p w14:paraId="7DA029BC" w14:textId="77777777" w:rsidR="00F05F41" w:rsidRDefault="00F05F41" w:rsidP="0012104A">
            <w:pPr>
              <w:jc w:val="right"/>
              <w:rPr>
                <w:rFonts w:ascii="Arial" w:hAnsi="Arial" w:cs="Arial"/>
                <w:sz w:val="20"/>
                <w:szCs w:val="20"/>
              </w:rPr>
            </w:pPr>
            <w:r>
              <w:rPr>
                <w:rFonts w:ascii="Arial" w:hAnsi="Arial" w:cs="Arial"/>
                <w:sz w:val="20"/>
                <w:szCs w:val="20"/>
              </w:rPr>
              <w:t>858</w:t>
            </w:r>
          </w:p>
        </w:tc>
        <w:tc>
          <w:tcPr>
            <w:tcW w:w="855" w:type="dxa"/>
          </w:tcPr>
          <w:p w14:paraId="046E13FA" w14:textId="77777777" w:rsidR="00F05F41" w:rsidRDefault="00F05F41" w:rsidP="0012104A">
            <w:pPr>
              <w:jc w:val="right"/>
              <w:rPr>
                <w:rFonts w:ascii="Arial" w:hAnsi="Arial" w:cs="Arial"/>
                <w:sz w:val="20"/>
                <w:szCs w:val="20"/>
              </w:rPr>
            </w:pPr>
            <w:r>
              <w:rPr>
                <w:rFonts w:ascii="Arial" w:hAnsi="Arial" w:cs="Arial"/>
                <w:sz w:val="20"/>
                <w:szCs w:val="20"/>
              </w:rPr>
              <w:t>876</w:t>
            </w:r>
          </w:p>
        </w:tc>
        <w:tc>
          <w:tcPr>
            <w:tcW w:w="820" w:type="dxa"/>
          </w:tcPr>
          <w:p w14:paraId="0E0108E8" w14:textId="77777777" w:rsidR="00F05F41" w:rsidRDefault="00F05F41" w:rsidP="0012104A">
            <w:pPr>
              <w:jc w:val="right"/>
              <w:rPr>
                <w:rFonts w:ascii="Arial" w:hAnsi="Arial" w:cs="Arial"/>
                <w:sz w:val="20"/>
                <w:szCs w:val="20"/>
              </w:rPr>
            </w:pPr>
            <w:r>
              <w:rPr>
                <w:rFonts w:ascii="Arial" w:hAnsi="Arial" w:cs="Arial"/>
                <w:sz w:val="20"/>
                <w:szCs w:val="20"/>
              </w:rPr>
              <w:t>234</w:t>
            </w:r>
          </w:p>
        </w:tc>
        <w:tc>
          <w:tcPr>
            <w:tcW w:w="809" w:type="dxa"/>
            <w:shd w:val="clear" w:color="auto" w:fill="DDDDDD"/>
          </w:tcPr>
          <w:p w14:paraId="58BF70C4" w14:textId="77777777" w:rsidR="00F05F41" w:rsidRDefault="00F05F41" w:rsidP="0012104A">
            <w:pPr>
              <w:jc w:val="right"/>
              <w:rPr>
                <w:rFonts w:ascii="Arial" w:hAnsi="Arial" w:cs="Arial"/>
                <w:sz w:val="20"/>
                <w:szCs w:val="20"/>
              </w:rPr>
            </w:pPr>
            <w:r>
              <w:rPr>
                <w:rFonts w:ascii="Arial" w:hAnsi="Arial" w:cs="Arial"/>
                <w:sz w:val="20"/>
                <w:szCs w:val="20"/>
              </w:rPr>
              <w:t>932</w:t>
            </w:r>
          </w:p>
        </w:tc>
        <w:tc>
          <w:tcPr>
            <w:tcW w:w="855" w:type="dxa"/>
            <w:shd w:val="clear" w:color="auto" w:fill="DDDDDD"/>
          </w:tcPr>
          <w:p w14:paraId="4355E9CB" w14:textId="77777777" w:rsidR="00F05F41" w:rsidRDefault="00F05F41" w:rsidP="0012104A">
            <w:pPr>
              <w:jc w:val="right"/>
              <w:rPr>
                <w:rFonts w:ascii="Arial" w:hAnsi="Arial" w:cs="Arial"/>
                <w:sz w:val="20"/>
                <w:szCs w:val="20"/>
              </w:rPr>
            </w:pPr>
            <w:r>
              <w:rPr>
                <w:rFonts w:ascii="Arial" w:hAnsi="Arial" w:cs="Arial"/>
                <w:sz w:val="20"/>
                <w:szCs w:val="20"/>
              </w:rPr>
              <w:t>791</w:t>
            </w:r>
          </w:p>
        </w:tc>
        <w:tc>
          <w:tcPr>
            <w:tcW w:w="820" w:type="dxa"/>
            <w:shd w:val="clear" w:color="auto" w:fill="DDDDDD"/>
          </w:tcPr>
          <w:p w14:paraId="51F6DB60" w14:textId="77777777" w:rsidR="00F05F41" w:rsidRDefault="00F05F41" w:rsidP="0012104A">
            <w:pPr>
              <w:jc w:val="right"/>
              <w:rPr>
                <w:rFonts w:ascii="Arial" w:hAnsi="Arial" w:cs="Arial"/>
                <w:sz w:val="20"/>
                <w:szCs w:val="20"/>
              </w:rPr>
            </w:pPr>
            <w:r>
              <w:rPr>
                <w:rFonts w:ascii="Arial" w:hAnsi="Arial" w:cs="Arial"/>
                <w:sz w:val="20"/>
                <w:szCs w:val="20"/>
              </w:rPr>
              <w:t>376</w:t>
            </w:r>
          </w:p>
        </w:tc>
        <w:tc>
          <w:tcPr>
            <w:tcW w:w="809" w:type="dxa"/>
          </w:tcPr>
          <w:p w14:paraId="064AC86C" w14:textId="77777777" w:rsidR="00F05F41" w:rsidRDefault="00F05F41" w:rsidP="0012104A">
            <w:pPr>
              <w:jc w:val="right"/>
              <w:rPr>
                <w:rFonts w:ascii="Arial" w:hAnsi="Arial" w:cs="Arial"/>
                <w:sz w:val="20"/>
                <w:szCs w:val="20"/>
              </w:rPr>
            </w:pPr>
            <w:r>
              <w:rPr>
                <w:rFonts w:ascii="Arial" w:hAnsi="Arial" w:cs="Arial"/>
                <w:sz w:val="20"/>
                <w:szCs w:val="20"/>
              </w:rPr>
              <w:t>614</w:t>
            </w:r>
          </w:p>
        </w:tc>
        <w:tc>
          <w:tcPr>
            <w:tcW w:w="855" w:type="dxa"/>
          </w:tcPr>
          <w:p w14:paraId="7DF782D7" w14:textId="77777777" w:rsidR="00F05F41" w:rsidRDefault="00F05F41" w:rsidP="0012104A">
            <w:pPr>
              <w:jc w:val="right"/>
              <w:rPr>
                <w:rFonts w:ascii="Arial" w:hAnsi="Arial" w:cs="Arial"/>
                <w:sz w:val="20"/>
                <w:szCs w:val="20"/>
              </w:rPr>
            </w:pPr>
            <w:r>
              <w:rPr>
                <w:rFonts w:ascii="Arial" w:hAnsi="Arial" w:cs="Arial"/>
                <w:sz w:val="20"/>
                <w:szCs w:val="20"/>
              </w:rPr>
              <w:t>667</w:t>
            </w:r>
          </w:p>
        </w:tc>
        <w:tc>
          <w:tcPr>
            <w:tcW w:w="820" w:type="dxa"/>
          </w:tcPr>
          <w:p w14:paraId="1B63675F" w14:textId="77777777" w:rsidR="00F05F41" w:rsidRDefault="00F05F41" w:rsidP="0012104A">
            <w:pPr>
              <w:jc w:val="right"/>
              <w:rPr>
                <w:rFonts w:ascii="Arial" w:hAnsi="Arial" w:cs="Arial"/>
                <w:sz w:val="20"/>
                <w:szCs w:val="20"/>
              </w:rPr>
            </w:pPr>
            <w:r>
              <w:rPr>
                <w:rFonts w:ascii="Arial" w:hAnsi="Arial" w:cs="Arial"/>
                <w:sz w:val="20"/>
                <w:szCs w:val="20"/>
              </w:rPr>
              <w:t>306</w:t>
            </w:r>
          </w:p>
        </w:tc>
      </w:tr>
      <w:tr w:rsidR="00F05F41" w14:paraId="229846B4" w14:textId="77777777" w:rsidTr="0012104A">
        <w:tc>
          <w:tcPr>
            <w:tcW w:w="1607" w:type="dxa"/>
          </w:tcPr>
          <w:p w14:paraId="32191BBC" w14:textId="77777777" w:rsidR="00F05F41" w:rsidRDefault="00F05F41" w:rsidP="0012104A">
            <w:pPr>
              <w:jc w:val="both"/>
              <w:rPr>
                <w:rFonts w:ascii="Arial" w:hAnsi="Arial" w:cs="Arial"/>
                <w:sz w:val="20"/>
                <w:szCs w:val="20"/>
              </w:rPr>
            </w:pPr>
            <w:r>
              <w:rPr>
                <w:rFonts w:ascii="Arial" w:hAnsi="Arial" w:cs="Arial"/>
                <w:sz w:val="20"/>
                <w:szCs w:val="20"/>
              </w:rPr>
              <w:t>Hume</w:t>
            </w:r>
          </w:p>
        </w:tc>
        <w:tc>
          <w:tcPr>
            <w:tcW w:w="810" w:type="dxa"/>
          </w:tcPr>
          <w:p w14:paraId="0849DB6F" w14:textId="77777777" w:rsidR="00F05F41" w:rsidRDefault="00F05F41" w:rsidP="0012104A">
            <w:pPr>
              <w:jc w:val="right"/>
              <w:rPr>
                <w:rFonts w:ascii="Arial" w:hAnsi="Arial" w:cs="Arial"/>
                <w:sz w:val="20"/>
                <w:szCs w:val="20"/>
              </w:rPr>
            </w:pPr>
            <w:r>
              <w:rPr>
                <w:rFonts w:ascii="Arial" w:hAnsi="Arial" w:cs="Arial"/>
                <w:sz w:val="20"/>
                <w:szCs w:val="20"/>
              </w:rPr>
              <w:t>716</w:t>
            </w:r>
          </w:p>
        </w:tc>
        <w:tc>
          <w:tcPr>
            <w:tcW w:w="855" w:type="dxa"/>
          </w:tcPr>
          <w:p w14:paraId="1473E687" w14:textId="77777777" w:rsidR="00F05F41" w:rsidRDefault="00F05F41" w:rsidP="0012104A">
            <w:pPr>
              <w:jc w:val="right"/>
              <w:rPr>
                <w:rFonts w:ascii="Arial" w:hAnsi="Arial" w:cs="Arial"/>
                <w:sz w:val="20"/>
                <w:szCs w:val="20"/>
              </w:rPr>
            </w:pPr>
            <w:r>
              <w:rPr>
                <w:rFonts w:ascii="Arial" w:hAnsi="Arial" w:cs="Arial"/>
                <w:sz w:val="20"/>
                <w:szCs w:val="20"/>
              </w:rPr>
              <w:t>700</w:t>
            </w:r>
          </w:p>
        </w:tc>
        <w:tc>
          <w:tcPr>
            <w:tcW w:w="820" w:type="dxa"/>
          </w:tcPr>
          <w:p w14:paraId="3D5F7B2C" w14:textId="77777777" w:rsidR="00F05F41" w:rsidRDefault="00F05F41" w:rsidP="0012104A">
            <w:pPr>
              <w:jc w:val="right"/>
              <w:rPr>
                <w:rFonts w:ascii="Arial" w:hAnsi="Arial" w:cs="Arial"/>
                <w:sz w:val="20"/>
                <w:szCs w:val="20"/>
              </w:rPr>
            </w:pPr>
            <w:r>
              <w:rPr>
                <w:rFonts w:ascii="Arial" w:hAnsi="Arial" w:cs="Arial"/>
                <w:sz w:val="20"/>
                <w:szCs w:val="20"/>
              </w:rPr>
              <w:t>168</w:t>
            </w:r>
          </w:p>
        </w:tc>
        <w:tc>
          <w:tcPr>
            <w:tcW w:w="809" w:type="dxa"/>
            <w:shd w:val="clear" w:color="auto" w:fill="DDDDDD"/>
          </w:tcPr>
          <w:p w14:paraId="13050E52" w14:textId="77777777" w:rsidR="00F05F41" w:rsidRDefault="00F05F41" w:rsidP="0012104A">
            <w:pPr>
              <w:jc w:val="right"/>
              <w:rPr>
                <w:rFonts w:ascii="Arial" w:hAnsi="Arial" w:cs="Arial"/>
                <w:sz w:val="20"/>
                <w:szCs w:val="20"/>
              </w:rPr>
            </w:pPr>
            <w:r>
              <w:rPr>
                <w:rFonts w:ascii="Arial" w:hAnsi="Arial" w:cs="Arial"/>
                <w:sz w:val="20"/>
                <w:szCs w:val="20"/>
              </w:rPr>
              <w:t>511</w:t>
            </w:r>
          </w:p>
        </w:tc>
        <w:tc>
          <w:tcPr>
            <w:tcW w:w="855" w:type="dxa"/>
            <w:shd w:val="clear" w:color="auto" w:fill="DDDDDD"/>
          </w:tcPr>
          <w:p w14:paraId="44031045" w14:textId="77777777" w:rsidR="00F05F41" w:rsidRDefault="00F05F41" w:rsidP="0012104A">
            <w:pPr>
              <w:jc w:val="right"/>
              <w:rPr>
                <w:rFonts w:ascii="Arial" w:hAnsi="Arial" w:cs="Arial"/>
                <w:sz w:val="20"/>
                <w:szCs w:val="20"/>
              </w:rPr>
            </w:pPr>
            <w:r>
              <w:rPr>
                <w:rFonts w:ascii="Arial" w:hAnsi="Arial" w:cs="Arial"/>
                <w:sz w:val="20"/>
                <w:szCs w:val="20"/>
              </w:rPr>
              <w:t>444</w:t>
            </w:r>
          </w:p>
        </w:tc>
        <w:tc>
          <w:tcPr>
            <w:tcW w:w="820" w:type="dxa"/>
            <w:shd w:val="clear" w:color="auto" w:fill="DDDDDD"/>
          </w:tcPr>
          <w:p w14:paraId="4493EE8C" w14:textId="77777777" w:rsidR="00F05F41" w:rsidRDefault="00F05F41" w:rsidP="0012104A">
            <w:pPr>
              <w:jc w:val="right"/>
              <w:rPr>
                <w:rFonts w:ascii="Arial" w:hAnsi="Arial" w:cs="Arial"/>
                <w:sz w:val="20"/>
                <w:szCs w:val="20"/>
              </w:rPr>
            </w:pPr>
            <w:r>
              <w:rPr>
                <w:rFonts w:ascii="Arial" w:hAnsi="Arial" w:cs="Arial"/>
                <w:sz w:val="20"/>
                <w:szCs w:val="20"/>
              </w:rPr>
              <w:t>199</w:t>
            </w:r>
          </w:p>
        </w:tc>
        <w:tc>
          <w:tcPr>
            <w:tcW w:w="809" w:type="dxa"/>
          </w:tcPr>
          <w:p w14:paraId="7A3355A2" w14:textId="77777777" w:rsidR="00F05F41" w:rsidRDefault="00F05F41" w:rsidP="0012104A">
            <w:pPr>
              <w:jc w:val="right"/>
              <w:rPr>
                <w:rFonts w:ascii="Arial" w:hAnsi="Arial" w:cs="Arial"/>
                <w:sz w:val="20"/>
                <w:szCs w:val="20"/>
              </w:rPr>
            </w:pPr>
            <w:r>
              <w:rPr>
                <w:rFonts w:ascii="Arial" w:hAnsi="Arial" w:cs="Arial"/>
                <w:sz w:val="20"/>
                <w:szCs w:val="20"/>
              </w:rPr>
              <w:t>414</w:t>
            </w:r>
          </w:p>
        </w:tc>
        <w:tc>
          <w:tcPr>
            <w:tcW w:w="855" w:type="dxa"/>
          </w:tcPr>
          <w:p w14:paraId="1E6933D2" w14:textId="77777777" w:rsidR="00F05F41" w:rsidRDefault="00F05F41" w:rsidP="0012104A">
            <w:pPr>
              <w:jc w:val="right"/>
              <w:rPr>
                <w:rFonts w:ascii="Arial" w:hAnsi="Arial" w:cs="Arial"/>
                <w:sz w:val="20"/>
                <w:szCs w:val="20"/>
              </w:rPr>
            </w:pPr>
            <w:r>
              <w:rPr>
                <w:rFonts w:ascii="Arial" w:hAnsi="Arial" w:cs="Arial"/>
                <w:sz w:val="20"/>
                <w:szCs w:val="20"/>
              </w:rPr>
              <w:t>404</w:t>
            </w:r>
          </w:p>
        </w:tc>
        <w:tc>
          <w:tcPr>
            <w:tcW w:w="820" w:type="dxa"/>
          </w:tcPr>
          <w:p w14:paraId="44F5BE74" w14:textId="77777777" w:rsidR="00F05F41" w:rsidRDefault="00F05F41" w:rsidP="0012104A">
            <w:pPr>
              <w:jc w:val="right"/>
              <w:rPr>
                <w:rFonts w:ascii="Arial" w:hAnsi="Arial" w:cs="Arial"/>
                <w:sz w:val="20"/>
                <w:szCs w:val="20"/>
              </w:rPr>
            </w:pPr>
            <w:r>
              <w:rPr>
                <w:rFonts w:ascii="Arial" w:hAnsi="Arial" w:cs="Arial"/>
                <w:sz w:val="20"/>
                <w:szCs w:val="20"/>
              </w:rPr>
              <w:t>210</w:t>
            </w:r>
          </w:p>
        </w:tc>
      </w:tr>
      <w:tr w:rsidR="00F05F41" w14:paraId="7B78A7ED" w14:textId="77777777" w:rsidTr="0012104A">
        <w:tc>
          <w:tcPr>
            <w:tcW w:w="1607" w:type="dxa"/>
          </w:tcPr>
          <w:p w14:paraId="46DD23B5" w14:textId="77777777" w:rsidR="00F05F41" w:rsidRDefault="00F05F41" w:rsidP="0012104A">
            <w:pPr>
              <w:jc w:val="both"/>
              <w:rPr>
                <w:rFonts w:ascii="Arial" w:hAnsi="Arial" w:cs="Arial"/>
                <w:sz w:val="20"/>
                <w:szCs w:val="20"/>
              </w:rPr>
            </w:pPr>
            <w:r>
              <w:rPr>
                <w:rFonts w:ascii="Arial" w:hAnsi="Arial" w:cs="Arial"/>
                <w:sz w:val="20"/>
                <w:szCs w:val="20"/>
              </w:rPr>
              <w:t>Sunshine</w:t>
            </w:r>
          </w:p>
        </w:tc>
        <w:tc>
          <w:tcPr>
            <w:tcW w:w="810" w:type="dxa"/>
          </w:tcPr>
          <w:p w14:paraId="2CAFB910" w14:textId="77777777" w:rsidR="00F05F41" w:rsidRDefault="00F05F41" w:rsidP="0012104A">
            <w:pPr>
              <w:jc w:val="right"/>
              <w:rPr>
                <w:rFonts w:ascii="Arial" w:hAnsi="Arial" w:cs="Arial"/>
                <w:sz w:val="20"/>
                <w:szCs w:val="20"/>
              </w:rPr>
            </w:pPr>
            <w:r>
              <w:rPr>
                <w:rFonts w:ascii="Arial" w:hAnsi="Arial" w:cs="Arial"/>
                <w:sz w:val="20"/>
                <w:szCs w:val="20"/>
              </w:rPr>
              <w:t>735</w:t>
            </w:r>
          </w:p>
        </w:tc>
        <w:tc>
          <w:tcPr>
            <w:tcW w:w="855" w:type="dxa"/>
          </w:tcPr>
          <w:p w14:paraId="6C5B5A46" w14:textId="77777777" w:rsidR="00F05F41" w:rsidRDefault="00F05F41" w:rsidP="0012104A">
            <w:pPr>
              <w:jc w:val="right"/>
              <w:rPr>
                <w:rFonts w:ascii="Arial" w:hAnsi="Arial" w:cs="Arial"/>
                <w:sz w:val="20"/>
                <w:szCs w:val="20"/>
              </w:rPr>
            </w:pPr>
            <w:r>
              <w:rPr>
                <w:rFonts w:ascii="Arial" w:hAnsi="Arial" w:cs="Arial"/>
                <w:sz w:val="20"/>
                <w:szCs w:val="20"/>
              </w:rPr>
              <w:t>778</w:t>
            </w:r>
          </w:p>
        </w:tc>
        <w:tc>
          <w:tcPr>
            <w:tcW w:w="820" w:type="dxa"/>
          </w:tcPr>
          <w:p w14:paraId="07A329DE" w14:textId="77777777" w:rsidR="00F05F41" w:rsidRDefault="00F05F41" w:rsidP="0012104A">
            <w:pPr>
              <w:jc w:val="right"/>
              <w:rPr>
                <w:rFonts w:ascii="Arial" w:hAnsi="Arial" w:cs="Arial"/>
                <w:sz w:val="20"/>
                <w:szCs w:val="20"/>
              </w:rPr>
            </w:pPr>
            <w:r>
              <w:rPr>
                <w:rFonts w:ascii="Arial" w:hAnsi="Arial" w:cs="Arial"/>
                <w:sz w:val="20"/>
                <w:szCs w:val="20"/>
              </w:rPr>
              <w:t>296</w:t>
            </w:r>
          </w:p>
        </w:tc>
        <w:tc>
          <w:tcPr>
            <w:tcW w:w="809" w:type="dxa"/>
            <w:shd w:val="clear" w:color="auto" w:fill="DDDDDD"/>
          </w:tcPr>
          <w:p w14:paraId="1989D5A2" w14:textId="77777777" w:rsidR="00F05F41" w:rsidRDefault="00F05F41" w:rsidP="0012104A">
            <w:pPr>
              <w:jc w:val="right"/>
              <w:rPr>
                <w:rFonts w:ascii="Arial" w:hAnsi="Arial" w:cs="Arial"/>
                <w:sz w:val="20"/>
                <w:szCs w:val="20"/>
              </w:rPr>
            </w:pPr>
            <w:r>
              <w:rPr>
                <w:rFonts w:ascii="Arial" w:hAnsi="Arial" w:cs="Arial"/>
                <w:sz w:val="20"/>
                <w:szCs w:val="20"/>
              </w:rPr>
              <w:t>810</w:t>
            </w:r>
          </w:p>
        </w:tc>
        <w:tc>
          <w:tcPr>
            <w:tcW w:w="855" w:type="dxa"/>
            <w:shd w:val="clear" w:color="auto" w:fill="DDDDDD"/>
          </w:tcPr>
          <w:p w14:paraId="57D5733A" w14:textId="77777777" w:rsidR="00F05F41" w:rsidRDefault="00F05F41" w:rsidP="0012104A">
            <w:pPr>
              <w:jc w:val="right"/>
              <w:rPr>
                <w:rFonts w:ascii="Arial" w:hAnsi="Arial" w:cs="Arial"/>
                <w:sz w:val="20"/>
                <w:szCs w:val="20"/>
              </w:rPr>
            </w:pPr>
            <w:r>
              <w:rPr>
                <w:rFonts w:ascii="Arial" w:hAnsi="Arial" w:cs="Arial"/>
                <w:sz w:val="20"/>
                <w:szCs w:val="20"/>
              </w:rPr>
              <w:t>558</w:t>
            </w:r>
          </w:p>
        </w:tc>
        <w:tc>
          <w:tcPr>
            <w:tcW w:w="820" w:type="dxa"/>
            <w:shd w:val="clear" w:color="auto" w:fill="DDDDDD"/>
          </w:tcPr>
          <w:p w14:paraId="32B26DEF" w14:textId="77777777" w:rsidR="00F05F41" w:rsidRDefault="00F05F41" w:rsidP="0012104A">
            <w:pPr>
              <w:jc w:val="right"/>
              <w:rPr>
                <w:rFonts w:ascii="Arial" w:hAnsi="Arial" w:cs="Arial"/>
                <w:sz w:val="20"/>
                <w:szCs w:val="20"/>
              </w:rPr>
            </w:pPr>
            <w:r>
              <w:rPr>
                <w:rFonts w:ascii="Arial" w:hAnsi="Arial" w:cs="Arial"/>
                <w:sz w:val="20"/>
                <w:szCs w:val="20"/>
              </w:rPr>
              <w:t>647</w:t>
            </w:r>
          </w:p>
        </w:tc>
        <w:tc>
          <w:tcPr>
            <w:tcW w:w="809" w:type="dxa"/>
          </w:tcPr>
          <w:p w14:paraId="023038F4" w14:textId="77777777" w:rsidR="00F05F41" w:rsidRDefault="00F05F41" w:rsidP="0012104A">
            <w:pPr>
              <w:jc w:val="right"/>
              <w:rPr>
                <w:rFonts w:ascii="Arial" w:hAnsi="Arial" w:cs="Arial"/>
                <w:sz w:val="20"/>
                <w:szCs w:val="20"/>
              </w:rPr>
            </w:pPr>
            <w:r>
              <w:rPr>
                <w:rFonts w:ascii="Arial" w:hAnsi="Arial" w:cs="Arial"/>
                <w:sz w:val="20"/>
                <w:szCs w:val="20"/>
              </w:rPr>
              <w:t>656</w:t>
            </w:r>
          </w:p>
        </w:tc>
        <w:tc>
          <w:tcPr>
            <w:tcW w:w="855" w:type="dxa"/>
          </w:tcPr>
          <w:p w14:paraId="0F0594ED" w14:textId="77777777" w:rsidR="00F05F41" w:rsidRDefault="00F05F41" w:rsidP="0012104A">
            <w:pPr>
              <w:jc w:val="right"/>
              <w:rPr>
                <w:rFonts w:ascii="Arial" w:hAnsi="Arial" w:cs="Arial"/>
                <w:sz w:val="20"/>
                <w:szCs w:val="20"/>
              </w:rPr>
            </w:pPr>
            <w:r>
              <w:rPr>
                <w:rFonts w:ascii="Arial" w:hAnsi="Arial" w:cs="Arial"/>
                <w:sz w:val="20"/>
                <w:szCs w:val="20"/>
              </w:rPr>
              <w:t>512</w:t>
            </w:r>
          </w:p>
        </w:tc>
        <w:tc>
          <w:tcPr>
            <w:tcW w:w="820" w:type="dxa"/>
          </w:tcPr>
          <w:p w14:paraId="642F08FC" w14:textId="77777777" w:rsidR="00F05F41" w:rsidRDefault="00F05F41" w:rsidP="0012104A">
            <w:pPr>
              <w:jc w:val="right"/>
              <w:rPr>
                <w:rFonts w:ascii="Arial" w:hAnsi="Arial" w:cs="Arial"/>
                <w:sz w:val="20"/>
                <w:szCs w:val="20"/>
              </w:rPr>
            </w:pPr>
            <w:r>
              <w:rPr>
                <w:rFonts w:ascii="Arial" w:hAnsi="Arial" w:cs="Arial"/>
                <w:sz w:val="20"/>
                <w:szCs w:val="20"/>
              </w:rPr>
              <w:t>762</w:t>
            </w:r>
          </w:p>
        </w:tc>
      </w:tr>
      <w:tr w:rsidR="00F05F41" w14:paraId="53159EC2" w14:textId="77777777" w:rsidTr="0012104A">
        <w:tc>
          <w:tcPr>
            <w:tcW w:w="1607" w:type="dxa"/>
          </w:tcPr>
          <w:p w14:paraId="5ECF1D04" w14:textId="77777777" w:rsidR="00F05F41" w:rsidRDefault="00F05F41" w:rsidP="0012104A">
            <w:pPr>
              <w:jc w:val="both"/>
              <w:rPr>
                <w:rFonts w:ascii="Arial" w:hAnsi="Arial" w:cs="Arial"/>
                <w:sz w:val="20"/>
                <w:szCs w:val="20"/>
              </w:rPr>
            </w:pPr>
            <w:r>
              <w:rPr>
                <w:rFonts w:ascii="Arial" w:hAnsi="Arial" w:cs="Arial"/>
                <w:sz w:val="20"/>
                <w:szCs w:val="20"/>
              </w:rPr>
              <w:t>NJC-C’wood</w:t>
            </w:r>
          </w:p>
        </w:tc>
        <w:tc>
          <w:tcPr>
            <w:tcW w:w="810" w:type="dxa"/>
          </w:tcPr>
          <w:p w14:paraId="4A990E46" w14:textId="77777777" w:rsidR="00F05F41" w:rsidRDefault="00F05F41" w:rsidP="0012104A">
            <w:pPr>
              <w:jc w:val="right"/>
              <w:rPr>
                <w:rFonts w:ascii="Arial" w:hAnsi="Arial" w:cs="Arial"/>
                <w:sz w:val="20"/>
                <w:szCs w:val="20"/>
              </w:rPr>
            </w:pPr>
            <w:r>
              <w:rPr>
                <w:rFonts w:ascii="Arial" w:hAnsi="Arial" w:cs="Arial"/>
                <w:sz w:val="20"/>
                <w:szCs w:val="20"/>
              </w:rPr>
              <w:t>12</w:t>
            </w:r>
          </w:p>
        </w:tc>
        <w:tc>
          <w:tcPr>
            <w:tcW w:w="855" w:type="dxa"/>
          </w:tcPr>
          <w:p w14:paraId="6CC57BE1" w14:textId="77777777" w:rsidR="00F05F41" w:rsidRDefault="00F05F41" w:rsidP="0012104A">
            <w:pPr>
              <w:jc w:val="right"/>
              <w:rPr>
                <w:rFonts w:ascii="Arial" w:hAnsi="Arial" w:cs="Arial"/>
                <w:sz w:val="20"/>
                <w:szCs w:val="20"/>
              </w:rPr>
            </w:pPr>
            <w:r>
              <w:rPr>
                <w:rFonts w:ascii="Arial" w:hAnsi="Arial" w:cs="Arial"/>
                <w:sz w:val="20"/>
                <w:szCs w:val="20"/>
              </w:rPr>
              <w:t>13</w:t>
            </w:r>
          </w:p>
        </w:tc>
        <w:tc>
          <w:tcPr>
            <w:tcW w:w="820" w:type="dxa"/>
          </w:tcPr>
          <w:p w14:paraId="6F2E4884" w14:textId="77777777" w:rsidR="00F05F41" w:rsidRDefault="00F05F41" w:rsidP="0012104A">
            <w:pPr>
              <w:jc w:val="right"/>
              <w:rPr>
                <w:rFonts w:ascii="Arial" w:hAnsi="Arial" w:cs="Arial"/>
                <w:sz w:val="20"/>
                <w:szCs w:val="20"/>
              </w:rPr>
            </w:pPr>
            <w:r>
              <w:rPr>
                <w:rFonts w:ascii="Arial" w:hAnsi="Arial" w:cs="Arial"/>
                <w:sz w:val="20"/>
                <w:szCs w:val="20"/>
              </w:rPr>
              <w:t>18</w:t>
            </w:r>
          </w:p>
        </w:tc>
        <w:tc>
          <w:tcPr>
            <w:tcW w:w="809" w:type="dxa"/>
            <w:shd w:val="clear" w:color="auto" w:fill="DDDDDD"/>
          </w:tcPr>
          <w:p w14:paraId="5DA0F1CD" w14:textId="77777777" w:rsidR="00F05F41" w:rsidRDefault="00F05F41" w:rsidP="0012104A">
            <w:pPr>
              <w:jc w:val="right"/>
              <w:rPr>
                <w:rFonts w:ascii="Arial" w:hAnsi="Arial" w:cs="Arial"/>
                <w:sz w:val="20"/>
                <w:szCs w:val="20"/>
              </w:rPr>
            </w:pPr>
            <w:r>
              <w:rPr>
                <w:rFonts w:ascii="Arial" w:hAnsi="Arial" w:cs="Arial"/>
                <w:sz w:val="20"/>
                <w:szCs w:val="20"/>
              </w:rPr>
              <w:t>11</w:t>
            </w:r>
          </w:p>
        </w:tc>
        <w:tc>
          <w:tcPr>
            <w:tcW w:w="855" w:type="dxa"/>
            <w:shd w:val="clear" w:color="auto" w:fill="DDDDDD"/>
          </w:tcPr>
          <w:p w14:paraId="02693D70" w14:textId="77777777" w:rsidR="00F05F41" w:rsidRDefault="00F05F41" w:rsidP="0012104A">
            <w:pPr>
              <w:jc w:val="right"/>
              <w:rPr>
                <w:rFonts w:ascii="Arial" w:hAnsi="Arial" w:cs="Arial"/>
                <w:sz w:val="20"/>
                <w:szCs w:val="20"/>
              </w:rPr>
            </w:pPr>
            <w:r>
              <w:rPr>
                <w:rFonts w:ascii="Arial" w:hAnsi="Arial" w:cs="Arial"/>
                <w:sz w:val="20"/>
                <w:szCs w:val="20"/>
              </w:rPr>
              <w:t>16</w:t>
            </w:r>
          </w:p>
        </w:tc>
        <w:tc>
          <w:tcPr>
            <w:tcW w:w="820" w:type="dxa"/>
            <w:shd w:val="clear" w:color="auto" w:fill="DDDDDD"/>
          </w:tcPr>
          <w:p w14:paraId="1A669DBF" w14:textId="77777777" w:rsidR="00F05F41" w:rsidRDefault="00F05F41" w:rsidP="0012104A">
            <w:pPr>
              <w:jc w:val="right"/>
              <w:rPr>
                <w:rFonts w:ascii="Arial" w:hAnsi="Arial" w:cs="Arial"/>
                <w:sz w:val="20"/>
                <w:szCs w:val="20"/>
              </w:rPr>
            </w:pPr>
            <w:r>
              <w:rPr>
                <w:rFonts w:ascii="Arial" w:hAnsi="Arial" w:cs="Arial"/>
                <w:sz w:val="20"/>
                <w:szCs w:val="20"/>
              </w:rPr>
              <w:t>4</w:t>
            </w:r>
          </w:p>
        </w:tc>
        <w:tc>
          <w:tcPr>
            <w:tcW w:w="809" w:type="dxa"/>
          </w:tcPr>
          <w:p w14:paraId="6DBE7ABC" w14:textId="77777777" w:rsidR="00F05F41" w:rsidRDefault="00F05F41" w:rsidP="0012104A">
            <w:pPr>
              <w:jc w:val="right"/>
              <w:rPr>
                <w:rFonts w:ascii="Arial" w:hAnsi="Arial" w:cs="Arial"/>
                <w:sz w:val="20"/>
                <w:szCs w:val="20"/>
              </w:rPr>
            </w:pPr>
            <w:r>
              <w:rPr>
                <w:rFonts w:ascii="Arial" w:hAnsi="Arial" w:cs="Arial"/>
                <w:sz w:val="20"/>
                <w:szCs w:val="20"/>
              </w:rPr>
              <w:t>9</w:t>
            </w:r>
          </w:p>
        </w:tc>
        <w:tc>
          <w:tcPr>
            <w:tcW w:w="855" w:type="dxa"/>
          </w:tcPr>
          <w:p w14:paraId="3F7760AE" w14:textId="77777777" w:rsidR="00F05F41" w:rsidRDefault="00F05F41" w:rsidP="0012104A">
            <w:pPr>
              <w:jc w:val="right"/>
              <w:rPr>
                <w:rFonts w:ascii="Arial" w:hAnsi="Arial" w:cs="Arial"/>
                <w:sz w:val="20"/>
                <w:szCs w:val="20"/>
              </w:rPr>
            </w:pPr>
            <w:r>
              <w:rPr>
                <w:rFonts w:ascii="Arial" w:hAnsi="Arial" w:cs="Arial"/>
                <w:sz w:val="20"/>
                <w:szCs w:val="20"/>
              </w:rPr>
              <w:t>7</w:t>
            </w:r>
          </w:p>
        </w:tc>
        <w:tc>
          <w:tcPr>
            <w:tcW w:w="820" w:type="dxa"/>
          </w:tcPr>
          <w:p w14:paraId="61C4B9B7" w14:textId="77777777" w:rsidR="00F05F41" w:rsidRDefault="00F05F41" w:rsidP="0012104A">
            <w:pPr>
              <w:jc w:val="right"/>
              <w:rPr>
                <w:rFonts w:ascii="Arial" w:hAnsi="Arial" w:cs="Arial"/>
                <w:sz w:val="20"/>
                <w:szCs w:val="20"/>
              </w:rPr>
            </w:pPr>
            <w:r>
              <w:rPr>
                <w:rFonts w:ascii="Arial" w:hAnsi="Arial" w:cs="Arial"/>
                <w:sz w:val="20"/>
                <w:szCs w:val="20"/>
              </w:rPr>
              <w:t>5</w:t>
            </w:r>
          </w:p>
        </w:tc>
      </w:tr>
      <w:tr w:rsidR="00F05F41" w:rsidRPr="00FE7E97" w14:paraId="7326E6DD" w14:textId="77777777" w:rsidTr="0012104A">
        <w:tc>
          <w:tcPr>
            <w:tcW w:w="1607" w:type="dxa"/>
            <w:shd w:val="clear" w:color="auto" w:fill="000000" w:themeFill="text1"/>
          </w:tcPr>
          <w:p w14:paraId="7F786D49" w14:textId="77777777" w:rsidR="00F05F41" w:rsidRPr="00FE7E97" w:rsidRDefault="00F05F41" w:rsidP="0012104A">
            <w:pPr>
              <w:jc w:val="center"/>
              <w:rPr>
                <w:rFonts w:ascii="Arial" w:hAnsi="Arial" w:cs="Arial"/>
                <w:b/>
                <w:bCs/>
                <w:color w:val="FFFFFF" w:themeColor="background1"/>
                <w:sz w:val="20"/>
                <w:szCs w:val="20"/>
              </w:rPr>
            </w:pPr>
            <w:r>
              <w:rPr>
                <w:rFonts w:ascii="Arial" w:hAnsi="Arial" w:cs="Arial"/>
                <w:b/>
                <w:bCs/>
                <w:color w:val="FFFFFF" w:themeColor="background1"/>
                <w:sz w:val="20"/>
                <w:szCs w:val="20"/>
              </w:rPr>
              <w:t>TOTAL</w:t>
            </w:r>
          </w:p>
        </w:tc>
        <w:tc>
          <w:tcPr>
            <w:tcW w:w="810" w:type="dxa"/>
            <w:shd w:val="clear" w:color="auto" w:fill="000000" w:themeFill="text1"/>
          </w:tcPr>
          <w:p w14:paraId="4A05908A"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9339</w:t>
            </w:r>
          </w:p>
        </w:tc>
        <w:tc>
          <w:tcPr>
            <w:tcW w:w="855" w:type="dxa"/>
            <w:shd w:val="clear" w:color="auto" w:fill="000000" w:themeFill="text1"/>
          </w:tcPr>
          <w:p w14:paraId="5286E442"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9230</w:t>
            </w:r>
          </w:p>
        </w:tc>
        <w:tc>
          <w:tcPr>
            <w:tcW w:w="820" w:type="dxa"/>
            <w:shd w:val="clear" w:color="auto" w:fill="000000" w:themeFill="text1"/>
          </w:tcPr>
          <w:p w14:paraId="1BEFA7EC"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2400</w:t>
            </w:r>
          </w:p>
        </w:tc>
        <w:tc>
          <w:tcPr>
            <w:tcW w:w="809" w:type="dxa"/>
            <w:shd w:val="clear" w:color="auto" w:fill="000000" w:themeFill="text1"/>
          </w:tcPr>
          <w:p w14:paraId="5409CA72"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10154</w:t>
            </w:r>
          </w:p>
        </w:tc>
        <w:tc>
          <w:tcPr>
            <w:tcW w:w="855" w:type="dxa"/>
            <w:shd w:val="clear" w:color="auto" w:fill="000000" w:themeFill="text1"/>
          </w:tcPr>
          <w:p w14:paraId="16A85CB8"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8142</w:t>
            </w:r>
          </w:p>
        </w:tc>
        <w:tc>
          <w:tcPr>
            <w:tcW w:w="820" w:type="dxa"/>
            <w:shd w:val="clear" w:color="auto" w:fill="000000" w:themeFill="text1"/>
          </w:tcPr>
          <w:p w14:paraId="53F9C87F"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4512</w:t>
            </w:r>
          </w:p>
        </w:tc>
        <w:tc>
          <w:tcPr>
            <w:tcW w:w="809" w:type="dxa"/>
            <w:shd w:val="clear" w:color="auto" w:fill="000000" w:themeFill="text1"/>
          </w:tcPr>
          <w:p w14:paraId="308D9F2F"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7715</w:t>
            </w:r>
          </w:p>
        </w:tc>
        <w:tc>
          <w:tcPr>
            <w:tcW w:w="855" w:type="dxa"/>
            <w:shd w:val="clear" w:color="auto" w:fill="000000" w:themeFill="text1"/>
          </w:tcPr>
          <w:p w14:paraId="442088E5"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7708</w:t>
            </w:r>
          </w:p>
        </w:tc>
        <w:tc>
          <w:tcPr>
            <w:tcW w:w="820" w:type="dxa"/>
            <w:shd w:val="clear" w:color="auto" w:fill="000000" w:themeFill="text1"/>
          </w:tcPr>
          <w:p w14:paraId="2F308339" w14:textId="77777777" w:rsidR="00F05F41" w:rsidRPr="00FE7E97" w:rsidRDefault="00F05F41" w:rsidP="0012104A">
            <w:pPr>
              <w:jc w:val="right"/>
              <w:rPr>
                <w:rFonts w:ascii="Arial" w:hAnsi="Arial" w:cs="Arial"/>
                <w:b/>
                <w:bCs/>
                <w:color w:val="FFFFFF" w:themeColor="background1"/>
                <w:sz w:val="20"/>
                <w:szCs w:val="20"/>
              </w:rPr>
            </w:pPr>
            <w:r>
              <w:rPr>
                <w:rFonts w:ascii="Arial" w:hAnsi="Arial" w:cs="Arial"/>
                <w:b/>
                <w:bCs/>
                <w:color w:val="FFFFFF" w:themeColor="background1"/>
                <w:sz w:val="20"/>
                <w:szCs w:val="20"/>
              </w:rPr>
              <w:t>4410</w:t>
            </w:r>
          </w:p>
        </w:tc>
      </w:tr>
    </w:tbl>
    <w:p w14:paraId="14D5DA6B" w14:textId="58B8B726" w:rsidR="00E80C62" w:rsidRDefault="00E80C62" w:rsidP="00550D15">
      <w:pPr>
        <w:jc w:val="both"/>
        <w:rPr>
          <w:rFonts w:ascii="Arial" w:hAnsi="Arial" w:cs="Arial"/>
          <w:sz w:val="20"/>
          <w:szCs w:val="20"/>
        </w:rPr>
      </w:pPr>
    </w:p>
    <w:p w14:paraId="41570D50" w14:textId="4253C943" w:rsidR="0027457E" w:rsidRDefault="00F563F4" w:rsidP="00550D15">
      <w:pPr>
        <w:jc w:val="both"/>
        <w:rPr>
          <w:rFonts w:ascii="Arial" w:hAnsi="Arial" w:cs="Arial"/>
          <w:sz w:val="20"/>
          <w:szCs w:val="20"/>
        </w:rPr>
      </w:pPr>
      <w:r w:rsidRPr="00F563F4">
        <w:rPr>
          <w:rFonts w:ascii="Arial" w:hAnsi="Arial" w:cs="Arial"/>
          <w:b/>
          <w:bCs/>
          <w:color w:val="FFFFFF" w:themeColor="background1"/>
          <w:sz w:val="20"/>
          <w:szCs w:val="20"/>
          <w:shd w:val="clear" w:color="auto" w:fill="000000" w:themeFill="text1"/>
        </w:rPr>
        <w:t>Table 2</w:t>
      </w:r>
      <w:r>
        <w:rPr>
          <w:rFonts w:ascii="Arial" w:hAnsi="Arial" w:cs="Arial"/>
          <w:sz w:val="20"/>
          <w:szCs w:val="20"/>
        </w:rPr>
        <w:t xml:space="preserve"> shows the </w:t>
      </w:r>
      <w:r w:rsidR="008B41FD">
        <w:rPr>
          <w:rFonts w:ascii="Arial" w:hAnsi="Arial" w:cs="Arial"/>
          <w:sz w:val="20"/>
          <w:szCs w:val="20"/>
        </w:rPr>
        <w:t xml:space="preserve">total </w:t>
      </w:r>
      <w:r>
        <w:rPr>
          <w:rFonts w:ascii="Arial" w:hAnsi="Arial" w:cs="Arial"/>
          <w:sz w:val="20"/>
          <w:szCs w:val="20"/>
        </w:rPr>
        <w:t>n</w:t>
      </w:r>
      <w:r w:rsidR="008B41FD">
        <w:rPr>
          <w:rFonts w:ascii="Arial" w:hAnsi="Arial" w:cs="Arial"/>
          <w:sz w:val="20"/>
          <w:szCs w:val="20"/>
        </w:rPr>
        <w:t xml:space="preserve">umber of final orders – both </w:t>
      </w:r>
      <w:r w:rsidR="00EF7CB1">
        <w:rPr>
          <w:rFonts w:ascii="Arial" w:hAnsi="Arial" w:cs="Arial"/>
          <w:sz w:val="20"/>
          <w:szCs w:val="20"/>
        </w:rPr>
        <w:t xml:space="preserve">the most intensive sentencing order made in each particular case or ‘supercase’ and diversion orders – made by </w:t>
      </w:r>
      <w:r w:rsidR="008B41FD">
        <w:rPr>
          <w:rFonts w:ascii="Arial" w:hAnsi="Arial" w:cs="Arial"/>
          <w:sz w:val="20"/>
          <w:szCs w:val="20"/>
        </w:rPr>
        <w:t xml:space="preserve">the Criminal Division </w:t>
      </w:r>
      <w:r w:rsidR="00437FBA">
        <w:rPr>
          <w:rFonts w:ascii="Arial" w:hAnsi="Arial" w:cs="Arial"/>
          <w:sz w:val="20"/>
          <w:szCs w:val="20"/>
        </w:rPr>
        <w:t>from</w:t>
      </w:r>
      <w:r w:rsidR="008B41FD">
        <w:rPr>
          <w:rFonts w:ascii="Arial" w:hAnsi="Arial" w:cs="Arial"/>
          <w:sz w:val="20"/>
          <w:szCs w:val="20"/>
        </w:rPr>
        <w:t xml:space="preserve"> 2018/19</w:t>
      </w:r>
      <w:r w:rsidR="00437FBA">
        <w:rPr>
          <w:rFonts w:ascii="Arial" w:hAnsi="Arial" w:cs="Arial"/>
          <w:sz w:val="20"/>
          <w:szCs w:val="20"/>
        </w:rPr>
        <w:t xml:space="preserve"> to</w:t>
      </w:r>
      <w:r w:rsidR="008B41FD">
        <w:rPr>
          <w:rFonts w:ascii="Arial" w:hAnsi="Arial" w:cs="Arial"/>
          <w:sz w:val="20"/>
          <w:szCs w:val="20"/>
        </w:rPr>
        <w:t xml:space="preserve"> 202</w:t>
      </w:r>
      <w:r w:rsidR="00EF7CB1">
        <w:rPr>
          <w:rFonts w:ascii="Arial" w:hAnsi="Arial" w:cs="Arial"/>
          <w:sz w:val="20"/>
          <w:szCs w:val="20"/>
        </w:rPr>
        <w:t>2</w:t>
      </w:r>
      <w:r w:rsidR="008B41FD">
        <w:rPr>
          <w:rFonts w:ascii="Arial" w:hAnsi="Arial" w:cs="Arial"/>
          <w:sz w:val="20"/>
          <w:szCs w:val="20"/>
        </w:rPr>
        <w:t>/2</w:t>
      </w:r>
      <w:r w:rsidR="00EF7CB1">
        <w:rPr>
          <w:rFonts w:ascii="Arial" w:hAnsi="Arial" w:cs="Arial"/>
          <w:sz w:val="20"/>
          <w:szCs w:val="20"/>
        </w:rPr>
        <w:t>3</w:t>
      </w:r>
      <w:r w:rsidR="008B41FD">
        <w:rPr>
          <w:rFonts w:ascii="Arial" w:hAnsi="Arial" w:cs="Arial"/>
          <w:sz w:val="20"/>
          <w:szCs w:val="20"/>
        </w:rPr>
        <w:t xml:space="preserve">.  </w:t>
      </w:r>
      <w:r w:rsidR="0027457E">
        <w:rPr>
          <w:rFonts w:ascii="Arial" w:hAnsi="Arial" w:cs="Arial"/>
          <w:sz w:val="20"/>
          <w:szCs w:val="20"/>
        </w:rPr>
        <w:t xml:space="preserve">As </w:t>
      </w:r>
      <w:r>
        <w:rPr>
          <w:rFonts w:ascii="Arial" w:hAnsi="Arial" w:cs="Arial"/>
          <w:sz w:val="20"/>
          <w:szCs w:val="20"/>
        </w:rPr>
        <w:t xml:space="preserve">a comparison of </w:t>
      </w:r>
      <w:r w:rsidR="0027457E">
        <w:rPr>
          <w:rFonts w:ascii="Arial" w:hAnsi="Arial" w:cs="Arial"/>
          <w:sz w:val="20"/>
          <w:szCs w:val="20"/>
        </w:rPr>
        <w:t>table</w:t>
      </w:r>
      <w:r w:rsidR="0000048D">
        <w:rPr>
          <w:rFonts w:ascii="Arial" w:hAnsi="Arial" w:cs="Arial"/>
          <w:sz w:val="20"/>
          <w:szCs w:val="20"/>
        </w:rPr>
        <w:t>s</w:t>
      </w:r>
      <w:r w:rsidR="0027457E">
        <w:rPr>
          <w:rFonts w:ascii="Arial" w:hAnsi="Arial" w:cs="Arial"/>
          <w:sz w:val="20"/>
          <w:szCs w:val="20"/>
        </w:rPr>
        <w:t xml:space="preserve"> </w:t>
      </w:r>
      <w:r>
        <w:rPr>
          <w:rFonts w:ascii="Arial" w:hAnsi="Arial" w:cs="Arial"/>
          <w:sz w:val="20"/>
          <w:szCs w:val="20"/>
        </w:rPr>
        <w:t>1</w:t>
      </w:r>
      <w:r w:rsidR="00E06ADC">
        <w:rPr>
          <w:rFonts w:ascii="Arial" w:hAnsi="Arial" w:cs="Arial"/>
          <w:sz w:val="20"/>
          <w:szCs w:val="20"/>
        </w:rPr>
        <w:t>A, 1B</w:t>
      </w:r>
      <w:r w:rsidR="00444D1A">
        <w:rPr>
          <w:rFonts w:ascii="Arial" w:hAnsi="Arial" w:cs="Arial"/>
          <w:sz w:val="20"/>
          <w:szCs w:val="20"/>
        </w:rPr>
        <w:t xml:space="preserve"> &amp; </w:t>
      </w:r>
      <w:r w:rsidR="00E06ADC">
        <w:rPr>
          <w:rFonts w:ascii="Arial" w:hAnsi="Arial" w:cs="Arial"/>
          <w:sz w:val="20"/>
          <w:szCs w:val="20"/>
        </w:rPr>
        <w:t>2</w:t>
      </w:r>
      <w:r w:rsidR="00444D1A">
        <w:rPr>
          <w:rFonts w:ascii="Arial" w:hAnsi="Arial" w:cs="Arial"/>
          <w:sz w:val="20"/>
          <w:szCs w:val="20"/>
        </w:rPr>
        <w:t xml:space="preserve"> </w:t>
      </w:r>
      <w:r w:rsidR="0027457E">
        <w:rPr>
          <w:rFonts w:ascii="Arial" w:hAnsi="Arial" w:cs="Arial"/>
          <w:sz w:val="20"/>
          <w:szCs w:val="20"/>
        </w:rPr>
        <w:t>show</w:t>
      </w:r>
      <w:r>
        <w:rPr>
          <w:rFonts w:ascii="Arial" w:hAnsi="Arial" w:cs="Arial"/>
          <w:sz w:val="20"/>
          <w:szCs w:val="20"/>
        </w:rPr>
        <w:t>s</w:t>
      </w:r>
      <w:r w:rsidR="0027457E">
        <w:rPr>
          <w:rFonts w:ascii="Arial" w:hAnsi="Arial" w:cs="Arial"/>
          <w:sz w:val="20"/>
          <w:szCs w:val="20"/>
        </w:rPr>
        <w:t>, there is a very large di</w:t>
      </w:r>
      <w:r w:rsidR="0000048D">
        <w:rPr>
          <w:rFonts w:ascii="Arial" w:hAnsi="Arial" w:cs="Arial"/>
          <w:sz w:val="20"/>
          <w:szCs w:val="20"/>
        </w:rPr>
        <w:t>screpancy</w:t>
      </w:r>
      <w:r w:rsidR="0027457E">
        <w:rPr>
          <w:rFonts w:ascii="Arial" w:hAnsi="Arial" w:cs="Arial"/>
          <w:sz w:val="20"/>
          <w:szCs w:val="20"/>
        </w:rPr>
        <w:t xml:space="preserve"> between the number of </w:t>
      </w:r>
      <w:r w:rsidR="00EF7CB1">
        <w:rPr>
          <w:rFonts w:ascii="Arial" w:hAnsi="Arial" w:cs="Arial"/>
          <w:sz w:val="20"/>
          <w:szCs w:val="20"/>
        </w:rPr>
        <w:t>matter</w:t>
      </w:r>
      <w:r w:rsidR="0027457E">
        <w:rPr>
          <w:rFonts w:ascii="Arial" w:hAnsi="Arial" w:cs="Arial"/>
          <w:sz w:val="20"/>
          <w:szCs w:val="20"/>
        </w:rPr>
        <w:t>s initiated and the number of final orders made by the Criminal Division.</w:t>
      </w:r>
      <w:r w:rsidR="0000048D">
        <w:rPr>
          <w:rFonts w:ascii="Arial" w:hAnsi="Arial" w:cs="Arial"/>
          <w:sz w:val="20"/>
          <w:szCs w:val="20"/>
        </w:rPr>
        <w:t xml:space="preserve">  However</w:t>
      </w:r>
      <w:r w:rsidR="008B41FD">
        <w:rPr>
          <w:rFonts w:ascii="Arial" w:hAnsi="Arial" w:cs="Arial"/>
          <w:sz w:val="20"/>
          <w:szCs w:val="20"/>
        </w:rPr>
        <w:t>,</w:t>
      </w:r>
      <w:r w:rsidR="0000048D">
        <w:rPr>
          <w:rFonts w:ascii="Arial" w:hAnsi="Arial" w:cs="Arial"/>
          <w:sz w:val="20"/>
          <w:szCs w:val="20"/>
        </w:rPr>
        <w:t xml:space="preserve"> the discrepancy is not </w:t>
      </w:r>
      <w:r w:rsidR="008B41FD">
        <w:rPr>
          <w:rFonts w:ascii="Arial" w:hAnsi="Arial" w:cs="Arial"/>
          <w:sz w:val="20"/>
          <w:szCs w:val="20"/>
        </w:rPr>
        <w:t xml:space="preserve">indicative of </w:t>
      </w:r>
      <w:r w:rsidR="0000048D">
        <w:rPr>
          <w:rFonts w:ascii="Arial" w:hAnsi="Arial" w:cs="Arial"/>
          <w:sz w:val="20"/>
          <w:szCs w:val="20"/>
        </w:rPr>
        <w:t>error</w:t>
      </w:r>
      <w:r w:rsidR="008B41FD">
        <w:rPr>
          <w:rFonts w:ascii="Arial" w:hAnsi="Arial" w:cs="Arial"/>
          <w:sz w:val="20"/>
          <w:szCs w:val="20"/>
        </w:rPr>
        <w:t xml:space="preserve"> </w:t>
      </w:r>
      <w:r w:rsidR="00A43726">
        <w:rPr>
          <w:rFonts w:ascii="Arial" w:hAnsi="Arial" w:cs="Arial"/>
          <w:sz w:val="20"/>
          <w:szCs w:val="20"/>
        </w:rPr>
        <w:t xml:space="preserve">but is a consequence of different methods of measuring as </w:t>
      </w:r>
      <w:r w:rsidR="008B41FD">
        <w:rPr>
          <w:rFonts w:ascii="Arial" w:hAnsi="Arial" w:cs="Arial"/>
          <w:sz w:val="20"/>
          <w:szCs w:val="20"/>
        </w:rPr>
        <w:t>is explained below.</w:t>
      </w:r>
    </w:p>
    <w:p w14:paraId="3E6B4703" w14:textId="77777777" w:rsidR="00550D15" w:rsidRPr="00550D15" w:rsidRDefault="00550D15" w:rsidP="00550D15">
      <w:pPr>
        <w:rPr>
          <w:rFonts w:ascii="Arial" w:hAnsi="Arial" w:cs="Arial"/>
          <w:sz w:val="14"/>
          <w:szCs w:val="14"/>
        </w:rPr>
      </w:pPr>
    </w:p>
    <w:tbl>
      <w:tblPr>
        <w:tblStyle w:val="TableGrid"/>
        <w:tblW w:w="9105" w:type="dxa"/>
        <w:tblLook w:val="04A0" w:firstRow="1" w:lastRow="0" w:firstColumn="1" w:lastColumn="0" w:noHBand="0" w:noVBand="1"/>
      </w:tblPr>
      <w:tblGrid>
        <w:gridCol w:w="4280"/>
        <w:gridCol w:w="964"/>
        <w:gridCol w:w="964"/>
        <w:gridCol w:w="964"/>
        <w:gridCol w:w="964"/>
        <w:gridCol w:w="969"/>
      </w:tblGrid>
      <w:tr w:rsidR="00437FBA" w:rsidRPr="00F563F4" w14:paraId="696C960B" w14:textId="77777777" w:rsidTr="00437FBA">
        <w:tc>
          <w:tcPr>
            <w:tcW w:w="9105" w:type="dxa"/>
            <w:gridSpan w:val="6"/>
            <w:shd w:val="clear" w:color="auto" w:fill="000000" w:themeFill="text1"/>
          </w:tcPr>
          <w:p w14:paraId="55A65736" w14:textId="13E7C811" w:rsidR="00437FBA" w:rsidRPr="00F563F4" w:rsidRDefault="00437FBA" w:rsidP="00E06ADC">
            <w:pPr>
              <w:pStyle w:val="ListParagraph"/>
              <w:tabs>
                <w:tab w:val="left" w:pos="357"/>
              </w:tabs>
              <w:spacing w:after="0" w:line="240" w:lineRule="auto"/>
              <w:ind w:left="0"/>
              <w:jc w:val="center"/>
              <w:rPr>
                <w:rFonts w:ascii="Arial" w:hAnsi="Arial" w:cs="Arial"/>
                <w:b/>
                <w:bCs/>
                <w:color w:val="FFFFFF" w:themeColor="background1"/>
                <w:sz w:val="24"/>
                <w:szCs w:val="24"/>
              </w:rPr>
            </w:pPr>
            <w:r w:rsidRPr="00F563F4">
              <w:rPr>
                <w:rFonts w:ascii="Arial" w:hAnsi="Arial" w:cs="Arial"/>
                <w:b/>
                <w:bCs/>
                <w:color w:val="FFFFFF" w:themeColor="background1"/>
                <w:sz w:val="24"/>
                <w:szCs w:val="24"/>
              </w:rPr>
              <w:t>TABLE 2 – FINAL ORDERS MADE</w:t>
            </w:r>
          </w:p>
        </w:tc>
      </w:tr>
      <w:tr w:rsidR="00EF7CB1" w:rsidRPr="002B6EDE" w14:paraId="6D11C617" w14:textId="2B37BD22" w:rsidTr="00437FBA">
        <w:trPr>
          <w:trHeight w:val="113"/>
        </w:trPr>
        <w:tc>
          <w:tcPr>
            <w:tcW w:w="4280" w:type="dxa"/>
          </w:tcPr>
          <w:p w14:paraId="63DF7776" w14:textId="77777777" w:rsidR="00EF7CB1" w:rsidRPr="00896624" w:rsidRDefault="00EF7CB1" w:rsidP="00D0058B">
            <w:pPr>
              <w:jc w:val="center"/>
              <w:rPr>
                <w:rFonts w:ascii="Arial" w:hAnsi="Arial" w:cs="Arial"/>
                <w:b/>
                <w:bCs/>
                <w:color w:val="FFFFFF" w:themeColor="background1"/>
                <w:sz w:val="20"/>
                <w:szCs w:val="20"/>
              </w:rPr>
            </w:pPr>
          </w:p>
        </w:tc>
        <w:tc>
          <w:tcPr>
            <w:tcW w:w="964" w:type="dxa"/>
            <w:shd w:val="clear" w:color="auto" w:fill="DDDDDD"/>
          </w:tcPr>
          <w:p w14:paraId="0EF6E32E" w14:textId="37CAC9F5" w:rsidR="00EF7CB1" w:rsidRPr="00E06ADC" w:rsidRDefault="00EF7CB1" w:rsidP="00D0058B">
            <w:pPr>
              <w:jc w:val="center"/>
              <w:rPr>
                <w:rFonts w:ascii="Arial" w:hAnsi="Arial" w:cs="Arial"/>
                <w:b/>
                <w:bCs/>
                <w:color w:val="000000" w:themeColor="text1"/>
              </w:rPr>
            </w:pPr>
            <w:r w:rsidRPr="00E06ADC">
              <w:rPr>
                <w:rFonts w:ascii="Arial" w:hAnsi="Arial" w:cs="Arial"/>
                <w:b/>
                <w:bCs/>
                <w:color w:val="000000" w:themeColor="text1"/>
                <w:sz w:val="20"/>
                <w:szCs w:val="20"/>
              </w:rPr>
              <w:t>2018/19</w:t>
            </w:r>
          </w:p>
        </w:tc>
        <w:tc>
          <w:tcPr>
            <w:tcW w:w="964" w:type="dxa"/>
          </w:tcPr>
          <w:p w14:paraId="3076121C" w14:textId="6B51D45E" w:rsidR="00EF7CB1" w:rsidRPr="00E06ADC" w:rsidRDefault="00EF7CB1" w:rsidP="00D0058B">
            <w:pPr>
              <w:jc w:val="center"/>
              <w:rPr>
                <w:rFonts w:ascii="Arial" w:hAnsi="Arial" w:cs="Arial"/>
                <w:b/>
                <w:bCs/>
                <w:color w:val="000000" w:themeColor="text1"/>
              </w:rPr>
            </w:pPr>
            <w:r w:rsidRPr="00E06ADC">
              <w:rPr>
                <w:rFonts w:ascii="Arial" w:hAnsi="Arial" w:cs="Arial"/>
                <w:b/>
                <w:bCs/>
                <w:color w:val="000000" w:themeColor="text1"/>
                <w:sz w:val="20"/>
                <w:szCs w:val="20"/>
              </w:rPr>
              <w:t>2019/20</w:t>
            </w:r>
          </w:p>
        </w:tc>
        <w:tc>
          <w:tcPr>
            <w:tcW w:w="964" w:type="dxa"/>
            <w:shd w:val="clear" w:color="auto" w:fill="DDDDDD"/>
          </w:tcPr>
          <w:p w14:paraId="52179090" w14:textId="6FB39560" w:rsidR="00EF7CB1" w:rsidRPr="00E06ADC" w:rsidRDefault="00EF7CB1" w:rsidP="00D0058B">
            <w:pPr>
              <w:jc w:val="center"/>
              <w:rPr>
                <w:rFonts w:ascii="Arial" w:hAnsi="Arial" w:cs="Arial"/>
                <w:b/>
                <w:bCs/>
                <w:color w:val="000000" w:themeColor="text1"/>
              </w:rPr>
            </w:pPr>
            <w:r w:rsidRPr="00E06ADC">
              <w:rPr>
                <w:rFonts w:ascii="Arial" w:hAnsi="Arial" w:cs="Arial"/>
                <w:b/>
                <w:bCs/>
                <w:color w:val="000000" w:themeColor="text1"/>
                <w:sz w:val="20"/>
                <w:szCs w:val="20"/>
              </w:rPr>
              <w:t>2020/21</w:t>
            </w:r>
          </w:p>
        </w:tc>
        <w:tc>
          <w:tcPr>
            <w:tcW w:w="964" w:type="dxa"/>
          </w:tcPr>
          <w:p w14:paraId="64B4BD35" w14:textId="615290E0" w:rsidR="00EF7CB1" w:rsidRPr="00E06ADC" w:rsidRDefault="00437FBA" w:rsidP="00D0058B">
            <w:pPr>
              <w:jc w:val="center"/>
              <w:rPr>
                <w:rFonts w:ascii="Arial" w:hAnsi="Arial" w:cs="Arial"/>
                <w:b/>
                <w:bCs/>
                <w:color w:val="000000" w:themeColor="text1"/>
                <w:sz w:val="20"/>
                <w:szCs w:val="20"/>
              </w:rPr>
            </w:pPr>
            <w:r>
              <w:rPr>
                <w:rFonts w:ascii="Arial" w:hAnsi="Arial" w:cs="Arial"/>
                <w:b/>
                <w:bCs/>
                <w:color w:val="000000" w:themeColor="text1"/>
                <w:sz w:val="20"/>
                <w:szCs w:val="20"/>
              </w:rPr>
              <w:t>2021/22</w:t>
            </w:r>
          </w:p>
        </w:tc>
        <w:tc>
          <w:tcPr>
            <w:tcW w:w="964" w:type="dxa"/>
            <w:shd w:val="clear" w:color="auto" w:fill="DDDDDD"/>
          </w:tcPr>
          <w:p w14:paraId="145F94C0" w14:textId="39C9222F" w:rsidR="00EF7CB1" w:rsidRPr="00E06ADC" w:rsidRDefault="00437FBA" w:rsidP="00D0058B">
            <w:pPr>
              <w:jc w:val="center"/>
              <w:rPr>
                <w:rFonts w:ascii="Arial" w:hAnsi="Arial" w:cs="Arial"/>
                <w:b/>
                <w:bCs/>
                <w:color w:val="000000" w:themeColor="text1"/>
                <w:sz w:val="20"/>
                <w:szCs w:val="20"/>
              </w:rPr>
            </w:pPr>
            <w:r>
              <w:rPr>
                <w:rFonts w:ascii="Arial" w:hAnsi="Arial" w:cs="Arial"/>
                <w:b/>
                <w:bCs/>
                <w:color w:val="000000" w:themeColor="text1"/>
                <w:sz w:val="20"/>
                <w:szCs w:val="20"/>
              </w:rPr>
              <w:t>2022/23</w:t>
            </w:r>
          </w:p>
        </w:tc>
      </w:tr>
      <w:tr w:rsidR="00EF7CB1" w:rsidRPr="002B6EDE" w14:paraId="039668E1" w14:textId="31DA4399" w:rsidTr="00437FBA">
        <w:trPr>
          <w:trHeight w:val="113"/>
        </w:trPr>
        <w:tc>
          <w:tcPr>
            <w:tcW w:w="4280" w:type="dxa"/>
          </w:tcPr>
          <w:p w14:paraId="0EFBD1DC" w14:textId="5E8E2D01" w:rsidR="00EF7CB1" w:rsidRPr="00896624" w:rsidRDefault="00EF7CB1" w:rsidP="008B41FD">
            <w:pPr>
              <w:jc w:val="both"/>
              <w:rPr>
                <w:rFonts w:ascii="Arial" w:hAnsi="Arial" w:cs="Arial"/>
                <w:b/>
                <w:bCs/>
                <w:color w:val="000000" w:themeColor="text1"/>
                <w:sz w:val="20"/>
                <w:szCs w:val="20"/>
              </w:rPr>
            </w:pPr>
            <w:r>
              <w:rPr>
                <w:rFonts w:ascii="Arial" w:hAnsi="Arial" w:cs="Arial"/>
                <w:b/>
                <w:bCs/>
                <w:color w:val="000000" w:themeColor="text1"/>
                <w:sz w:val="20"/>
                <w:szCs w:val="20"/>
              </w:rPr>
              <w:t>MATTERS WHERE THE MOST INTENSIVE SENTENCING ORDER IS NON-DETENTION</w:t>
            </w:r>
          </w:p>
        </w:tc>
        <w:tc>
          <w:tcPr>
            <w:tcW w:w="964" w:type="dxa"/>
            <w:shd w:val="clear" w:color="auto" w:fill="DDDDDD"/>
          </w:tcPr>
          <w:p w14:paraId="6DAEA56F" w14:textId="11157FF5" w:rsidR="00EF7CB1" w:rsidRPr="002B6EDE" w:rsidRDefault="00EF7CB1" w:rsidP="00D0058B">
            <w:pPr>
              <w:jc w:val="center"/>
              <w:rPr>
                <w:rFonts w:ascii="Arial" w:hAnsi="Arial" w:cs="Arial"/>
                <w:b/>
                <w:bCs/>
                <w:sz w:val="20"/>
                <w:szCs w:val="20"/>
              </w:rPr>
            </w:pPr>
            <w:r>
              <w:rPr>
                <w:rFonts w:ascii="Arial" w:hAnsi="Arial" w:cs="Arial"/>
                <w:b/>
                <w:bCs/>
                <w:sz w:val="20"/>
                <w:szCs w:val="20"/>
              </w:rPr>
              <w:t>1867</w:t>
            </w:r>
          </w:p>
        </w:tc>
        <w:tc>
          <w:tcPr>
            <w:tcW w:w="964" w:type="dxa"/>
          </w:tcPr>
          <w:p w14:paraId="600D7C39" w14:textId="64F10957" w:rsidR="00EF7CB1" w:rsidRPr="002B6EDE" w:rsidRDefault="00EF7CB1" w:rsidP="00D0058B">
            <w:pPr>
              <w:jc w:val="center"/>
              <w:rPr>
                <w:rFonts w:ascii="Arial" w:hAnsi="Arial" w:cs="Arial"/>
                <w:b/>
                <w:bCs/>
                <w:sz w:val="20"/>
                <w:szCs w:val="20"/>
              </w:rPr>
            </w:pPr>
            <w:r>
              <w:rPr>
                <w:rFonts w:ascii="Arial" w:hAnsi="Arial" w:cs="Arial"/>
                <w:b/>
                <w:bCs/>
                <w:sz w:val="20"/>
                <w:szCs w:val="20"/>
              </w:rPr>
              <w:t>1469</w:t>
            </w:r>
          </w:p>
        </w:tc>
        <w:tc>
          <w:tcPr>
            <w:tcW w:w="964" w:type="dxa"/>
            <w:shd w:val="clear" w:color="auto" w:fill="DDDDDD"/>
          </w:tcPr>
          <w:p w14:paraId="00637BF0" w14:textId="12660F6A" w:rsidR="00EF7CB1" w:rsidRPr="002B6EDE" w:rsidRDefault="00EF7CB1" w:rsidP="00D0058B">
            <w:pPr>
              <w:jc w:val="center"/>
              <w:rPr>
                <w:rFonts w:ascii="Arial" w:hAnsi="Arial" w:cs="Arial"/>
                <w:b/>
                <w:bCs/>
                <w:sz w:val="20"/>
                <w:szCs w:val="20"/>
              </w:rPr>
            </w:pPr>
            <w:r>
              <w:rPr>
                <w:rFonts w:ascii="Arial" w:hAnsi="Arial" w:cs="Arial"/>
                <w:b/>
                <w:bCs/>
                <w:sz w:val="20"/>
                <w:szCs w:val="20"/>
              </w:rPr>
              <w:t>1094</w:t>
            </w:r>
          </w:p>
        </w:tc>
        <w:tc>
          <w:tcPr>
            <w:tcW w:w="964" w:type="dxa"/>
          </w:tcPr>
          <w:p w14:paraId="0EB8514C" w14:textId="10A77411" w:rsidR="00EF7CB1" w:rsidRDefault="00437FBA" w:rsidP="00D0058B">
            <w:pPr>
              <w:jc w:val="center"/>
              <w:rPr>
                <w:rFonts w:ascii="Arial" w:hAnsi="Arial" w:cs="Arial"/>
                <w:b/>
                <w:bCs/>
                <w:sz w:val="20"/>
                <w:szCs w:val="20"/>
              </w:rPr>
            </w:pPr>
            <w:r>
              <w:rPr>
                <w:rFonts w:ascii="Arial" w:hAnsi="Arial" w:cs="Arial"/>
                <w:b/>
                <w:bCs/>
                <w:sz w:val="20"/>
                <w:szCs w:val="20"/>
              </w:rPr>
              <w:t>1047</w:t>
            </w:r>
          </w:p>
        </w:tc>
        <w:tc>
          <w:tcPr>
            <w:tcW w:w="964" w:type="dxa"/>
            <w:shd w:val="clear" w:color="auto" w:fill="DDDDDD"/>
          </w:tcPr>
          <w:p w14:paraId="1D6000C0" w14:textId="275123BF" w:rsidR="00EF7CB1" w:rsidRDefault="00437FBA" w:rsidP="00D0058B">
            <w:pPr>
              <w:jc w:val="center"/>
              <w:rPr>
                <w:rFonts w:ascii="Arial" w:hAnsi="Arial" w:cs="Arial"/>
                <w:b/>
                <w:bCs/>
                <w:sz w:val="20"/>
                <w:szCs w:val="20"/>
              </w:rPr>
            </w:pPr>
            <w:r>
              <w:rPr>
                <w:rFonts w:ascii="Arial" w:hAnsi="Arial" w:cs="Arial"/>
                <w:b/>
                <w:bCs/>
                <w:sz w:val="20"/>
                <w:szCs w:val="20"/>
              </w:rPr>
              <w:t>838</w:t>
            </w:r>
          </w:p>
        </w:tc>
      </w:tr>
      <w:tr w:rsidR="00EF7CB1" w:rsidRPr="002B6EDE" w14:paraId="42660613" w14:textId="07099A20" w:rsidTr="00437FBA">
        <w:trPr>
          <w:trHeight w:val="113"/>
        </w:trPr>
        <w:tc>
          <w:tcPr>
            <w:tcW w:w="4280" w:type="dxa"/>
          </w:tcPr>
          <w:p w14:paraId="0EE5839E" w14:textId="12E5DFCF" w:rsidR="00EF7CB1" w:rsidRPr="00896624" w:rsidRDefault="00EF7CB1" w:rsidP="008B41FD">
            <w:pPr>
              <w:jc w:val="both"/>
              <w:rPr>
                <w:rFonts w:ascii="Arial" w:hAnsi="Arial" w:cs="Arial"/>
                <w:b/>
                <w:bCs/>
                <w:color w:val="000000" w:themeColor="text1"/>
                <w:sz w:val="20"/>
                <w:szCs w:val="20"/>
              </w:rPr>
            </w:pPr>
            <w:r>
              <w:rPr>
                <w:rFonts w:ascii="Arial" w:hAnsi="Arial" w:cs="Arial"/>
                <w:b/>
                <w:bCs/>
                <w:color w:val="000000" w:themeColor="text1"/>
                <w:sz w:val="20"/>
                <w:szCs w:val="20"/>
              </w:rPr>
              <w:t>MATTERS WHERE THE MOST INTENSIVE SENTENCING ORDER IS YOUTH DETENTION</w:t>
            </w:r>
          </w:p>
        </w:tc>
        <w:tc>
          <w:tcPr>
            <w:tcW w:w="964" w:type="dxa"/>
            <w:shd w:val="clear" w:color="auto" w:fill="DDDDDD"/>
          </w:tcPr>
          <w:p w14:paraId="15F70AC2" w14:textId="519429B3" w:rsidR="00EF7CB1" w:rsidRPr="002B6EDE" w:rsidRDefault="00EF7CB1" w:rsidP="00D0058B">
            <w:pPr>
              <w:jc w:val="center"/>
              <w:rPr>
                <w:rFonts w:ascii="Arial" w:hAnsi="Arial" w:cs="Arial"/>
                <w:b/>
                <w:bCs/>
                <w:sz w:val="20"/>
                <w:szCs w:val="20"/>
              </w:rPr>
            </w:pPr>
            <w:r>
              <w:rPr>
                <w:rFonts w:ascii="Arial" w:hAnsi="Arial" w:cs="Arial"/>
                <w:b/>
                <w:bCs/>
                <w:sz w:val="20"/>
                <w:szCs w:val="20"/>
              </w:rPr>
              <w:t>210</w:t>
            </w:r>
          </w:p>
        </w:tc>
        <w:tc>
          <w:tcPr>
            <w:tcW w:w="964" w:type="dxa"/>
          </w:tcPr>
          <w:p w14:paraId="41647D75" w14:textId="437E94EB" w:rsidR="00EF7CB1" w:rsidRPr="002B6EDE" w:rsidRDefault="00EF7CB1" w:rsidP="00D0058B">
            <w:pPr>
              <w:jc w:val="center"/>
              <w:rPr>
                <w:rFonts w:ascii="Arial" w:hAnsi="Arial" w:cs="Arial"/>
                <w:b/>
                <w:bCs/>
                <w:sz w:val="20"/>
                <w:szCs w:val="20"/>
              </w:rPr>
            </w:pPr>
            <w:r>
              <w:rPr>
                <w:rFonts w:ascii="Arial" w:hAnsi="Arial" w:cs="Arial"/>
                <w:b/>
                <w:bCs/>
                <w:sz w:val="20"/>
                <w:szCs w:val="20"/>
              </w:rPr>
              <w:t>161</w:t>
            </w:r>
          </w:p>
        </w:tc>
        <w:tc>
          <w:tcPr>
            <w:tcW w:w="964" w:type="dxa"/>
            <w:shd w:val="clear" w:color="auto" w:fill="DDDDDD"/>
          </w:tcPr>
          <w:p w14:paraId="472DC832" w14:textId="13AF28F9" w:rsidR="00EF7CB1" w:rsidRPr="002B6EDE" w:rsidRDefault="00EF7CB1" w:rsidP="00D0058B">
            <w:pPr>
              <w:jc w:val="center"/>
              <w:rPr>
                <w:rFonts w:ascii="Arial" w:hAnsi="Arial" w:cs="Arial"/>
                <w:b/>
                <w:bCs/>
                <w:sz w:val="20"/>
                <w:szCs w:val="20"/>
              </w:rPr>
            </w:pPr>
            <w:r>
              <w:rPr>
                <w:rFonts w:ascii="Arial" w:hAnsi="Arial" w:cs="Arial"/>
                <w:b/>
                <w:bCs/>
                <w:sz w:val="20"/>
                <w:szCs w:val="20"/>
              </w:rPr>
              <w:t>119</w:t>
            </w:r>
          </w:p>
        </w:tc>
        <w:tc>
          <w:tcPr>
            <w:tcW w:w="964" w:type="dxa"/>
          </w:tcPr>
          <w:p w14:paraId="16B3BDB2" w14:textId="2CE4F0CD" w:rsidR="00EF7CB1" w:rsidRDefault="00437FBA" w:rsidP="00D0058B">
            <w:pPr>
              <w:jc w:val="center"/>
              <w:rPr>
                <w:rFonts w:ascii="Arial" w:hAnsi="Arial" w:cs="Arial"/>
                <w:b/>
                <w:bCs/>
                <w:sz w:val="20"/>
                <w:szCs w:val="20"/>
              </w:rPr>
            </w:pPr>
            <w:r>
              <w:rPr>
                <w:rFonts w:ascii="Arial" w:hAnsi="Arial" w:cs="Arial"/>
                <w:b/>
                <w:bCs/>
                <w:sz w:val="20"/>
                <w:szCs w:val="20"/>
              </w:rPr>
              <w:t>90</w:t>
            </w:r>
          </w:p>
        </w:tc>
        <w:tc>
          <w:tcPr>
            <w:tcW w:w="964" w:type="dxa"/>
            <w:shd w:val="clear" w:color="auto" w:fill="DDDDDD"/>
          </w:tcPr>
          <w:p w14:paraId="166A5EF9" w14:textId="468668DD" w:rsidR="00EF7CB1" w:rsidRDefault="00437FBA" w:rsidP="00D0058B">
            <w:pPr>
              <w:jc w:val="center"/>
              <w:rPr>
                <w:rFonts w:ascii="Arial" w:hAnsi="Arial" w:cs="Arial"/>
                <w:b/>
                <w:bCs/>
                <w:sz w:val="20"/>
                <w:szCs w:val="20"/>
              </w:rPr>
            </w:pPr>
            <w:r>
              <w:rPr>
                <w:rFonts w:ascii="Arial" w:hAnsi="Arial" w:cs="Arial"/>
                <w:b/>
                <w:bCs/>
                <w:sz w:val="20"/>
                <w:szCs w:val="20"/>
              </w:rPr>
              <w:t>48</w:t>
            </w:r>
          </w:p>
        </w:tc>
      </w:tr>
      <w:tr w:rsidR="00EF7CB1" w:rsidRPr="002B6EDE" w14:paraId="3C439FAC" w14:textId="09CA236B" w:rsidTr="00437FBA">
        <w:trPr>
          <w:trHeight w:val="113"/>
        </w:trPr>
        <w:tc>
          <w:tcPr>
            <w:tcW w:w="4280" w:type="dxa"/>
          </w:tcPr>
          <w:p w14:paraId="67D3DD5A" w14:textId="62ABC5C1" w:rsidR="00EF7CB1" w:rsidRPr="00896624" w:rsidRDefault="00EF7CB1" w:rsidP="00D0058B">
            <w:pPr>
              <w:jc w:val="center"/>
              <w:rPr>
                <w:rFonts w:ascii="Arial" w:hAnsi="Arial" w:cs="Arial"/>
                <w:b/>
                <w:bCs/>
                <w:color w:val="000000" w:themeColor="text1"/>
                <w:sz w:val="20"/>
                <w:szCs w:val="20"/>
              </w:rPr>
            </w:pPr>
            <w:r>
              <w:rPr>
                <w:rFonts w:ascii="Arial" w:hAnsi="Arial" w:cs="Arial"/>
                <w:b/>
                <w:bCs/>
                <w:color w:val="000000" w:themeColor="text1"/>
                <w:sz w:val="20"/>
                <w:szCs w:val="20"/>
              </w:rPr>
              <w:t>DIVERSION ORDER</w:t>
            </w:r>
          </w:p>
        </w:tc>
        <w:tc>
          <w:tcPr>
            <w:tcW w:w="964" w:type="dxa"/>
            <w:shd w:val="clear" w:color="auto" w:fill="DDDDDD"/>
          </w:tcPr>
          <w:p w14:paraId="45DFA4DB" w14:textId="60F235CB" w:rsidR="00EF7CB1" w:rsidRPr="002B6EDE" w:rsidRDefault="00EF7CB1" w:rsidP="00D0058B">
            <w:pPr>
              <w:jc w:val="center"/>
              <w:rPr>
                <w:rFonts w:ascii="Arial" w:hAnsi="Arial" w:cs="Arial"/>
                <w:b/>
                <w:bCs/>
                <w:sz w:val="20"/>
                <w:szCs w:val="20"/>
              </w:rPr>
            </w:pPr>
            <w:r>
              <w:rPr>
                <w:rFonts w:ascii="Arial" w:hAnsi="Arial" w:cs="Arial"/>
                <w:b/>
                <w:bCs/>
                <w:sz w:val="20"/>
                <w:szCs w:val="20"/>
              </w:rPr>
              <w:t>1582</w:t>
            </w:r>
          </w:p>
        </w:tc>
        <w:tc>
          <w:tcPr>
            <w:tcW w:w="964" w:type="dxa"/>
          </w:tcPr>
          <w:p w14:paraId="2FC43343" w14:textId="0B4BC068" w:rsidR="00EF7CB1" w:rsidRPr="002B6EDE" w:rsidRDefault="00EF7CB1" w:rsidP="00D0058B">
            <w:pPr>
              <w:jc w:val="center"/>
              <w:rPr>
                <w:rFonts w:ascii="Arial" w:hAnsi="Arial" w:cs="Arial"/>
                <w:b/>
                <w:bCs/>
                <w:sz w:val="20"/>
                <w:szCs w:val="20"/>
              </w:rPr>
            </w:pPr>
            <w:r>
              <w:rPr>
                <w:rFonts w:ascii="Arial" w:hAnsi="Arial" w:cs="Arial"/>
                <w:b/>
                <w:bCs/>
                <w:sz w:val="20"/>
                <w:szCs w:val="20"/>
              </w:rPr>
              <w:t>1595</w:t>
            </w:r>
          </w:p>
        </w:tc>
        <w:tc>
          <w:tcPr>
            <w:tcW w:w="964" w:type="dxa"/>
            <w:shd w:val="clear" w:color="auto" w:fill="DDDDDD"/>
          </w:tcPr>
          <w:p w14:paraId="14EF52AE" w14:textId="44A01452" w:rsidR="00EF7CB1" w:rsidRPr="002B6EDE" w:rsidRDefault="00EF7CB1" w:rsidP="00D0058B">
            <w:pPr>
              <w:jc w:val="center"/>
              <w:rPr>
                <w:rFonts w:ascii="Arial" w:hAnsi="Arial" w:cs="Arial"/>
                <w:b/>
                <w:bCs/>
                <w:sz w:val="20"/>
                <w:szCs w:val="20"/>
              </w:rPr>
            </w:pPr>
            <w:r>
              <w:rPr>
                <w:rFonts w:ascii="Arial" w:hAnsi="Arial" w:cs="Arial"/>
                <w:b/>
                <w:bCs/>
                <w:sz w:val="20"/>
                <w:szCs w:val="20"/>
              </w:rPr>
              <w:t>1166</w:t>
            </w:r>
          </w:p>
        </w:tc>
        <w:tc>
          <w:tcPr>
            <w:tcW w:w="964" w:type="dxa"/>
          </w:tcPr>
          <w:p w14:paraId="5928DD2C" w14:textId="14FF77D2" w:rsidR="00EF7CB1" w:rsidRDefault="00437FBA" w:rsidP="00D0058B">
            <w:pPr>
              <w:jc w:val="center"/>
              <w:rPr>
                <w:rFonts w:ascii="Arial" w:hAnsi="Arial" w:cs="Arial"/>
                <w:b/>
                <w:bCs/>
                <w:sz w:val="20"/>
                <w:szCs w:val="20"/>
              </w:rPr>
            </w:pPr>
            <w:r>
              <w:rPr>
                <w:rFonts w:ascii="Arial" w:hAnsi="Arial" w:cs="Arial"/>
                <w:b/>
                <w:bCs/>
                <w:sz w:val="20"/>
                <w:szCs w:val="20"/>
              </w:rPr>
              <w:t>N/A</w:t>
            </w:r>
          </w:p>
        </w:tc>
        <w:tc>
          <w:tcPr>
            <w:tcW w:w="964" w:type="dxa"/>
            <w:shd w:val="clear" w:color="auto" w:fill="DDDDDD"/>
          </w:tcPr>
          <w:p w14:paraId="2ABD72C0" w14:textId="023ED8B4" w:rsidR="00EF7CB1" w:rsidRDefault="00437FBA" w:rsidP="00D0058B">
            <w:pPr>
              <w:jc w:val="center"/>
              <w:rPr>
                <w:rFonts w:ascii="Arial" w:hAnsi="Arial" w:cs="Arial"/>
                <w:b/>
                <w:bCs/>
                <w:sz w:val="20"/>
                <w:szCs w:val="20"/>
              </w:rPr>
            </w:pPr>
            <w:r>
              <w:rPr>
                <w:rFonts w:ascii="Arial" w:hAnsi="Arial" w:cs="Arial"/>
                <w:b/>
                <w:bCs/>
                <w:sz w:val="20"/>
                <w:szCs w:val="20"/>
              </w:rPr>
              <w:t>1454</w:t>
            </w:r>
          </w:p>
        </w:tc>
      </w:tr>
      <w:tr w:rsidR="00EF7CB1" w:rsidRPr="00550D15" w14:paraId="04429CBD" w14:textId="40E7F00A" w:rsidTr="00437FBA">
        <w:trPr>
          <w:trHeight w:val="113"/>
        </w:trPr>
        <w:tc>
          <w:tcPr>
            <w:tcW w:w="4280" w:type="dxa"/>
            <w:shd w:val="clear" w:color="auto" w:fill="000000" w:themeFill="text1"/>
          </w:tcPr>
          <w:p w14:paraId="7FF79C70" w14:textId="549CFC11" w:rsidR="00EF7CB1" w:rsidRPr="00550D15" w:rsidRDefault="00EF7CB1" w:rsidP="00D0058B">
            <w:pPr>
              <w:jc w:val="center"/>
              <w:rPr>
                <w:rFonts w:ascii="Arial" w:hAnsi="Arial" w:cs="Arial"/>
                <w:b/>
                <w:bCs/>
                <w:color w:val="FFFFFF" w:themeColor="background1"/>
                <w:sz w:val="20"/>
                <w:szCs w:val="20"/>
              </w:rPr>
            </w:pPr>
            <w:r>
              <w:rPr>
                <w:rFonts w:ascii="Arial" w:hAnsi="Arial" w:cs="Arial"/>
                <w:b/>
                <w:bCs/>
                <w:color w:val="FFFFFF" w:themeColor="background1"/>
                <w:sz w:val="20"/>
                <w:szCs w:val="20"/>
              </w:rPr>
              <w:t>TOTAL</w:t>
            </w:r>
          </w:p>
        </w:tc>
        <w:tc>
          <w:tcPr>
            <w:tcW w:w="964" w:type="dxa"/>
            <w:shd w:val="clear" w:color="auto" w:fill="000000" w:themeFill="text1"/>
          </w:tcPr>
          <w:p w14:paraId="59396C46" w14:textId="37A399CA" w:rsidR="00EF7CB1" w:rsidRPr="00550D15" w:rsidRDefault="00EF7CB1" w:rsidP="00D0058B">
            <w:pPr>
              <w:jc w:val="center"/>
              <w:rPr>
                <w:rFonts w:ascii="Arial" w:hAnsi="Arial" w:cs="Arial"/>
                <w:b/>
                <w:bCs/>
                <w:color w:val="FFFFFF" w:themeColor="background1"/>
                <w:sz w:val="20"/>
                <w:szCs w:val="20"/>
              </w:rPr>
            </w:pPr>
            <w:r>
              <w:rPr>
                <w:rFonts w:ascii="Arial" w:hAnsi="Arial" w:cs="Arial"/>
                <w:b/>
                <w:bCs/>
                <w:color w:val="FFFFFF" w:themeColor="background1"/>
                <w:sz w:val="20"/>
                <w:szCs w:val="20"/>
              </w:rPr>
              <w:t>3659</w:t>
            </w:r>
          </w:p>
        </w:tc>
        <w:tc>
          <w:tcPr>
            <w:tcW w:w="964" w:type="dxa"/>
            <w:shd w:val="clear" w:color="auto" w:fill="000000" w:themeFill="text1"/>
          </w:tcPr>
          <w:p w14:paraId="0AFB8F60" w14:textId="1AC5DD20" w:rsidR="00EF7CB1" w:rsidRPr="00550D15" w:rsidRDefault="00EF7CB1" w:rsidP="00D0058B">
            <w:pPr>
              <w:jc w:val="center"/>
              <w:rPr>
                <w:rFonts w:ascii="Arial" w:hAnsi="Arial" w:cs="Arial"/>
                <w:b/>
                <w:bCs/>
                <w:color w:val="FFFFFF" w:themeColor="background1"/>
                <w:sz w:val="20"/>
                <w:szCs w:val="20"/>
              </w:rPr>
            </w:pPr>
            <w:r>
              <w:rPr>
                <w:rFonts w:ascii="Arial" w:hAnsi="Arial" w:cs="Arial"/>
                <w:b/>
                <w:bCs/>
                <w:color w:val="FFFFFF" w:themeColor="background1"/>
                <w:sz w:val="20"/>
                <w:szCs w:val="20"/>
              </w:rPr>
              <w:t>3225</w:t>
            </w:r>
          </w:p>
        </w:tc>
        <w:tc>
          <w:tcPr>
            <w:tcW w:w="964" w:type="dxa"/>
            <w:shd w:val="clear" w:color="auto" w:fill="000000" w:themeFill="text1"/>
          </w:tcPr>
          <w:p w14:paraId="6FB81676" w14:textId="116EBB69" w:rsidR="00EF7CB1" w:rsidRPr="00550D15" w:rsidRDefault="00EF7CB1" w:rsidP="00D0058B">
            <w:pPr>
              <w:jc w:val="center"/>
              <w:rPr>
                <w:rFonts w:ascii="Arial" w:hAnsi="Arial" w:cs="Arial"/>
                <w:b/>
                <w:bCs/>
                <w:color w:val="FFFFFF" w:themeColor="background1"/>
                <w:sz w:val="20"/>
                <w:szCs w:val="20"/>
              </w:rPr>
            </w:pPr>
            <w:r>
              <w:rPr>
                <w:rFonts w:ascii="Arial" w:hAnsi="Arial" w:cs="Arial"/>
                <w:b/>
                <w:bCs/>
                <w:color w:val="FFFFFF" w:themeColor="background1"/>
                <w:sz w:val="20"/>
                <w:szCs w:val="20"/>
              </w:rPr>
              <w:t>2379</w:t>
            </w:r>
          </w:p>
        </w:tc>
        <w:tc>
          <w:tcPr>
            <w:tcW w:w="964" w:type="dxa"/>
            <w:shd w:val="clear" w:color="auto" w:fill="000000" w:themeFill="text1"/>
          </w:tcPr>
          <w:p w14:paraId="643B1712" w14:textId="4FD2D025" w:rsidR="00EF7CB1" w:rsidRDefault="00437FBA" w:rsidP="00D0058B">
            <w:pPr>
              <w:jc w:val="center"/>
              <w:rPr>
                <w:rFonts w:ascii="Arial" w:hAnsi="Arial" w:cs="Arial"/>
                <w:b/>
                <w:bCs/>
                <w:color w:val="FFFFFF" w:themeColor="background1"/>
                <w:sz w:val="20"/>
                <w:szCs w:val="20"/>
              </w:rPr>
            </w:pPr>
            <w:r>
              <w:rPr>
                <w:rFonts w:ascii="Arial" w:hAnsi="Arial" w:cs="Arial"/>
                <w:b/>
                <w:bCs/>
                <w:color w:val="FFFFFF" w:themeColor="background1"/>
                <w:sz w:val="20"/>
                <w:szCs w:val="20"/>
              </w:rPr>
              <w:t>N/A</w:t>
            </w:r>
          </w:p>
        </w:tc>
        <w:tc>
          <w:tcPr>
            <w:tcW w:w="964" w:type="dxa"/>
            <w:shd w:val="clear" w:color="auto" w:fill="000000" w:themeFill="text1"/>
          </w:tcPr>
          <w:p w14:paraId="1CF083A1" w14:textId="39880891" w:rsidR="00EF7CB1" w:rsidRDefault="00437FBA" w:rsidP="00D0058B">
            <w:pPr>
              <w:jc w:val="center"/>
              <w:rPr>
                <w:rFonts w:ascii="Arial" w:hAnsi="Arial" w:cs="Arial"/>
                <w:b/>
                <w:bCs/>
                <w:color w:val="FFFFFF" w:themeColor="background1"/>
                <w:sz w:val="20"/>
                <w:szCs w:val="20"/>
              </w:rPr>
            </w:pPr>
            <w:r>
              <w:rPr>
                <w:rFonts w:ascii="Arial" w:hAnsi="Arial" w:cs="Arial"/>
                <w:b/>
                <w:bCs/>
                <w:color w:val="FFFFFF" w:themeColor="background1"/>
                <w:sz w:val="20"/>
                <w:szCs w:val="20"/>
              </w:rPr>
              <w:t>2340</w:t>
            </w:r>
          </w:p>
        </w:tc>
      </w:tr>
    </w:tbl>
    <w:p w14:paraId="7505932B" w14:textId="618F7A16" w:rsidR="00B00F7B" w:rsidRDefault="00B00F7B" w:rsidP="003B063D">
      <w:pPr>
        <w:ind w:left="720" w:hanging="720"/>
        <w:jc w:val="both"/>
        <w:rPr>
          <w:rFonts w:ascii="Arial" w:hAnsi="Arial" w:cs="Arial"/>
          <w:sz w:val="20"/>
          <w:szCs w:val="20"/>
        </w:rPr>
      </w:pPr>
    </w:p>
    <w:p w14:paraId="169CA7B2" w14:textId="4754D32C" w:rsidR="00F563F4" w:rsidRDefault="00D30262" w:rsidP="003B063D">
      <w:pPr>
        <w:ind w:left="720" w:hanging="720"/>
        <w:jc w:val="both"/>
        <w:rPr>
          <w:rFonts w:ascii="Arial" w:hAnsi="Arial" w:cs="Arial"/>
          <w:sz w:val="20"/>
          <w:szCs w:val="20"/>
        </w:rPr>
      </w:pPr>
      <w:r>
        <w:rPr>
          <w:rFonts w:ascii="Arial" w:hAnsi="Arial" w:cs="Arial"/>
          <w:sz w:val="20"/>
          <w:szCs w:val="20"/>
        </w:rPr>
        <w:t>C</w:t>
      </w:r>
      <w:r w:rsidR="00F563F4">
        <w:rPr>
          <w:rFonts w:ascii="Arial" w:hAnsi="Arial" w:cs="Arial"/>
          <w:sz w:val="20"/>
          <w:szCs w:val="20"/>
        </w:rPr>
        <w:t xml:space="preserve">auses of this discrepancy </w:t>
      </w:r>
      <w:r w:rsidR="00916332">
        <w:rPr>
          <w:rFonts w:ascii="Arial" w:hAnsi="Arial" w:cs="Arial"/>
          <w:sz w:val="20"/>
          <w:szCs w:val="20"/>
        </w:rPr>
        <w:t>include</w:t>
      </w:r>
      <w:r>
        <w:rPr>
          <w:rFonts w:ascii="Arial" w:hAnsi="Arial" w:cs="Arial"/>
          <w:sz w:val="20"/>
          <w:szCs w:val="20"/>
        </w:rPr>
        <w:t>–</w:t>
      </w:r>
    </w:p>
    <w:p w14:paraId="39100804" w14:textId="02AB8D31" w:rsidR="00D30262" w:rsidRDefault="00D30262" w:rsidP="00591749">
      <w:pPr>
        <w:pStyle w:val="ListParagraph"/>
        <w:numPr>
          <w:ilvl w:val="0"/>
          <w:numId w:val="59"/>
        </w:numPr>
        <w:spacing w:before="60" w:after="0" w:line="240" w:lineRule="auto"/>
        <w:ind w:left="357" w:hanging="357"/>
        <w:jc w:val="both"/>
        <w:rPr>
          <w:rFonts w:ascii="Arial" w:hAnsi="Arial" w:cs="Arial"/>
          <w:sz w:val="20"/>
          <w:szCs w:val="20"/>
        </w:rPr>
      </w:pPr>
      <w:r>
        <w:rPr>
          <w:rFonts w:ascii="Arial" w:hAnsi="Arial" w:cs="Arial"/>
          <w:sz w:val="20"/>
          <w:szCs w:val="20"/>
        </w:rPr>
        <w:t xml:space="preserve">Where an offender pleads guilty to one or more charges in two or more </w:t>
      </w:r>
      <w:r w:rsidR="0054711C">
        <w:rPr>
          <w:rFonts w:ascii="Arial" w:hAnsi="Arial" w:cs="Arial"/>
          <w:sz w:val="20"/>
          <w:szCs w:val="20"/>
        </w:rPr>
        <w:t>matters</w:t>
      </w:r>
      <w:r>
        <w:rPr>
          <w:rFonts w:ascii="Arial" w:hAnsi="Arial" w:cs="Arial"/>
          <w:sz w:val="20"/>
          <w:szCs w:val="20"/>
        </w:rPr>
        <w:t xml:space="preserve">, the Court usually consolidates the </w:t>
      </w:r>
      <w:r w:rsidR="00437FBA">
        <w:rPr>
          <w:rFonts w:ascii="Arial" w:hAnsi="Arial" w:cs="Arial"/>
          <w:sz w:val="20"/>
          <w:szCs w:val="20"/>
        </w:rPr>
        <w:t>charges into a single ‘supercase’.  For instance, in 2020/21 a total of 3956 individual cases were consolidated into ‘supercases’.</w:t>
      </w:r>
    </w:p>
    <w:p w14:paraId="0A543D9D" w14:textId="77777777" w:rsidR="00C7202B" w:rsidRPr="00C7202B" w:rsidRDefault="00C7202B" w:rsidP="00C7202B">
      <w:pPr>
        <w:pStyle w:val="ListParagraph"/>
        <w:spacing w:after="0" w:line="240" w:lineRule="auto"/>
        <w:ind w:left="357"/>
        <w:jc w:val="both"/>
        <w:rPr>
          <w:rFonts w:ascii="Arial" w:hAnsi="Arial" w:cs="Arial"/>
          <w:sz w:val="6"/>
          <w:szCs w:val="6"/>
        </w:rPr>
      </w:pPr>
    </w:p>
    <w:p w14:paraId="66D39E13" w14:textId="40FFFBB5" w:rsidR="00B51314" w:rsidRDefault="00A43726" w:rsidP="00B51314">
      <w:pPr>
        <w:pStyle w:val="ListParagraph"/>
        <w:numPr>
          <w:ilvl w:val="0"/>
          <w:numId w:val="59"/>
        </w:numPr>
        <w:spacing w:after="120" w:line="240" w:lineRule="auto"/>
        <w:ind w:left="357" w:hanging="357"/>
        <w:contextualSpacing w:val="0"/>
        <w:jc w:val="both"/>
        <w:rPr>
          <w:rFonts w:ascii="Arial" w:hAnsi="Arial" w:cs="Arial"/>
          <w:sz w:val="20"/>
          <w:szCs w:val="20"/>
        </w:rPr>
      </w:pPr>
      <w:r>
        <w:rPr>
          <w:rFonts w:ascii="Arial" w:hAnsi="Arial" w:cs="Arial"/>
          <w:sz w:val="20"/>
          <w:szCs w:val="20"/>
        </w:rPr>
        <w:t>Most of the sentencing orders available in the Criminal Division can be made against multiple charges.  For instance, a single undertaking, bond, probation order, youth supervision order, youth attendance order or youth control order can be made in respect of multiple proved offences in any case or ‘supercase’. And an aggregate sentence of detention can be imposed in respect of multiple proved offences in the circumstances set out in s.362B CYFA.</w:t>
      </w:r>
    </w:p>
    <w:p w14:paraId="5F643583" w14:textId="596E9C79" w:rsidR="00B51314" w:rsidRPr="00B51314" w:rsidRDefault="00B51314" w:rsidP="00B51314">
      <w:pPr>
        <w:pStyle w:val="ListParagraph"/>
        <w:pBdr>
          <w:top w:val="single" w:sz="4" w:space="1" w:color="auto"/>
          <w:left w:val="single" w:sz="4" w:space="4" w:color="auto"/>
          <w:bottom w:val="single" w:sz="4" w:space="1" w:color="auto"/>
          <w:right w:val="single" w:sz="4" w:space="4" w:color="auto"/>
        </w:pBdr>
        <w:spacing w:before="120" w:after="0" w:line="240" w:lineRule="auto"/>
        <w:ind w:left="357"/>
        <w:contextualSpacing w:val="0"/>
        <w:jc w:val="both"/>
        <w:rPr>
          <w:rFonts w:ascii="Arial" w:hAnsi="Arial" w:cs="Arial"/>
          <w:sz w:val="20"/>
          <w:szCs w:val="20"/>
        </w:rPr>
      </w:pPr>
      <w:r>
        <w:rPr>
          <w:rFonts w:ascii="Arial" w:hAnsi="Arial" w:cs="Arial"/>
          <w:sz w:val="20"/>
          <w:szCs w:val="20"/>
        </w:rPr>
        <w:lastRenderedPageBreak/>
        <w:t>Note that from 30/06/2026 a single fine or a total sentence of detention can be imposed in respect of multiple proved offences without any pre-conditions being required: see ss.249(1) &amp; 328(1) YJA.</w:t>
      </w:r>
    </w:p>
    <w:p w14:paraId="03EFA2A6" w14:textId="77777777" w:rsidR="00C7202B" w:rsidRPr="00C7202B" w:rsidRDefault="00C7202B" w:rsidP="00C7202B">
      <w:pPr>
        <w:ind w:left="357"/>
        <w:jc w:val="both"/>
        <w:rPr>
          <w:rFonts w:ascii="Arial" w:hAnsi="Arial" w:cs="Arial"/>
          <w:sz w:val="6"/>
          <w:szCs w:val="6"/>
        </w:rPr>
      </w:pPr>
    </w:p>
    <w:p w14:paraId="54F2D38A" w14:textId="17DDE08B" w:rsidR="00D30262" w:rsidRDefault="00D30262" w:rsidP="00591749">
      <w:pPr>
        <w:pStyle w:val="ListParagraph"/>
        <w:numPr>
          <w:ilvl w:val="0"/>
          <w:numId w:val="59"/>
        </w:numPr>
        <w:spacing w:after="0" w:line="240" w:lineRule="auto"/>
        <w:ind w:left="357" w:hanging="357"/>
        <w:jc w:val="both"/>
        <w:rPr>
          <w:rFonts w:ascii="Arial" w:hAnsi="Arial" w:cs="Arial"/>
          <w:sz w:val="20"/>
          <w:szCs w:val="20"/>
        </w:rPr>
      </w:pPr>
      <w:r>
        <w:rPr>
          <w:rFonts w:ascii="Arial" w:hAnsi="Arial" w:cs="Arial"/>
          <w:sz w:val="20"/>
          <w:szCs w:val="20"/>
        </w:rPr>
        <w:t xml:space="preserve">Similarly, where an offender acknowledges guilt </w:t>
      </w:r>
      <w:r w:rsidR="00A43726">
        <w:rPr>
          <w:rFonts w:ascii="Arial" w:hAnsi="Arial" w:cs="Arial"/>
          <w:sz w:val="20"/>
          <w:szCs w:val="20"/>
        </w:rPr>
        <w:t xml:space="preserve">and is placed on a diversion order, a single diversion order is </w:t>
      </w:r>
      <w:r w:rsidR="0054711C">
        <w:rPr>
          <w:rFonts w:ascii="Arial" w:hAnsi="Arial" w:cs="Arial"/>
          <w:sz w:val="20"/>
          <w:szCs w:val="20"/>
        </w:rPr>
        <w:t>almost always</w:t>
      </w:r>
      <w:r w:rsidR="00A43726">
        <w:rPr>
          <w:rFonts w:ascii="Arial" w:hAnsi="Arial" w:cs="Arial"/>
          <w:sz w:val="20"/>
          <w:szCs w:val="20"/>
        </w:rPr>
        <w:t xml:space="preserve"> made </w:t>
      </w:r>
      <w:r w:rsidR="0054711C">
        <w:rPr>
          <w:rFonts w:ascii="Arial" w:hAnsi="Arial" w:cs="Arial"/>
          <w:sz w:val="20"/>
          <w:szCs w:val="20"/>
        </w:rPr>
        <w:t>whether there is one proved offence or multiple proved offences.</w:t>
      </w:r>
    </w:p>
    <w:p w14:paraId="1B21B717" w14:textId="77777777" w:rsidR="00C7202B" w:rsidRPr="00C7202B" w:rsidRDefault="00C7202B" w:rsidP="00C7202B">
      <w:pPr>
        <w:pStyle w:val="ListParagraph"/>
        <w:ind w:left="357"/>
        <w:rPr>
          <w:rFonts w:ascii="Arial" w:hAnsi="Arial" w:cs="Arial"/>
          <w:sz w:val="6"/>
          <w:szCs w:val="6"/>
        </w:rPr>
      </w:pPr>
    </w:p>
    <w:p w14:paraId="066F3793" w14:textId="3BA39F3E" w:rsidR="0054711C" w:rsidRDefault="00D30262" w:rsidP="00591749">
      <w:pPr>
        <w:pStyle w:val="ListParagraph"/>
        <w:numPr>
          <w:ilvl w:val="0"/>
          <w:numId w:val="59"/>
        </w:numPr>
        <w:spacing w:after="0" w:line="240" w:lineRule="auto"/>
        <w:ind w:left="357" w:hanging="357"/>
        <w:jc w:val="both"/>
        <w:rPr>
          <w:rFonts w:ascii="Arial" w:hAnsi="Arial" w:cs="Arial"/>
          <w:sz w:val="20"/>
          <w:szCs w:val="20"/>
        </w:rPr>
      </w:pPr>
      <w:r>
        <w:rPr>
          <w:rFonts w:ascii="Arial" w:hAnsi="Arial" w:cs="Arial"/>
          <w:sz w:val="20"/>
          <w:szCs w:val="20"/>
        </w:rPr>
        <w:t>T</w:t>
      </w:r>
      <w:r w:rsidR="00F563F4" w:rsidRPr="00F563F4">
        <w:rPr>
          <w:rFonts w:ascii="Arial" w:hAnsi="Arial" w:cs="Arial"/>
          <w:sz w:val="20"/>
          <w:szCs w:val="20"/>
        </w:rPr>
        <w:t xml:space="preserve">he </w:t>
      </w:r>
      <w:r w:rsidR="0054711C">
        <w:rPr>
          <w:rFonts w:ascii="Arial" w:hAnsi="Arial" w:cs="Arial"/>
          <w:sz w:val="20"/>
          <w:szCs w:val="20"/>
        </w:rPr>
        <w:t xml:space="preserve">statistics for </w:t>
      </w:r>
      <w:r w:rsidR="00F563F4" w:rsidRPr="00F563F4">
        <w:rPr>
          <w:rFonts w:ascii="Arial" w:hAnsi="Arial" w:cs="Arial"/>
          <w:sz w:val="20"/>
          <w:szCs w:val="20"/>
        </w:rPr>
        <w:t xml:space="preserve">final sentencing orders </w:t>
      </w:r>
      <w:r w:rsidR="00F563F4">
        <w:rPr>
          <w:rFonts w:ascii="Arial" w:hAnsi="Arial" w:cs="Arial"/>
          <w:sz w:val="20"/>
          <w:szCs w:val="20"/>
        </w:rPr>
        <w:t xml:space="preserve">shown in Table 2 </w:t>
      </w:r>
      <w:r w:rsidR="0054711C">
        <w:rPr>
          <w:rFonts w:ascii="Arial" w:hAnsi="Arial" w:cs="Arial"/>
          <w:sz w:val="20"/>
          <w:szCs w:val="20"/>
        </w:rPr>
        <w:t xml:space="preserve">– and broken down in the tables shown in </w:t>
      </w:r>
      <w:r w:rsidR="0054711C" w:rsidRPr="00D04051">
        <w:rPr>
          <w:rFonts w:ascii="Arial" w:hAnsi="Arial" w:cs="Arial"/>
          <w:b/>
          <w:bCs/>
          <w:sz w:val="20"/>
          <w:szCs w:val="20"/>
          <w:shd w:val="clear" w:color="auto" w:fill="C5E0B3"/>
        </w:rPr>
        <w:t>section 11.7.1</w:t>
      </w:r>
      <w:r w:rsidR="0054711C">
        <w:rPr>
          <w:rFonts w:ascii="Arial" w:hAnsi="Arial" w:cs="Arial"/>
          <w:sz w:val="20"/>
          <w:szCs w:val="20"/>
        </w:rPr>
        <w:t xml:space="preserve"> of these Research Materials – </w:t>
      </w:r>
      <w:r w:rsidR="00F563F4">
        <w:rPr>
          <w:rFonts w:ascii="Arial" w:hAnsi="Arial" w:cs="Arial"/>
          <w:sz w:val="20"/>
          <w:szCs w:val="20"/>
        </w:rPr>
        <w:t>are</w:t>
      </w:r>
      <w:r w:rsidR="0054711C">
        <w:rPr>
          <w:rFonts w:ascii="Arial" w:hAnsi="Arial" w:cs="Arial"/>
          <w:sz w:val="20"/>
          <w:szCs w:val="20"/>
        </w:rPr>
        <w:t xml:space="preserve"> not a count of every sentencing order made in a particular case or ‘supercase’.  Due to limitations of the Court’s Courtlink computer system they are counts of the most intensive sentencing order made in a particular case or ‘supercase’.  So, for example, if in a particular case–</w:t>
      </w:r>
    </w:p>
    <w:p w14:paraId="41C76866" w14:textId="77777777" w:rsidR="0054711C" w:rsidRPr="0054711C" w:rsidRDefault="0054711C" w:rsidP="00591749">
      <w:pPr>
        <w:pStyle w:val="ListParagraph"/>
        <w:numPr>
          <w:ilvl w:val="0"/>
          <w:numId w:val="60"/>
        </w:numPr>
        <w:jc w:val="both"/>
        <w:rPr>
          <w:rFonts w:ascii="Arial" w:hAnsi="Arial" w:cs="Arial"/>
          <w:sz w:val="20"/>
          <w:szCs w:val="20"/>
        </w:rPr>
      </w:pPr>
      <w:r>
        <w:rPr>
          <w:rFonts w:ascii="Arial" w:hAnsi="Arial" w:cs="Arial"/>
          <w:color w:val="000000"/>
          <w:sz w:val="20"/>
        </w:rPr>
        <w:t>a</w:t>
      </w:r>
      <w:r w:rsidRPr="001C6E0E">
        <w:rPr>
          <w:rFonts w:ascii="Arial" w:hAnsi="Arial" w:cs="Arial"/>
          <w:color w:val="000000"/>
          <w:sz w:val="20"/>
        </w:rPr>
        <w:t xml:space="preserve"> child was fined on some charges and placed on a youth supervision order on others, only the youth supervision order – the most intensive of the orders – is counted</w:t>
      </w:r>
      <w:r>
        <w:rPr>
          <w:rFonts w:ascii="Arial" w:hAnsi="Arial" w:cs="Arial"/>
          <w:color w:val="000000"/>
          <w:sz w:val="20"/>
        </w:rPr>
        <w:t>;</w:t>
      </w:r>
    </w:p>
    <w:p w14:paraId="7415D585" w14:textId="1D739F90" w:rsidR="0054711C" w:rsidRPr="0054711C" w:rsidRDefault="0054711C" w:rsidP="00591749">
      <w:pPr>
        <w:pStyle w:val="ListParagraph"/>
        <w:numPr>
          <w:ilvl w:val="0"/>
          <w:numId w:val="60"/>
        </w:numPr>
        <w:jc w:val="both"/>
        <w:rPr>
          <w:rFonts w:ascii="Arial" w:hAnsi="Arial" w:cs="Arial"/>
          <w:sz w:val="20"/>
          <w:szCs w:val="20"/>
        </w:rPr>
      </w:pPr>
      <w:r>
        <w:rPr>
          <w:rFonts w:ascii="Arial" w:hAnsi="Arial" w:cs="Arial"/>
          <w:color w:val="000000"/>
          <w:sz w:val="20"/>
        </w:rPr>
        <w:t xml:space="preserve">a child was placed on a bond on some charges and placed on a youth justice centre order on </w:t>
      </w:r>
      <w:r w:rsidR="00E33E48">
        <w:rPr>
          <w:rFonts w:ascii="Arial" w:hAnsi="Arial" w:cs="Arial"/>
          <w:color w:val="000000"/>
          <w:sz w:val="20"/>
        </w:rPr>
        <w:t>an</w:t>
      </w:r>
      <w:r>
        <w:rPr>
          <w:rFonts w:ascii="Arial" w:hAnsi="Arial" w:cs="Arial"/>
          <w:color w:val="000000"/>
          <w:sz w:val="20"/>
        </w:rPr>
        <w:t xml:space="preserve">other, only the youth justice </w:t>
      </w:r>
      <w:r w:rsidR="00E33E48">
        <w:rPr>
          <w:rFonts w:ascii="Arial" w:hAnsi="Arial" w:cs="Arial"/>
          <w:color w:val="000000"/>
          <w:sz w:val="20"/>
        </w:rPr>
        <w:t xml:space="preserve">centre </w:t>
      </w:r>
      <w:r>
        <w:rPr>
          <w:rFonts w:ascii="Arial" w:hAnsi="Arial" w:cs="Arial"/>
          <w:color w:val="000000"/>
          <w:sz w:val="20"/>
        </w:rPr>
        <w:t>order – the most intensive of the orders – is counted.</w:t>
      </w:r>
    </w:p>
    <w:p w14:paraId="311854D9" w14:textId="77777777" w:rsidR="00C7202B" w:rsidRPr="00C7202B" w:rsidRDefault="00C7202B" w:rsidP="00C7202B">
      <w:pPr>
        <w:pStyle w:val="ListParagraph"/>
        <w:spacing w:after="0" w:line="240" w:lineRule="auto"/>
        <w:ind w:left="357"/>
        <w:jc w:val="both"/>
        <w:rPr>
          <w:rFonts w:ascii="Arial" w:hAnsi="Arial" w:cs="Arial"/>
          <w:sz w:val="6"/>
          <w:szCs w:val="6"/>
        </w:rPr>
      </w:pPr>
    </w:p>
    <w:p w14:paraId="7AB78105" w14:textId="547BEBF7" w:rsidR="0054711C" w:rsidRDefault="00C7202B" w:rsidP="00591749">
      <w:pPr>
        <w:pStyle w:val="ListParagraph"/>
        <w:numPr>
          <w:ilvl w:val="0"/>
          <w:numId w:val="59"/>
        </w:numPr>
        <w:spacing w:after="0" w:line="240" w:lineRule="auto"/>
        <w:ind w:left="357" w:hanging="357"/>
        <w:jc w:val="both"/>
        <w:rPr>
          <w:rFonts w:ascii="Arial" w:hAnsi="Arial" w:cs="Arial"/>
          <w:sz w:val="20"/>
          <w:szCs w:val="20"/>
        </w:rPr>
      </w:pPr>
      <w:r>
        <w:rPr>
          <w:rFonts w:ascii="Arial" w:hAnsi="Arial" w:cs="Arial"/>
          <w:sz w:val="20"/>
          <w:szCs w:val="20"/>
        </w:rPr>
        <w:t>Matters where the charges are dismissed or struck out or where the offender is discharged are not included in Table 2.</w:t>
      </w:r>
    </w:p>
    <w:p w14:paraId="78E4C070" w14:textId="3949A372" w:rsidR="0054711C" w:rsidRDefault="0054711C" w:rsidP="003B063D">
      <w:pPr>
        <w:ind w:left="720" w:hanging="720"/>
        <w:jc w:val="both"/>
        <w:rPr>
          <w:rFonts w:ascii="Arial" w:hAnsi="Arial" w:cs="Arial"/>
          <w:sz w:val="20"/>
          <w:szCs w:val="20"/>
        </w:rPr>
      </w:pPr>
    </w:p>
    <w:p w14:paraId="5910189D" w14:textId="1F41DC23" w:rsidR="00C7202B" w:rsidRDefault="00C7202B" w:rsidP="00C7202B">
      <w:pPr>
        <w:jc w:val="both"/>
        <w:rPr>
          <w:rFonts w:ascii="Arial" w:hAnsi="Arial" w:cs="Arial"/>
          <w:sz w:val="20"/>
          <w:szCs w:val="20"/>
        </w:rPr>
      </w:pPr>
      <w:r>
        <w:rPr>
          <w:rFonts w:ascii="Arial" w:hAnsi="Arial" w:cs="Arial"/>
          <w:sz w:val="20"/>
          <w:szCs w:val="20"/>
        </w:rPr>
        <w:t xml:space="preserve">However, although the limitations of Table 2 and the </w:t>
      </w:r>
      <w:r w:rsidR="00E3592F">
        <w:rPr>
          <w:rFonts w:ascii="Arial" w:hAnsi="Arial" w:cs="Arial"/>
          <w:sz w:val="20"/>
          <w:szCs w:val="20"/>
        </w:rPr>
        <w:t xml:space="preserve">associated </w:t>
      </w:r>
      <w:r>
        <w:rPr>
          <w:rFonts w:ascii="Arial" w:hAnsi="Arial" w:cs="Arial"/>
          <w:sz w:val="20"/>
          <w:szCs w:val="20"/>
        </w:rPr>
        <w:t xml:space="preserve">broken-down statistics in </w:t>
      </w:r>
      <w:r w:rsidRPr="00D04051">
        <w:rPr>
          <w:rFonts w:ascii="Arial" w:hAnsi="Arial" w:cs="Arial"/>
          <w:b/>
          <w:bCs/>
          <w:sz w:val="20"/>
          <w:szCs w:val="20"/>
          <w:shd w:val="clear" w:color="auto" w:fill="C5E0B3"/>
        </w:rPr>
        <w:t>section 11.7.1</w:t>
      </w:r>
      <w:r>
        <w:rPr>
          <w:rFonts w:ascii="Arial" w:hAnsi="Arial" w:cs="Arial"/>
          <w:sz w:val="20"/>
          <w:szCs w:val="20"/>
        </w:rPr>
        <w:t xml:space="preserve"> mean that they are not an exact measure of the output of the Criminal Division, the writer believes that they </w:t>
      </w:r>
      <w:r w:rsidR="00E3592F">
        <w:rPr>
          <w:rFonts w:ascii="Arial" w:hAnsi="Arial" w:cs="Arial"/>
          <w:sz w:val="20"/>
          <w:szCs w:val="20"/>
        </w:rPr>
        <w:t>provide an accurate enough measure of the operation of the Division to make them worthwhile including in these Research Materials.</w:t>
      </w:r>
    </w:p>
    <w:p w14:paraId="3A4D097E" w14:textId="77777777" w:rsidR="00905157" w:rsidRDefault="00905157" w:rsidP="00905157">
      <w:pPr>
        <w:ind w:left="720" w:hanging="720"/>
        <w:jc w:val="both"/>
        <w:rPr>
          <w:rFonts w:ascii="Arial" w:hAnsi="Arial" w:cs="Arial"/>
          <w:sz w:val="20"/>
          <w:szCs w:val="20"/>
        </w:rPr>
      </w:pPr>
      <w:bookmarkStart w:id="301" w:name="_7.6_Children_and"/>
      <w:bookmarkEnd w:id="301"/>
    </w:p>
    <w:p w14:paraId="3871FBF8" w14:textId="77777777" w:rsidR="00905157" w:rsidRPr="000510E3" w:rsidRDefault="00905157" w:rsidP="00905157">
      <w:pPr>
        <w:ind w:left="720" w:hanging="720"/>
        <w:jc w:val="center"/>
        <w:rPr>
          <w:rFonts w:ascii="Arial" w:hAnsi="Arial" w:cs="Arial"/>
          <w:b/>
          <w:bCs/>
        </w:rPr>
      </w:pPr>
      <w:r w:rsidRPr="000510E3">
        <w:rPr>
          <w:rFonts w:ascii="Arial" w:hAnsi="Arial" w:cs="Arial"/>
          <w:b/>
          <w:bCs/>
        </w:rPr>
        <w:t>THE REST OF THIS PAGE IS BLANK</w:t>
      </w:r>
    </w:p>
    <w:p w14:paraId="07DC20BB" w14:textId="77777777" w:rsidR="00905157" w:rsidRDefault="00905157" w:rsidP="00905157">
      <w:pPr>
        <w:rPr>
          <w:rFonts w:ascii="Arial" w:hAnsi="Arial" w:cs="Arial"/>
          <w:sz w:val="20"/>
          <w:szCs w:val="20"/>
        </w:rPr>
      </w:pPr>
    </w:p>
    <w:p w14:paraId="775C15F9" w14:textId="77777777" w:rsidR="00EF65CA" w:rsidRDefault="00EF65CA">
      <w:pPr>
        <w:rPr>
          <w:rFonts w:ascii="Arial" w:hAnsi="Arial" w:cs="Arial"/>
          <w:b/>
          <w:bCs/>
          <w:color w:val="000000"/>
          <w:kern w:val="28"/>
          <w:szCs w:val="20"/>
          <w:lang w:val="en-GB"/>
        </w:rPr>
      </w:pPr>
      <w:r>
        <w:rPr>
          <w:rFonts w:ascii="Arial" w:hAnsi="Arial" w:cs="Arial"/>
          <w:b/>
          <w:bCs/>
          <w:color w:val="000000"/>
        </w:rPr>
        <w:br w:type="page"/>
      </w:r>
    </w:p>
    <w:p w14:paraId="7F5DE60B" w14:textId="35D995FF" w:rsidR="00543C02" w:rsidRPr="00F51496" w:rsidRDefault="00543C02" w:rsidP="003B063D">
      <w:pPr>
        <w:pStyle w:val="Heading2"/>
        <w:keepNext/>
        <w:keepLines/>
        <w:widowControl/>
        <w:tabs>
          <w:tab w:val="left" w:pos="567"/>
        </w:tabs>
        <w:spacing w:line="240" w:lineRule="auto"/>
        <w:ind w:left="567" w:hanging="567"/>
        <w:rPr>
          <w:rFonts w:ascii="Arial" w:hAnsi="Arial" w:cs="Arial"/>
          <w:b/>
          <w:bCs/>
          <w:color w:val="000000"/>
        </w:rPr>
      </w:pPr>
      <w:bookmarkStart w:id="302" w:name="_7.6_Children_and_1"/>
      <w:bookmarkEnd w:id="302"/>
      <w:r w:rsidRPr="00F51496">
        <w:rPr>
          <w:rFonts w:ascii="Arial" w:hAnsi="Arial" w:cs="Arial"/>
          <w:b/>
          <w:bCs/>
          <w:color w:val="000000"/>
        </w:rPr>
        <w:lastRenderedPageBreak/>
        <w:t>7.</w:t>
      </w:r>
      <w:r w:rsidR="0025132E">
        <w:rPr>
          <w:rFonts w:ascii="Arial" w:hAnsi="Arial" w:cs="Arial"/>
          <w:b/>
          <w:bCs/>
          <w:color w:val="000000"/>
        </w:rPr>
        <w:t>6</w:t>
      </w:r>
      <w:r w:rsidRPr="00F51496">
        <w:rPr>
          <w:rFonts w:ascii="Arial" w:hAnsi="Arial" w:cs="Arial"/>
          <w:b/>
          <w:bCs/>
          <w:color w:val="000000"/>
        </w:rPr>
        <w:tab/>
        <w:t>Children and Young Persons Infringement Notice System (CAYPINS)</w:t>
      </w:r>
    </w:p>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14:paraId="504F3AB7" w14:textId="77777777" w:rsidR="00543C02" w:rsidRPr="00F51496" w:rsidRDefault="00543C02" w:rsidP="003B063D">
      <w:pPr>
        <w:keepNext/>
        <w:keepLines/>
        <w:jc w:val="both"/>
        <w:rPr>
          <w:rFonts w:ascii="Arial" w:hAnsi="Arial" w:cs="Arial"/>
          <w:color w:val="000000"/>
          <w:sz w:val="20"/>
        </w:rPr>
      </w:pPr>
    </w:p>
    <w:p w14:paraId="0A8C6F1A" w14:textId="4B41C96F" w:rsidR="00543C02" w:rsidRPr="00F51496" w:rsidRDefault="00543C02" w:rsidP="00543C02">
      <w:pPr>
        <w:jc w:val="both"/>
        <w:rPr>
          <w:rFonts w:ascii="Arial" w:hAnsi="Arial" w:cs="Arial"/>
          <w:color w:val="000000"/>
          <w:sz w:val="20"/>
        </w:rPr>
      </w:pPr>
      <w:r w:rsidRPr="00F51496">
        <w:rPr>
          <w:rFonts w:ascii="Arial" w:hAnsi="Arial" w:cs="Arial"/>
          <w:color w:val="000000"/>
          <w:sz w:val="20"/>
        </w:rPr>
        <w:t xml:space="preserve">CAYPINS is a process by which the Children's Court can deal with unpaid infringement penalties which, in respect of adults, are enforceable through the </w:t>
      </w:r>
      <w:smartTag w:uri="urn:schemas-microsoft-com:office:smarttags" w:element="Street">
        <w:smartTag w:uri="urn:schemas-microsoft-com:office:smarttags" w:element="address">
          <w:r w:rsidRPr="00F51496">
            <w:rPr>
              <w:rFonts w:ascii="Arial" w:hAnsi="Arial" w:cs="Arial"/>
              <w:color w:val="000000"/>
              <w:sz w:val="20"/>
            </w:rPr>
            <w:t>Infringements Court</w:t>
          </w:r>
        </w:smartTag>
      </w:smartTag>
      <w:r w:rsidRPr="00F51496">
        <w:rPr>
          <w:rFonts w:ascii="Arial" w:hAnsi="Arial" w:cs="Arial"/>
          <w:color w:val="000000"/>
          <w:sz w:val="20"/>
        </w:rPr>
        <w:t xml:space="preserve">. The </w:t>
      </w:r>
      <w:r w:rsidR="00E23EFC">
        <w:rPr>
          <w:rFonts w:ascii="Arial" w:hAnsi="Arial" w:cs="Arial"/>
          <w:color w:val="000000"/>
          <w:sz w:val="20"/>
        </w:rPr>
        <w:t xml:space="preserve">original </w:t>
      </w:r>
      <w:r w:rsidRPr="00F51496">
        <w:rPr>
          <w:rFonts w:ascii="Arial" w:hAnsi="Arial" w:cs="Arial"/>
          <w:color w:val="000000"/>
          <w:sz w:val="20"/>
        </w:rPr>
        <w:t xml:space="preserve">catalyst for CAYPINS was the increased numbers of unpaid infringement penalties involving children </w:t>
      </w:r>
      <w:r w:rsidR="00EF65CA">
        <w:rPr>
          <w:rFonts w:ascii="Arial" w:hAnsi="Arial" w:cs="Arial"/>
          <w:color w:val="000000"/>
          <w:sz w:val="20"/>
        </w:rPr>
        <w:t xml:space="preserve">which were </w:t>
      </w:r>
      <w:r w:rsidRPr="00F51496">
        <w:rPr>
          <w:rFonts w:ascii="Arial" w:hAnsi="Arial" w:cs="Arial"/>
          <w:color w:val="000000"/>
          <w:sz w:val="20"/>
        </w:rPr>
        <w:t>expected as a result of the increase in the age jurisdiction of the Children's Court</w:t>
      </w:r>
      <w:r w:rsidR="00E23EFC">
        <w:rPr>
          <w:rFonts w:ascii="Arial" w:hAnsi="Arial" w:cs="Arial"/>
          <w:color w:val="000000"/>
          <w:sz w:val="20"/>
        </w:rPr>
        <w:t xml:space="preserve"> from 16 to 17 on 01/07/2025.</w:t>
      </w:r>
    </w:p>
    <w:p w14:paraId="488EEC25" w14:textId="77777777" w:rsidR="00543C02" w:rsidRPr="00F51496" w:rsidRDefault="00543C02" w:rsidP="00543C02">
      <w:pPr>
        <w:jc w:val="both"/>
        <w:rPr>
          <w:rFonts w:ascii="Arial" w:hAnsi="Arial" w:cs="Arial"/>
          <w:color w:val="000000"/>
          <w:sz w:val="20"/>
        </w:rPr>
      </w:pPr>
    </w:p>
    <w:p w14:paraId="2E062E05" w14:textId="11A45787" w:rsidR="00543C02" w:rsidRPr="00F51496" w:rsidRDefault="00543C02" w:rsidP="00543C02">
      <w:pPr>
        <w:jc w:val="both"/>
        <w:rPr>
          <w:rFonts w:ascii="Arial" w:hAnsi="Arial" w:cs="Arial"/>
          <w:color w:val="000000"/>
          <w:sz w:val="20"/>
        </w:rPr>
      </w:pPr>
      <w:r w:rsidRPr="00F51496">
        <w:rPr>
          <w:rFonts w:ascii="Arial" w:hAnsi="Arial" w:cs="Arial"/>
          <w:color w:val="000000"/>
          <w:sz w:val="20"/>
        </w:rPr>
        <w:t xml:space="preserve">Previously, when an enforcement agency such as Victoria Police or the Department of Infrastructure issued an infringement notice to a child and the penalty was not paid, the agency had to file a charge against the child in the Children's Court if it wished to pursue the matter. The charge was then heard in open court by the President or a magistrate. By contrast, the system set up pursuant to the </w:t>
      </w:r>
      <w:r w:rsidRPr="008102AC">
        <w:rPr>
          <w:rFonts w:ascii="Arial" w:hAnsi="Arial" w:cs="Arial"/>
          <w:i/>
          <w:iCs/>
          <w:color w:val="000000"/>
          <w:sz w:val="20"/>
        </w:rPr>
        <w:t>Infringements Act 2006</w:t>
      </w:r>
      <w:r w:rsidRPr="00F51496">
        <w:rPr>
          <w:rFonts w:ascii="Arial" w:hAnsi="Arial" w:cs="Arial"/>
          <w:color w:val="000000"/>
          <w:sz w:val="20"/>
        </w:rPr>
        <w:t xml:space="preserve"> allows for the automated enforcement of unpaid infringement penalties against adults.</w:t>
      </w:r>
    </w:p>
    <w:p w14:paraId="63ED5D4F" w14:textId="77777777" w:rsidR="00E23EFC" w:rsidRPr="00F51496" w:rsidRDefault="00E23EFC" w:rsidP="00E23EFC">
      <w:pPr>
        <w:jc w:val="both"/>
        <w:rPr>
          <w:rFonts w:ascii="Arial" w:hAnsi="Arial" w:cs="Arial"/>
          <w:color w:val="000000"/>
          <w:sz w:val="20"/>
        </w:rPr>
      </w:pPr>
    </w:p>
    <w:p w14:paraId="24219CAE" w14:textId="6F43D1EF" w:rsidR="00E23EFC" w:rsidRPr="00D81EFC" w:rsidRDefault="00E23EFC" w:rsidP="00E23EFC">
      <w:pPr>
        <w:jc w:val="both"/>
        <w:rPr>
          <w:rFonts w:ascii="Arial" w:hAnsi="Arial" w:cs="Arial"/>
          <w:color w:val="000000"/>
          <w:sz w:val="20"/>
        </w:rPr>
      </w:pPr>
      <w:r w:rsidRPr="00D81EFC">
        <w:rPr>
          <w:rFonts w:ascii="Arial" w:hAnsi="Arial" w:cs="Arial"/>
          <w:color w:val="000000"/>
          <w:sz w:val="20"/>
        </w:rPr>
        <w:t>The Attorney-General said in the second reading speech</w:t>
      </w:r>
      <w:r>
        <w:rPr>
          <w:rFonts w:ascii="Arial" w:hAnsi="Arial" w:cs="Arial"/>
          <w:color w:val="000000"/>
          <w:sz w:val="20"/>
        </w:rPr>
        <w:t xml:space="preserve"> </w:t>
      </w:r>
      <w:r w:rsidRPr="00D81EFC">
        <w:rPr>
          <w:rFonts w:ascii="Arial" w:hAnsi="Arial" w:cs="Arial"/>
          <w:color w:val="000000"/>
          <w:sz w:val="20"/>
        </w:rPr>
        <w:t>[Hansard-21/04/2005-p.651]: "The system focuses on finding a balance between a child's financial capacity and the need to ensure accountability for unpaid infringement notices."</w:t>
      </w:r>
      <w:r w:rsidR="00905157">
        <w:rPr>
          <w:rFonts w:ascii="Arial" w:hAnsi="Arial" w:cs="Arial"/>
          <w:color w:val="000000"/>
          <w:sz w:val="20"/>
        </w:rPr>
        <w:t xml:space="preserve"> </w:t>
      </w:r>
      <w:r w:rsidRPr="00D81EFC">
        <w:rPr>
          <w:rFonts w:ascii="Arial" w:hAnsi="Arial" w:cs="Arial"/>
          <w:color w:val="000000"/>
          <w:sz w:val="20"/>
        </w:rPr>
        <w:t>Hence the basic aims of CAYPINS are</w:t>
      </w:r>
      <w:r w:rsidR="00471F60">
        <w:rPr>
          <w:rFonts w:ascii="Arial" w:hAnsi="Arial" w:cs="Arial"/>
          <w:color w:val="000000"/>
          <w:sz w:val="20"/>
        </w:rPr>
        <w:t>:</w:t>
      </w:r>
    </w:p>
    <w:p w14:paraId="38849827" w14:textId="77777777" w:rsidR="00E23EFC" w:rsidRPr="00D81EFC" w:rsidRDefault="00E23EFC" w:rsidP="00E23EFC">
      <w:pPr>
        <w:numPr>
          <w:ilvl w:val="0"/>
          <w:numId w:val="11"/>
        </w:numPr>
        <w:jc w:val="both"/>
        <w:rPr>
          <w:rFonts w:ascii="Arial" w:hAnsi="Arial" w:cs="Arial"/>
          <w:color w:val="000000"/>
          <w:sz w:val="20"/>
        </w:rPr>
      </w:pPr>
      <w:r w:rsidRPr="00D81EFC">
        <w:rPr>
          <w:rFonts w:ascii="Arial" w:hAnsi="Arial" w:cs="Arial"/>
          <w:color w:val="000000"/>
          <w:sz w:val="20"/>
        </w:rPr>
        <w:t>to provide flexibility and discretion in decision-making which takes into account a child's age and personal and financial circumstances; and</w:t>
      </w:r>
    </w:p>
    <w:p w14:paraId="51CDDAF2" w14:textId="77777777" w:rsidR="00E23EFC" w:rsidRPr="00D81EFC" w:rsidRDefault="00E23EFC" w:rsidP="00E23EFC">
      <w:pPr>
        <w:numPr>
          <w:ilvl w:val="0"/>
          <w:numId w:val="11"/>
        </w:numPr>
        <w:jc w:val="both"/>
        <w:rPr>
          <w:rFonts w:ascii="Arial" w:hAnsi="Arial" w:cs="Arial"/>
          <w:color w:val="000000"/>
          <w:sz w:val="20"/>
        </w:rPr>
      </w:pPr>
      <w:r w:rsidRPr="00D81EFC">
        <w:rPr>
          <w:rFonts w:ascii="Arial" w:hAnsi="Arial" w:cs="Arial"/>
          <w:color w:val="000000"/>
          <w:sz w:val="20"/>
        </w:rPr>
        <w:t>to maximise the efficient use of the resources of the Children's Court and the issuing agencies.</w:t>
      </w:r>
    </w:p>
    <w:p w14:paraId="0E70A053" w14:textId="77777777" w:rsidR="00077A4E" w:rsidRDefault="00077A4E" w:rsidP="00471F60">
      <w:pPr>
        <w:jc w:val="both"/>
        <w:rPr>
          <w:rFonts w:ascii="Arial" w:hAnsi="Arial" w:cs="Arial"/>
          <w:color w:val="000000"/>
          <w:sz w:val="20"/>
        </w:rPr>
      </w:pPr>
    </w:p>
    <w:tbl>
      <w:tblPr>
        <w:tblStyle w:val="TableGrid"/>
        <w:tblW w:w="9128" w:type="dxa"/>
        <w:tblLook w:val="04A0" w:firstRow="1" w:lastRow="0" w:firstColumn="1" w:lastColumn="0" w:noHBand="0" w:noVBand="1"/>
      </w:tblPr>
      <w:tblGrid>
        <w:gridCol w:w="9128"/>
      </w:tblGrid>
      <w:tr w:rsidR="00471F60" w:rsidRPr="00BD4366" w14:paraId="1CBE4602" w14:textId="77777777" w:rsidTr="00826C41">
        <w:tc>
          <w:tcPr>
            <w:tcW w:w="9128" w:type="dxa"/>
            <w:shd w:val="clear" w:color="auto" w:fill="000000" w:themeFill="text1"/>
          </w:tcPr>
          <w:p w14:paraId="46754AAA" w14:textId="72CEDC6B" w:rsidR="00471F60" w:rsidRPr="00BD4366" w:rsidRDefault="00471F60" w:rsidP="00826C41">
            <w:pPr>
              <w:keepNext/>
              <w:keepLines/>
              <w:jc w:val="center"/>
              <w:rPr>
                <w:rFonts w:ascii="Arial" w:hAnsi="Arial" w:cs="Arial"/>
                <w:b/>
                <w:bCs/>
                <w:sz w:val="20"/>
              </w:rPr>
            </w:pPr>
            <w:r>
              <w:rPr>
                <w:rFonts w:ascii="Arial" w:hAnsi="Arial" w:cs="Arial"/>
                <w:b/>
                <w:bCs/>
                <w:sz w:val="20"/>
              </w:rPr>
              <w:t>THE CAYPINS PROCEDURE UNDER THE CYFA (prior to 30/09/2026)</w:t>
            </w:r>
          </w:p>
        </w:tc>
      </w:tr>
    </w:tbl>
    <w:p w14:paraId="4A9083EE" w14:textId="77777777" w:rsidR="00471F60" w:rsidRPr="005C2371" w:rsidRDefault="00471F60" w:rsidP="00471F60">
      <w:pPr>
        <w:keepNext/>
        <w:keepLines/>
        <w:jc w:val="both"/>
        <w:rPr>
          <w:rFonts w:ascii="Arial" w:hAnsi="Arial" w:cs="Arial"/>
          <w:color w:val="000000"/>
          <w:sz w:val="20"/>
        </w:rPr>
      </w:pPr>
    </w:p>
    <w:p w14:paraId="380334D2" w14:textId="3871BC32" w:rsidR="00B51314" w:rsidRDefault="00B51314" w:rsidP="00543C02">
      <w:pPr>
        <w:jc w:val="both"/>
        <w:rPr>
          <w:rFonts w:ascii="Arial" w:hAnsi="Arial" w:cs="Arial"/>
          <w:color w:val="000000"/>
          <w:sz w:val="20"/>
        </w:rPr>
      </w:pPr>
      <w:r>
        <w:rPr>
          <w:rFonts w:ascii="Arial" w:hAnsi="Arial" w:cs="Arial"/>
          <w:color w:val="000000"/>
          <w:sz w:val="20"/>
        </w:rPr>
        <w:t xml:space="preserve">The CAYPINS </w:t>
      </w:r>
      <w:r w:rsidR="00E23EFC">
        <w:rPr>
          <w:rFonts w:ascii="Arial" w:hAnsi="Arial" w:cs="Arial"/>
          <w:color w:val="000000"/>
          <w:sz w:val="20"/>
        </w:rPr>
        <w:t xml:space="preserve">procedure commenced operation on 01/07/2025. </w:t>
      </w:r>
      <w:r w:rsidR="00E23EFC" w:rsidRPr="00F51496">
        <w:rPr>
          <w:rFonts w:ascii="Arial" w:hAnsi="Arial" w:cs="Arial"/>
          <w:color w:val="000000"/>
          <w:sz w:val="20"/>
        </w:rPr>
        <w:t>Th</w:t>
      </w:r>
      <w:r w:rsidR="00905157">
        <w:rPr>
          <w:rFonts w:ascii="Arial" w:hAnsi="Arial" w:cs="Arial"/>
          <w:color w:val="000000"/>
          <w:sz w:val="20"/>
        </w:rPr>
        <w:t>e</w:t>
      </w:r>
      <w:r w:rsidR="00E23EFC" w:rsidRPr="00F51496">
        <w:rPr>
          <w:rFonts w:ascii="Arial" w:hAnsi="Arial" w:cs="Arial"/>
          <w:color w:val="000000"/>
          <w:sz w:val="20"/>
        </w:rPr>
        <w:t xml:space="preserve"> procedure enables the issuing agencies to enforce unpaid infringement penalties issued on or after 01/07/2005 in the Children's Court as an optional alternative to proceeding by way of charge and summons. CAYPINS does not merely graft the adult infringement process on to the Children's Court but involves greater discretion to take into account a child's individual circumstances, as it has been recognised that a more flexible process is needed when dealing with children. For example, one major difference is that CAYPINS allocates a date for a hearing before a Registrar from the outset.</w:t>
      </w:r>
    </w:p>
    <w:p w14:paraId="31118F3E" w14:textId="77777777" w:rsidR="00B51314" w:rsidRDefault="00B51314" w:rsidP="00543C02">
      <w:pPr>
        <w:jc w:val="both"/>
        <w:rPr>
          <w:rFonts w:ascii="Arial" w:hAnsi="Arial" w:cs="Arial"/>
          <w:color w:val="000000"/>
          <w:sz w:val="20"/>
        </w:rPr>
      </w:pPr>
    </w:p>
    <w:p w14:paraId="7FD6975B" w14:textId="5DF969A4" w:rsidR="00905157" w:rsidRDefault="00E23EFC" w:rsidP="00543C02">
      <w:pPr>
        <w:jc w:val="both"/>
        <w:rPr>
          <w:rFonts w:ascii="Arial" w:hAnsi="Arial" w:cs="Arial"/>
          <w:color w:val="000000"/>
          <w:sz w:val="20"/>
        </w:rPr>
      </w:pPr>
      <w:r>
        <w:rPr>
          <w:rFonts w:ascii="Arial" w:hAnsi="Arial" w:cs="Arial"/>
          <w:color w:val="000000"/>
          <w:sz w:val="20"/>
        </w:rPr>
        <w:t>Until 29/09/202</w:t>
      </w:r>
      <w:r w:rsidR="00905157">
        <w:rPr>
          <w:rFonts w:ascii="Arial" w:hAnsi="Arial" w:cs="Arial"/>
          <w:color w:val="000000"/>
          <w:sz w:val="20"/>
        </w:rPr>
        <w:t>6</w:t>
      </w:r>
      <w:r>
        <w:rPr>
          <w:rFonts w:ascii="Arial" w:hAnsi="Arial" w:cs="Arial"/>
          <w:color w:val="000000"/>
          <w:sz w:val="20"/>
        </w:rPr>
        <w:t xml:space="preserve"> </w:t>
      </w:r>
      <w:r w:rsidR="00905157">
        <w:rPr>
          <w:rFonts w:ascii="Arial" w:hAnsi="Arial" w:cs="Arial"/>
          <w:color w:val="000000"/>
          <w:sz w:val="20"/>
        </w:rPr>
        <w:t>the statutory basis for the CAYPINS procedure was contained in Schedule 3 of the CYFA</w:t>
      </w:r>
      <w:r w:rsidR="00425863">
        <w:rPr>
          <w:rFonts w:ascii="Arial" w:hAnsi="Arial" w:cs="Arial"/>
          <w:color w:val="000000"/>
          <w:sz w:val="20"/>
        </w:rPr>
        <w:t xml:space="preserve">, </w:t>
      </w:r>
      <w:r w:rsidR="00905157">
        <w:rPr>
          <w:rFonts w:ascii="Arial" w:hAnsi="Arial" w:cs="Arial"/>
          <w:color w:val="000000"/>
          <w:sz w:val="20"/>
        </w:rPr>
        <w:t>activated by s.581 of the CYFA</w:t>
      </w:r>
      <w:r w:rsidR="00425863">
        <w:rPr>
          <w:rFonts w:ascii="Arial" w:hAnsi="Arial" w:cs="Arial"/>
          <w:color w:val="000000"/>
          <w:sz w:val="20"/>
        </w:rPr>
        <w:t xml:space="preserve"> which provides that the </w:t>
      </w:r>
      <w:r w:rsidR="00905157">
        <w:rPr>
          <w:rFonts w:ascii="Arial" w:hAnsi="Arial" w:cs="Arial"/>
          <w:color w:val="000000"/>
          <w:sz w:val="20"/>
        </w:rPr>
        <w:t>procedure set out in Schedule 3 may be used instead of commencing a proceeding against a child for</w:t>
      </w:r>
      <w:r w:rsidR="00425863">
        <w:rPr>
          <w:rFonts w:ascii="Arial" w:hAnsi="Arial" w:cs="Arial"/>
          <w:color w:val="000000"/>
          <w:sz w:val="20"/>
        </w:rPr>
        <w:t>–</w:t>
      </w:r>
    </w:p>
    <w:p w14:paraId="0551647B" w14:textId="4C85F324" w:rsidR="00543C02" w:rsidRPr="00F51496" w:rsidRDefault="00543C02" w:rsidP="00E23EFC">
      <w:pPr>
        <w:ind w:left="357" w:hanging="357"/>
        <w:jc w:val="both"/>
        <w:rPr>
          <w:rFonts w:ascii="Arial" w:hAnsi="Arial" w:cs="Arial"/>
          <w:color w:val="000000"/>
          <w:sz w:val="20"/>
        </w:rPr>
      </w:pPr>
      <w:r w:rsidRPr="00F51496">
        <w:rPr>
          <w:rFonts w:ascii="Arial" w:hAnsi="Arial" w:cs="Arial"/>
          <w:color w:val="000000"/>
          <w:sz w:val="20"/>
        </w:rPr>
        <w:t>(a)</w:t>
      </w:r>
      <w:r w:rsidRPr="00F51496">
        <w:rPr>
          <w:rFonts w:ascii="Arial" w:hAnsi="Arial" w:cs="Arial"/>
          <w:color w:val="000000"/>
          <w:sz w:val="20"/>
        </w:rPr>
        <w:tab/>
        <w:t>an offence for which an infringement notice or a penalty notice within the meaning of Schedule</w:t>
      </w:r>
      <w:r w:rsidR="00425863">
        <w:rPr>
          <w:rFonts w:ascii="Arial" w:hAnsi="Arial" w:cs="Arial"/>
          <w:color w:val="000000"/>
          <w:sz w:val="20"/>
        </w:rPr>
        <w:t xml:space="preserve"> </w:t>
      </w:r>
      <w:r w:rsidRPr="00F51496">
        <w:rPr>
          <w:rFonts w:ascii="Arial" w:hAnsi="Arial" w:cs="Arial"/>
          <w:color w:val="000000"/>
          <w:sz w:val="20"/>
        </w:rPr>
        <w:t>3 could be issued; or</w:t>
      </w:r>
    </w:p>
    <w:p w14:paraId="1E88775C" w14:textId="77777777" w:rsidR="00543C02" w:rsidRPr="00F51496" w:rsidRDefault="00543C02" w:rsidP="00E23EFC">
      <w:pPr>
        <w:ind w:left="357" w:hanging="357"/>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t>a prescribed offence within the meaning of that Schedule.</w:t>
      </w:r>
    </w:p>
    <w:p w14:paraId="4B0D34EC" w14:textId="77777777" w:rsidR="00543C02" w:rsidRPr="00D81EFC" w:rsidRDefault="00543C02" w:rsidP="00543C02">
      <w:pPr>
        <w:jc w:val="both"/>
        <w:rPr>
          <w:rFonts w:ascii="Arial" w:hAnsi="Arial" w:cs="Arial"/>
          <w:color w:val="000000"/>
          <w:sz w:val="20"/>
        </w:rPr>
      </w:pPr>
    </w:p>
    <w:p w14:paraId="54B42BE8" w14:textId="28972588" w:rsidR="00543C02" w:rsidRPr="00D81EFC" w:rsidRDefault="00543C02" w:rsidP="00543C02">
      <w:pPr>
        <w:jc w:val="both"/>
        <w:rPr>
          <w:rFonts w:ascii="Arial" w:hAnsi="Arial" w:cs="Arial"/>
          <w:color w:val="000000"/>
          <w:sz w:val="20"/>
        </w:rPr>
      </w:pPr>
      <w:r w:rsidRPr="00D81EFC">
        <w:rPr>
          <w:rFonts w:ascii="Arial" w:hAnsi="Arial" w:cs="Arial"/>
          <w:color w:val="000000"/>
          <w:sz w:val="20"/>
        </w:rPr>
        <w:t xml:space="preserve">The </w:t>
      </w:r>
      <w:r w:rsidR="00425863">
        <w:rPr>
          <w:rFonts w:ascii="Arial" w:hAnsi="Arial" w:cs="Arial"/>
          <w:color w:val="000000"/>
          <w:sz w:val="20"/>
        </w:rPr>
        <w:t>contents of</w:t>
      </w:r>
      <w:r w:rsidRPr="00D81EFC">
        <w:rPr>
          <w:rFonts w:ascii="Arial" w:hAnsi="Arial" w:cs="Arial"/>
          <w:color w:val="000000"/>
          <w:sz w:val="20"/>
        </w:rPr>
        <w:t xml:space="preserve"> Schedule 3 of the CYFA </w:t>
      </w:r>
      <w:r w:rsidR="00905157">
        <w:rPr>
          <w:rFonts w:ascii="Arial" w:hAnsi="Arial" w:cs="Arial"/>
          <w:color w:val="000000"/>
          <w:sz w:val="20"/>
        </w:rPr>
        <w:t>we</w:t>
      </w:r>
      <w:r w:rsidRPr="00D81EFC">
        <w:rPr>
          <w:rFonts w:ascii="Arial" w:hAnsi="Arial" w:cs="Arial"/>
          <w:color w:val="000000"/>
          <w:sz w:val="20"/>
        </w:rPr>
        <w:t>re:</w:t>
      </w:r>
    </w:p>
    <w:p w14:paraId="1F054BE2" w14:textId="1897B524" w:rsidR="00543C02" w:rsidRPr="00D81EFC" w:rsidRDefault="00543C02" w:rsidP="00425863">
      <w:pPr>
        <w:spacing w:before="120"/>
        <w:jc w:val="both"/>
        <w:rPr>
          <w:rFonts w:ascii="Arial" w:hAnsi="Arial" w:cs="Arial"/>
          <w:color w:val="000000"/>
          <w:sz w:val="20"/>
          <w:u w:val="single"/>
        </w:rPr>
      </w:pPr>
      <w:r w:rsidRPr="00D81EFC">
        <w:rPr>
          <w:rFonts w:ascii="Arial" w:hAnsi="Arial" w:cs="Arial"/>
          <w:color w:val="000000"/>
          <w:sz w:val="20"/>
          <w:u w:val="single"/>
        </w:rPr>
        <w:t xml:space="preserve">PART 1 </w:t>
      </w:r>
      <w:r w:rsidR="00235652" w:rsidRPr="00235652">
        <w:rPr>
          <w:rFonts w:ascii="Arial" w:hAnsi="Arial" w:cs="Arial"/>
          <w:color w:val="000000"/>
          <w:sz w:val="20"/>
          <w:u w:val="single"/>
        </w:rPr>
        <w:t>–</w:t>
      </w:r>
      <w:r w:rsidRPr="00235652">
        <w:rPr>
          <w:rFonts w:ascii="Arial" w:hAnsi="Arial" w:cs="Arial"/>
          <w:color w:val="000000"/>
          <w:sz w:val="20"/>
          <w:u w:val="single"/>
        </w:rPr>
        <w:t xml:space="preserve"> I</w:t>
      </w:r>
      <w:r w:rsidRPr="00D81EFC">
        <w:rPr>
          <w:rFonts w:ascii="Arial" w:hAnsi="Arial" w:cs="Arial"/>
          <w:color w:val="000000"/>
          <w:sz w:val="20"/>
          <w:u w:val="single"/>
        </w:rPr>
        <w:t>NTRODUCTORY</w:t>
      </w:r>
    </w:p>
    <w:p w14:paraId="293CE675"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1.   Application of Schedule</w:t>
      </w:r>
    </w:p>
    <w:p w14:paraId="2061E9AD"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2.   Definitions</w:t>
      </w:r>
    </w:p>
    <w:p w14:paraId="674E5D26" w14:textId="77777777" w:rsidR="00543C02" w:rsidRPr="00D81EFC" w:rsidRDefault="00543C02" w:rsidP="00425863">
      <w:pPr>
        <w:spacing w:before="120"/>
        <w:jc w:val="both"/>
        <w:rPr>
          <w:rFonts w:ascii="Arial" w:hAnsi="Arial" w:cs="Arial"/>
          <w:color w:val="000000"/>
          <w:sz w:val="20"/>
          <w:u w:val="single"/>
        </w:rPr>
      </w:pPr>
      <w:r w:rsidRPr="00D81EFC">
        <w:rPr>
          <w:rFonts w:ascii="Arial" w:hAnsi="Arial" w:cs="Arial"/>
          <w:color w:val="000000"/>
          <w:sz w:val="20"/>
          <w:u w:val="single"/>
        </w:rPr>
        <w:t>PART 2 – INFRINGEMENT NOTICES</w:t>
      </w:r>
    </w:p>
    <w:p w14:paraId="445869B3"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3.   Courtesy letters</w:t>
      </w:r>
    </w:p>
    <w:p w14:paraId="0EDBCB47"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4.   Agreeing to pay by instalments has the same effect as a full payment</w:t>
      </w:r>
    </w:p>
    <w:p w14:paraId="21120EB4"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5.   Registration of infringement penalties</w:t>
      </w:r>
    </w:p>
    <w:p w14:paraId="4CCAD3CD"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6.   Child's options</w:t>
      </w:r>
    </w:p>
    <w:p w14:paraId="1C2C3318"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7.   Applications concerning payment of fine</w:t>
      </w:r>
    </w:p>
    <w:p w14:paraId="66B0EE77"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8.   Enforcement order</w:t>
      </w:r>
    </w:p>
    <w:p w14:paraId="2CB947C3"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9.   Court review of enforcement order</w:t>
      </w:r>
    </w:p>
    <w:p w14:paraId="5B02D955"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10.  Enforcement hearing</w:t>
      </w:r>
    </w:p>
    <w:p w14:paraId="17587563"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11.  Effect of enforcement order</w:t>
      </w:r>
    </w:p>
    <w:p w14:paraId="379C12D5"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12.  Expiry of enforcement order</w:t>
      </w:r>
    </w:p>
    <w:p w14:paraId="798B543C"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13.  Service of documents</w:t>
      </w:r>
    </w:p>
    <w:p w14:paraId="712B8059" w14:textId="77777777" w:rsidR="00543C02" w:rsidRPr="00D81EFC" w:rsidRDefault="00543C02" w:rsidP="00E3699B">
      <w:pPr>
        <w:spacing w:before="60"/>
        <w:jc w:val="both"/>
        <w:rPr>
          <w:rFonts w:ascii="Arial" w:hAnsi="Arial" w:cs="Arial"/>
          <w:color w:val="000000"/>
          <w:sz w:val="20"/>
          <w:u w:val="single"/>
        </w:rPr>
      </w:pPr>
      <w:r w:rsidRPr="00D81EFC">
        <w:rPr>
          <w:rFonts w:ascii="Arial" w:hAnsi="Arial" w:cs="Arial"/>
          <w:color w:val="000000"/>
          <w:sz w:val="20"/>
          <w:u w:val="single"/>
        </w:rPr>
        <w:t>PART 3 – PENALTY NOTICES</w:t>
      </w:r>
    </w:p>
    <w:p w14:paraId="2CE7CE98"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14.  Application of Part 2 to penalty notices</w:t>
      </w:r>
    </w:p>
    <w:p w14:paraId="53ED6539" w14:textId="77777777" w:rsidR="00543C02" w:rsidRPr="00D81EFC" w:rsidRDefault="00543C02" w:rsidP="00543C02">
      <w:pPr>
        <w:jc w:val="both"/>
        <w:rPr>
          <w:rFonts w:ascii="Arial" w:hAnsi="Arial" w:cs="Arial"/>
          <w:color w:val="000000"/>
          <w:sz w:val="20"/>
        </w:rPr>
      </w:pPr>
      <w:r w:rsidRPr="00D81EFC">
        <w:rPr>
          <w:rFonts w:ascii="Arial" w:hAnsi="Arial" w:cs="Arial"/>
          <w:color w:val="000000"/>
          <w:sz w:val="20"/>
        </w:rPr>
        <w:t>15.  Deemed conviction where failure to do act or thing</w:t>
      </w:r>
    </w:p>
    <w:p w14:paraId="583F2BF7" w14:textId="77777777" w:rsidR="00D92B53" w:rsidRPr="00E3699B" w:rsidRDefault="00D92B53" w:rsidP="00543C02">
      <w:pPr>
        <w:jc w:val="both"/>
        <w:rPr>
          <w:rFonts w:ascii="Arial" w:hAnsi="Arial" w:cs="Arial"/>
          <w:color w:val="000000"/>
          <w:sz w:val="20"/>
        </w:rPr>
      </w:pPr>
    </w:p>
    <w:p w14:paraId="57F1511F" w14:textId="065EB79D" w:rsidR="00543C02" w:rsidRDefault="00543C02" w:rsidP="00D362EC">
      <w:pPr>
        <w:jc w:val="both"/>
        <w:rPr>
          <w:rFonts w:ascii="Arial" w:hAnsi="Arial" w:cs="Arial"/>
          <w:color w:val="000000"/>
          <w:sz w:val="20"/>
        </w:rPr>
      </w:pPr>
      <w:r w:rsidRPr="00D81EFC">
        <w:rPr>
          <w:rFonts w:ascii="Arial" w:hAnsi="Arial" w:cs="Arial"/>
          <w:color w:val="000000"/>
          <w:sz w:val="20"/>
        </w:rPr>
        <w:t>The CAYPINS system is necessarily relatively complex, as can be seen from th</w:t>
      </w:r>
      <w:r w:rsidR="003B063D">
        <w:rPr>
          <w:rFonts w:ascii="Arial" w:hAnsi="Arial" w:cs="Arial"/>
          <w:color w:val="000000"/>
          <w:sz w:val="20"/>
        </w:rPr>
        <w:t>is</w:t>
      </w:r>
      <w:r w:rsidRPr="00D81EFC">
        <w:rPr>
          <w:rFonts w:ascii="Arial" w:hAnsi="Arial" w:cs="Arial"/>
          <w:color w:val="000000"/>
          <w:sz w:val="20"/>
        </w:rPr>
        <w:t xml:space="preserve"> “simplified” process map.</w:t>
      </w:r>
    </w:p>
    <w:p w14:paraId="58D1EB27" w14:textId="77777777" w:rsidR="00EF65CA" w:rsidRDefault="00EF65CA" w:rsidP="00D362EC">
      <w:pPr>
        <w:jc w:val="both"/>
        <w:rPr>
          <w:rFonts w:ascii="Arial" w:hAnsi="Arial" w:cs="Arial"/>
          <w:color w:val="000000"/>
          <w:sz w:val="20"/>
        </w:rPr>
      </w:pPr>
    </w:p>
    <w:p w14:paraId="21B0A8FA" w14:textId="63E15B05" w:rsidR="00543C02" w:rsidRDefault="00F26F9A" w:rsidP="00425863">
      <w:pPr>
        <w:ind w:left="-567" w:right="-567"/>
        <w:jc w:val="center"/>
      </w:pPr>
      <w:r>
        <w:rPr>
          <w:noProof/>
        </w:rPr>
        <w:lastRenderedPageBreak/>
        <w:drawing>
          <wp:inline distT="0" distB="0" distL="0" distR="0" wp14:anchorId="649AAD08" wp14:editId="3B70583E">
            <wp:extent cx="6480000" cy="9095217"/>
            <wp:effectExtent l="38100" t="38100" r="35560" b="298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480000" cy="9095217"/>
                    </a:xfrm>
                    <a:prstGeom prst="rect">
                      <a:avLst/>
                    </a:prstGeom>
                    <a:noFill/>
                    <a:ln w="38100" cmpd="thinThick">
                      <a:solidFill>
                        <a:srgbClr val="000000"/>
                      </a:solidFill>
                      <a:miter lim="800000"/>
                      <a:headEnd/>
                      <a:tailEnd/>
                    </a:ln>
                    <a:effectLst/>
                  </pic:spPr>
                </pic:pic>
              </a:graphicData>
            </a:graphic>
          </wp:inline>
        </w:drawing>
      </w:r>
    </w:p>
    <w:p w14:paraId="3E983AD3" w14:textId="77777777" w:rsidR="00077A4E" w:rsidRPr="00425863" w:rsidRDefault="00077A4E" w:rsidP="00425863">
      <w:pPr>
        <w:pStyle w:val="Heading2"/>
        <w:tabs>
          <w:tab w:val="left" w:pos="567"/>
        </w:tabs>
        <w:spacing w:line="240" w:lineRule="auto"/>
        <w:rPr>
          <w:rFonts w:ascii="Arial" w:hAnsi="Arial" w:cs="Arial"/>
          <w:sz w:val="20"/>
          <w:szCs w:val="16"/>
        </w:rPr>
      </w:pPr>
      <w:bookmarkStart w:id="303" w:name="_7.7_Youth_and"/>
      <w:bookmarkEnd w:id="303"/>
    </w:p>
    <w:tbl>
      <w:tblPr>
        <w:tblStyle w:val="TableGrid"/>
        <w:tblW w:w="9128" w:type="dxa"/>
        <w:tblLook w:val="04A0" w:firstRow="1" w:lastRow="0" w:firstColumn="1" w:lastColumn="0" w:noHBand="0" w:noVBand="1"/>
      </w:tblPr>
      <w:tblGrid>
        <w:gridCol w:w="9128"/>
      </w:tblGrid>
      <w:tr w:rsidR="00425863" w:rsidRPr="00BD4366" w14:paraId="009FC757" w14:textId="77777777" w:rsidTr="002631C3">
        <w:tc>
          <w:tcPr>
            <w:tcW w:w="9128" w:type="dxa"/>
            <w:shd w:val="clear" w:color="auto" w:fill="000000" w:themeFill="text1"/>
          </w:tcPr>
          <w:p w14:paraId="4AC848DB" w14:textId="2C7D9ED8" w:rsidR="00425863" w:rsidRPr="00BD4366" w:rsidRDefault="00425863" w:rsidP="002631C3">
            <w:pPr>
              <w:keepNext/>
              <w:keepLines/>
              <w:jc w:val="center"/>
              <w:rPr>
                <w:rFonts w:ascii="Arial" w:hAnsi="Arial" w:cs="Arial"/>
                <w:b/>
                <w:bCs/>
                <w:sz w:val="20"/>
              </w:rPr>
            </w:pPr>
            <w:r>
              <w:rPr>
                <w:rFonts w:ascii="Arial" w:hAnsi="Arial" w:cs="Arial"/>
                <w:b/>
                <w:bCs/>
                <w:sz w:val="20"/>
              </w:rPr>
              <w:lastRenderedPageBreak/>
              <w:t>THE CAYPINS PROCEDURE UNDER THE YJA (from 30/09/2026)</w:t>
            </w:r>
          </w:p>
        </w:tc>
      </w:tr>
    </w:tbl>
    <w:p w14:paraId="0CAEF68D" w14:textId="77777777" w:rsidR="00425863" w:rsidRPr="005C2371" w:rsidRDefault="00425863" w:rsidP="0040698F">
      <w:pPr>
        <w:jc w:val="both"/>
        <w:rPr>
          <w:rFonts w:ascii="Arial" w:hAnsi="Arial" w:cs="Arial"/>
          <w:color w:val="000000"/>
          <w:sz w:val="20"/>
        </w:rPr>
      </w:pPr>
    </w:p>
    <w:p w14:paraId="129A33BD" w14:textId="6BB5AF80" w:rsidR="00425863" w:rsidRPr="0040698F" w:rsidRDefault="00425863" w:rsidP="0040698F">
      <w:pPr>
        <w:jc w:val="both"/>
        <w:rPr>
          <w:rFonts w:ascii="Arial" w:hAnsi="Arial" w:cs="Arial"/>
          <w:color w:val="000000"/>
          <w:sz w:val="20"/>
        </w:rPr>
      </w:pPr>
      <w:r>
        <w:rPr>
          <w:rFonts w:ascii="Arial" w:hAnsi="Arial" w:cs="Arial"/>
          <w:color w:val="000000"/>
          <w:sz w:val="20"/>
        </w:rPr>
        <w:t xml:space="preserve">As and from 30/09/2026 the CAYPINS procedure in the CYFA has been replaced by that in Chapter 17 </w:t>
      </w:r>
      <w:r w:rsidR="0040698F">
        <w:rPr>
          <w:rFonts w:ascii="Arial" w:hAnsi="Arial" w:cs="Arial"/>
          <w:color w:val="000000"/>
          <w:sz w:val="20"/>
        </w:rPr>
        <w:t xml:space="preserve">(ss.722-744) </w:t>
      </w:r>
      <w:r>
        <w:rPr>
          <w:rFonts w:ascii="Arial" w:hAnsi="Arial" w:cs="Arial"/>
          <w:color w:val="000000"/>
          <w:sz w:val="20"/>
        </w:rPr>
        <w:t>of the YJA.</w:t>
      </w:r>
      <w:r w:rsidR="0040698F">
        <w:rPr>
          <w:rFonts w:ascii="Arial" w:hAnsi="Arial" w:cs="Arial"/>
          <w:color w:val="000000"/>
          <w:sz w:val="20"/>
        </w:rPr>
        <w:t xml:space="preserve"> Section 895 YJA provides: “</w:t>
      </w:r>
      <w:r w:rsidRPr="0040698F">
        <w:rPr>
          <w:rFonts w:ascii="Arial" w:hAnsi="Arial" w:cs="Arial"/>
          <w:sz w:val="20"/>
          <w:szCs w:val="16"/>
          <w:lang w:eastAsia="en-AU"/>
        </w:rPr>
        <w:t xml:space="preserve">Any infringement penalty registered under Schedule 3 to the </w:t>
      </w:r>
      <w:r w:rsidRPr="0040698F">
        <w:rPr>
          <w:rFonts w:ascii="Arial" w:hAnsi="Arial" w:cs="Arial"/>
          <w:b/>
          <w:sz w:val="20"/>
          <w:szCs w:val="16"/>
          <w:lang w:eastAsia="en-AU"/>
        </w:rPr>
        <w:t>Children, Youth and Families Act 2005</w:t>
      </w:r>
      <w:r w:rsidRPr="0040698F">
        <w:rPr>
          <w:rFonts w:ascii="Arial" w:hAnsi="Arial" w:cs="Arial"/>
          <w:sz w:val="20"/>
          <w:szCs w:val="16"/>
          <w:lang w:eastAsia="en-AU"/>
        </w:rPr>
        <w:t xml:space="preserve"> immediately before the commencement of Chapter 17 is to be dealt with on and from that commencement under the CAYPINS procedure.</w:t>
      </w:r>
      <w:r w:rsidR="0040698F">
        <w:rPr>
          <w:rFonts w:ascii="Arial" w:hAnsi="Arial" w:cs="Arial"/>
          <w:sz w:val="20"/>
          <w:szCs w:val="16"/>
          <w:lang w:eastAsia="en-AU"/>
        </w:rPr>
        <w:t>”</w:t>
      </w:r>
    </w:p>
    <w:p w14:paraId="40BF917B" w14:textId="77777777" w:rsidR="00425863" w:rsidRDefault="00425863" w:rsidP="00425863">
      <w:pPr>
        <w:jc w:val="both"/>
        <w:rPr>
          <w:rFonts w:ascii="Arial" w:hAnsi="Arial" w:cs="Arial"/>
          <w:color w:val="000000"/>
          <w:sz w:val="20"/>
        </w:rPr>
      </w:pPr>
    </w:p>
    <w:p w14:paraId="103D01E4" w14:textId="0219D356" w:rsidR="00425863" w:rsidRDefault="0040698F" w:rsidP="00425863">
      <w:pPr>
        <w:jc w:val="both"/>
        <w:rPr>
          <w:rFonts w:ascii="Arial" w:hAnsi="Arial" w:cs="Arial"/>
          <w:color w:val="000000"/>
          <w:sz w:val="20"/>
        </w:rPr>
      </w:pPr>
      <w:r>
        <w:rPr>
          <w:rFonts w:ascii="Arial" w:hAnsi="Arial" w:cs="Arial"/>
          <w:color w:val="000000"/>
          <w:sz w:val="20"/>
        </w:rPr>
        <w:t>Section 724 YJA is new and s.722 YJA involves a substantial modification of repealed s.581 CYFA. The other provisions in Chapter 17 YJA re-enact with generally minor modifications repealed provisions in CYFA s.582 and Schedule 3.</w:t>
      </w:r>
    </w:p>
    <w:p w14:paraId="0F7E3204" w14:textId="77777777" w:rsidR="00425863" w:rsidRDefault="00425863" w:rsidP="00425863">
      <w:pPr>
        <w:jc w:val="both"/>
        <w:rPr>
          <w:rFonts w:ascii="Arial" w:hAnsi="Arial" w:cs="Arial"/>
          <w:color w:val="000000"/>
          <w:sz w:val="20"/>
        </w:rPr>
      </w:pPr>
    </w:p>
    <w:p w14:paraId="32193604" w14:textId="2498EFD4" w:rsidR="0091135D" w:rsidRDefault="0091135D" w:rsidP="00425863">
      <w:pPr>
        <w:jc w:val="both"/>
        <w:rPr>
          <w:rFonts w:ascii="Arial" w:hAnsi="Arial" w:cs="Arial"/>
          <w:color w:val="000000"/>
          <w:sz w:val="20"/>
        </w:rPr>
      </w:pPr>
      <w:r>
        <w:rPr>
          <w:rFonts w:ascii="Arial" w:hAnsi="Arial" w:cs="Arial"/>
          <w:color w:val="000000"/>
          <w:sz w:val="20"/>
        </w:rPr>
        <w:t>Under the heading “</w:t>
      </w:r>
      <w:r w:rsidRPr="0091135D">
        <w:rPr>
          <w:rFonts w:ascii="Arial" w:hAnsi="Arial" w:cs="Arial"/>
          <w:b/>
          <w:bCs/>
          <w:color w:val="000000"/>
          <w:sz w:val="20"/>
        </w:rPr>
        <w:t>Application of CAYPINS procedure</w:t>
      </w:r>
      <w:r>
        <w:rPr>
          <w:rFonts w:ascii="Arial" w:hAnsi="Arial" w:cs="Arial"/>
          <w:color w:val="000000"/>
          <w:sz w:val="20"/>
        </w:rPr>
        <w:t>” s.722 YJA provides:</w:t>
      </w:r>
    </w:p>
    <w:p w14:paraId="3EF8C670" w14:textId="13460C39" w:rsidR="0091135D" w:rsidRPr="002B1FD0" w:rsidRDefault="0091135D" w:rsidP="003479C6">
      <w:pPr>
        <w:pStyle w:val="ListParagraph"/>
        <w:numPr>
          <w:ilvl w:val="4"/>
          <w:numId w:val="27"/>
        </w:numPr>
        <w:spacing w:before="60" w:after="0" w:line="240" w:lineRule="auto"/>
        <w:ind w:left="924" w:right="567" w:hanging="357"/>
        <w:jc w:val="both"/>
        <w:rPr>
          <w:rFonts w:ascii="Arial" w:hAnsi="Arial" w:cs="Arial"/>
          <w:color w:val="000000"/>
          <w:sz w:val="20"/>
          <w:szCs w:val="20"/>
        </w:rPr>
      </w:pPr>
      <w:r w:rsidRPr="002B1FD0">
        <w:rPr>
          <w:rFonts w:ascii="Arial" w:hAnsi="Arial" w:cs="Arial"/>
          <w:color w:val="000000"/>
          <w:sz w:val="20"/>
          <w:szCs w:val="20"/>
        </w:rPr>
        <w:t>“</w:t>
      </w:r>
      <w:r w:rsidR="002B1FD0" w:rsidRPr="002B1FD0">
        <w:rPr>
          <w:rFonts w:ascii="Arial" w:hAnsi="Arial" w:cs="Arial"/>
          <w:color w:val="000000" w:themeColor="text1"/>
          <w:sz w:val="20"/>
          <w:szCs w:val="20"/>
        </w:rPr>
        <w:t xml:space="preserve">An enforcement agency must use the </w:t>
      </w:r>
      <w:r w:rsidR="002B1FD0" w:rsidRPr="002B1FD0">
        <w:rPr>
          <w:rFonts w:ascii="Arial" w:hAnsi="Arial" w:cs="Arial"/>
          <w:b/>
          <w:bCs/>
          <w:color w:val="000000" w:themeColor="text1"/>
          <w:sz w:val="20"/>
          <w:szCs w:val="20"/>
        </w:rPr>
        <w:t>CAYPINS</w:t>
      </w:r>
      <w:r w:rsidR="002B1FD0" w:rsidRPr="002B1FD0">
        <w:rPr>
          <w:rFonts w:ascii="Arial" w:hAnsi="Arial" w:cs="Arial"/>
          <w:color w:val="000000" w:themeColor="text1"/>
          <w:sz w:val="20"/>
          <w:szCs w:val="20"/>
        </w:rPr>
        <w:t xml:space="preserve"> procedure instead of commencing a proceeding against a child for an offence for which an infringement notice could be issued unless–</w:t>
      </w:r>
    </w:p>
    <w:p w14:paraId="09C350C5" w14:textId="08652828" w:rsidR="0091135D" w:rsidRPr="002B1FD0" w:rsidRDefault="002B1FD0">
      <w:pPr>
        <w:pStyle w:val="ListParagraph"/>
        <w:numPr>
          <w:ilvl w:val="0"/>
          <w:numId w:val="109"/>
        </w:numPr>
        <w:spacing w:after="0" w:line="240" w:lineRule="auto"/>
        <w:ind w:left="1281" w:right="567" w:hanging="357"/>
        <w:jc w:val="both"/>
        <w:rPr>
          <w:rFonts w:ascii="Arial" w:hAnsi="Arial" w:cs="Arial"/>
          <w:color w:val="000000"/>
          <w:sz w:val="20"/>
        </w:rPr>
      </w:pPr>
      <w:r w:rsidRPr="002B1FD0">
        <w:rPr>
          <w:rFonts w:ascii="Arial" w:hAnsi="Arial" w:cs="Arial"/>
          <w:color w:val="000000" w:themeColor="text1"/>
          <w:sz w:val="20"/>
          <w:szCs w:val="20"/>
        </w:rPr>
        <w:t>the enforcement agency considers that it is in the interests of the child to have the matter heard and determined in the Children’s Court; or</w:t>
      </w:r>
    </w:p>
    <w:p w14:paraId="240AA30E" w14:textId="2BC241BA" w:rsidR="002B1FD0" w:rsidRPr="002B1FD0" w:rsidRDefault="002B1FD0">
      <w:pPr>
        <w:pStyle w:val="ListParagraph"/>
        <w:numPr>
          <w:ilvl w:val="0"/>
          <w:numId w:val="109"/>
        </w:numPr>
        <w:spacing w:after="0" w:line="240" w:lineRule="auto"/>
        <w:ind w:left="1281" w:right="567" w:hanging="357"/>
        <w:jc w:val="both"/>
        <w:rPr>
          <w:rFonts w:ascii="Arial" w:hAnsi="Arial" w:cs="Arial"/>
          <w:color w:val="000000"/>
          <w:sz w:val="20"/>
        </w:rPr>
      </w:pPr>
      <w:r w:rsidRPr="002B1FD0">
        <w:rPr>
          <w:rFonts w:ascii="Arial" w:hAnsi="Arial" w:cs="Arial"/>
          <w:color w:val="000000" w:themeColor="text1"/>
          <w:sz w:val="20"/>
          <w:szCs w:val="20"/>
        </w:rPr>
        <w:t>the enforcement agency considers that it is in the interests of justice to have the matter heard and determined in the Children’s Court; or</w:t>
      </w:r>
    </w:p>
    <w:p w14:paraId="246E1845" w14:textId="77F9F4AA" w:rsidR="002B1FD0" w:rsidRPr="002B1FD0" w:rsidRDefault="002B1FD0">
      <w:pPr>
        <w:pStyle w:val="ListParagraph"/>
        <w:numPr>
          <w:ilvl w:val="0"/>
          <w:numId w:val="109"/>
        </w:numPr>
        <w:spacing w:after="0" w:line="240" w:lineRule="auto"/>
        <w:ind w:left="1281" w:right="567" w:hanging="357"/>
        <w:jc w:val="both"/>
        <w:rPr>
          <w:rFonts w:ascii="Arial" w:hAnsi="Arial" w:cs="Arial"/>
          <w:color w:val="000000"/>
          <w:sz w:val="20"/>
        </w:rPr>
      </w:pPr>
      <w:r w:rsidRPr="002B1FD0">
        <w:rPr>
          <w:rFonts w:ascii="Arial" w:hAnsi="Arial" w:cs="Arial"/>
          <w:color w:val="000000" w:themeColor="text1"/>
          <w:sz w:val="20"/>
          <w:szCs w:val="20"/>
        </w:rPr>
        <w:t>the child has elected to have the matter heard and determined by the Children’s Court.</w:t>
      </w:r>
    </w:p>
    <w:p w14:paraId="11DC2032" w14:textId="150D0F23" w:rsidR="002B1FD0" w:rsidRPr="002B1FD0" w:rsidRDefault="002B1FD0">
      <w:pPr>
        <w:pStyle w:val="ListParagraph"/>
        <w:numPr>
          <w:ilvl w:val="0"/>
          <w:numId w:val="110"/>
        </w:numPr>
        <w:spacing w:before="60" w:after="0" w:line="240" w:lineRule="auto"/>
        <w:ind w:left="924" w:right="567" w:hanging="357"/>
        <w:contextualSpacing w:val="0"/>
        <w:jc w:val="both"/>
        <w:rPr>
          <w:rFonts w:ascii="Arial" w:hAnsi="Arial" w:cs="Arial"/>
          <w:color w:val="000000"/>
          <w:sz w:val="20"/>
          <w:szCs w:val="20"/>
        </w:rPr>
      </w:pPr>
      <w:r w:rsidRPr="002B1FD0">
        <w:rPr>
          <w:rFonts w:ascii="Arial" w:hAnsi="Arial" w:cs="Arial"/>
          <w:color w:val="000000" w:themeColor="text1"/>
          <w:sz w:val="20"/>
          <w:szCs w:val="20"/>
        </w:rPr>
        <w:t xml:space="preserve">If a child may be prosecuted for an offence for which an infringement notice may be issued, a reference in any Act to enforcement under the </w:t>
      </w:r>
      <w:r w:rsidRPr="002B1FD0">
        <w:rPr>
          <w:rFonts w:ascii="Arial" w:hAnsi="Arial" w:cs="Arial"/>
          <w:i/>
          <w:iCs/>
          <w:color w:val="000000" w:themeColor="text1"/>
          <w:sz w:val="20"/>
          <w:szCs w:val="20"/>
        </w:rPr>
        <w:t>Fines Reform Act 2014</w:t>
      </w:r>
      <w:r w:rsidRPr="002B1FD0">
        <w:rPr>
          <w:rFonts w:ascii="Arial" w:hAnsi="Arial" w:cs="Arial"/>
          <w:color w:val="000000" w:themeColor="text1"/>
          <w:sz w:val="20"/>
          <w:szCs w:val="20"/>
        </w:rPr>
        <w:t xml:space="preserve"> includes a reference to enforcement under this</w:t>
      </w:r>
      <w:r>
        <w:rPr>
          <w:rFonts w:ascii="Arial" w:hAnsi="Arial" w:cs="Arial"/>
          <w:color w:val="000000" w:themeColor="text1"/>
          <w:sz w:val="20"/>
          <w:szCs w:val="20"/>
        </w:rPr>
        <w:t xml:space="preserve"> Chapter.</w:t>
      </w:r>
    </w:p>
    <w:p w14:paraId="76BEFBA2" w14:textId="2DE7418F" w:rsidR="002B1FD0" w:rsidRPr="002B1FD0" w:rsidRDefault="002B1FD0">
      <w:pPr>
        <w:pStyle w:val="ListParagraph"/>
        <w:numPr>
          <w:ilvl w:val="0"/>
          <w:numId w:val="110"/>
        </w:numPr>
        <w:spacing w:before="60" w:after="0" w:line="240" w:lineRule="auto"/>
        <w:ind w:left="924" w:right="567" w:hanging="357"/>
        <w:contextualSpacing w:val="0"/>
        <w:jc w:val="both"/>
        <w:rPr>
          <w:rFonts w:ascii="Arial" w:hAnsi="Arial" w:cs="Arial"/>
          <w:color w:val="000000"/>
          <w:sz w:val="20"/>
          <w:szCs w:val="20"/>
        </w:rPr>
      </w:pPr>
      <w:r w:rsidRPr="002B1FD0">
        <w:rPr>
          <w:rFonts w:ascii="Arial" w:hAnsi="Arial" w:cs="Arial"/>
          <w:color w:val="000000" w:themeColor="text1"/>
          <w:sz w:val="20"/>
          <w:szCs w:val="20"/>
        </w:rPr>
        <w:t>The CAYPINS procedure applies without prejudice to the application of so much of any other procedure as is consistent with the CAYPINS procedure.</w:t>
      </w:r>
    </w:p>
    <w:p w14:paraId="56162284" w14:textId="65E1755D" w:rsidR="002B1FD0" w:rsidRPr="002B1FD0" w:rsidRDefault="002B1FD0">
      <w:pPr>
        <w:pStyle w:val="ListParagraph"/>
        <w:numPr>
          <w:ilvl w:val="0"/>
          <w:numId w:val="110"/>
        </w:numPr>
        <w:spacing w:before="60" w:after="0" w:line="240" w:lineRule="auto"/>
        <w:ind w:left="924" w:right="567" w:hanging="357"/>
        <w:contextualSpacing w:val="0"/>
        <w:jc w:val="both"/>
        <w:rPr>
          <w:rFonts w:ascii="Arial" w:hAnsi="Arial" w:cs="Arial"/>
          <w:color w:val="000000"/>
          <w:sz w:val="28"/>
          <w:szCs w:val="28"/>
        </w:rPr>
      </w:pPr>
      <w:r w:rsidRPr="002B1FD0">
        <w:rPr>
          <w:rFonts w:ascii="Arial" w:hAnsi="Arial" w:cs="Arial"/>
          <w:color w:val="000000" w:themeColor="text1"/>
          <w:sz w:val="20"/>
          <w:szCs w:val="20"/>
        </w:rPr>
        <w:t>The procedure set out in Part 17.2 may be used in relation to any infringement notice, regardless of when it was issued.</w:t>
      </w:r>
    </w:p>
    <w:p w14:paraId="33D269A4" w14:textId="22401DD4" w:rsidR="002B1FD0" w:rsidRPr="002B1FD0" w:rsidRDefault="002B1FD0" w:rsidP="002B1FD0">
      <w:pPr>
        <w:spacing w:before="120"/>
        <w:jc w:val="both"/>
        <w:rPr>
          <w:rFonts w:ascii="Arial" w:hAnsi="Arial" w:cs="Arial"/>
          <w:color w:val="000000"/>
          <w:sz w:val="20"/>
        </w:rPr>
      </w:pPr>
      <w:r w:rsidRPr="002B1FD0">
        <w:rPr>
          <w:rFonts w:ascii="Arial" w:hAnsi="Arial" w:cs="Arial"/>
          <w:color w:val="000000" w:themeColor="text1"/>
          <w:sz w:val="20"/>
          <w:szCs w:val="28"/>
        </w:rPr>
        <w:t>The Explanatory Memorandum says of</w:t>
      </w:r>
      <w:r>
        <w:rPr>
          <w:rFonts w:ascii="Arial" w:hAnsi="Arial" w:cs="Arial"/>
          <w:color w:val="000000" w:themeColor="text1"/>
          <w:sz w:val="20"/>
          <w:szCs w:val="28"/>
        </w:rPr>
        <w:t xml:space="preserve"> s.722:</w:t>
      </w:r>
      <w:r w:rsidRPr="002B1FD0">
        <w:rPr>
          <w:rFonts w:ascii="Arial" w:hAnsi="Arial" w:cs="Arial"/>
          <w:color w:val="000000" w:themeColor="text1"/>
          <w:sz w:val="20"/>
          <w:szCs w:val="28"/>
        </w:rPr>
        <w:t xml:space="preserve"> </w:t>
      </w:r>
      <w:r w:rsidRPr="002B1FD0">
        <w:rPr>
          <w:rFonts w:ascii="Arial" w:hAnsi="Arial" w:cs="Arial"/>
          <w:color w:val="000000" w:themeColor="text1"/>
          <w:sz w:val="20"/>
          <w:szCs w:val="20"/>
        </w:rPr>
        <w:t>“This new general requirement to use CAYPINS is intended to encourage increased use of the child-specific procedure, while the exceptions are intended to allow proceedings to be commenced in appropriate cases—for example, if the infringement offence is alleged to have been committed along with several other more serious offences, it may be more efficient for the child and the Children's Court to have them all heard and dealt with in one proceeding.”</w:t>
      </w:r>
    </w:p>
    <w:p w14:paraId="21C12BE6" w14:textId="77777777" w:rsidR="002B1FD0" w:rsidRDefault="002B1FD0" w:rsidP="002B1FD0">
      <w:pPr>
        <w:jc w:val="both"/>
        <w:rPr>
          <w:rFonts w:ascii="Arial" w:hAnsi="Arial" w:cs="Arial"/>
          <w:color w:val="000000"/>
          <w:sz w:val="20"/>
        </w:rPr>
      </w:pPr>
    </w:p>
    <w:p w14:paraId="0ABDDE6A" w14:textId="3B079DE0" w:rsidR="002B1FD0" w:rsidRPr="005E2960" w:rsidRDefault="002B1FD0" w:rsidP="002B1FD0">
      <w:pPr>
        <w:jc w:val="both"/>
        <w:rPr>
          <w:rFonts w:ascii="Arial" w:hAnsi="Arial" w:cs="Arial"/>
          <w:color w:val="000000"/>
          <w:sz w:val="20"/>
          <w:szCs w:val="20"/>
        </w:rPr>
      </w:pPr>
      <w:r w:rsidRPr="005E2960">
        <w:rPr>
          <w:rFonts w:ascii="Arial" w:hAnsi="Arial" w:cs="Arial"/>
          <w:color w:val="000000"/>
          <w:sz w:val="20"/>
          <w:szCs w:val="20"/>
        </w:rPr>
        <w:t>Under the heading “</w:t>
      </w:r>
      <w:r w:rsidRPr="005E2960">
        <w:rPr>
          <w:rFonts w:ascii="Arial" w:hAnsi="Arial" w:cs="Arial"/>
          <w:b/>
          <w:bCs/>
          <w:color w:val="000000"/>
          <w:sz w:val="20"/>
          <w:szCs w:val="20"/>
        </w:rPr>
        <w:t>Certain agencies may give information for enforcement purposes</w:t>
      </w:r>
      <w:r w:rsidRPr="005E2960">
        <w:rPr>
          <w:rFonts w:ascii="Arial" w:hAnsi="Arial" w:cs="Arial"/>
          <w:color w:val="000000"/>
          <w:sz w:val="20"/>
          <w:szCs w:val="20"/>
        </w:rPr>
        <w:t>” s.723 YJA provides</w:t>
      </w:r>
      <w:r w:rsidR="005E2960" w:rsidRPr="005E2960">
        <w:rPr>
          <w:rFonts w:ascii="Arial" w:hAnsi="Arial" w:cs="Arial"/>
          <w:color w:val="000000"/>
          <w:sz w:val="20"/>
          <w:szCs w:val="20"/>
        </w:rPr>
        <w:t xml:space="preserve"> </w:t>
      </w:r>
      <w:r w:rsidR="005E2960" w:rsidRPr="005E2960">
        <w:rPr>
          <w:rFonts w:ascii="Arial" w:hAnsi="Arial" w:cs="Arial"/>
          <w:color w:val="000000" w:themeColor="text1"/>
          <w:sz w:val="20"/>
          <w:szCs w:val="20"/>
        </w:rPr>
        <w:t>that on the written request of a registrar of the Children’s Court, the sheriff or any contractor or sub-contractor supporting the functions of the sheriff, a specialised agency may give the person or persons making the request access to any information held by the agency that may be of use in the enforcement of court orders and fines.</w:t>
      </w:r>
    </w:p>
    <w:p w14:paraId="7751810B" w14:textId="77777777" w:rsidR="00425863" w:rsidRDefault="00425863" w:rsidP="00425863">
      <w:pPr>
        <w:jc w:val="both"/>
        <w:rPr>
          <w:rFonts w:ascii="Arial" w:hAnsi="Arial" w:cs="Arial"/>
          <w:color w:val="000000"/>
          <w:sz w:val="20"/>
        </w:rPr>
      </w:pPr>
    </w:p>
    <w:p w14:paraId="71D460D5" w14:textId="47E7F894" w:rsidR="005E2960" w:rsidRPr="005E2960" w:rsidRDefault="005E2960" w:rsidP="00425863">
      <w:pPr>
        <w:jc w:val="both"/>
        <w:rPr>
          <w:rFonts w:ascii="Arial" w:hAnsi="Arial" w:cs="Arial"/>
          <w:color w:val="000000"/>
          <w:sz w:val="20"/>
          <w:szCs w:val="20"/>
        </w:rPr>
      </w:pPr>
      <w:r w:rsidRPr="005E2960">
        <w:rPr>
          <w:rFonts w:ascii="Arial" w:hAnsi="Arial" w:cs="Arial"/>
          <w:color w:val="000000"/>
          <w:sz w:val="20"/>
          <w:szCs w:val="20"/>
        </w:rPr>
        <w:t>Under the heading “</w:t>
      </w:r>
      <w:r w:rsidRPr="005E2960">
        <w:rPr>
          <w:rFonts w:ascii="Arial" w:hAnsi="Arial" w:cs="Arial"/>
          <w:b/>
          <w:bCs/>
          <w:sz w:val="20"/>
          <w:szCs w:val="20"/>
        </w:rPr>
        <w:t>Court may order infringement penalty be dealt with through CAYPINS procedure</w:t>
      </w:r>
      <w:r w:rsidRPr="005E2960">
        <w:rPr>
          <w:rFonts w:ascii="Arial" w:hAnsi="Arial" w:cs="Arial"/>
          <w:sz w:val="20"/>
          <w:szCs w:val="20"/>
        </w:rPr>
        <w:t>” s.724 YJA provides:</w:t>
      </w:r>
    </w:p>
    <w:p w14:paraId="60F0538D" w14:textId="283F91CC" w:rsidR="003479C6" w:rsidRPr="003479C6" w:rsidRDefault="003479C6">
      <w:pPr>
        <w:pStyle w:val="ListParagraph"/>
        <w:numPr>
          <w:ilvl w:val="0"/>
          <w:numId w:val="111"/>
        </w:numPr>
        <w:spacing w:before="60"/>
        <w:ind w:left="924" w:right="567" w:hanging="357"/>
        <w:jc w:val="both"/>
        <w:rPr>
          <w:rFonts w:ascii="Arial" w:hAnsi="Arial" w:cs="Arial"/>
          <w:color w:val="000000"/>
          <w:sz w:val="20"/>
          <w:szCs w:val="20"/>
        </w:rPr>
      </w:pPr>
      <w:r w:rsidRPr="003479C6">
        <w:rPr>
          <w:rFonts w:ascii="Arial" w:hAnsi="Arial" w:cs="Arial"/>
          <w:color w:val="000000"/>
          <w:sz w:val="20"/>
          <w:szCs w:val="20"/>
        </w:rPr>
        <w:t>“</w:t>
      </w:r>
      <w:r>
        <w:rPr>
          <w:rFonts w:ascii="Arial" w:hAnsi="Arial" w:cs="Arial"/>
          <w:color w:val="000000"/>
          <w:sz w:val="20"/>
          <w:szCs w:val="20"/>
        </w:rPr>
        <w:t xml:space="preserve">Subject to subsection (2), any time after a charge-sheet and summons have been filed with the Children’s Court under s.17(3) of the </w:t>
      </w:r>
      <w:r w:rsidRPr="003479C6">
        <w:rPr>
          <w:rFonts w:ascii="Arial" w:hAnsi="Arial" w:cs="Arial"/>
          <w:i/>
          <w:iCs/>
          <w:color w:val="000000"/>
          <w:sz w:val="20"/>
          <w:szCs w:val="20"/>
        </w:rPr>
        <w:t>Infringements Act 2006</w:t>
      </w:r>
      <w:r>
        <w:rPr>
          <w:rFonts w:ascii="Arial" w:hAnsi="Arial" w:cs="Arial"/>
          <w:color w:val="000000"/>
          <w:sz w:val="20"/>
          <w:szCs w:val="20"/>
        </w:rPr>
        <w:t xml:space="preserve"> the Court may</w:t>
      </w:r>
      <w:r w:rsidRPr="003479C6">
        <w:rPr>
          <w:rFonts w:ascii="Arial" w:hAnsi="Arial" w:cs="Arial"/>
          <w:color w:val="000000" w:themeColor="text1"/>
          <w:sz w:val="20"/>
          <w:szCs w:val="20"/>
        </w:rPr>
        <w:t>–</w:t>
      </w:r>
    </w:p>
    <w:p w14:paraId="7EC23C6F" w14:textId="4EF47B39" w:rsidR="003479C6" w:rsidRPr="002B1FD0" w:rsidRDefault="00D50EE3">
      <w:pPr>
        <w:pStyle w:val="ListParagraph"/>
        <w:numPr>
          <w:ilvl w:val="0"/>
          <w:numId w:val="112"/>
        </w:numPr>
        <w:spacing w:after="0" w:line="240" w:lineRule="auto"/>
        <w:ind w:left="1281" w:right="567" w:hanging="357"/>
        <w:jc w:val="both"/>
        <w:rPr>
          <w:rFonts w:ascii="Arial" w:hAnsi="Arial" w:cs="Arial"/>
          <w:color w:val="000000"/>
          <w:sz w:val="20"/>
        </w:rPr>
      </w:pPr>
      <w:r>
        <w:rPr>
          <w:rFonts w:ascii="Arial" w:hAnsi="Arial" w:cs="Arial"/>
          <w:color w:val="000000" w:themeColor="text1"/>
          <w:sz w:val="20"/>
          <w:szCs w:val="20"/>
        </w:rPr>
        <w:t>o</w:t>
      </w:r>
      <w:r w:rsidR="003479C6">
        <w:rPr>
          <w:rFonts w:ascii="Arial" w:hAnsi="Arial" w:cs="Arial"/>
          <w:color w:val="000000" w:themeColor="text1"/>
          <w:sz w:val="20"/>
          <w:szCs w:val="20"/>
        </w:rPr>
        <w:t xml:space="preserve">rder that enforcement of an infringement notice served on a child be dealt with </w:t>
      </w:r>
      <w:r>
        <w:rPr>
          <w:rFonts w:ascii="Arial" w:hAnsi="Arial" w:cs="Arial"/>
          <w:color w:val="000000" w:themeColor="text1"/>
          <w:sz w:val="20"/>
          <w:szCs w:val="20"/>
        </w:rPr>
        <w:t>under Part 17.2</w:t>
      </w:r>
      <w:r w:rsidR="003479C6" w:rsidRPr="002B1FD0">
        <w:rPr>
          <w:rFonts w:ascii="Arial" w:hAnsi="Arial" w:cs="Arial"/>
          <w:color w:val="000000" w:themeColor="text1"/>
          <w:sz w:val="20"/>
          <w:szCs w:val="20"/>
        </w:rPr>
        <w:t xml:space="preserve">; </w:t>
      </w:r>
      <w:r>
        <w:rPr>
          <w:rFonts w:ascii="Arial" w:hAnsi="Arial" w:cs="Arial"/>
          <w:color w:val="000000" w:themeColor="text1"/>
          <w:sz w:val="20"/>
          <w:szCs w:val="20"/>
        </w:rPr>
        <w:t>and</w:t>
      </w:r>
    </w:p>
    <w:p w14:paraId="0A28B51A" w14:textId="3EA0E666" w:rsidR="003479C6" w:rsidRPr="002B1FD0" w:rsidRDefault="00D50EE3">
      <w:pPr>
        <w:pStyle w:val="ListParagraph"/>
        <w:numPr>
          <w:ilvl w:val="0"/>
          <w:numId w:val="112"/>
        </w:numPr>
        <w:spacing w:after="0" w:line="240" w:lineRule="auto"/>
        <w:ind w:left="1281" w:right="567" w:hanging="357"/>
        <w:jc w:val="both"/>
        <w:rPr>
          <w:rFonts w:ascii="Arial" w:hAnsi="Arial" w:cs="Arial"/>
          <w:color w:val="000000"/>
          <w:sz w:val="20"/>
        </w:rPr>
      </w:pPr>
      <w:r>
        <w:rPr>
          <w:rFonts w:ascii="Arial" w:hAnsi="Arial" w:cs="Arial"/>
          <w:color w:val="000000" w:themeColor="text1"/>
          <w:sz w:val="20"/>
          <w:szCs w:val="20"/>
        </w:rPr>
        <w:t>make any other ancillary order that the Court considers appropriate</w:t>
      </w:r>
      <w:r w:rsidR="003479C6" w:rsidRPr="002B1FD0">
        <w:rPr>
          <w:rFonts w:ascii="Arial" w:hAnsi="Arial" w:cs="Arial"/>
          <w:color w:val="000000" w:themeColor="text1"/>
          <w:sz w:val="20"/>
          <w:szCs w:val="20"/>
        </w:rPr>
        <w:t>.</w:t>
      </w:r>
    </w:p>
    <w:p w14:paraId="56B86D1A" w14:textId="2FAD3030" w:rsidR="003479C6" w:rsidRPr="00D50EE3" w:rsidRDefault="00D50EE3">
      <w:pPr>
        <w:pStyle w:val="ListParagraph"/>
        <w:numPr>
          <w:ilvl w:val="0"/>
          <w:numId w:val="111"/>
        </w:numPr>
        <w:spacing w:before="60" w:after="0" w:line="240" w:lineRule="auto"/>
        <w:ind w:left="924" w:right="567" w:hanging="357"/>
        <w:contextualSpacing w:val="0"/>
        <w:jc w:val="both"/>
        <w:rPr>
          <w:rFonts w:ascii="Arial" w:hAnsi="Arial" w:cs="Arial"/>
          <w:color w:val="000000"/>
          <w:sz w:val="20"/>
          <w:szCs w:val="20"/>
        </w:rPr>
      </w:pPr>
      <w:r>
        <w:rPr>
          <w:rFonts w:ascii="Arial" w:hAnsi="Arial" w:cs="Arial"/>
          <w:color w:val="000000" w:themeColor="text1"/>
          <w:sz w:val="20"/>
          <w:szCs w:val="20"/>
        </w:rPr>
        <w:t>The Children’s Court must not make an order under sub-section (1) if–</w:t>
      </w:r>
    </w:p>
    <w:p w14:paraId="12EDA3FC" w14:textId="0DFCB4B3" w:rsidR="00D50EE3" w:rsidRPr="00D50EE3" w:rsidRDefault="00D50EE3">
      <w:pPr>
        <w:pStyle w:val="ListParagraph"/>
        <w:numPr>
          <w:ilvl w:val="0"/>
          <w:numId w:val="113"/>
        </w:numPr>
        <w:spacing w:after="0" w:line="240" w:lineRule="auto"/>
        <w:ind w:left="1281" w:right="567" w:hanging="357"/>
        <w:jc w:val="both"/>
        <w:rPr>
          <w:rFonts w:ascii="Arial" w:hAnsi="Arial" w:cs="Arial"/>
          <w:color w:val="000000"/>
          <w:sz w:val="20"/>
        </w:rPr>
      </w:pPr>
      <w:r>
        <w:rPr>
          <w:rFonts w:ascii="Arial" w:hAnsi="Arial" w:cs="Arial"/>
          <w:color w:val="000000" w:themeColor="text1"/>
          <w:sz w:val="20"/>
          <w:szCs w:val="20"/>
        </w:rPr>
        <w:t>it is in the interests of the child to have the matter heard and determined by the Children’s Court; or</w:t>
      </w:r>
    </w:p>
    <w:p w14:paraId="5FB3C678" w14:textId="3D8322BC" w:rsidR="00D50EE3" w:rsidRPr="002B1FD0" w:rsidRDefault="00D50EE3">
      <w:pPr>
        <w:pStyle w:val="ListParagraph"/>
        <w:numPr>
          <w:ilvl w:val="0"/>
          <w:numId w:val="113"/>
        </w:numPr>
        <w:spacing w:after="0" w:line="240" w:lineRule="auto"/>
        <w:ind w:left="1281" w:right="567" w:hanging="357"/>
        <w:jc w:val="both"/>
        <w:rPr>
          <w:rFonts w:ascii="Arial" w:hAnsi="Arial" w:cs="Arial"/>
          <w:color w:val="000000"/>
          <w:sz w:val="20"/>
        </w:rPr>
      </w:pPr>
      <w:r>
        <w:rPr>
          <w:rFonts w:ascii="Arial" w:hAnsi="Arial" w:cs="Arial"/>
          <w:color w:val="000000" w:themeColor="text1"/>
          <w:sz w:val="20"/>
          <w:szCs w:val="20"/>
        </w:rPr>
        <w:t>it is in the interests of justice to have the matter heard and determined by the Children’s Court; or</w:t>
      </w:r>
    </w:p>
    <w:p w14:paraId="41B8AFAC" w14:textId="3C4A6A3A" w:rsidR="00D50EE3" w:rsidRPr="002B1FD0" w:rsidRDefault="00D50EE3">
      <w:pPr>
        <w:pStyle w:val="ListParagraph"/>
        <w:numPr>
          <w:ilvl w:val="0"/>
          <w:numId w:val="113"/>
        </w:numPr>
        <w:spacing w:after="0" w:line="240" w:lineRule="auto"/>
        <w:ind w:left="1281" w:right="567" w:hanging="357"/>
        <w:jc w:val="both"/>
        <w:rPr>
          <w:rFonts w:ascii="Arial" w:hAnsi="Arial" w:cs="Arial"/>
          <w:color w:val="000000"/>
          <w:sz w:val="20"/>
        </w:rPr>
      </w:pPr>
      <w:r>
        <w:rPr>
          <w:rFonts w:ascii="Arial" w:hAnsi="Arial" w:cs="Arial"/>
          <w:color w:val="000000" w:themeColor="text1"/>
          <w:sz w:val="20"/>
          <w:szCs w:val="20"/>
        </w:rPr>
        <w:t>the child has elected to have the matter heard and determined by the Children’s Court</w:t>
      </w:r>
      <w:r w:rsidRPr="002B1FD0">
        <w:rPr>
          <w:rFonts w:ascii="Arial" w:hAnsi="Arial" w:cs="Arial"/>
          <w:color w:val="000000" w:themeColor="text1"/>
          <w:sz w:val="20"/>
          <w:szCs w:val="20"/>
        </w:rPr>
        <w:t>.</w:t>
      </w:r>
    </w:p>
    <w:p w14:paraId="7C3E634C" w14:textId="2CC46FD5" w:rsidR="003479C6" w:rsidRPr="002B1FD0" w:rsidRDefault="00D50EE3">
      <w:pPr>
        <w:pStyle w:val="ListParagraph"/>
        <w:numPr>
          <w:ilvl w:val="0"/>
          <w:numId w:val="111"/>
        </w:numPr>
        <w:spacing w:before="60" w:after="0" w:line="240" w:lineRule="auto"/>
        <w:ind w:left="924" w:right="567" w:hanging="357"/>
        <w:contextualSpacing w:val="0"/>
        <w:jc w:val="both"/>
        <w:rPr>
          <w:rFonts w:ascii="Arial" w:hAnsi="Arial" w:cs="Arial"/>
          <w:color w:val="000000"/>
          <w:sz w:val="20"/>
          <w:szCs w:val="20"/>
        </w:rPr>
      </w:pPr>
      <w:r>
        <w:rPr>
          <w:rFonts w:ascii="Arial" w:hAnsi="Arial" w:cs="Arial"/>
          <w:color w:val="000000" w:themeColor="text1"/>
          <w:sz w:val="20"/>
          <w:szCs w:val="20"/>
        </w:rPr>
        <w:t>If the Children’s Court makes an order under sub-section (1)–</w:t>
      </w:r>
    </w:p>
    <w:p w14:paraId="1492AC82" w14:textId="77777777" w:rsidR="00D50EE3" w:rsidRPr="00D50EE3" w:rsidRDefault="00D50EE3">
      <w:pPr>
        <w:pStyle w:val="ListParagraph"/>
        <w:numPr>
          <w:ilvl w:val="0"/>
          <w:numId w:val="114"/>
        </w:numPr>
        <w:spacing w:after="0" w:line="240" w:lineRule="auto"/>
        <w:ind w:left="1281" w:right="567" w:hanging="357"/>
        <w:jc w:val="both"/>
        <w:rPr>
          <w:rFonts w:ascii="Arial" w:hAnsi="Arial" w:cs="Arial"/>
          <w:color w:val="000000"/>
          <w:sz w:val="20"/>
        </w:rPr>
      </w:pPr>
      <w:r w:rsidRPr="00D50EE3">
        <w:rPr>
          <w:rFonts w:ascii="Arial" w:hAnsi="Arial" w:cs="Arial"/>
          <w:color w:val="000000" w:themeColor="text1"/>
          <w:sz w:val="20"/>
          <w:szCs w:val="20"/>
        </w:rPr>
        <w:t>the enforcement agency must give a registrar of the Children’s Court the registration document and the registration certificate by the date specified in the order; and</w:t>
      </w:r>
    </w:p>
    <w:p w14:paraId="32C19611" w14:textId="1C0A5612" w:rsidR="00D50EE3" w:rsidRPr="00D50EE3" w:rsidRDefault="00D50EE3">
      <w:pPr>
        <w:pStyle w:val="ListParagraph"/>
        <w:numPr>
          <w:ilvl w:val="0"/>
          <w:numId w:val="114"/>
        </w:numPr>
        <w:spacing w:after="0" w:line="240" w:lineRule="auto"/>
        <w:ind w:left="1281" w:right="567" w:hanging="357"/>
        <w:jc w:val="both"/>
        <w:rPr>
          <w:rFonts w:ascii="Arial" w:hAnsi="Arial" w:cs="Arial"/>
          <w:color w:val="000000"/>
          <w:sz w:val="20"/>
        </w:rPr>
      </w:pPr>
      <w:r>
        <w:rPr>
          <w:rFonts w:ascii="Arial" w:hAnsi="Arial" w:cs="Arial"/>
          <w:color w:val="000000" w:themeColor="text1"/>
          <w:sz w:val="20"/>
          <w:szCs w:val="20"/>
        </w:rPr>
        <w:t>the registrar of the Children’s Court must register the infringement penalty under s.726.</w:t>
      </w:r>
    </w:p>
    <w:p w14:paraId="3E2A429B" w14:textId="524608FE" w:rsidR="00D50EE3" w:rsidRPr="002B1FD0" w:rsidRDefault="00D50EE3">
      <w:pPr>
        <w:pStyle w:val="ListParagraph"/>
        <w:numPr>
          <w:ilvl w:val="0"/>
          <w:numId w:val="111"/>
        </w:numPr>
        <w:spacing w:before="60" w:after="0" w:line="240" w:lineRule="auto"/>
        <w:ind w:left="924" w:right="567" w:hanging="357"/>
        <w:contextualSpacing w:val="0"/>
        <w:jc w:val="both"/>
        <w:rPr>
          <w:rFonts w:ascii="Arial" w:hAnsi="Arial" w:cs="Arial"/>
          <w:color w:val="000000"/>
          <w:sz w:val="20"/>
          <w:szCs w:val="20"/>
        </w:rPr>
      </w:pPr>
      <w:r>
        <w:rPr>
          <w:rFonts w:ascii="Arial" w:hAnsi="Arial" w:cs="Arial"/>
          <w:color w:val="000000"/>
          <w:sz w:val="20"/>
          <w:szCs w:val="20"/>
        </w:rPr>
        <w:lastRenderedPageBreak/>
        <w:t>If the Children’s Court makes an order under subsection (1), the requirements referred to in s.725(2)(h) and (i) do not apply to the registration certificate.”</w:t>
      </w:r>
    </w:p>
    <w:p w14:paraId="083BD749" w14:textId="2F08CF9F" w:rsidR="00D50EE3" w:rsidRPr="00D50EE3" w:rsidRDefault="00D50EE3" w:rsidP="00D50EE3">
      <w:pPr>
        <w:spacing w:before="120"/>
        <w:jc w:val="both"/>
        <w:rPr>
          <w:rFonts w:ascii="Arial" w:hAnsi="Arial" w:cs="Arial"/>
          <w:color w:val="000000"/>
          <w:sz w:val="20"/>
          <w:szCs w:val="20"/>
        </w:rPr>
      </w:pPr>
      <w:r w:rsidRPr="00D50EE3">
        <w:rPr>
          <w:rFonts w:ascii="Arial" w:hAnsi="Arial" w:cs="Arial"/>
          <w:color w:val="000000" w:themeColor="text1"/>
          <w:sz w:val="20"/>
          <w:szCs w:val="20"/>
        </w:rPr>
        <w:t>The Explanatory Memorandum says of s.724: “This new power is intended to ensure that infringement notices are dealt with through CAYPINS wherever appropriate. The exceptions to this power of the Children's Court to order use of the CAYPINS procedure are consistent with the exceptions to the requirement for an enforcement agency to use the CAYPINS procedure in</w:t>
      </w:r>
      <w:r>
        <w:rPr>
          <w:rFonts w:ascii="Arial" w:hAnsi="Arial" w:cs="Arial"/>
          <w:color w:val="000000" w:themeColor="text1"/>
          <w:sz w:val="20"/>
          <w:szCs w:val="20"/>
        </w:rPr>
        <w:t xml:space="preserve"> YJA s.722.”</w:t>
      </w:r>
    </w:p>
    <w:p w14:paraId="7ABEB0FB" w14:textId="77777777" w:rsidR="00D50EE3" w:rsidRDefault="00D50EE3" w:rsidP="00D50EE3">
      <w:pPr>
        <w:jc w:val="both"/>
        <w:rPr>
          <w:rFonts w:ascii="Arial" w:hAnsi="Arial" w:cs="Arial"/>
          <w:color w:val="000000"/>
          <w:sz w:val="20"/>
        </w:rPr>
      </w:pPr>
    </w:p>
    <w:p w14:paraId="3B4CB155" w14:textId="530962A8" w:rsidR="00D50EE3" w:rsidRDefault="00BA0CCD" w:rsidP="00393F05">
      <w:pPr>
        <w:spacing w:after="60"/>
        <w:jc w:val="both"/>
        <w:rPr>
          <w:rFonts w:ascii="Arial" w:hAnsi="Arial" w:cs="Arial"/>
          <w:color w:val="000000"/>
          <w:sz w:val="20"/>
        </w:rPr>
      </w:pPr>
      <w:r>
        <w:rPr>
          <w:rFonts w:ascii="Arial" w:hAnsi="Arial" w:cs="Arial"/>
          <w:color w:val="000000"/>
          <w:sz w:val="20"/>
        </w:rPr>
        <w:t>Under the heading “</w:t>
      </w:r>
      <w:r w:rsidRPr="00BA0CCD">
        <w:rPr>
          <w:rFonts w:ascii="Arial" w:hAnsi="Arial" w:cs="Arial"/>
          <w:b/>
          <w:bCs/>
          <w:color w:val="000000"/>
          <w:sz w:val="20"/>
        </w:rPr>
        <w:t>Enforcement of infringement notices</w:t>
      </w:r>
      <w:r>
        <w:rPr>
          <w:rFonts w:ascii="Arial" w:hAnsi="Arial" w:cs="Arial"/>
          <w:color w:val="000000"/>
          <w:sz w:val="20"/>
        </w:rPr>
        <w:t>” the contents of Part 17.2 (ss.725-741) are:</w:t>
      </w:r>
    </w:p>
    <w:tbl>
      <w:tblPr>
        <w:tblStyle w:val="TableGrid"/>
        <w:tblW w:w="9071" w:type="dxa"/>
        <w:tblLook w:val="04A0" w:firstRow="1" w:lastRow="0" w:firstColumn="1" w:lastColumn="0" w:noHBand="0" w:noVBand="1"/>
      </w:tblPr>
      <w:tblGrid>
        <w:gridCol w:w="567"/>
        <w:gridCol w:w="8504"/>
      </w:tblGrid>
      <w:tr w:rsidR="00393F05" w14:paraId="4E66C728" w14:textId="77777777" w:rsidTr="00393F05">
        <w:tc>
          <w:tcPr>
            <w:tcW w:w="567" w:type="dxa"/>
          </w:tcPr>
          <w:p w14:paraId="2ED256D4" w14:textId="22EF459F" w:rsidR="00393F05" w:rsidRDefault="00393F05" w:rsidP="00393F05">
            <w:pPr>
              <w:jc w:val="center"/>
              <w:rPr>
                <w:rFonts w:ascii="Arial" w:hAnsi="Arial" w:cs="Arial"/>
                <w:color w:val="000000"/>
                <w:sz w:val="20"/>
              </w:rPr>
            </w:pPr>
            <w:r>
              <w:rPr>
                <w:rFonts w:ascii="Arial" w:hAnsi="Arial" w:cs="Arial"/>
                <w:color w:val="000000"/>
                <w:sz w:val="20"/>
              </w:rPr>
              <w:t>725</w:t>
            </w:r>
          </w:p>
        </w:tc>
        <w:tc>
          <w:tcPr>
            <w:tcW w:w="8504" w:type="dxa"/>
          </w:tcPr>
          <w:p w14:paraId="5659CEFE" w14:textId="16F67CAA" w:rsidR="00393F05" w:rsidRDefault="00393F05" w:rsidP="00393F05">
            <w:pPr>
              <w:jc w:val="both"/>
              <w:rPr>
                <w:rFonts w:ascii="Arial" w:hAnsi="Arial" w:cs="Arial"/>
                <w:color w:val="000000"/>
                <w:sz w:val="20"/>
              </w:rPr>
            </w:pPr>
            <w:r w:rsidRPr="00393F05">
              <w:rPr>
                <w:rFonts w:ascii="Arial" w:hAnsi="Arial" w:cs="Arial"/>
                <w:noProof/>
                <w:sz w:val="20"/>
                <w:szCs w:val="20"/>
              </w:rPr>
              <w:t>Enforcement agency to provide documents for registration of infringement penalty</w:t>
            </w:r>
          </w:p>
        </w:tc>
      </w:tr>
      <w:tr w:rsidR="00393F05" w14:paraId="0E32173B" w14:textId="77777777" w:rsidTr="00393F05">
        <w:tc>
          <w:tcPr>
            <w:tcW w:w="567" w:type="dxa"/>
          </w:tcPr>
          <w:p w14:paraId="57F31E0D" w14:textId="0C4442E9" w:rsidR="00393F05" w:rsidRDefault="00393F05" w:rsidP="00393F05">
            <w:pPr>
              <w:jc w:val="center"/>
              <w:rPr>
                <w:rFonts w:ascii="Arial" w:hAnsi="Arial" w:cs="Arial"/>
                <w:color w:val="000000"/>
                <w:sz w:val="20"/>
              </w:rPr>
            </w:pPr>
            <w:r>
              <w:rPr>
                <w:rFonts w:ascii="Arial" w:hAnsi="Arial" w:cs="Arial"/>
                <w:color w:val="000000"/>
                <w:sz w:val="20"/>
              </w:rPr>
              <w:t>726</w:t>
            </w:r>
          </w:p>
        </w:tc>
        <w:tc>
          <w:tcPr>
            <w:tcW w:w="8504" w:type="dxa"/>
          </w:tcPr>
          <w:p w14:paraId="24D4AE5E" w14:textId="0B3696F5" w:rsidR="00393F05" w:rsidRDefault="00393F05" w:rsidP="00393F05">
            <w:pPr>
              <w:jc w:val="both"/>
              <w:rPr>
                <w:rFonts w:ascii="Arial" w:hAnsi="Arial" w:cs="Arial"/>
                <w:color w:val="000000"/>
                <w:sz w:val="20"/>
              </w:rPr>
            </w:pPr>
            <w:r w:rsidRPr="00393F05">
              <w:rPr>
                <w:rFonts w:ascii="Arial" w:hAnsi="Arial" w:cs="Arial"/>
                <w:noProof/>
                <w:sz w:val="20"/>
                <w:szCs w:val="20"/>
              </w:rPr>
              <w:t>Registration of infringement penalty</w:t>
            </w:r>
          </w:p>
        </w:tc>
      </w:tr>
      <w:tr w:rsidR="00393F05" w14:paraId="6CA2E998" w14:textId="77777777" w:rsidTr="00393F05">
        <w:tc>
          <w:tcPr>
            <w:tcW w:w="567" w:type="dxa"/>
          </w:tcPr>
          <w:p w14:paraId="32B1E60F" w14:textId="2F3E8EB2" w:rsidR="00393F05" w:rsidRDefault="00393F05" w:rsidP="00393F05">
            <w:pPr>
              <w:jc w:val="center"/>
              <w:rPr>
                <w:rFonts w:ascii="Arial" w:hAnsi="Arial" w:cs="Arial"/>
                <w:color w:val="000000"/>
                <w:sz w:val="20"/>
              </w:rPr>
            </w:pPr>
            <w:r>
              <w:rPr>
                <w:rFonts w:ascii="Arial" w:hAnsi="Arial" w:cs="Arial"/>
                <w:color w:val="000000"/>
                <w:sz w:val="20"/>
              </w:rPr>
              <w:t>727</w:t>
            </w:r>
          </w:p>
        </w:tc>
        <w:tc>
          <w:tcPr>
            <w:tcW w:w="8504" w:type="dxa"/>
          </w:tcPr>
          <w:p w14:paraId="6DD3AD0E" w14:textId="2DF29B89" w:rsidR="00393F05" w:rsidRDefault="00393F05" w:rsidP="00393F05">
            <w:pPr>
              <w:jc w:val="both"/>
              <w:rPr>
                <w:rFonts w:ascii="Arial" w:hAnsi="Arial" w:cs="Arial"/>
                <w:color w:val="000000"/>
                <w:sz w:val="20"/>
              </w:rPr>
            </w:pPr>
            <w:r w:rsidRPr="00393F05">
              <w:rPr>
                <w:rFonts w:ascii="Arial" w:hAnsi="Arial" w:cs="Arial"/>
                <w:noProof/>
                <w:sz w:val="20"/>
                <w:szCs w:val="20"/>
              </w:rPr>
              <w:t>Multiple registered infringement penalties may be dealt with together</w:t>
            </w:r>
          </w:p>
        </w:tc>
      </w:tr>
      <w:tr w:rsidR="00393F05" w14:paraId="5D58B949" w14:textId="77777777" w:rsidTr="00393F05">
        <w:tc>
          <w:tcPr>
            <w:tcW w:w="567" w:type="dxa"/>
          </w:tcPr>
          <w:p w14:paraId="40E861A2" w14:textId="26C71E72" w:rsidR="00393F05" w:rsidRDefault="00393F05" w:rsidP="00393F05">
            <w:pPr>
              <w:jc w:val="center"/>
              <w:rPr>
                <w:rFonts w:ascii="Arial" w:hAnsi="Arial" w:cs="Arial"/>
                <w:color w:val="000000"/>
                <w:sz w:val="20"/>
              </w:rPr>
            </w:pPr>
            <w:r>
              <w:rPr>
                <w:rFonts w:ascii="Arial" w:hAnsi="Arial" w:cs="Arial"/>
                <w:color w:val="000000"/>
                <w:sz w:val="20"/>
              </w:rPr>
              <w:t>728</w:t>
            </w:r>
          </w:p>
        </w:tc>
        <w:tc>
          <w:tcPr>
            <w:tcW w:w="8504" w:type="dxa"/>
          </w:tcPr>
          <w:p w14:paraId="2DF64F9B" w14:textId="2ED55F92" w:rsidR="00393F05" w:rsidRDefault="00393F05" w:rsidP="00393F05">
            <w:pPr>
              <w:jc w:val="both"/>
              <w:rPr>
                <w:rFonts w:ascii="Arial" w:hAnsi="Arial" w:cs="Arial"/>
                <w:color w:val="000000"/>
                <w:sz w:val="20"/>
              </w:rPr>
            </w:pPr>
            <w:r w:rsidRPr="00393F05">
              <w:rPr>
                <w:rFonts w:ascii="Arial" w:hAnsi="Arial" w:cs="Arial"/>
                <w:noProof/>
                <w:sz w:val="20"/>
                <w:szCs w:val="20"/>
              </w:rPr>
              <w:t>Extended period for registration if work and development permit cancelled</w:t>
            </w:r>
          </w:p>
        </w:tc>
      </w:tr>
      <w:tr w:rsidR="00393F05" w14:paraId="0EAAD9D5" w14:textId="77777777" w:rsidTr="00393F05">
        <w:tc>
          <w:tcPr>
            <w:tcW w:w="567" w:type="dxa"/>
          </w:tcPr>
          <w:p w14:paraId="2FC90667" w14:textId="7AACF555" w:rsidR="00393F05" w:rsidRDefault="00393F05" w:rsidP="00393F05">
            <w:pPr>
              <w:jc w:val="center"/>
              <w:rPr>
                <w:rFonts w:ascii="Arial" w:hAnsi="Arial" w:cs="Arial"/>
                <w:color w:val="000000"/>
                <w:sz w:val="20"/>
              </w:rPr>
            </w:pPr>
            <w:r>
              <w:rPr>
                <w:rFonts w:ascii="Arial" w:hAnsi="Arial" w:cs="Arial"/>
                <w:color w:val="000000"/>
                <w:sz w:val="20"/>
              </w:rPr>
              <w:t>729</w:t>
            </w:r>
          </w:p>
        </w:tc>
        <w:tc>
          <w:tcPr>
            <w:tcW w:w="8504" w:type="dxa"/>
          </w:tcPr>
          <w:p w14:paraId="4E0771F0" w14:textId="4C465E31" w:rsidR="00393F05" w:rsidRDefault="00393F05" w:rsidP="00393F05">
            <w:pPr>
              <w:jc w:val="both"/>
              <w:rPr>
                <w:rFonts w:ascii="Arial" w:hAnsi="Arial" w:cs="Arial"/>
                <w:color w:val="000000"/>
                <w:sz w:val="20"/>
              </w:rPr>
            </w:pPr>
            <w:r w:rsidRPr="00393F05">
              <w:rPr>
                <w:rFonts w:ascii="Arial" w:hAnsi="Arial" w:cs="Arial"/>
                <w:noProof/>
                <w:sz w:val="20"/>
                <w:szCs w:val="20"/>
              </w:rPr>
              <w:t>Enforcement agency may request cancellation of registration</w:t>
            </w:r>
          </w:p>
        </w:tc>
      </w:tr>
      <w:tr w:rsidR="00393F05" w14:paraId="380C7E62" w14:textId="77777777" w:rsidTr="00393F05">
        <w:tc>
          <w:tcPr>
            <w:tcW w:w="567" w:type="dxa"/>
          </w:tcPr>
          <w:p w14:paraId="4B738B75" w14:textId="3F7FEB7B" w:rsidR="00393F05" w:rsidRDefault="00393F05" w:rsidP="00393F05">
            <w:pPr>
              <w:jc w:val="center"/>
              <w:rPr>
                <w:rFonts w:ascii="Arial" w:hAnsi="Arial" w:cs="Arial"/>
                <w:color w:val="000000"/>
                <w:sz w:val="20"/>
              </w:rPr>
            </w:pPr>
            <w:r>
              <w:rPr>
                <w:rFonts w:ascii="Arial" w:hAnsi="Arial" w:cs="Arial"/>
                <w:color w:val="000000"/>
                <w:sz w:val="20"/>
              </w:rPr>
              <w:t>730</w:t>
            </w:r>
          </w:p>
        </w:tc>
        <w:tc>
          <w:tcPr>
            <w:tcW w:w="8504" w:type="dxa"/>
          </w:tcPr>
          <w:p w14:paraId="2AB9E17F" w14:textId="408BCC3D" w:rsidR="00393F05" w:rsidRDefault="00393F05" w:rsidP="00393F05">
            <w:pPr>
              <w:jc w:val="both"/>
              <w:rPr>
                <w:rFonts w:ascii="Arial" w:hAnsi="Arial" w:cs="Arial"/>
                <w:color w:val="000000"/>
                <w:sz w:val="20"/>
              </w:rPr>
            </w:pPr>
            <w:r w:rsidRPr="00393F05">
              <w:rPr>
                <w:rFonts w:ascii="Arial" w:hAnsi="Arial" w:cs="Arial"/>
                <w:noProof/>
                <w:sz w:val="20"/>
                <w:szCs w:val="20"/>
              </w:rPr>
              <w:t>Notice of registration</w:t>
            </w:r>
          </w:p>
        </w:tc>
      </w:tr>
      <w:tr w:rsidR="00393F05" w14:paraId="2C6CDFA7" w14:textId="77777777" w:rsidTr="00393F05">
        <w:tc>
          <w:tcPr>
            <w:tcW w:w="567" w:type="dxa"/>
          </w:tcPr>
          <w:p w14:paraId="1959707F" w14:textId="3AF0181B" w:rsidR="00393F05" w:rsidRDefault="00393F05" w:rsidP="00393F05">
            <w:pPr>
              <w:jc w:val="center"/>
              <w:rPr>
                <w:rFonts w:ascii="Arial" w:hAnsi="Arial" w:cs="Arial"/>
                <w:color w:val="000000"/>
                <w:sz w:val="20"/>
              </w:rPr>
            </w:pPr>
            <w:r>
              <w:rPr>
                <w:rFonts w:ascii="Arial" w:hAnsi="Arial" w:cs="Arial"/>
                <w:color w:val="000000"/>
                <w:sz w:val="20"/>
              </w:rPr>
              <w:t>731</w:t>
            </w:r>
          </w:p>
        </w:tc>
        <w:tc>
          <w:tcPr>
            <w:tcW w:w="8504" w:type="dxa"/>
          </w:tcPr>
          <w:p w14:paraId="173D798D" w14:textId="5EE3D9D0" w:rsidR="00393F05" w:rsidRDefault="00393F05" w:rsidP="00393F05">
            <w:pPr>
              <w:jc w:val="both"/>
              <w:rPr>
                <w:rFonts w:ascii="Arial" w:hAnsi="Arial" w:cs="Arial"/>
                <w:color w:val="000000"/>
                <w:sz w:val="20"/>
              </w:rPr>
            </w:pPr>
            <w:r>
              <w:rPr>
                <w:rFonts w:ascii="Arial" w:hAnsi="Arial" w:cs="Arial"/>
                <w:color w:val="000000"/>
                <w:sz w:val="20"/>
              </w:rPr>
              <w:t>Child’s options</w:t>
            </w:r>
          </w:p>
        </w:tc>
      </w:tr>
      <w:tr w:rsidR="00393F05" w14:paraId="49E6B74E" w14:textId="77777777" w:rsidTr="00393F05">
        <w:tc>
          <w:tcPr>
            <w:tcW w:w="567" w:type="dxa"/>
          </w:tcPr>
          <w:p w14:paraId="1AC1CF82" w14:textId="14738651" w:rsidR="00393F05" w:rsidRDefault="00393F05" w:rsidP="00393F05">
            <w:pPr>
              <w:jc w:val="center"/>
              <w:rPr>
                <w:rFonts w:ascii="Arial" w:hAnsi="Arial" w:cs="Arial"/>
                <w:color w:val="000000"/>
                <w:sz w:val="20"/>
              </w:rPr>
            </w:pPr>
            <w:r>
              <w:rPr>
                <w:rFonts w:ascii="Arial" w:hAnsi="Arial" w:cs="Arial"/>
                <w:color w:val="000000"/>
                <w:sz w:val="20"/>
              </w:rPr>
              <w:t>732</w:t>
            </w:r>
          </w:p>
        </w:tc>
        <w:tc>
          <w:tcPr>
            <w:tcW w:w="8504" w:type="dxa"/>
          </w:tcPr>
          <w:p w14:paraId="18427DF4" w14:textId="628202F5" w:rsidR="00393F05" w:rsidRDefault="00393F05" w:rsidP="00393F05">
            <w:pPr>
              <w:jc w:val="both"/>
              <w:rPr>
                <w:rFonts w:ascii="Arial" w:hAnsi="Arial" w:cs="Arial"/>
                <w:color w:val="000000"/>
                <w:sz w:val="20"/>
              </w:rPr>
            </w:pPr>
            <w:r w:rsidRPr="00393F05">
              <w:rPr>
                <w:rFonts w:ascii="Arial" w:hAnsi="Arial" w:cs="Arial"/>
                <w:noProof/>
                <w:sz w:val="20"/>
                <w:szCs w:val="20"/>
              </w:rPr>
              <w:t>Applications concerning extended time to pay registered amount</w:t>
            </w:r>
          </w:p>
        </w:tc>
      </w:tr>
      <w:tr w:rsidR="00393F05" w14:paraId="6DC3CD0D" w14:textId="77777777" w:rsidTr="00393F05">
        <w:tc>
          <w:tcPr>
            <w:tcW w:w="567" w:type="dxa"/>
          </w:tcPr>
          <w:p w14:paraId="5732A8C3" w14:textId="62E518C0" w:rsidR="00393F05" w:rsidRDefault="00393F05" w:rsidP="00393F05">
            <w:pPr>
              <w:jc w:val="center"/>
              <w:rPr>
                <w:rFonts w:ascii="Arial" w:hAnsi="Arial" w:cs="Arial"/>
                <w:color w:val="000000"/>
                <w:sz w:val="20"/>
              </w:rPr>
            </w:pPr>
            <w:r>
              <w:rPr>
                <w:rFonts w:ascii="Arial" w:hAnsi="Arial" w:cs="Arial"/>
                <w:color w:val="000000"/>
                <w:sz w:val="20"/>
              </w:rPr>
              <w:t>733</w:t>
            </w:r>
          </w:p>
        </w:tc>
        <w:tc>
          <w:tcPr>
            <w:tcW w:w="8504" w:type="dxa"/>
          </w:tcPr>
          <w:p w14:paraId="4D81205F" w14:textId="08CBA012" w:rsidR="00393F05" w:rsidRDefault="00393F05" w:rsidP="00393F05">
            <w:pPr>
              <w:jc w:val="both"/>
              <w:rPr>
                <w:rFonts w:ascii="Arial" w:hAnsi="Arial" w:cs="Arial"/>
                <w:color w:val="000000"/>
                <w:sz w:val="20"/>
              </w:rPr>
            </w:pPr>
            <w:r w:rsidRPr="00393F05">
              <w:rPr>
                <w:rFonts w:ascii="Arial" w:hAnsi="Arial" w:cs="Arial"/>
                <w:noProof/>
                <w:sz w:val="20"/>
                <w:szCs w:val="20"/>
              </w:rPr>
              <w:t>Registrar's enforcement decision</w:t>
            </w:r>
          </w:p>
        </w:tc>
      </w:tr>
      <w:tr w:rsidR="00393F05" w14:paraId="34F75F2E" w14:textId="77777777" w:rsidTr="00393F05">
        <w:tc>
          <w:tcPr>
            <w:tcW w:w="567" w:type="dxa"/>
          </w:tcPr>
          <w:p w14:paraId="4CF9E8AB" w14:textId="2B1797CC" w:rsidR="00393F05" w:rsidRDefault="00393F05" w:rsidP="00393F05">
            <w:pPr>
              <w:jc w:val="center"/>
              <w:rPr>
                <w:rFonts w:ascii="Arial" w:hAnsi="Arial" w:cs="Arial"/>
                <w:color w:val="000000"/>
                <w:sz w:val="20"/>
              </w:rPr>
            </w:pPr>
            <w:r>
              <w:rPr>
                <w:rFonts w:ascii="Arial" w:hAnsi="Arial" w:cs="Arial"/>
                <w:color w:val="000000"/>
                <w:sz w:val="20"/>
              </w:rPr>
              <w:t>734</w:t>
            </w:r>
          </w:p>
        </w:tc>
        <w:tc>
          <w:tcPr>
            <w:tcW w:w="8504" w:type="dxa"/>
          </w:tcPr>
          <w:p w14:paraId="2A5FB6DF" w14:textId="433FA8B8" w:rsidR="00393F05" w:rsidRDefault="00393F05" w:rsidP="00393F05">
            <w:pPr>
              <w:jc w:val="both"/>
              <w:rPr>
                <w:rFonts w:ascii="Arial" w:hAnsi="Arial" w:cs="Arial"/>
                <w:color w:val="000000"/>
                <w:sz w:val="20"/>
              </w:rPr>
            </w:pPr>
            <w:r w:rsidRPr="00393F05">
              <w:rPr>
                <w:rFonts w:ascii="Arial" w:hAnsi="Arial" w:cs="Arial"/>
                <w:noProof/>
                <w:sz w:val="20"/>
                <w:szCs w:val="20"/>
              </w:rPr>
              <w:t>Notice of enforcement decision</w:t>
            </w:r>
          </w:p>
        </w:tc>
      </w:tr>
      <w:tr w:rsidR="00393F05" w14:paraId="4196A248" w14:textId="77777777" w:rsidTr="00393F05">
        <w:tc>
          <w:tcPr>
            <w:tcW w:w="567" w:type="dxa"/>
          </w:tcPr>
          <w:p w14:paraId="344F1FEC" w14:textId="0CF39753" w:rsidR="00393F05" w:rsidRDefault="00393F05" w:rsidP="00393F05">
            <w:pPr>
              <w:jc w:val="center"/>
              <w:rPr>
                <w:rFonts w:ascii="Arial" w:hAnsi="Arial" w:cs="Arial"/>
                <w:color w:val="000000"/>
                <w:sz w:val="20"/>
              </w:rPr>
            </w:pPr>
            <w:r>
              <w:rPr>
                <w:rFonts w:ascii="Arial" w:hAnsi="Arial" w:cs="Arial"/>
                <w:color w:val="000000"/>
                <w:sz w:val="20"/>
              </w:rPr>
              <w:t>735</w:t>
            </w:r>
          </w:p>
        </w:tc>
        <w:tc>
          <w:tcPr>
            <w:tcW w:w="8504" w:type="dxa"/>
          </w:tcPr>
          <w:p w14:paraId="5A887FAB" w14:textId="75F8DDA2" w:rsidR="00393F05" w:rsidRDefault="00393F05" w:rsidP="00393F05">
            <w:pPr>
              <w:jc w:val="both"/>
              <w:rPr>
                <w:rFonts w:ascii="Arial" w:hAnsi="Arial" w:cs="Arial"/>
                <w:color w:val="000000"/>
                <w:sz w:val="20"/>
              </w:rPr>
            </w:pPr>
            <w:r w:rsidRPr="00393F05">
              <w:rPr>
                <w:rFonts w:ascii="Arial" w:hAnsi="Arial" w:cs="Arial"/>
                <w:noProof/>
                <w:sz w:val="20"/>
                <w:szCs w:val="20"/>
              </w:rPr>
              <w:t>Court review of CAYPINS enforcement order</w:t>
            </w:r>
          </w:p>
        </w:tc>
      </w:tr>
      <w:tr w:rsidR="00393F05" w14:paraId="6AA07B1A" w14:textId="77777777" w:rsidTr="00393F05">
        <w:tc>
          <w:tcPr>
            <w:tcW w:w="567" w:type="dxa"/>
          </w:tcPr>
          <w:p w14:paraId="19AABACE" w14:textId="733ACAC0" w:rsidR="00393F05" w:rsidRDefault="00393F05" w:rsidP="00393F05">
            <w:pPr>
              <w:jc w:val="center"/>
              <w:rPr>
                <w:rFonts w:ascii="Arial" w:hAnsi="Arial" w:cs="Arial"/>
                <w:color w:val="000000"/>
                <w:sz w:val="20"/>
              </w:rPr>
            </w:pPr>
            <w:r>
              <w:rPr>
                <w:rFonts w:ascii="Arial" w:hAnsi="Arial" w:cs="Arial"/>
                <w:color w:val="000000"/>
                <w:sz w:val="20"/>
              </w:rPr>
              <w:t>736</w:t>
            </w:r>
          </w:p>
        </w:tc>
        <w:tc>
          <w:tcPr>
            <w:tcW w:w="8504" w:type="dxa"/>
          </w:tcPr>
          <w:p w14:paraId="45CD28BB" w14:textId="42AEDF3D" w:rsidR="00393F05" w:rsidRDefault="00393F05" w:rsidP="00393F05">
            <w:pPr>
              <w:jc w:val="both"/>
              <w:rPr>
                <w:rFonts w:ascii="Arial" w:hAnsi="Arial" w:cs="Arial"/>
                <w:color w:val="000000"/>
                <w:sz w:val="20"/>
              </w:rPr>
            </w:pPr>
            <w:r w:rsidRPr="00393F05">
              <w:rPr>
                <w:rFonts w:ascii="Arial" w:hAnsi="Arial" w:cs="Arial"/>
                <w:noProof/>
                <w:sz w:val="20"/>
                <w:szCs w:val="20"/>
              </w:rPr>
              <w:t>Effect of CAYPINS cancellation order</w:t>
            </w:r>
          </w:p>
        </w:tc>
      </w:tr>
      <w:tr w:rsidR="00393F05" w14:paraId="25B4DD2C" w14:textId="77777777" w:rsidTr="00393F05">
        <w:tc>
          <w:tcPr>
            <w:tcW w:w="567" w:type="dxa"/>
          </w:tcPr>
          <w:p w14:paraId="5F7CC6C8" w14:textId="1239575D" w:rsidR="00393F05" w:rsidRDefault="00393F05" w:rsidP="00393F05">
            <w:pPr>
              <w:jc w:val="center"/>
              <w:rPr>
                <w:rFonts w:ascii="Arial" w:hAnsi="Arial" w:cs="Arial"/>
                <w:color w:val="000000"/>
                <w:sz w:val="20"/>
              </w:rPr>
            </w:pPr>
            <w:r>
              <w:rPr>
                <w:rFonts w:ascii="Arial" w:hAnsi="Arial" w:cs="Arial"/>
                <w:color w:val="000000"/>
                <w:sz w:val="20"/>
              </w:rPr>
              <w:t>737</w:t>
            </w:r>
          </w:p>
        </w:tc>
        <w:tc>
          <w:tcPr>
            <w:tcW w:w="8504" w:type="dxa"/>
          </w:tcPr>
          <w:p w14:paraId="50E2BE8C" w14:textId="23A60986" w:rsidR="00393F05" w:rsidRDefault="00393F05" w:rsidP="00393F05">
            <w:pPr>
              <w:jc w:val="both"/>
              <w:rPr>
                <w:rFonts w:ascii="Arial" w:hAnsi="Arial" w:cs="Arial"/>
                <w:color w:val="000000"/>
                <w:sz w:val="20"/>
              </w:rPr>
            </w:pPr>
            <w:r w:rsidRPr="00393F05">
              <w:rPr>
                <w:rFonts w:ascii="Arial" w:hAnsi="Arial" w:cs="Arial"/>
                <w:noProof/>
                <w:sz w:val="20"/>
                <w:szCs w:val="20"/>
              </w:rPr>
              <w:t>CAYPINS enforcement hearing</w:t>
            </w:r>
          </w:p>
        </w:tc>
      </w:tr>
      <w:tr w:rsidR="00393F05" w14:paraId="043E80A3" w14:textId="77777777" w:rsidTr="00393F05">
        <w:tc>
          <w:tcPr>
            <w:tcW w:w="567" w:type="dxa"/>
          </w:tcPr>
          <w:p w14:paraId="6FF0AFC9" w14:textId="7C245558" w:rsidR="00393F05" w:rsidRDefault="00393F05" w:rsidP="00393F05">
            <w:pPr>
              <w:jc w:val="center"/>
              <w:rPr>
                <w:rFonts w:ascii="Arial" w:hAnsi="Arial" w:cs="Arial"/>
                <w:color w:val="000000"/>
                <w:sz w:val="20"/>
              </w:rPr>
            </w:pPr>
            <w:r>
              <w:rPr>
                <w:rFonts w:ascii="Arial" w:hAnsi="Arial" w:cs="Arial"/>
                <w:color w:val="000000"/>
                <w:sz w:val="20"/>
              </w:rPr>
              <w:t>738</w:t>
            </w:r>
          </w:p>
        </w:tc>
        <w:tc>
          <w:tcPr>
            <w:tcW w:w="8504" w:type="dxa"/>
          </w:tcPr>
          <w:p w14:paraId="7F94A302" w14:textId="45F3FB06" w:rsidR="00393F05" w:rsidRDefault="00393F05" w:rsidP="00393F05">
            <w:pPr>
              <w:jc w:val="both"/>
              <w:rPr>
                <w:rFonts w:ascii="Arial" w:hAnsi="Arial" w:cs="Arial"/>
                <w:color w:val="000000"/>
                <w:sz w:val="20"/>
              </w:rPr>
            </w:pPr>
            <w:r w:rsidRPr="00393F05">
              <w:rPr>
                <w:rFonts w:ascii="Arial" w:hAnsi="Arial" w:cs="Arial"/>
                <w:noProof/>
                <w:sz w:val="20"/>
                <w:szCs w:val="20"/>
              </w:rPr>
              <w:t>Effect of orders made under this Part</w:t>
            </w:r>
          </w:p>
        </w:tc>
      </w:tr>
      <w:tr w:rsidR="00393F05" w14:paraId="04574EC2" w14:textId="77777777" w:rsidTr="00393F05">
        <w:tc>
          <w:tcPr>
            <w:tcW w:w="567" w:type="dxa"/>
          </w:tcPr>
          <w:p w14:paraId="67388255" w14:textId="2DDB3372" w:rsidR="00393F05" w:rsidRDefault="00393F05" w:rsidP="00393F05">
            <w:pPr>
              <w:jc w:val="center"/>
              <w:rPr>
                <w:rFonts w:ascii="Arial" w:hAnsi="Arial" w:cs="Arial"/>
                <w:color w:val="000000"/>
                <w:sz w:val="20"/>
              </w:rPr>
            </w:pPr>
            <w:r>
              <w:rPr>
                <w:rFonts w:ascii="Arial" w:hAnsi="Arial" w:cs="Arial"/>
                <w:color w:val="000000"/>
                <w:sz w:val="20"/>
              </w:rPr>
              <w:t>739</w:t>
            </w:r>
          </w:p>
        </w:tc>
        <w:tc>
          <w:tcPr>
            <w:tcW w:w="8504" w:type="dxa"/>
          </w:tcPr>
          <w:p w14:paraId="7DECE698" w14:textId="7405F24F" w:rsidR="00393F05" w:rsidRDefault="00393F05" w:rsidP="00393F05">
            <w:pPr>
              <w:jc w:val="both"/>
              <w:rPr>
                <w:rFonts w:ascii="Arial" w:hAnsi="Arial" w:cs="Arial"/>
                <w:color w:val="000000"/>
                <w:sz w:val="20"/>
              </w:rPr>
            </w:pPr>
            <w:r w:rsidRPr="00393F05">
              <w:rPr>
                <w:rFonts w:ascii="Arial" w:hAnsi="Arial" w:cs="Arial"/>
                <w:noProof/>
                <w:sz w:val="20"/>
                <w:szCs w:val="20"/>
              </w:rPr>
              <w:t>Expiry of CAYPINS enforcement orders and CAYPINS cancellation orders</w:t>
            </w:r>
          </w:p>
        </w:tc>
      </w:tr>
      <w:tr w:rsidR="00393F05" w14:paraId="620DC60D" w14:textId="77777777" w:rsidTr="00393F05">
        <w:tc>
          <w:tcPr>
            <w:tcW w:w="567" w:type="dxa"/>
          </w:tcPr>
          <w:p w14:paraId="55A73872" w14:textId="156159A7" w:rsidR="00393F05" w:rsidRDefault="00393F05" w:rsidP="00393F05">
            <w:pPr>
              <w:jc w:val="center"/>
              <w:rPr>
                <w:rFonts w:ascii="Arial" w:hAnsi="Arial" w:cs="Arial"/>
                <w:color w:val="000000"/>
                <w:sz w:val="20"/>
              </w:rPr>
            </w:pPr>
            <w:r>
              <w:rPr>
                <w:rFonts w:ascii="Arial" w:hAnsi="Arial" w:cs="Arial"/>
                <w:color w:val="000000"/>
                <w:sz w:val="20"/>
              </w:rPr>
              <w:t>740</w:t>
            </w:r>
          </w:p>
        </w:tc>
        <w:tc>
          <w:tcPr>
            <w:tcW w:w="8504" w:type="dxa"/>
          </w:tcPr>
          <w:p w14:paraId="0B2D4070" w14:textId="1EBF2C79" w:rsidR="00393F05" w:rsidRDefault="00393F05" w:rsidP="00393F05">
            <w:pPr>
              <w:jc w:val="both"/>
              <w:rPr>
                <w:rFonts w:ascii="Arial" w:hAnsi="Arial" w:cs="Arial"/>
                <w:color w:val="000000"/>
                <w:sz w:val="20"/>
              </w:rPr>
            </w:pPr>
            <w:r w:rsidRPr="00393F05">
              <w:rPr>
                <w:rFonts w:ascii="Arial" w:hAnsi="Arial" w:cs="Arial"/>
                <w:noProof/>
                <w:sz w:val="20"/>
                <w:szCs w:val="20"/>
              </w:rPr>
              <w:t>Reinstatement of order made under this Part</w:t>
            </w:r>
          </w:p>
        </w:tc>
      </w:tr>
      <w:tr w:rsidR="00393F05" w14:paraId="1D887F8A" w14:textId="77777777" w:rsidTr="00393F05">
        <w:tc>
          <w:tcPr>
            <w:tcW w:w="567" w:type="dxa"/>
          </w:tcPr>
          <w:p w14:paraId="3D6A1330" w14:textId="52B5CEA4" w:rsidR="00393F05" w:rsidRDefault="00393F05" w:rsidP="00393F05">
            <w:pPr>
              <w:jc w:val="center"/>
              <w:rPr>
                <w:rFonts w:ascii="Arial" w:hAnsi="Arial" w:cs="Arial"/>
                <w:color w:val="000000"/>
                <w:sz w:val="20"/>
              </w:rPr>
            </w:pPr>
            <w:r>
              <w:rPr>
                <w:rFonts w:ascii="Arial" w:hAnsi="Arial" w:cs="Arial"/>
                <w:color w:val="000000"/>
                <w:sz w:val="20"/>
              </w:rPr>
              <w:t>741</w:t>
            </w:r>
          </w:p>
        </w:tc>
        <w:tc>
          <w:tcPr>
            <w:tcW w:w="8504" w:type="dxa"/>
          </w:tcPr>
          <w:p w14:paraId="296EDFB2" w14:textId="0E04F448" w:rsidR="00393F05" w:rsidRDefault="00393F05" w:rsidP="00393F05">
            <w:pPr>
              <w:jc w:val="both"/>
              <w:rPr>
                <w:rFonts w:ascii="Arial" w:hAnsi="Arial" w:cs="Arial"/>
                <w:color w:val="000000"/>
                <w:sz w:val="20"/>
              </w:rPr>
            </w:pPr>
            <w:r>
              <w:rPr>
                <w:rFonts w:ascii="Arial" w:hAnsi="Arial" w:cs="Arial"/>
                <w:color w:val="000000"/>
                <w:sz w:val="20"/>
              </w:rPr>
              <w:t>Service of documents</w:t>
            </w:r>
          </w:p>
        </w:tc>
      </w:tr>
    </w:tbl>
    <w:p w14:paraId="5C9A05AA" w14:textId="77777777" w:rsidR="00BA0CCD" w:rsidRDefault="00BA0CCD" w:rsidP="00425863">
      <w:pPr>
        <w:jc w:val="both"/>
        <w:rPr>
          <w:rFonts w:ascii="Arial" w:hAnsi="Arial" w:cs="Arial"/>
          <w:color w:val="000000"/>
          <w:sz w:val="20"/>
        </w:rPr>
      </w:pPr>
    </w:p>
    <w:p w14:paraId="192BB7BB" w14:textId="5C84AC97" w:rsidR="00393F05" w:rsidRDefault="00393F05" w:rsidP="00393F05">
      <w:pPr>
        <w:spacing w:after="60"/>
        <w:jc w:val="both"/>
        <w:rPr>
          <w:rFonts w:ascii="Arial" w:hAnsi="Arial" w:cs="Arial"/>
          <w:color w:val="000000"/>
          <w:sz w:val="20"/>
        </w:rPr>
      </w:pPr>
      <w:r>
        <w:rPr>
          <w:rFonts w:ascii="Arial" w:hAnsi="Arial" w:cs="Arial"/>
          <w:color w:val="000000"/>
          <w:sz w:val="20"/>
        </w:rPr>
        <w:t>Under the heading “</w:t>
      </w:r>
      <w:r>
        <w:rPr>
          <w:rFonts w:ascii="Arial" w:hAnsi="Arial" w:cs="Arial"/>
          <w:b/>
          <w:bCs/>
          <w:color w:val="000000"/>
          <w:sz w:val="20"/>
        </w:rPr>
        <w:t>Cancellation</w:t>
      </w:r>
      <w:r w:rsidRPr="00BA0CCD">
        <w:rPr>
          <w:rFonts w:ascii="Arial" w:hAnsi="Arial" w:cs="Arial"/>
          <w:b/>
          <w:bCs/>
          <w:color w:val="000000"/>
          <w:sz w:val="20"/>
        </w:rPr>
        <w:t xml:space="preserve"> of infringement notice</w:t>
      </w:r>
      <w:r>
        <w:rPr>
          <w:rFonts w:ascii="Arial" w:hAnsi="Arial" w:cs="Arial"/>
          <w:color w:val="000000"/>
          <w:sz w:val="20"/>
        </w:rPr>
        <w:t>” the contents of Part 17.3 (ss.742-743) are:</w:t>
      </w:r>
    </w:p>
    <w:tbl>
      <w:tblPr>
        <w:tblStyle w:val="TableGrid"/>
        <w:tblW w:w="9071" w:type="dxa"/>
        <w:tblLook w:val="04A0" w:firstRow="1" w:lastRow="0" w:firstColumn="1" w:lastColumn="0" w:noHBand="0" w:noVBand="1"/>
      </w:tblPr>
      <w:tblGrid>
        <w:gridCol w:w="567"/>
        <w:gridCol w:w="8504"/>
      </w:tblGrid>
      <w:tr w:rsidR="00393F05" w14:paraId="3AB7D42C" w14:textId="77777777" w:rsidTr="002631C3">
        <w:tc>
          <w:tcPr>
            <w:tcW w:w="567" w:type="dxa"/>
          </w:tcPr>
          <w:p w14:paraId="3D344A70" w14:textId="5054E582" w:rsidR="00393F05" w:rsidRDefault="00393F05" w:rsidP="002631C3">
            <w:pPr>
              <w:jc w:val="center"/>
              <w:rPr>
                <w:rFonts w:ascii="Arial" w:hAnsi="Arial" w:cs="Arial"/>
                <w:color w:val="000000"/>
                <w:sz w:val="20"/>
              </w:rPr>
            </w:pPr>
            <w:r>
              <w:rPr>
                <w:rFonts w:ascii="Arial" w:hAnsi="Arial" w:cs="Arial"/>
                <w:color w:val="000000"/>
                <w:sz w:val="20"/>
              </w:rPr>
              <w:t>742</w:t>
            </w:r>
          </w:p>
        </w:tc>
        <w:tc>
          <w:tcPr>
            <w:tcW w:w="8504" w:type="dxa"/>
          </w:tcPr>
          <w:p w14:paraId="1A188BCC" w14:textId="1474604C" w:rsidR="00393F05" w:rsidRDefault="00393F05" w:rsidP="002631C3">
            <w:pPr>
              <w:jc w:val="both"/>
              <w:rPr>
                <w:rFonts w:ascii="Arial" w:hAnsi="Arial" w:cs="Arial"/>
                <w:color w:val="000000"/>
                <w:sz w:val="20"/>
              </w:rPr>
            </w:pPr>
            <w:r w:rsidRPr="00393F05">
              <w:rPr>
                <w:rFonts w:ascii="Arial" w:hAnsi="Arial" w:cs="Arial"/>
                <w:noProof/>
                <w:sz w:val="20"/>
                <w:szCs w:val="20"/>
              </w:rPr>
              <w:t>Cancellation of infringement notice if child not aware</w:t>
            </w:r>
          </w:p>
        </w:tc>
      </w:tr>
      <w:tr w:rsidR="00393F05" w14:paraId="4AFC6CB4" w14:textId="77777777" w:rsidTr="002631C3">
        <w:tc>
          <w:tcPr>
            <w:tcW w:w="567" w:type="dxa"/>
          </w:tcPr>
          <w:p w14:paraId="39536544" w14:textId="125B16F8" w:rsidR="00393F05" w:rsidRDefault="00393F05" w:rsidP="002631C3">
            <w:pPr>
              <w:jc w:val="center"/>
              <w:rPr>
                <w:rFonts w:ascii="Arial" w:hAnsi="Arial" w:cs="Arial"/>
                <w:color w:val="000000"/>
                <w:sz w:val="20"/>
              </w:rPr>
            </w:pPr>
            <w:r>
              <w:rPr>
                <w:rFonts w:ascii="Arial" w:hAnsi="Arial" w:cs="Arial"/>
                <w:color w:val="000000"/>
                <w:sz w:val="20"/>
              </w:rPr>
              <w:t>743</w:t>
            </w:r>
          </w:p>
        </w:tc>
        <w:tc>
          <w:tcPr>
            <w:tcW w:w="8504" w:type="dxa"/>
          </w:tcPr>
          <w:p w14:paraId="4F60ADE8" w14:textId="05BA2B79" w:rsidR="00393F05" w:rsidRDefault="00393F05" w:rsidP="002631C3">
            <w:pPr>
              <w:jc w:val="both"/>
              <w:rPr>
                <w:rFonts w:ascii="Arial" w:hAnsi="Arial" w:cs="Arial"/>
                <w:color w:val="000000"/>
                <w:sz w:val="20"/>
              </w:rPr>
            </w:pPr>
            <w:r w:rsidRPr="00393F05">
              <w:rPr>
                <w:rFonts w:ascii="Arial" w:hAnsi="Arial" w:cs="Arial"/>
                <w:noProof/>
                <w:sz w:val="20"/>
                <w:szCs w:val="20"/>
              </w:rPr>
              <w:t>Powers of Children's Court to cancel infringement notice</w:t>
            </w:r>
          </w:p>
        </w:tc>
      </w:tr>
    </w:tbl>
    <w:p w14:paraId="7F776270" w14:textId="77777777" w:rsidR="00393F05" w:rsidRDefault="00393F05" w:rsidP="00393F05">
      <w:pPr>
        <w:jc w:val="both"/>
        <w:rPr>
          <w:rFonts w:ascii="Arial" w:hAnsi="Arial" w:cs="Arial"/>
          <w:color w:val="000000"/>
          <w:sz w:val="20"/>
        </w:rPr>
      </w:pPr>
    </w:p>
    <w:p w14:paraId="4D3D5C0C" w14:textId="2DA14452" w:rsidR="00BA0CCD" w:rsidRDefault="00D93188" w:rsidP="00425863">
      <w:pPr>
        <w:jc w:val="both"/>
        <w:rPr>
          <w:rFonts w:ascii="Arial" w:hAnsi="Arial" w:cs="Arial"/>
          <w:color w:val="000000"/>
          <w:sz w:val="20"/>
        </w:rPr>
      </w:pPr>
      <w:r>
        <w:rPr>
          <w:rFonts w:ascii="Arial" w:hAnsi="Arial" w:cs="Arial"/>
          <w:color w:val="000000"/>
          <w:sz w:val="20"/>
        </w:rPr>
        <w:t>Under the heading “</w:t>
      </w:r>
      <w:r w:rsidRPr="00D93188">
        <w:rPr>
          <w:rFonts w:ascii="Arial" w:hAnsi="Arial" w:cs="Arial"/>
          <w:b/>
          <w:bCs/>
          <w:color w:val="000000"/>
          <w:sz w:val="20"/>
        </w:rPr>
        <w:t>Decision to go to Court</w:t>
      </w:r>
      <w:r>
        <w:rPr>
          <w:rFonts w:ascii="Arial" w:hAnsi="Arial" w:cs="Arial"/>
          <w:color w:val="000000"/>
          <w:sz w:val="20"/>
        </w:rPr>
        <w:t>” in Part 17.4, s.744 – under the sub-heading “</w:t>
      </w:r>
      <w:r w:rsidRPr="00D93188">
        <w:rPr>
          <w:rFonts w:ascii="Arial" w:hAnsi="Arial" w:cs="Arial"/>
          <w:b/>
          <w:bCs/>
          <w:color w:val="000000"/>
          <w:sz w:val="20"/>
        </w:rPr>
        <w:t>Commencing proceeding for summary offence</w:t>
      </w:r>
      <w:r>
        <w:rPr>
          <w:rFonts w:ascii="Arial" w:hAnsi="Arial" w:cs="Arial"/>
          <w:color w:val="000000"/>
          <w:sz w:val="20"/>
        </w:rPr>
        <w:t>”:</w:t>
      </w:r>
    </w:p>
    <w:p w14:paraId="509F8C06" w14:textId="64E0F802" w:rsidR="00D93188" w:rsidRPr="00D93188" w:rsidRDefault="00D93188" w:rsidP="00D93188">
      <w:pPr>
        <w:pStyle w:val="ListParagraph"/>
        <w:numPr>
          <w:ilvl w:val="0"/>
          <w:numId w:val="59"/>
        </w:numPr>
        <w:spacing w:after="0" w:line="240" w:lineRule="auto"/>
        <w:ind w:left="357" w:hanging="357"/>
        <w:jc w:val="both"/>
        <w:rPr>
          <w:rFonts w:ascii="Arial" w:hAnsi="Arial" w:cs="Arial"/>
          <w:color w:val="000000"/>
          <w:sz w:val="20"/>
          <w:szCs w:val="20"/>
        </w:rPr>
      </w:pPr>
      <w:r w:rsidRPr="00D93188">
        <w:rPr>
          <w:rFonts w:ascii="Arial" w:hAnsi="Arial" w:cs="Arial"/>
          <w:color w:val="000000"/>
          <w:sz w:val="20"/>
          <w:szCs w:val="20"/>
        </w:rPr>
        <w:t xml:space="preserve">lists in s.744(1) </w:t>
      </w:r>
      <w:r w:rsidRPr="00D93188">
        <w:rPr>
          <w:rFonts w:ascii="Arial" w:hAnsi="Arial" w:cs="Arial"/>
          <w:color w:val="000000" w:themeColor="text1"/>
          <w:sz w:val="20"/>
          <w:szCs w:val="20"/>
        </w:rPr>
        <w:t>the 12 ways and circumstances in which a proceeding in respect of a summary offence for which an infringement notice was issued may be commenced</w:t>
      </w:r>
      <w:r>
        <w:rPr>
          <w:rFonts w:ascii="Arial" w:hAnsi="Arial" w:cs="Arial"/>
          <w:color w:val="000000" w:themeColor="text1"/>
          <w:sz w:val="20"/>
          <w:szCs w:val="20"/>
        </w:rPr>
        <w:t>; and</w:t>
      </w:r>
    </w:p>
    <w:p w14:paraId="3B07FBA5" w14:textId="1B9BB126" w:rsidR="00D93188" w:rsidRPr="00D93188" w:rsidRDefault="00D93188" w:rsidP="00D93188">
      <w:pPr>
        <w:pStyle w:val="ListParagraph"/>
        <w:numPr>
          <w:ilvl w:val="0"/>
          <w:numId w:val="59"/>
        </w:numPr>
        <w:spacing w:after="0" w:line="240" w:lineRule="auto"/>
        <w:ind w:left="357" w:hanging="357"/>
        <w:jc w:val="both"/>
        <w:rPr>
          <w:rFonts w:ascii="Arial" w:hAnsi="Arial" w:cs="Arial"/>
          <w:color w:val="000000"/>
          <w:sz w:val="20"/>
          <w:szCs w:val="20"/>
        </w:rPr>
      </w:pPr>
      <w:r>
        <w:rPr>
          <w:rFonts w:ascii="Arial" w:hAnsi="Arial" w:cs="Arial"/>
          <w:color w:val="000000" w:themeColor="text1"/>
          <w:sz w:val="20"/>
          <w:szCs w:val="20"/>
        </w:rPr>
        <w:t xml:space="preserve">provides in s.744(2) that </w:t>
      </w:r>
      <w:r w:rsidRPr="00D93188">
        <w:rPr>
          <w:rFonts w:ascii="Arial" w:hAnsi="Arial" w:cs="Arial"/>
          <w:color w:val="000000" w:themeColor="text1"/>
          <w:sz w:val="20"/>
          <w:szCs w:val="20"/>
        </w:rPr>
        <w:t>subsection (1) has effect despite</w:t>
      </w:r>
      <w:r>
        <w:rPr>
          <w:rFonts w:ascii="Arial" w:hAnsi="Arial" w:cs="Arial"/>
          <w:color w:val="000000" w:themeColor="text1"/>
          <w:sz w:val="20"/>
          <w:szCs w:val="20"/>
        </w:rPr>
        <w:t xml:space="preserve"> YJA s.148</w:t>
      </w:r>
      <w:r w:rsidRPr="00D93188">
        <w:rPr>
          <w:rFonts w:ascii="Arial" w:hAnsi="Arial" w:cs="Arial"/>
          <w:color w:val="000000" w:themeColor="text1"/>
          <w:sz w:val="20"/>
          <w:szCs w:val="20"/>
        </w:rPr>
        <w:t xml:space="preserve"> or any other provision of any Act or other instrument providing for the period during which a proceeding may be commenced for an offence alleged to have been committed.</w:t>
      </w:r>
    </w:p>
    <w:p w14:paraId="1BC53789" w14:textId="77777777" w:rsidR="005325D1" w:rsidRDefault="005325D1" w:rsidP="005325D1">
      <w:pPr>
        <w:jc w:val="both"/>
        <w:rPr>
          <w:rFonts w:ascii="Arial" w:hAnsi="Arial" w:cs="Arial"/>
          <w:color w:val="000000"/>
          <w:sz w:val="20"/>
        </w:rPr>
      </w:pPr>
    </w:p>
    <w:tbl>
      <w:tblPr>
        <w:tblStyle w:val="TableGrid"/>
        <w:tblW w:w="9128" w:type="dxa"/>
        <w:tblLook w:val="04A0" w:firstRow="1" w:lastRow="0" w:firstColumn="1" w:lastColumn="0" w:noHBand="0" w:noVBand="1"/>
      </w:tblPr>
      <w:tblGrid>
        <w:gridCol w:w="9128"/>
      </w:tblGrid>
      <w:tr w:rsidR="005325D1" w:rsidRPr="00BD4366" w14:paraId="55DF3ABD" w14:textId="77777777" w:rsidTr="002631C3">
        <w:tc>
          <w:tcPr>
            <w:tcW w:w="9128" w:type="dxa"/>
            <w:shd w:val="clear" w:color="auto" w:fill="000000" w:themeFill="text1"/>
          </w:tcPr>
          <w:p w14:paraId="77F0399D" w14:textId="3F875BC9" w:rsidR="005325D1" w:rsidRPr="00BD4366" w:rsidRDefault="005325D1" w:rsidP="002631C3">
            <w:pPr>
              <w:keepNext/>
              <w:keepLines/>
              <w:jc w:val="center"/>
              <w:rPr>
                <w:rFonts w:ascii="Arial" w:hAnsi="Arial" w:cs="Arial"/>
                <w:b/>
                <w:bCs/>
                <w:sz w:val="20"/>
              </w:rPr>
            </w:pPr>
            <w:r>
              <w:rPr>
                <w:rFonts w:ascii="Arial" w:hAnsi="Arial" w:cs="Arial"/>
                <w:b/>
                <w:bCs/>
                <w:sz w:val="20"/>
              </w:rPr>
              <w:t>THE APPLICABILITY OF THE CAYPINS PROCEDURE POST 30/09/2026 TO A CHILD UNDER 15 YEARS OF AGE AT THE DATE OF REGISTRATION OF AN INFRINGEMENT PENALTY</w:t>
            </w:r>
          </w:p>
        </w:tc>
      </w:tr>
    </w:tbl>
    <w:p w14:paraId="6FDD447E" w14:textId="77777777" w:rsidR="005325D1" w:rsidRDefault="005325D1" w:rsidP="005325D1">
      <w:pPr>
        <w:jc w:val="both"/>
        <w:rPr>
          <w:rFonts w:ascii="Arial" w:hAnsi="Arial" w:cs="Arial"/>
          <w:color w:val="000000"/>
          <w:sz w:val="20"/>
        </w:rPr>
      </w:pPr>
    </w:p>
    <w:p w14:paraId="59931E44" w14:textId="37B6DD01" w:rsidR="00C26D72" w:rsidRPr="00C26D72" w:rsidRDefault="00C26D72" w:rsidP="00C26D72">
      <w:pPr>
        <w:jc w:val="both"/>
        <w:rPr>
          <w:rFonts w:ascii="Arial" w:hAnsi="Arial" w:cs="Arial"/>
          <w:color w:val="000000"/>
          <w:sz w:val="16"/>
          <w:szCs w:val="20"/>
        </w:rPr>
      </w:pPr>
      <w:r>
        <w:rPr>
          <w:rFonts w:ascii="Arial" w:hAnsi="Arial" w:cs="Arial"/>
          <w:color w:val="000000"/>
          <w:sz w:val="20"/>
        </w:rPr>
        <w:t xml:space="preserve">There appears to be an inconsistency between the statutory prohibition in s.249(2)(a) YJA against ordering a fine against a child aged under 15 on the day of sentencing and the statutory requirement in ss.722 &amp; 726(1) YJA to register an infringement penalty for enforcement under CAYPINS. However, despite the </w:t>
      </w:r>
      <w:r w:rsidR="004645F9">
        <w:rPr>
          <w:rFonts w:ascii="Arial" w:hAnsi="Arial" w:cs="Arial"/>
          <w:color w:val="000000"/>
          <w:sz w:val="20"/>
        </w:rPr>
        <w:t>clear</w:t>
      </w:r>
      <w:r>
        <w:rPr>
          <w:rFonts w:ascii="Arial" w:hAnsi="Arial" w:cs="Arial"/>
          <w:color w:val="000000"/>
          <w:sz w:val="20"/>
        </w:rPr>
        <w:t xml:space="preserve"> inconsistency, there does not appear to be any relevant ambiguity in the text of Chapter</w:t>
      </w:r>
      <w:r w:rsidR="002D1A20" w:rsidRPr="002D1A20">
        <w:rPr>
          <w:rFonts w:ascii="Arial" w:hAnsi="Arial" w:cs="Arial"/>
          <w:color w:val="FFFFFF" w:themeColor="background1"/>
          <w:sz w:val="20"/>
        </w:rPr>
        <w:t> </w:t>
      </w:r>
      <w:r>
        <w:rPr>
          <w:rFonts w:ascii="Arial" w:hAnsi="Arial" w:cs="Arial"/>
          <w:color w:val="000000"/>
          <w:sz w:val="20"/>
        </w:rPr>
        <w:t xml:space="preserve">17 </w:t>
      </w:r>
      <w:r w:rsidRPr="00C26D72">
        <w:rPr>
          <w:rFonts w:ascii="Arial" w:hAnsi="Arial" w:cs="Arial"/>
          <w:sz w:val="20"/>
          <w:szCs w:val="20"/>
        </w:rPr>
        <w:t>YJA.</w:t>
      </w:r>
    </w:p>
    <w:p w14:paraId="42F3E21A" w14:textId="77777777" w:rsidR="00C26D72" w:rsidRPr="005C2371" w:rsidRDefault="00C26D72" w:rsidP="005325D1">
      <w:pPr>
        <w:jc w:val="both"/>
        <w:rPr>
          <w:rFonts w:ascii="Arial" w:hAnsi="Arial" w:cs="Arial"/>
          <w:color w:val="000000"/>
          <w:sz w:val="20"/>
        </w:rPr>
      </w:pPr>
    </w:p>
    <w:p w14:paraId="16C15F20" w14:textId="01BB9A0A" w:rsidR="005325D1" w:rsidRDefault="005325D1" w:rsidP="002D1A20">
      <w:pPr>
        <w:jc w:val="both"/>
        <w:rPr>
          <w:rFonts w:ascii="Arial" w:hAnsi="Arial" w:cs="Arial"/>
          <w:color w:val="000000"/>
          <w:sz w:val="20"/>
        </w:rPr>
      </w:pPr>
      <w:r>
        <w:rPr>
          <w:rFonts w:ascii="Arial" w:hAnsi="Arial" w:cs="Arial"/>
          <w:color w:val="000000"/>
          <w:sz w:val="20"/>
        </w:rPr>
        <w:t>Under s.249(2) of the YJA the Children’s Court must not impose a fine on a child unless–</w:t>
      </w:r>
    </w:p>
    <w:p w14:paraId="0E334EFA" w14:textId="4965FC18" w:rsidR="005325D1" w:rsidRDefault="005325D1">
      <w:pPr>
        <w:pStyle w:val="ListParagraph"/>
        <w:numPr>
          <w:ilvl w:val="0"/>
          <w:numId w:val="117"/>
        </w:numPr>
        <w:spacing w:after="0" w:line="240" w:lineRule="auto"/>
        <w:ind w:left="357" w:hanging="357"/>
        <w:jc w:val="both"/>
        <w:rPr>
          <w:rFonts w:ascii="Arial" w:hAnsi="Arial" w:cs="Arial"/>
          <w:color w:val="000000"/>
          <w:sz w:val="20"/>
        </w:rPr>
      </w:pPr>
      <w:r>
        <w:rPr>
          <w:rFonts w:ascii="Arial" w:hAnsi="Arial" w:cs="Arial"/>
          <w:color w:val="000000"/>
          <w:sz w:val="20"/>
        </w:rPr>
        <w:t>the child is 15 years of age or over on the day of sentencing; and</w:t>
      </w:r>
    </w:p>
    <w:p w14:paraId="5254580B" w14:textId="3AF437AA" w:rsidR="005325D1" w:rsidRPr="005325D1" w:rsidRDefault="005325D1">
      <w:pPr>
        <w:pStyle w:val="ListParagraph"/>
        <w:numPr>
          <w:ilvl w:val="0"/>
          <w:numId w:val="117"/>
        </w:numPr>
        <w:spacing w:after="0" w:line="240" w:lineRule="auto"/>
        <w:ind w:left="357" w:hanging="357"/>
        <w:contextualSpacing w:val="0"/>
        <w:jc w:val="both"/>
        <w:rPr>
          <w:rFonts w:ascii="Arial" w:hAnsi="Arial" w:cs="Arial"/>
          <w:color w:val="000000"/>
          <w:sz w:val="20"/>
        </w:rPr>
      </w:pPr>
      <w:r>
        <w:rPr>
          <w:rFonts w:ascii="Arial" w:hAnsi="Arial" w:cs="Arial"/>
          <w:color w:val="000000"/>
          <w:sz w:val="20"/>
        </w:rPr>
        <w:t>the Court is satisfied that the child has the means and capacity to pay a fine.</w:t>
      </w:r>
    </w:p>
    <w:p w14:paraId="3447D91D" w14:textId="77777777" w:rsidR="005325D1" w:rsidRDefault="005325D1" w:rsidP="005325D1">
      <w:pPr>
        <w:jc w:val="both"/>
        <w:rPr>
          <w:rFonts w:ascii="Arial" w:hAnsi="Arial" w:cs="Arial"/>
          <w:sz w:val="20"/>
          <w:szCs w:val="20"/>
        </w:rPr>
      </w:pPr>
    </w:p>
    <w:p w14:paraId="3C91D9F8" w14:textId="5D6FBBE4" w:rsidR="005325D1" w:rsidRPr="005325D1" w:rsidRDefault="005325D1" w:rsidP="005325D1">
      <w:pPr>
        <w:jc w:val="both"/>
        <w:rPr>
          <w:rFonts w:ascii="Arial" w:hAnsi="Arial" w:cs="Arial"/>
          <w:sz w:val="20"/>
          <w:szCs w:val="20"/>
        </w:rPr>
      </w:pPr>
      <w:r w:rsidRPr="005325D1">
        <w:rPr>
          <w:rFonts w:ascii="Arial" w:hAnsi="Arial" w:cs="Arial"/>
          <w:sz w:val="20"/>
          <w:szCs w:val="20"/>
        </w:rPr>
        <w:t xml:space="preserve">However, s.249(2) expressly refers to a </w:t>
      </w:r>
      <w:r w:rsidRPr="005325D1">
        <w:rPr>
          <w:rFonts w:ascii="Arial" w:hAnsi="Arial" w:cs="Arial"/>
          <w:b/>
          <w:bCs/>
          <w:sz w:val="20"/>
          <w:szCs w:val="20"/>
        </w:rPr>
        <w:t xml:space="preserve">fine </w:t>
      </w:r>
      <w:r w:rsidRPr="005325D1">
        <w:rPr>
          <w:rFonts w:ascii="Arial" w:hAnsi="Arial" w:cs="Arial"/>
          <w:sz w:val="20"/>
          <w:szCs w:val="20"/>
        </w:rPr>
        <w:t xml:space="preserve">as a </w:t>
      </w:r>
      <w:r w:rsidRPr="005325D1">
        <w:rPr>
          <w:rFonts w:ascii="Arial" w:hAnsi="Arial" w:cs="Arial"/>
          <w:b/>
          <w:bCs/>
          <w:sz w:val="20"/>
          <w:szCs w:val="20"/>
        </w:rPr>
        <w:t>sentence</w:t>
      </w:r>
      <w:r w:rsidRPr="005325D1">
        <w:rPr>
          <w:rFonts w:ascii="Arial" w:hAnsi="Arial" w:cs="Arial"/>
          <w:sz w:val="20"/>
          <w:szCs w:val="20"/>
        </w:rPr>
        <w:t xml:space="preserve">, in contrast with the CAYPINS infringement notice process defined in Chapter 17 YJA. So, </w:t>
      </w:r>
      <w:r>
        <w:rPr>
          <w:rFonts w:ascii="Arial" w:hAnsi="Arial" w:cs="Arial"/>
          <w:sz w:val="20"/>
          <w:szCs w:val="20"/>
        </w:rPr>
        <w:t>it is probable that</w:t>
      </w:r>
      <w:r w:rsidRPr="005325D1">
        <w:rPr>
          <w:rFonts w:ascii="Arial" w:hAnsi="Arial" w:cs="Arial"/>
          <w:sz w:val="20"/>
          <w:szCs w:val="20"/>
        </w:rPr>
        <w:t xml:space="preserve"> s.249(2) YJA does not apply to an “</w:t>
      </w:r>
      <w:r w:rsidRPr="005325D1">
        <w:rPr>
          <w:rFonts w:ascii="Arial" w:hAnsi="Arial" w:cs="Arial"/>
          <w:b/>
          <w:bCs/>
          <w:sz w:val="20"/>
          <w:szCs w:val="20"/>
        </w:rPr>
        <w:t>infringement fine</w:t>
      </w:r>
      <w:r w:rsidRPr="005325D1">
        <w:rPr>
          <w:rFonts w:ascii="Arial" w:hAnsi="Arial" w:cs="Arial"/>
          <w:sz w:val="20"/>
          <w:szCs w:val="20"/>
        </w:rPr>
        <w:t>” defined in–</w:t>
      </w:r>
    </w:p>
    <w:p w14:paraId="4263D363" w14:textId="77777777" w:rsidR="005325D1" w:rsidRPr="005325D1" w:rsidRDefault="005325D1">
      <w:pPr>
        <w:pStyle w:val="ListParagraph"/>
        <w:numPr>
          <w:ilvl w:val="0"/>
          <w:numId w:val="116"/>
        </w:numPr>
        <w:spacing w:after="0" w:line="240" w:lineRule="auto"/>
        <w:ind w:left="357" w:hanging="357"/>
        <w:jc w:val="both"/>
        <w:rPr>
          <w:rFonts w:ascii="Arial" w:hAnsi="Arial" w:cs="Arial"/>
          <w:sz w:val="20"/>
          <w:szCs w:val="20"/>
        </w:rPr>
      </w:pPr>
      <w:r w:rsidRPr="005325D1">
        <w:rPr>
          <w:rFonts w:ascii="Arial" w:hAnsi="Arial" w:cs="Arial"/>
          <w:sz w:val="20"/>
          <w:szCs w:val="20"/>
        </w:rPr>
        <w:t xml:space="preserve">the </w:t>
      </w:r>
      <w:r w:rsidRPr="005325D1">
        <w:rPr>
          <w:rFonts w:ascii="Arial" w:hAnsi="Arial" w:cs="Arial"/>
          <w:i/>
          <w:iCs/>
          <w:sz w:val="20"/>
          <w:szCs w:val="20"/>
        </w:rPr>
        <w:t>Fines Reform Act 2014</w:t>
      </w:r>
      <w:r w:rsidRPr="005325D1">
        <w:rPr>
          <w:rFonts w:ascii="Arial" w:hAnsi="Arial" w:cs="Arial"/>
          <w:sz w:val="20"/>
          <w:szCs w:val="20"/>
        </w:rPr>
        <w:t xml:space="preserve"> as “an infringement penalty and any reminder notice fee”; or</w:t>
      </w:r>
    </w:p>
    <w:p w14:paraId="0AB16412" w14:textId="77777777" w:rsidR="005325D1" w:rsidRPr="005325D1" w:rsidRDefault="005325D1">
      <w:pPr>
        <w:pStyle w:val="ListParagraph"/>
        <w:numPr>
          <w:ilvl w:val="0"/>
          <w:numId w:val="116"/>
        </w:numPr>
        <w:spacing w:after="0" w:line="240" w:lineRule="auto"/>
        <w:ind w:left="357" w:hanging="357"/>
        <w:jc w:val="both"/>
        <w:rPr>
          <w:rFonts w:ascii="Arial" w:hAnsi="Arial" w:cs="Arial"/>
          <w:sz w:val="20"/>
          <w:szCs w:val="20"/>
        </w:rPr>
      </w:pPr>
      <w:r w:rsidRPr="005325D1">
        <w:rPr>
          <w:rFonts w:ascii="Arial" w:hAnsi="Arial" w:cs="Arial"/>
          <w:sz w:val="20"/>
          <w:szCs w:val="20"/>
        </w:rPr>
        <w:t xml:space="preserve">the </w:t>
      </w:r>
      <w:r w:rsidRPr="005325D1">
        <w:rPr>
          <w:rFonts w:ascii="Arial" w:hAnsi="Arial" w:cs="Arial"/>
          <w:i/>
          <w:iCs/>
          <w:sz w:val="20"/>
          <w:szCs w:val="20"/>
        </w:rPr>
        <w:t>Infringements Act 2006</w:t>
      </w:r>
      <w:r w:rsidRPr="005325D1">
        <w:rPr>
          <w:rFonts w:ascii="Arial" w:hAnsi="Arial" w:cs="Arial"/>
          <w:sz w:val="20"/>
          <w:szCs w:val="20"/>
        </w:rPr>
        <w:t xml:space="preserve"> as having “the same meaning as it has in the </w:t>
      </w:r>
      <w:r w:rsidRPr="005325D1">
        <w:rPr>
          <w:rFonts w:ascii="Arial" w:hAnsi="Arial" w:cs="Arial"/>
          <w:i/>
          <w:iCs/>
          <w:sz w:val="20"/>
          <w:szCs w:val="20"/>
        </w:rPr>
        <w:t>Fines Reform Act 2014</w:t>
      </w:r>
      <w:r w:rsidRPr="005325D1">
        <w:rPr>
          <w:rFonts w:ascii="Arial" w:hAnsi="Arial" w:cs="Arial"/>
          <w:sz w:val="20"/>
          <w:szCs w:val="20"/>
        </w:rPr>
        <w:t>”.</w:t>
      </w:r>
    </w:p>
    <w:p w14:paraId="2B094BA4" w14:textId="77777777" w:rsidR="005325D1" w:rsidRDefault="005325D1" w:rsidP="00425863">
      <w:pPr>
        <w:jc w:val="both"/>
        <w:rPr>
          <w:rFonts w:ascii="Arial" w:hAnsi="Arial" w:cs="Arial"/>
          <w:color w:val="000000"/>
          <w:sz w:val="20"/>
        </w:rPr>
      </w:pPr>
    </w:p>
    <w:p w14:paraId="1A6AED2E" w14:textId="77777777" w:rsidR="005325D1" w:rsidRPr="005325D1" w:rsidRDefault="005325D1" w:rsidP="005325D1">
      <w:pPr>
        <w:jc w:val="both"/>
        <w:rPr>
          <w:rFonts w:ascii="Arial" w:hAnsi="Arial" w:cs="Arial"/>
          <w:sz w:val="20"/>
          <w:szCs w:val="20"/>
        </w:rPr>
      </w:pPr>
      <w:r w:rsidRPr="005325D1">
        <w:rPr>
          <w:rFonts w:ascii="Arial" w:hAnsi="Arial" w:cs="Arial"/>
          <w:sz w:val="20"/>
          <w:szCs w:val="20"/>
        </w:rPr>
        <w:t>Further, ss.726(3) YJA draws a clear distinction between “registration of an infringement penalty” and “imposition of a fine” in providing:</w:t>
      </w:r>
    </w:p>
    <w:p w14:paraId="1319CDF6" w14:textId="77777777" w:rsidR="005325D1" w:rsidRPr="005325D1" w:rsidRDefault="005325D1" w:rsidP="004645F9">
      <w:pPr>
        <w:pStyle w:val="ListParagraph"/>
        <w:keepNext/>
        <w:keepLines/>
        <w:spacing w:before="60" w:after="0" w:line="240" w:lineRule="auto"/>
        <w:ind w:left="567" w:right="567"/>
        <w:contextualSpacing w:val="0"/>
        <w:jc w:val="both"/>
        <w:rPr>
          <w:rFonts w:ascii="Arial" w:hAnsi="Arial" w:cs="Arial"/>
          <w:sz w:val="20"/>
          <w:szCs w:val="20"/>
        </w:rPr>
      </w:pPr>
      <w:r w:rsidRPr="005325D1">
        <w:rPr>
          <w:rFonts w:ascii="Arial" w:hAnsi="Arial" w:cs="Arial"/>
          <w:sz w:val="20"/>
          <w:szCs w:val="20"/>
        </w:rPr>
        <w:lastRenderedPageBreak/>
        <w:t>“Despite anything to the contrary in section 252, one or more infringement penalties may be registered under subsection (1) even if the maximum amount of the infringement penalty or infringement penalties exceeds the maximum fine that may be imposed by the Children's Court under section 252.”</w:t>
      </w:r>
    </w:p>
    <w:p w14:paraId="25900A9C" w14:textId="77777777" w:rsidR="005325D1" w:rsidRPr="005325D1" w:rsidRDefault="005325D1" w:rsidP="005325D1">
      <w:pPr>
        <w:rPr>
          <w:rFonts w:ascii="Arial" w:hAnsi="Arial" w:cs="Arial"/>
          <w:sz w:val="20"/>
          <w:szCs w:val="20"/>
        </w:rPr>
      </w:pPr>
    </w:p>
    <w:p w14:paraId="5038A707" w14:textId="77777777" w:rsidR="005325D1" w:rsidRPr="005325D1" w:rsidRDefault="005325D1" w:rsidP="005325D1">
      <w:pPr>
        <w:jc w:val="both"/>
        <w:rPr>
          <w:rFonts w:ascii="Arial" w:hAnsi="Arial" w:cs="Arial"/>
          <w:sz w:val="20"/>
          <w:szCs w:val="20"/>
        </w:rPr>
      </w:pPr>
      <w:r w:rsidRPr="005325D1">
        <w:rPr>
          <w:rFonts w:ascii="Arial" w:hAnsi="Arial" w:cs="Arial"/>
          <w:sz w:val="20"/>
          <w:szCs w:val="20"/>
        </w:rPr>
        <w:t xml:space="preserve">Section 722(1) YJA imposes an obligation on an enforcement agency [EA] </w:t>
      </w:r>
      <w:r w:rsidRPr="005325D1">
        <w:rPr>
          <w:rFonts w:ascii="Arial" w:hAnsi="Arial" w:cs="Arial"/>
          <w:b/>
          <w:bCs/>
          <w:sz w:val="20"/>
          <w:szCs w:val="20"/>
          <w:u w:val="single"/>
        </w:rPr>
        <w:t>not</w:t>
      </w:r>
      <w:r w:rsidRPr="005325D1">
        <w:rPr>
          <w:rFonts w:ascii="Arial" w:hAnsi="Arial" w:cs="Arial"/>
          <w:sz w:val="20"/>
          <w:szCs w:val="20"/>
        </w:rPr>
        <w:t xml:space="preserve"> to use the CAYPINS procedure if:</w:t>
      </w:r>
    </w:p>
    <w:p w14:paraId="286C9FD8" w14:textId="77777777" w:rsidR="005325D1" w:rsidRPr="005325D1" w:rsidRDefault="005325D1">
      <w:pPr>
        <w:pStyle w:val="ListParagraph"/>
        <w:numPr>
          <w:ilvl w:val="0"/>
          <w:numId w:val="115"/>
        </w:numPr>
        <w:spacing w:after="0" w:line="240" w:lineRule="auto"/>
        <w:ind w:left="357" w:hanging="357"/>
        <w:jc w:val="both"/>
        <w:rPr>
          <w:rFonts w:ascii="Arial" w:hAnsi="Arial" w:cs="Arial"/>
          <w:sz w:val="20"/>
          <w:szCs w:val="20"/>
        </w:rPr>
      </w:pPr>
      <w:r w:rsidRPr="005325D1">
        <w:rPr>
          <w:rFonts w:ascii="Arial" w:hAnsi="Arial" w:cs="Arial"/>
          <w:sz w:val="20"/>
          <w:szCs w:val="20"/>
        </w:rPr>
        <w:t>the EA considers that it is in the interests of the child to have the matter heard and determined by the ChCV; or</w:t>
      </w:r>
    </w:p>
    <w:p w14:paraId="6A3CF550" w14:textId="77777777" w:rsidR="005325D1" w:rsidRPr="005325D1" w:rsidRDefault="005325D1">
      <w:pPr>
        <w:pStyle w:val="ListParagraph"/>
        <w:numPr>
          <w:ilvl w:val="0"/>
          <w:numId w:val="115"/>
        </w:numPr>
        <w:spacing w:after="0" w:line="240" w:lineRule="auto"/>
        <w:ind w:left="357" w:hanging="357"/>
        <w:jc w:val="both"/>
        <w:rPr>
          <w:rFonts w:ascii="Arial" w:hAnsi="Arial" w:cs="Arial"/>
          <w:sz w:val="20"/>
          <w:szCs w:val="20"/>
        </w:rPr>
      </w:pPr>
      <w:r w:rsidRPr="005325D1">
        <w:rPr>
          <w:rFonts w:ascii="Arial" w:hAnsi="Arial" w:cs="Arial"/>
          <w:sz w:val="20"/>
          <w:szCs w:val="20"/>
        </w:rPr>
        <w:t>the EA considers that it is in the interests of justice to have the matter heard and determined by the ChCV; or</w:t>
      </w:r>
    </w:p>
    <w:p w14:paraId="3F9BE1B8" w14:textId="77777777" w:rsidR="005325D1" w:rsidRPr="005325D1" w:rsidRDefault="005325D1">
      <w:pPr>
        <w:pStyle w:val="ListParagraph"/>
        <w:numPr>
          <w:ilvl w:val="0"/>
          <w:numId w:val="115"/>
        </w:numPr>
        <w:spacing w:after="0" w:line="240" w:lineRule="auto"/>
        <w:ind w:left="357" w:hanging="357"/>
        <w:jc w:val="both"/>
        <w:rPr>
          <w:rFonts w:ascii="Arial" w:hAnsi="Arial" w:cs="Arial"/>
          <w:sz w:val="20"/>
          <w:szCs w:val="20"/>
        </w:rPr>
      </w:pPr>
      <w:r w:rsidRPr="005325D1">
        <w:rPr>
          <w:rFonts w:ascii="Arial" w:hAnsi="Arial" w:cs="Arial"/>
          <w:sz w:val="20"/>
          <w:szCs w:val="20"/>
        </w:rPr>
        <w:t>the child has elected to have the matter heard and determined by the ChCV.</w:t>
      </w:r>
    </w:p>
    <w:p w14:paraId="5A2F19A6" w14:textId="77777777" w:rsidR="005325D1" w:rsidRPr="005325D1" w:rsidRDefault="005325D1" w:rsidP="005325D1">
      <w:pPr>
        <w:jc w:val="both"/>
        <w:rPr>
          <w:rFonts w:ascii="Arial" w:hAnsi="Arial" w:cs="Arial"/>
          <w:sz w:val="20"/>
          <w:szCs w:val="20"/>
        </w:rPr>
      </w:pPr>
    </w:p>
    <w:p w14:paraId="5BF7CBEC" w14:textId="22265953" w:rsidR="005325D1" w:rsidRPr="005325D1" w:rsidRDefault="005325D1" w:rsidP="005325D1">
      <w:pPr>
        <w:jc w:val="both"/>
        <w:rPr>
          <w:rFonts w:ascii="Arial" w:hAnsi="Arial" w:cs="Arial"/>
          <w:sz w:val="20"/>
          <w:szCs w:val="20"/>
        </w:rPr>
      </w:pPr>
      <w:r w:rsidRPr="005325D1">
        <w:rPr>
          <w:rFonts w:ascii="Arial" w:hAnsi="Arial" w:cs="Arial"/>
          <w:sz w:val="20"/>
          <w:szCs w:val="20"/>
        </w:rPr>
        <w:t xml:space="preserve">However, ss.722(1)(a) &amp; 722(1)(b) refer to the opinion of the EA, not to the opinion of the Registrar. </w:t>
      </w:r>
      <w:r>
        <w:rPr>
          <w:rFonts w:ascii="Arial" w:hAnsi="Arial" w:cs="Arial"/>
          <w:sz w:val="20"/>
          <w:szCs w:val="20"/>
        </w:rPr>
        <w:t xml:space="preserve">Therefore it seems unlikely </w:t>
      </w:r>
      <w:r w:rsidRPr="005325D1">
        <w:rPr>
          <w:rFonts w:ascii="Arial" w:hAnsi="Arial" w:cs="Arial"/>
          <w:sz w:val="20"/>
          <w:szCs w:val="20"/>
        </w:rPr>
        <w:t>that a Registrar has any power to strike out an application under s.726 for registration of an infringement penalty even though the Registrar considers registration is not in the interests of the child and/or of justice.</w:t>
      </w:r>
    </w:p>
    <w:p w14:paraId="4C56F5AD" w14:textId="77777777" w:rsidR="005325D1" w:rsidRPr="0001660B" w:rsidRDefault="005325D1" w:rsidP="005325D1">
      <w:pPr>
        <w:jc w:val="both"/>
        <w:rPr>
          <w:rFonts w:ascii="Arial" w:hAnsi="Arial" w:cs="Arial"/>
          <w:sz w:val="20"/>
          <w:szCs w:val="20"/>
        </w:rPr>
      </w:pPr>
    </w:p>
    <w:p w14:paraId="3F1BB8A0" w14:textId="77777777" w:rsidR="005325D1" w:rsidRPr="00523E75" w:rsidRDefault="005325D1" w:rsidP="0001660B">
      <w:pPr>
        <w:jc w:val="both"/>
        <w:rPr>
          <w:rFonts w:ascii="Arial" w:hAnsi="Arial" w:cs="Arial"/>
          <w:b/>
          <w:bCs/>
          <w:sz w:val="20"/>
          <w:szCs w:val="20"/>
        </w:rPr>
      </w:pPr>
      <w:r w:rsidRPr="00523E75">
        <w:rPr>
          <w:rFonts w:ascii="Arial" w:hAnsi="Arial" w:cs="Arial"/>
          <w:b/>
          <w:bCs/>
          <w:sz w:val="20"/>
          <w:szCs w:val="20"/>
        </w:rPr>
        <w:t>Under s.726(1) YJA a registrar must register an infringement penalty or part thereof, together with any penalty reminder notice fee, for the purposes of enforcement under the CAYPINS procedure if—</w:t>
      </w:r>
    </w:p>
    <w:p w14:paraId="2586B69B" w14:textId="77777777" w:rsidR="005325D1" w:rsidRPr="00523E75" w:rsidRDefault="005325D1" w:rsidP="0001660B">
      <w:pPr>
        <w:pStyle w:val="ListParagraph"/>
        <w:spacing w:after="0" w:line="240" w:lineRule="auto"/>
        <w:ind w:left="454" w:hanging="454"/>
        <w:contextualSpacing w:val="0"/>
        <w:jc w:val="both"/>
        <w:rPr>
          <w:rFonts w:ascii="Arial" w:hAnsi="Arial" w:cs="Arial"/>
          <w:b/>
          <w:bCs/>
          <w:sz w:val="20"/>
          <w:szCs w:val="20"/>
        </w:rPr>
      </w:pPr>
      <w:r w:rsidRPr="00523E75">
        <w:rPr>
          <w:rFonts w:ascii="Arial" w:hAnsi="Arial" w:cs="Arial"/>
          <w:b/>
          <w:bCs/>
          <w:sz w:val="20"/>
          <w:szCs w:val="20"/>
        </w:rPr>
        <w:t>(a)</w:t>
      </w:r>
      <w:r w:rsidRPr="00523E75">
        <w:rPr>
          <w:rFonts w:ascii="Arial" w:hAnsi="Arial" w:cs="Arial"/>
          <w:b/>
          <w:bCs/>
          <w:sz w:val="20"/>
          <w:szCs w:val="20"/>
        </w:rPr>
        <w:tab/>
        <w:t>it appears to the registrar that the requirements set out in s.725 have been satisfied; or</w:t>
      </w:r>
    </w:p>
    <w:p w14:paraId="3C18220A" w14:textId="77777777" w:rsidR="005325D1" w:rsidRPr="00523E75" w:rsidRDefault="005325D1" w:rsidP="0001660B">
      <w:pPr>
        <w:pStyle w:val="ListParagraph"/>
        <w:spacing w:after="0" w:line="240" w:lineRule="auto"/>
        <w:ind w:left="454" w:hanging="454"/>
        <w:contextualSpacing w:val="0"/>
        <w:jc w:val="both"/>
        <w:rPr>
          <w:rFonts w:ascii="Arial" w:hAnsi="Arial" w:cs="Arial"/>
          <w:b/>
          <w:bCs/>
          <w:sz w:val="20"/>
          <w:szCs w:val="20"/>
        </w:rPr>
      </w:pPr>
      <w:r w:rsidRPr="00523E75">
        <w:rPr>
          <w:rFonts w:ascii="Arial" w:hAnsi="Arial" w:cs="Arial"/>
          <w:b/>
          <w:bCs/>
          <w:sz w:val="20"/>
          <w:szCs w:val="20"/>
        </w:rPr>
        <w:t>(b)</w:t>
      </w:r>
      <w:r w:rsidRPr="00523E75">
        <w:rPr>
          <w:rFonts w:ascii="Arial" w:hAnsi="Arial" w:cs="Arial"/>
          <w:b/>
          <w:bCs/>
          <w:sz w:val="20"/>
          <w:szCs w:val="20"/>
        </w:rPr>
        <w:tab/>
        <w:t>the registrar has been ordered to do so under s.724.</w:t>
      </w:r>
    </w:p>
    <w:p w14:paraId="6D110C37" w14:textId="5585ACA8" w:rsidR="005325D1" w:rsidRPr="00523E75" w:rsidRDefault="0001660B" w:rsidP="0001660B">
      <w:pPr>
        <w:jc w:val="both"/>
        <w:rPr>
          <w:rFonts w:ascii="Arial" w:hAnsi="Arial" w:cs="Arial"/>
          <w:b/>
          <w:bCs/>
          <w:sz w:val="20"/>
          <w:szCs w:val="20"/>
        </w:rPr>
      </w:pPr>
      <w:r w:rsidRPr="00523E75">
        <w:rPr>
          <w:rFonts w:ascii="Arial" w:hAnsi="Arial" w:cs="Arial"/>
          <w:b/>
          <w:bCs/>
          <w:sz w:val="20"/>
          <w:szCs w:val="20"/>
        </w:rPr>
        <w:t>Hence t</w:t>
      </w:r>
      <w:r w:rsidR="005325D1" w:rsidRPr="00523E75">
        <w:rPr>
          <w:rFonts w:ascii="Arial" w:hAnsi="Arial" w:cs="Arial"/>
          <w:b/>
          <w:bCs/>
          <w:sz w:val="20"/>
          <w:szCs w:val="20"/>
        </w:rPr>
        <w:t xml:space="preserve">he age of the child – either at the date of commission of the infringement offence or at the date of registration of the infringement penalty – </w:t>
      </w:r>
      <w:r w:rsidRPr="00523E75">
        <w:rPr>
          <w:rFonts w:ascii="Arial" w:hAnsi="Arial" w:cs="Arial"/>
          <w:b/>
          <w:bCs/>
          <w:sz w:val="20"/>
          <w:szCs w:val="20"/>
        </w:rPr>
        <w:t xml:space="preserve">does </w:t>
      </w:r>
      <w:r w:rsidR="005325D1" w:rsidRPr="00523E75">
        <w:rPr>
          <w:rFonts w:ascii="Arial" w:hAnsi="Arial" w:cs="Arial"/>
          <w:b/>
          <w:bCs/>
          <w:sz w:val="20"/>
          <w:szCs w:val="20"/>
        </w:rPr>
        <w:t xml:space="preserve">not </w:t>
      </w:r>
      <w:r w:rsidRPr="00523E75">
        <w:rPr>
          <w:rFonts w:ascii="Arial" w:hAnsi="Arial" w:cs="Arial"/>
          <w:b/>
          <w:bCs/>
          <w:sz w:val="20"/>
          <w:szCs w:val="20"/>
        </w:rPr>
        <w:t xml:space="preserve">appear to be </w:t>
      </w:r>
      <w:r w:rsidR="005325D1" w:rsidRPr="00523E75">
        <w:rPr>
          <w:rFonts w:ascii="Arial" w:hAnsi="Arial" w:cs="Arial"/>
          <w:b/>
          <w:bCs/>
          <w:sz w:val="20"/>
          <w:szCs w:val="20"/>
        </w:rPr>
        <w:t>a statutory reason to refuse registration.</w:t>
      </w:r>
    </w:p>
    <w:p w14:paraId="420E8ABF" w14:textId="77777777" w:rsidR="005325D1" w:rsidRPr="0001660B" w:rsidRDefault="005325D1" w:rsidP="005325D1">
      <w:pPr>
        <w:jc w:val="both"/>
        <w:rPr>
          <w:rFonts w:ascii="Arial" w:hAnsi="Arial" w:cs="Arial"/>
          <w:sz w:val="20"/>
          <w:szCs w:val="20"/>
        </w:rPr>
      </w:pPr>
    </w:p>
    <w:p w14:paraId="5D8E1DF8" w14:textId="6945CEB0" w:rsidR="0001660B" w:rsidRDefault="0001660B" w:rsidP="005325D1">
      <w:pPr>
        <w:jc w:val="both"/>
        <w:rPr>
          <w:rFonts w:ascii="Arial" w:hAnsi="Arial" w:cs="Arial"/>
          <w:sz w:val="20"/>
          <w:szCs w:val="20"/>
        </w:rPr>
      </w:pPr>
      <w:r>
        <w:rPr>
          <w:rFonts w:ascii="Arial" w:hAnsi="Arial" w:cs="Arial"/>
          <w:sz w:val="20"/>
          <w:szCs w:val="20"/>
        </w:rPr>
        <w:t>However, subsequent to registration there appear to be two ways – both of which are “down the track” – in which potential injustice for an under 15 year old can be mitigated given the way Chapter 17 YJA is currently drafted:</w:t>
      </w:r>
    </w:p>
    <w:p w14:paraId="30EFB27F" w14:textId="5E528AF6" w:rsidR="0001660B" w:rsidRPr="0001660B" w:rsidRDefault="00523E75">
      <w:pPr>
        <w:pStyle w:val="ListParagraph"/>
        <w:numPr>
          <w:ilvl w:val="0"/>
          <w:numId w:val="118"/>
        </w:numPr>
        <w:spacing w:before="60" w:after="0" w:line="240" w:lineRule="auto"/>
        <w:ind w:left="357" w:hanging="357"/>
        <w:jc w:val="both"/>
        <w:rPr>
          <w:rFonts w:ascii="Arial" w:hAnsi="Arial" w:cs="Arial"/>
          <w:sz w:val="20"/>
          <w:szCs w:val="20"/>
        </w:rPr>
      </w:pPr>
      <w:r>
        <w:rPr>
          <w:rFonts w:ascii="Arial" w:hAnsi="Arial" w:cs="Arial"/>
          <w:sz w:val="20"/>
          <w:szCs w:val="20"/>
        </w:rPr>
        <w:t>Two of the 7 options that a child has under s.731(1) YJA are:</w:t>
      </w:r>
    </w:p>
    <w:p w14:paraId="3BCC1AB3" w14:textId="01A0334A" w:rsidR="00523E75" w:rsidRPr="00523E75" w:rsidRDefault="00523E75">
      <w:pPr>
        <w:pStyle w:val="ListParagraph"/>
        <w:numPr>
          <w:ilvl w:val="0"/>
          <w:numId w:val="119"/>
        </w:numPr>
        <w:spacing w:after="0" w:line="240" w:lineRule="auto"/>
        <w:jc w:val="both"/>
        <w:rPr>
          <w:rFonts w:ascii="Arial" w:hAnsi="Arial" w:cs="Arial"/>
          <w:sz w:val="20"/>
          <w:szCs w:val="20"/>
        </w:rPr>
      </w:pPr>
      <w:r>
        <w:rPr>
          <w:rFonts w:ascii="Arial" w:hAnsi="Arial" w:cs="Arial"/>
          <w:sz w:val="20"/>
          <w:szCs w:val="20"/>
        </w:rPr>
        <w:t>“</w:t>
      </w:r>
      <w:r w:rsidRPr="00523E75">
        <w:rPr>
          <w:rFonts w:ascii="Arial" w:hAnsi="Arial" w:cs="Arial"/>
          <w:sz w:val="20"/>
          <w:szCs w:val="20"/>
        </w:rPr>
        <w:t>request to appear before the registrar</w:t>
      </w:r>
      <w:r>
        <w:rPr>
          <w:rFonts w:ascii="Arial" w:hAnsi="Arial" w:cs="Arial"/>
          <w:sz w:val="20"/>
          <w:szCs w:val="20"/>
        </w:rPr>
        <w:t xml:space="preserve"> of the ChCV”</w:t>
      </w:r>
      <w:r w:rsidRPr="00523E75">
        <w:rPr>
          <w:rFonts w:ascii="Arial" w:hAnsi="Arial" w:cs="Arial"/>
          <w:sz w:val="20"/>
          <w:szCs w:val="20"/>
        </w:rPr>
        <w:t>;</w:t>
      </w:r>
    </w:p>
    <w:p w14:paraId="20292696" w14:textId="460AA1D9" w:rsidR="00523E75" w:rsidRPr="00523E75" w:rsidRDefault="00523E75">
      <w:pPr>
        <w:pStyle w:val="ListParagraph"/>
        <w:numPr>
          <w:ilvl w:val="0"/>
          <w:numId w:val="120"/>
        </w:numPr>
        <w:spacing w:after="0" w:line="240" w:lineRule="auto"/>
        <w:ind w:left="714" w:hanging="357"/>
        <w:contextualSpacing w:val="0"/>
        <w:jc w:val="both"/>
        <w:rPr>
          <w:rFonts w:ascii="Arial" w:hAnsi="Arial" w:cs="Arial"/>
          <w:sz w:val="20"/>
          <w:szCs w:val="20"/>
        </w:rPr>
      </w:pPr>
      <w:r w:rsidRPr="00523E75">
        <w:rPr>
          <w:rFonts w:ascii="Arial" w:hAnsi="Arial" w:cs="Arial"/>
          <w:sz w:val="20"/>
          <w:szCs w:val="20"/>
        </w:rPr>
        <w:t>“decline to be dealt with by the registrar of the ChCV and request that the matter of the alleged offence(s) in relation to which the infringement notice was issued be heard and determined by the Children’s Court” in a traditional court</w:t>
      </w:r>
      <w:r w:rsidR="004A1DF2">
        <w:rPr>
          <w:rFonts w:ascii="Arial" w:hAnsi="Arial" w:cs="Arial"/>
          <w:sz w:val="20"/>
          <w:szCs w:val="20"/>
        </w:rPr>
        <w:t>-</w:t>
      </w:r>
      <w:r w:rsidRPr="00523E75">
        <w:rPr>
          <w:rFonts w:ascii="Arial" w:hAnsi="Arial" w:cs="Arial"/>
          <w:sz w:val="20"/>
          <w:szCs w:val="20"/>
        </w:rPr>
        <w:t>based procedure to which s.249 CYFA will apply.</w:t>
      </w:r>
    </w:p>
    <w:p w14:paraId="4A3425CF" w14:textId="0F58BD0E" w:rsidR="00523E75" w:rsidRPr="00523E75" w:rsidRDefault="004A1DF2">
      <w:pPr>
        <w:pStyle w:val="ListParagraph"/>
        <w:numPr>
          <w:ilvl w:val="0"/>
          <w:numId w:val="118"/>
        </w:numPr>
        <w:spacing w:before="60" w:after="0" w:line="240" w:lineRule="auto"/>
        <w:ind w:left="357" w:hanging="357"/>
        <w:contextualSpacing w:val="0"/>
        <w:jc w:val="both"/>
        <w:rPr>
          <w:rFonts w:ascii="Arial" w:hAnsi="Arial" w:cs="Arial"/>
          <w:sz w:val="18"/>
          <w:szCs w:val="18"/>
        </w:rPr>
      </w:pPr>
      <w:r>
        <w:rPr>
          <w:rFonts w:ascii="Arial" w:hAnsi="Arial" w:cs="Arial"/>
          <w:sz w:val="20"/>
          <w:szCs w:val="20"/>
        </w:rPr>
        <w:t>Whether or not the child has exercised a s.731 option</w:t>
      </w:r>
      <w:r w:rsidR="00A57484">
        <w:rPr>
          <w:rFonts w:ascii="Arial" w:hAnsi="Arial" w:cs="Arial"/>
          <w:sz w:val="20"/>
          <w:szCs w:val="20"/>
        </w:rPr>
        <w:t xml:space="preserve">, </w:t>
      </w:r>
      <w:r w:rsidR="00523E75" w:rsidRPr="00523E75">
        <w:rPr>
          <w:rFonts w:ascii="Arial" w:hAnsi="Arial" w:cs="Arial"/>
          <w:sz w:val="20"/>
          <w:szCs w:val="20"/>
        </w:rPr>
        <w:t>a Registrar does have discretion in making an enforcement decision</w:t>
      </w:r>
      <w:r w:rsidR="00523E75">
        <w:rPr>
          <w:rFonts w:ascii="Arial" w:hAnsi="Arial" w:cs="Arial"/>
          <w:sz w:val="20"/>
          <w:szCs w:val="20"/>
        </w:rPr>
        <w:t xml:space="preserve"> </w:t>
      </w:r>
      <w:r w:rsidR="00A57484">
        <w:rPr>
          <w:rFonts w:ascii="Arial" w:hAnsi="Arial" w:cs="Arial"/>
          <w:sz w:val="20"/>
          <w:szCs w:val="20"/>
        </w:rPr>
        <w:t>u</w:t>
      </w:r>
      <w:r w:rsidR="00A57484" w:rsidRPr="00523E75">
        <w:rPr>
          <w:rFonts w:ascii="Arial" w:hAnsi="Arial" w:cs="Arial"/>
          <w:sz w:val="20"/>
          <w:szCs w:val="20"/>
        </w:rPr>
        <w:t>nder ss.733(2) &amp; 733(3)(a) YJA</w:t>
      </w:r>
      <w:r w:rsidR="00A57484">
        <w:rPr>
          <w:rFonts w:ascii="Arial" w:hAnsi="Arial" w:cs="Arial"/>
          <w:sz w:val="20"/>
          <w:szCs w:val="20"/>
        </w:rPr>
        <w:t xml:space="preserve"> to cancel the registration of the enforcement penalty and remit the corresponding infringement notice to the EA if satisfied that it is appropriate to do so.</w:t>
      </w:r>
    </w:p>
    <w:p w14:paraId="21E6A8E2" w14:textId="77777777" w:rsidR="005325D1" w:rsidRDefault="005325D1" w:rsidP="00425863">
      <w:pPr>
        <w:jc w:val="both"/>
        <w:rPr>
          <w:rFonts w:ascii="Arial" w:hAnsi="Arial" w:cs="Arial"/>
          <w:color w:val="000000"/>
          <w:sz w:val="20"/>
        </w:rPr>
      </w:pPr>
    </w:p>
    <w:tbl>
      <w:tblPr>
        <w:tblStyle w:val="TableGrid"/>
        <w:tblW w:w="9128" w:type="dxa"/>
        <w:tblLook w:val="04A0" w:firstRow="1" w:lastRow="0" w:firstColumn="1" w:lastColumn="0" w:noHBand="0" w:noVBand="1"/>
      </w:tblPr>
      <w:tblGrid>
        <w:gridCol w:w="9128"/>
      </w:tblGrid>
      <w:tr w:rsidR="00D93188" w:rsidRPr="00BD4366" w14:paraId="196903B0" w14:textId="77777777" w:rsidTr="002631C3">
        <w:tc>
          <w:tcPr>
            <w:tcW w:w="9128" w:type="dxa"/>
            <w:shd w:val="clear" w:color="auto" w:fill="000000" w:themeFill="text1"/>
          </w:tcPr>
          <w:p w14:paraId="6D42093B" w14:textId="25683EEA" w:rsidR="00D93188" w:rsidRPr="00BD4366" w:rsidRDefault="00D93188" w:rsidP="002631C3">
            <w:pPr>
              <w:keepNext/>
              <w:keepLines/>
              <w:jc w:val="center"/>
              <w:rPr>
                <w:rFonts w:ascii="Arial" w:hAnsi="Arial" w:cs="Arial"/>
                <w:b/>
                <w:bCs/>
                <w:sz w:val="20"/>
              </w:rPr>
            </w:pPr>
            <w:r>
              <w:rPr>
                <w:rFonts w:ascii="Arial" w:hAnsi="Arial" w:cs="Arial"/>
                <w:b/>
                <w:bCs/>
                <w:sz w:val="20"/>
              </w:rPr>
              <w:t>STATISTICS</w:t>
            </w:r>
          </w:p>
        </w:tc>
      </w:tr>
    </w:tbl>
    <w:p w14:paraId="6CBF361A" w14:textId="77777777" w:rsidR="00D93188" w:rsidRPr="005C2371" w:rsidRDefault="00D93188" w:rsidP="00D93188">
      <w:pPr>
        <w:jc w:val="both"/>
        <w:rPr>
          <w:rFonts w:ascii="Arial" w:hAnsi="Arial" w:cs="Arial"/>
          <w:color w:val="000000"/>
          <w:sz w:val="20"/>
        </w:rPr>
      </w:pPr>
    </w:p>
    <w:p w14:paraId="585A7AE5" w14:textId="7E4163DE" w:rsidR="00905157" w:rsidRDefault="00905157" w:rsidP="00905157">
      <w:pPr>
        <w:spacing w:after="60"/>
        <w:jc w:val="both"/>
        <w:rPr>
          <w:rFonts w:ascii="Arial" w:hAnsi="Arial" w:cs="Arial"/>
          <w:color w:val="000000"/>
          <w:sz w:val="20"/>
        </w:rPr>
      </w:pPr>
      <w:r w:rsidRPr="00D81EFC">
        <w:rPr>
          <w:rFonts w:ascii="Arial" w:hAnsi="Arial" w:cs="Arial"/>
          <w:color w:val="000000"/>
          <w:sz w:val="20"/>
        </w:rPr>
        <w:t xml:space="preserve">In 2008/09 a total of 12,241 young persons were processed through the CAYPINS system. Nearly half of these – 6,172 – had no ticket on public transport. In addition 1,792 had no valid concession card while travelling on a concession ticket, 1,213 had feet on public transport seats, 800 were riding a bicycle without a helmet and 374 were driving a motor vehicle without being the holder of a valid driver licence. </w:t>
      </w:r>
      <w:r w:rsidR="00D93188">
        <w:rPr>
          <w:rFonts w:ascii="Arial" w:hAnsi="Arial" w:cs="Arial"/>
          <w:color w:val="000000"/>
          <w:sz w:val="20"/>
        </w:rPr>
        <w:t>Subsequently</w:t>
      </w:r>
      <w:r>
        <w:rPr>
          <w:rFonts w:ascii="Arial" w:hAnsi="Arial" w:cs="Arial"/>
          <w:color w:val="000000"/>
          <w:sz w:val="20"/>
        </w:rPr>
        <w:t xml:space="preserve"> the numbers of finalized CAYPINS cases are as follows:</w:t>
      </w:r>
    </w:p>
    <w:tbl>
      <w:tblPr>
        <w:tblStyle w:val="TableGrid"/>
        <w:tblW w:w="0" w:type="auto"/>
        <w:tblLook w:val="04A0" w:firstRow="1" w:lastRow="0" w:firstColumn="1" w:lastColumn="0" w:noHBand="0" w:noVBand="1"/>
      </w:tblPr>
      <w:tblGrid>
        <w:gridCol w:w="1132"/>
        <w:gridCol w:w="1132"/>
        <w:gridCol w:w="1132"/>
        <w:gridCol w:w="1132"/>
        <w:gridCol w:w="1133"/>
        <w:gridCol w:w="1133"/>
        <w:gridCol w:w="1133"/>
        <w:gridCol w:w="1133"/>
      </w:tblGrid>
      <w:tr w:rsidR="00905157" w14:paraId="4F1E11D5" w14:textId="77777777" w:rsidTr="002631C3">
        <w:tc>
          <w:tcPr>
            <w:tcW w:w="1132" w:type="dxa"/>
            <w:shd w:val="clear" w:color="auto" w:fill="000000" w:themeFill="text1"/>
          </w:tcPr>
          <w:p w14:paraId="22299AA1" w14:textId="77777777" w:rsidR="00905157" w:rsidRPr="00D92B53" w:rsidRDefault="00905157" w:rsidP="002631C3">
            <w:pPr>
              <w:jc w:val="center"/>
              <w:rPr>
                <w:rFonts w:ascii="Arial" w:hAnsi="Arial" w:cs="Arial"/>
                <w:b/>
                <w:bCs/>
                <w:color w:val="FFFFFF" w:themeColor="background1"/>
                <w:sz w:val="20"/>
              </w:rPr>
            </w:pPr>
            <w:r w:rsidRPr="00D92B53">
              <w:rPr>
                <w:rFonts w:ascii="Arial" w:hAnsi="Arial" w:cs="Arial"/>
                <w:b/>
                <w:bCs/>
                <w:color w:val="FFFFFF" w:themeColor="background1"/>
                <w:sz w:val="20"/>
              </w:rPr>
              <w:t>2009/10</w:t>
            </w:r>
          </w:p>
        </w:tc>
        <w:tc>
          <w:tcPr>
            <w:tcW w:w="1132" w:type="dxa"/>
            <w:shd w:val="clear" w:color="auto" w:fill="000000" w:themeFill="text1"/>
          </w:tcPr>
          <w:p w14:paraId="311DE5F6" w14:textId="77777777" w:rsidR="00905157" w:rsidRPr="00D92B53" w:rsidRDefault="00905157" w:rsidP="002631C3">
            <w:pPr>
              <w:jc w:val="center"/>
              <w:rPr>
                <w:rFonts w:ascii="Arial" w:hAnsi="Arial" w:cs="Arial"/>
                <w:b/>
                <w:bCs/>
                <w:color w:val="FFFFFF" w:themeColor="background1"/>
                <w:sz w:val="20"/>
              </w:rPr>
            </w:pPr>
            <w:r w:rsidRPr="00D92B53">
              <w:rPr>
                <w:rFonts w:ascii="Arial" w:hAnsi="Arial" w:cs="Arial"/>
                <w:b/>
                <w:bCs/>
                <w:color w:val="FFFFFF" w:themeColor="background1"/>
                <w:sz w:val="20"/>
              </w:rPr>
              <w:t>2010/11</w:t>
            </w:r>
          </w:p>
        </w:tc>
        <w:tc>
          <w:tcPr>
            <w:tcW w:w="1132" w:type="dxa"/>
            <w:shd w:val="clear" w:color="auto" w:fill="000000" w:themeFill="text1"/>
          </w:tcPr>
          <w:p w14:paraId="630BCF2E" w14:textId="77777777" w:rsidR="00905157" w:rsidRPr="00D92B53"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2011/12</w:t>
            </w:r>
          </w:p>
        </w:tc>
        <w:tc>
          <w:tcPr>
            <w:tcW w:w="1132" w:type="dxa"/>
            <w:shd w:val="clear" w:color="auto" w:fill="000000" w:themeFill="text1"/>
          </w:tcPr>
          <w:p w14:paraId="5717F61F" w14:textId="77777777" w:rsidR="00905157" w:rsidRPr="00D92B53"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2012/13</w:t>
            </w:r>
          </w:p>
        </w:tc>
        <w:tc>
          <w:tcPr>
            <w:tcW w:w="1133" w:type="dxa"/>
            <w:shd w:val="clear" w:color="auto" w:fill="000000" w:themeFill="text1"/>
          </w:tcPr>
          <w:p w14:paraId="4D49D801" w14:textId="77777777" w:rsidR="00905157" w:rsidRPr="00D92B53"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2013/14</w:t>
            </w:r>
          </w:p>
        </w:tc>
        <w:tc>
          <w:tcPr>
            <w:tcW w:w="1133" w:type="dxa"/>
            <w:shd w:val="clear" w:color="auto" w:fill="000000" w:themeFill="text1"/>
          </w:tcPr>
          <w:p w14:paraId="24F088EA" w14:textId="77777777" w:rsidR="00905157" w:rsidRPr="00D92B53"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2014/15</w:t>
            </w:r>
          </w:p>
        </w:tc>
        <w:tc>
          <w:tcPr>
            <w:tcW w:w="1133" w:type="dxa"/>
            <w:shd w:val="clear" w:color="auto" w:fill="000000" w:themeFill="text1"/>
          </w:tcPr>
          <w:p w14:paraId="3AC137B9" w14:textId="77777777" w:rsidR="00905157" w:rsidRPr="00D92B53"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2015/16</w:t>
            </w:r>
          </w:p>
        </w:tc>
        <w:tc>
          <w:tcPr>
            <w:tcW w:w="1133" w:type="dxa"/>
            <w:shd w:val="clear" w:color="auto" w:fill="000000" w:themeFill="text1"/>
          </w:tcPr>
          <w:p w14:paraId="21838F52" w14:textId="77777777" w:rsidR="00905157" w:rsidRPr="00D92B53"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2016/17</w:t>
            </w:r>
          </w:p>
        </w:tc>
      </w:tr>
      <w:tr w:rsidR="00905157" w14:paraId="00F6DAF1" w14:textId="77777777" w:rsidTr="002631C3">
        <w:tc>
          <w:tcPr>
            <w:tcW w:w="1132" w:type="dxa"/>
          </w:tcPr>
          <w:p w14:paraId="4F9EF870" w14:textId="77777777" w:rsidR="00905157" w:rsidRDefault="00905157" w:rsidP="002631C3">
            <w:pPr>
              <w:jc w:val="center"/>
              <w:rPr>
                <w:rFonts w:ascii="Arial" w:hAnsi="Arial" w:cs="Arial"/>
                <w:color w:val="000000"/>
                <w:sz w:val="20"/>
              </w:rPr>
            </w:pPr>
            <w:r>
              <w:rPr>
                <w:rFonts w:ascii="Arial" w:hAnsi="Arial" w:cs="Arial"/>
                <w:color w:val="000000"/>
                <w:sz w:val="20"/>
              </w:rPr>
              <w:t>9,879</w:t>
            </w:r>
          </w:p>
        </w:tc>
        <w:tc>
          <w:tcPr>
            <w:tcW w:w="1132" w:type="dxa"/>
          </w:tcPr>
          <w:p w14:paraId="20ADB549" w14:textId="77777777" w:rsidR="00905157" w:rsidRDefault="00905157" w:rsidP="002631C3">
            <w:pPr>
              <w:jc w:val="center"/>
              <w:rPr>
                <w:rFonts w:ascii="Arial" w:hAnsi="Arial" w:cs="Arial"/>
                <w:color w:val="000000"/>
                <w:sz w:val="20"/>
              </w:rPr>
            </w:pPr>
            <w:r>
              <w:rPr>
                <w:rFonts w:ascii="Arial" w:hAnsi="Arial" w:cs="Arial"/>
                <w:color w:val="000000"/>
                <w:sz w:val="20"/>
              </w:rPr>
              <w:t>7,588</w:t>
            </w:r>
          </w:p>
        </w:tc>
        <w:tc>
          <w:tcPr>
            <w:tcW w:w="1132" w:type="dxa"/>
          </w:tcPr>
          <w:p w14:paraId="431067C5" w14:textId="77777777" w:rsidR="00905157" w:rsidRDefault="00905157" w:rsidP="002631C3">
            <w:pPr>
              <w:jc w:val="center"/>
              <w:rPr>
                <w:rFonts w:ascii="Arial" w:hAnsi="Arial" w:cs="Arial"/>
                <w:color w:val="000000"/>
                <w:sz w:val="20"/>
              </w:rPr>
            </w:pPr>
            <w:r>
              <w:rPr>
                <w:rFonts w:ascii="Arial" w:hAnsi="Arial" w:cs="Arial"/>
                <w:color w:val="000000"/>
                <w:sz w:val="20"/>
              </w:rPr>
              <w:t>8,865</w:t>
            </w:r>
          </w:p>
        </w:tc>
        <w:tc>
          <w:tcPr>
            <w:tcW w:w="1132" w:type="dxa"/>
          </w:tcPr>
          <w:p w14:paraId="6769B785" w14:textId="77777777" w:rsidR="00905157" w:rsidRDefault="00905157" w:rsidP="002631C3">
            <w:pPr>
              <w:jc w:val="center"/>
              <w:rPr>
                <w:rFonts w:ascii="Arial" w:hAnsi="Arial" w:cs="Arial"/>
                <w:color w:val="000000"/>
                <w:sz w:val="20"/>
              </w:rPr>
            </w:pPr>
            <w:r>
              <w:rPr>
                <w:rFonts w:ascii="Arial" w:hAnsi="Arial" w:cs="Arial"/>
                <w:color w:val="000000"/>
                <w:sz w:val="20"/>
              </w:rPr>
              <w:t>10,392</w:t>
            </w:r>
          </w:p>
        </w:tc>
        <w:tc>
          <w:tcPr>
            <w:tcW w:w="1133" w:type="dxa"/>
          </w:tcPr>
          <w:p w14:paraId="5DB26A0B" w14:textId="77777777" w:rsidR="00905157" w:rsidRDefault="00905157" w:rsidP="002631C3">
            <w:pPr>
              <w:jc w:val="center"/>
              <w:rPr>
                <w:rFonts w:ascii="Arial" w:hAnsi="Arial" w:cs="Arial"/>
                <w:color w:val="000000"/>
                <w:sz w:val="20"/>
              </w:rPr>
            </w:pPr>
            <w:r>
              <w:rPr>
                <w:rFonts w:ascii="Arial" w:hAnsi="Arial" w:cs="Arial"/>
                <w:color w:val="000000"/>
                <w:sz w:val="20"/>
              </w:rPr>
              <w:t>10,441</w:t>
            </w:r>
          </w:p>
        </w:tc>
        <w:tc>
          <w:tcPr>
            <w:tcW w:w="1133" w:type="dxa"/>
          </w:tcPr>
          <w:p w14:paraId="209B0416" w14:textId="77777777" w:rsidR="00905157" w:rsidRDefault="00905157" w:rsidP="002631C3">
            <w:pPr>
              <w:jc w:val="center"/>
              <w:rPr>
                <w:rFonts w:ascii="Arial" w:hAnsi="Arial" w:cs="Arial"/>
                <w:color w:val="000000"/>
                <w:sz w:val="20"/>
              </w:rPr>
            </w:pPr>
            <w:r>
              <w:rPr>
                <w:rFonts w:ascii="Arial" w:hAnsi="Arial" w:cs="Arial"/>
                <w:color w:val="000000"/>
                <w:sz w:val="20"/>
              </w:rPr>
              <w:t>9,247</w:t>
            </w:r>
          </w:p>
        </w:tc>
        <w:tc>
          <w:tcPr>
            <w:tcW w:w="1133" w:type="dxa"/>
          </w:tcPr>
          <w:p w14:paraId="75F87C88" w14:textId="77777777" w:rsidR="00905157" w:rsidRDefault="00905157" w:rsidP="002631C3">
            <w:pPr>
              <w:jc w:val="center"/>
              <w:rPr>
                <w:rFonts w:ascii="Arial" w:hAnsi="Arial" w:cs="Arial"/>
                <w:color w:val="000000"/>
                <w:sz w:val="20"/>
              </w:rPr>
            </w:pPr>
            <w:r>
              <w:rPr>
                <w:rFonts w:ascii="Arial" w:hAnsi="Arial" w:cs="Arial"/>
                <w:color w:val="000000"/>
                <w:sz w:val="20"/>
              </w:rPr>
              <w:t>14,163</w:t>
            </w:r>
          </w:p>
        </w:tc>
        <w:tc>
          <w:tcPr>
            <w:tcW w:w="1133" w:type="dxa"/>
          </w:tcPr>
          <w:p w14:paraId="58CE649E" w14:textId="77777777" w:rsidR="00905157" w:rsidRDefault="00905157" w:rsidP="002631C3">
            <w:pPr>
              <w:jc w:val="center"/>
              <w:rPr>
                <w:rFonts w:ascii="Arial" w:hAnsi="Arial" w:cs="Arial"/>
                <w:color w:val="000000"/>
                <w:sz w:val="20"/>
              </w:rPr>
            </w:pPr>
            <w:r>
              <w:rPr>
                <w:rFonts w:ascii="Arial" w:hAnsi="Arial" w:cs="Arial"/>
                <w:color w:val="000000"/>
                <w:sz w:val="20"/>
              </w:rPr>
              <w:t>8,590</w:t>
            </w:r>
          </w:p>
        </w:tc>
      </w:tr>
      <w:tr w:rsidR="00905157" w14:paraId="40845DB0" w14:textId="77777777" w:rsidTr="002631C3">
        <w:tc>
          <w:tcPr>
            <w:tcW w:w="1132" w:type="dxa"/>
            <w:shd w:val="clear" w:color="auto" w:fill="000000" w:themeFill="text1"/>
          </w:tcPr>
          <w:p w14:paraId="193A055A" w14:textId="77777777" w:rsidR="00905157" w:rsidRPr="00E3699B"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2017/18</w:t>
            </w:r>
          </w:p>
        </w:tc>
        <w:tc>
          <w:tcPr>
            <w:tcW w:w="1132" w:type="dxa"/>
            <w:shd w:val="clear" w:color="auto" w:fill="000000" w:themeFill="text1"/>
          </w:tcPr>
          <w:p w14:paraId="61EC1135" w14:textId="77777777" w:rsidR="00905157" w:rsidRPr="00E3699B"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2018/19</w:t>
            </w:r>
          </w:p>
        </w:tc>
        <w:tc>
          <w:tcPr>
            <w:tcW w:w="1132" w:type="dxa"/>
            <w:shd w:val="clear" w:color="auto" w:fill="000000" w:themeFill="text1"/>
          </w:tcPr>
          <w:p w14:paraId="385CF67C" w14:textId="77777777" w:rsidR="00905157" w:rsidRPr="00E3699B"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2019/20</w:t>
            </w:r>
          </w:p>
        </w:tc>
        <w:tc>
          <w:tcPr>
            <w:tcW w:w="1132" w:type="dxa"/>
            <w:shd w:val="clear" w:color="auto" w:fill="000000" w:themeFill="text1"/>
          </w:tcPr>
          <w:p w14:paraId="6168B522" w14:textId="77777777" w:rsidR="00905157" w:rsidRPr="00E3699B"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2020/21</w:t>
            </w:r>
          </w:p>
        </w:tc>
        <w:tc>
          <w:tcPr>
            <w:tcW w:w="1133" w:type="dxa"/>
            <w:shd w:val="clear" w:color="auto" w:fill="000000" w:themeFill="text1"/>
          </w:tcPr>
          <w:p w14:paraId="08F9BB23" w14:textId="77777777" w:rsidR="00905157" w:rsidRPr="00E3699B" w:rsidRDefault="00905157" w:rsidP="002631C3">
            <w:pPr>
              <w:jc w:val="center"/>
              <w:rPr>
                <w:rFonts w:ascii="Arial" w:hAnsi="Arial" w:cs="Arial"/>
                <w:b/>
                <w:bCs/>
                <w:color w:val="FFFFFF" w:themeColor="background1"/>
                <w:sz w:val="20"/>
              </w:rPr>
            </w:pPr>
            <w:r>
              <w:rPr>
                <w:rFonts w:ascii="Arial" w:hAnsi="Arial" w:cs="Arial"/>
                <w:b/>
                <w:bCs/>
                <w:color w:val="FFFFFF" w:themeColor="background1"/>
                <w:sz w:val="20"/>
              </w:rPr>
              <w:t>2021/22</w:t>
            </w:r>
          </w:p>
        </w:tc>
        <w:tc>
          <w:tcPr>
            <w:tcW w:w="1133" w:type="dxa"/>
            <w:shd w:val="clear" w:color="auto" w:fill="000000" w:themeFill="text1"/>
          </w:tcPr>
          <w:p w14:paraId="6F8CE2C3" w14:textId="77777777" w:rsidR="00905157" w:rsidRPr="00E3699B" w:rsidRDefault="00905157" w:rsidP="002631C3">
            <w:pPr>
              <w:jc w:val="center"/>
              <w:rPr>
                <w:rFonts w:ascii="Arial" w:hAnsi="Arial" w:cs="Arial"/>
                <w:b/>
                <w:bCs/>
                <w:color w:val="FFFFFF" w:themeColor="background1"/>
                <w:sz w:val="20"/>
              </w:rPr>
            </w:pPr>
          </w:p>
        </w:tc>
        <w:tc>
          <w:tcPr>
            <w:tcW w:w="1133" w:type="dxa"/>
            <w:shd w:val="clear" w:color="auto" w:fill="000000" w:themeFill="text1"/>
          </w:tcPr>
          <w:p w14:paraId="0AE443C3" w14:textId="77777777" w:rsidR="00905157" w:rsidRPr="00E3699B" w:rsidRDefault="00905157" w:rsidP="002631C3">
            <w:pPr>
              <w:jc w:val="center"/>
              <w:rPr>
                <w:rFonts w:ascii="Arial" w:hAnsi="Arial" w:cs="Arial"/>
                <w:b/>
                <w:bCs/>
                <w:color w:val="FFFFFF" w:themeColor="background1"/>
                <w:sz w:val="20"/>
              </w:rPr>
            </w:pPr>
          </w:p>
        </w:tc>
        <w:tc>
          <w:tcPr>
            <w:tcW w:w="1133" w:type="dxa"/>
            <w:shd w:val="clear" w:color="auto" w:fill="000000" w:themeFill="text1"/>
          </w:tcPr>
          <w:p w14:paraId="7208391F" w14:textId="77777777" w:rsidR="00905157" w:rsidRPr="00E3699B" w:rsidRDefault="00905157" w:rsidP="002631C3">
            <w:pPr>
              <w:jc w:val="center"/>
              <w:rPr>
                <w:rFonts w:ascii="Arial" w:hAnsi="Arial" w:cs="Arial"/>
                <w:b/>
                <w:bCs/>
                <w:color w:val="FFFFFF" w:themeColor="background1"/>
                <w:sz w:val="20"/>
              </w:rPr>
            </w:pPr>
          </w:p>
        </w:tc>
      </w:tr>
      <w:tr w:rsidR="00905157" w14:paraId="36774CD2" w14:textId="77777777" w:rsidTr="002631C3">
        <w:tc>
          <w:tcPr>
            <w:tcW w:w="1132" w:type="dxa"/>
          </w:tcPr>
          <w:p w14:paraId="310AF37E" w14:textId="77777777" w:rsidR="00905157" w:rsidRDefault="00905157" w:rsidP="002631C3">
            <w:pPr>
              <w:jc w:val="center"/>
              <w:rPr>
                <w:rFonts w:ascii="Arial" w:hAnsi="Arial" w:cs="Arial"/>
                <w:color w:val="000000"/>
                <w:sz w:val="20"/>
              </w:rPr>
            </w:pPr>
            <w:r>
              <w:rPr>
                <w:rFonts w:ascii="Arial" w:hAnsi="Arial" w:cs="Arial"/>
                <w:color w:val="000000"/>
                <w:sz w:val="20"/>
              </w:rPr>
              <w:t>3,787</w:t>
            </w:r>
          </w:p>
        </w:tc>
        <w:tc>
          <w:tcPr>
            <w:tcW w:w="1132" w:type="dxa"/>
          </w:tcPr>
          <w:p w14:paraId="0C2BF85A" w14:textId="77777777" w:rsidR="00905157" w:rsidRDefault="00905157" w:rsidP="002631C3">
            <w:pPr>
              <w:jc w:val="center"/>
              <w:rPr>
                <w:rFonts w:ascii="Arial" w:hAnsi="Arial" w:cs="Arial"/>
                <w:color w:val="000000"/>
                <w:sz w:val="20"/>
              </w:rPr>
            </w:pPr>
            <w:r>
              <w:rPr>
                <w:rFonts w:ascii="Arial" w:hAnsi="Arial" w:cs="Arial"/>
                <w:color w:val="000000"/>
                <w:sz w:val="20"/>
              </w:rPr>
              <w:t>2,963</w:t>
            </w:r>
          </w:p>
        </w:tc>
        <w:tc>
          <w:tcPr>
            <w:tcW w:w="1132" w:type="dxa"/>
          </w:tcPr>
          <w:p w14:paraId="0DE3446E" w14:textId="77777777" w:rsidR="00905157" w:rsidRDefault="00905157" w:rsidP="002631C3">
            <w:pPr>
              <w:jc w:val="center"/>
              <w:rPr>
                <w:rFonts w:ascii="Arial" w:hAnsi="Arial" w:cs="Arial"/>
                <w:color w:val="000000"/>
                <w:sz w:val="20"/>
              </w:rPr>
            </w:pPr>
            <w:r>
              <w:rPr>
                <w:rFonts w:ascii="Arial" w:hAnsi="Arial" w:cs="Arial"/>
                <w:color w:val="000000"/>
                <w:sz w:val="20"/>
              </w:rPr>
              <w:t>1,955</w:t>
            </w:r>
          </w:p>
        </w:tc>
        <w:tc>
          <w:tcPr>
            <w:tcW w:w="1132" w:type="dxa"/>
          </w:tcPr>
          <w:p w14:paraId="62C4D81F" w14:textId="77777777" w:rsidR="00905157" w:rsidRDefault="00905157" w:rsidP="002631C3">
            <w:pPr>
              <w:jc w:val="center"/>
              <w:rPr>
                <w:rFonts w:ascii="Arial" w:hAnsi="Arial" w:cs="Arial"/>
                <w:color w:val="000000"/>
                <w:sz w:val="20"/>
              </w:rPr>
            </w:pPr>
            <w:r>
              <w:rPr>
                <w:rFonts w:ascii="Arial" w:hAnsi="Arial" w:cs="Arial"/>
                <w:color w:val="000000"/>
                <w:sz w:val="20"/>
              </w:rPr>
              <w:t>1,195</w:t>
            </w:r>
          </w:p>
        </w:tc>
        <w:tc>
          <w:tcPr>
            <w:tcW w:w="1133" w:type="dxa"/>
          </w:tcPr>
          <w:p w14:paraId="34A404E3" w14:textId="77777777" w:rsidR="00905157" w:rsidRDefault="00905157" w:rsidP="002631C3">
            <w:pPr>
              <w:jc w:val="center"/>
              <w:rPr>
                <w:rFonts w:ascii="Arial" w:hAnsi="Arial" w:cs="Arial"/>
                <w:color w:val="000000"/>
                <w:sz w:val="20"/>
              </w:rPr>
            </w:pPr>
            <w:r>
              <w:rPr>
                <w:rFonts w:ascii="Arial" w:hAnsi="Arial" w:cs="Arial"/>
                <w:color w:val="000000"/>
                <w:sz w:val="20"/>
              </w:rPr>
              <w:t>2,196</w:t>
            </w:r>
          </w:p>
        </w:tc>
        <w:tc>
          <w:tcPr>
            <w:tcW w:w="1133" w:type="dxa"/>
          </w:tcPr>
          <w:p w14:paraId="135C5A53" w14:textId="77777777" w:rsidR="00905157" w:rsidRDefault="00905157" w:rsidP="002631C3">
            <w:pPr>
              <w:jc w:val="center"/>
              <w:rPr>
                <w:rFonts w:ascii="Arial" w:hAnsi="Arial" w:cs="Arial"/>
                <w:color w:val="000000"/>
                <w:sz w:val="20"/>
              </w:rPr>
            </w:pPr>
          </w:p>
        </w:tc>
        <w:tc>
          <w:tcPr>
            <w:tcW w:w="1133" w:type="dxa"/>
          </w:tcPr>
          <w:p w14:paraId="5901DE2B" w14:textId="77777777" w:rsidR="00905157" w:rsidRDefault="00905157" w:rsidP="002631C3">
            <w:pPr>
              <w:jc w:val="center"/>
              <w:rPr>
                <w:rFonts w:ascii="Arial" w:hAnsi="Arial" w:cs="Arial"/>
                <w:color w:val="000000"/>
                <w:sz w:val="20"/>
              </w:rPr>
            </w:pPr>
          </w:p>
        </w:tc>
        <w:tc>
          <w:tcPr>
            <w:tcW w:w="1133" w:type="dxa"/>
          </w:tcPr>
          <w:p w14:paraId="37B5046B" w14:textId="77777777" w:rsidR="00905157" w:rsidRDefault="00905157" w:rsidP="002631C3">
            <w:pPr>
              <w:jc w:val="center"/>
              <w:rPr>
                <w:rFonts w:ascii="Arial" w:hAnsi="Arial" w:cs="Arial"/>
                <w:color w:val="000000"/>
                <w:sz w:val="20"/>
              </w:rPr>
            </w:pPr>
          </w:p>
        </w:tc>
      </w:tr>
    </w:tbl>
    <w:p w14:paraId="011C6DB7" w14:textId="77777777" w:rsidR="00D93188" w:rsidRDefault="00D93188" w:rsidP="00D93188">
      <w:pPr>
        <w:ind w:left="720" w:hanging="720"/>
        <w:jc w:val="both"/>
        <w:rPr>
          <w:rFonts w:ascii="Arial" w:hAnsi="Arial" w:cs="Arial"/>
          <w:sz w:val="20"/>
          <w:szCs w:val="20"/>
        </w:rPr>
      </w:pPr>
    </w:p>
    <w:p w14:paraId="3AA9AB9F" w14:textId="77777777" w:rsidR="00D93188" w:rsidRPr="000510E3" w:rsidRDefault="00D93188" w:rsidP="00D93188">
      <w:pPr>
        <w:ind w:left="720" w:hanging="720"/>
        <w:jc w:val="center"/>
        <w:rPr>
          <w:rFonts w:ascii="Arial" w:hAnsi="Arial" w:cs="Arial"/>
          <w:b/>
          <w:bCs/>
        </w:rPr>
      </w:pPr>
      <w:r w:rsidRPr="000510E3">
        <w:rPr>
          <w:rFonts w:ascii="Arial" w:hAnsi="Arial" w:cs="Arial"/>
          <w:b/>
          <w:bCs/>
        </w:rPr>
        <w:t>THE REST OF THIS PAGE IS BLANK</w:t>
      </w:r>
    </w:p>
    <w:p w14:paraId="1A29B7B3" w14:textId="77777777" w:rsidR="00D93188" w:rsidRDefault="00D93188" w:rsidP="00D93188">
      <w:pPr>
        <w:rPr>
          <w:rFonts w:ascii="Arial" w:hAnsi="Arial" w:cs="Arial"/>
          <w:sz w:val="20"/>
          <w:szCs w:val="20"/>
        </w:rPr>
      </w:pPr>
    </w:p>
    <w:p w14:paraId="114F45DB" w14:textId="57307092" w:rsidR="00B22584" w:rsidRPr="00F51496" w:rsidRDefault="00543C02" w:rsidP="00D93188">
      <w:pPr>
        <w:pStyle w:val="Heading2"/>
        <w:tabs>
          <w:tab w:val="left" w:pos="567"/>
        </w:tabs>
        <w:spacing w:line="240" w:lineRule="auto"/>
        <w:rPr>
          <w:rFonts w:ascii="Arial" w:hAnsi="Arial" w:cs="Arial"/>
          <w:b/>
          <w:bCs/>
          <w:color w:val="000000"/>
        </w:rPr>
      </w:pPr>
      <w:r>
        <w:br w:type="page"/>
      </w:r>
      <w:r w:rsidR="00B22584" w:rsidRPr="00F51496">
        <w:rPr>
          <w:rFonts w:ascii="Arial" w:hAnsi="Arial" w:cs="Arial"/>
          <w:b/>
          <w:bCs/>
          <w:color w:val="000000"/>
        </w:rPr>
        <w:lastRenderedPageBreak/>
        <w:t>7.</w:t>
      </w:r>
      <w:r>
        <w:rPr>
          <w:rFonts w:ascii="Arial" w:hAnsi="Arial" w:cs="Arial"/>
          <w:b/>
          <w:bCs/>
          <w:color w:val="000000"/>
        </w:rPr>
        <w:t>7</w:t>
      </w:r>
      <w:r w:rsidR="00B22584" w:rsidRPr="00F51496">
        <w:rPr>
          <w:rFonts w:ascii="Arial" w:hAnsi="Arial" w:cs="Arial"/>
          <w:b/>
          <w:bCs/>
          <w:color w:val="000000"/>
        </w:rPr>
        <w:tab/>
      </w:r>
      <w:r w:rsidR="005C5BF2">
        <w:rPr>
          <w:rFonts w:ascii="Arial" w:hAnsi="Arial" w:cs="Arial"/>
          <w:b/>
          <w:bCs/>
          <w:color w:val="000000"/>
        </w:rPr>
        <w:t xml:space="preserve">Youth </w:t>
      </w:r>
      <w:r w:rsidR="005043B6" w:rsidRPr="00F51496">
        <w:rPr>
          <w:rFonts w:ascii="Arial" w:hAnsi="Arial" w:cs="Arial"/>
          <w:b/>
          <w:bCs/>
          <w:color w:val="000000"/>
        </w:rPr>
        <w:t xml:space="preserve">and </w:t>
      </w:r>
      <w:r w:rsidR="00B22584" w:rsidRPr="00F51496">
        <w:rPr>
          <w:rFonts w:ascii="Arial" w:hAnsi="Arial" w:cs="Arial"/>
          <w:b/>
          <w:bCs/>
          <w:color w:val="000000"/>
        </w:rPr>
        <w:t xml:space="preserve">adult offending </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sidR="005F16FA">
        <w:rPr>
          <w:rFonts w:ascii="Arial" w:hAnsi="Arial" w:cs="Arial"/>
          <w:b/>
          <w:bCs/>
          <w:color w:val="000000"/>
        </w:rPr>
        <w:t>statistics</w:t>
      </w:r>
    </w:p>
    <w:p w14:paraId="29379D87" w14:textId="6EDD9A77" w:rsidR="00BD7F2A" w:rsidRDefault="00BD7F2A" w:rsidP="00BD7F2A">
      <w:pPr>
        <w:spacing w:before="120"/>
        <w:jc w:val="both"/>
        <w:rPr>
          <w:rFonts w:ascii="Arial" w:hAnsi="Arial" w:cs="Arial"/>
          <w:color w:val="000000"/>
          <w:sz w:val="20"/>
        </w:rPr>
      </w:pPr>
      <w:r>
        <w:rPr>
          <w:rFonts w:ascii="Arial" w:hAnsi="Arial" w:cs="Arial"/>
          <w:color w:val="000000"/>
          <w:sz w:val="20"/>
        </w:rPr>
        <w:t xml:space="preserve">The statistics in this </w:t>
      </w:r>
      <w:r w:rsidR="00D04051" w:rsidRPr="00D04051">
        <w:rPr>
          <w:rFonts w:ascii="Arial" w:hAnsi="Arial" w:cs="Arial"/>
          <w:b/>
          <w:bCs/>
          <w:color w:val="000000"/>
          <w:sz w:val="20"/>
          <w:shd w:val="clear" w:color="auto" w:fill="C5E0B3"/>
        </w:rPr>
        <w:t>Part</w:t>
      </w:r>
      <w:r>
        <w:rPr>
          <w:rFonts w:ascii="Arial" w:hAnsi="Arial" w:cs="Arial"/>
          <w:color w:val="000000"/>
          <w:sz w:val="20"/>
        </w:rPr>
        <w:t xml:space="preserve"> do not include the </w:t>
      </w:r>
      <w:r w:rsidR="00D91353">
        <w:rPr>
          <w:rFonts w:ascii="Arial" w:hAnsi="Arial" w:cs="Arial"/>
          <w:color w:val="000000"/>
          <w:sz w:val="20"/>
        </w:rPr>
        <w:t xml:space="preserve">transit or traffic offences processed by the CAYPINS </w:t>
      </w:r>
      <w:r w:rsidR="00FC09A7">
        <w:rPr>
          <w:rFonts w:ascii="Arial" w:hAnsi="Arial" w:cs="Arial"/>
          <w:color w:val="000000"/>
          <w:sz w:val="20"/>
        </w:rPr>
        <w:t>system</w:t>
      </w:r>
      <w:r w:rsidR="00D91353">
        <w:rPr>
          <w:rFonts w:ascii="Arial" w:hAnsi="Arial" w:cs="Arial"/>
          <w:color w:val="000000"/>
          <w:sz w:val="20"/>
        </w:rPr>
        <w:t xml:space="preserve"> detailed in </w:t>
      </w:r>
      <w:r w:rsidR="00D76C31">
        <w:rPr>
          <w:rFonts w:ascii="Arial" w:hAnsi="Arial" w:cs="Arial"/>
          <w:b/>
          <w:bCs/>
          <w:color w:val="000000"/>
          <w:sz w:val="20"/>
          <w:shd w:val="clear" w:color="auto" w:fill="C5E0B3"/>
        </w:rPr>
        <w:t>Part</w:t>
      </w:r>
      <w:r w:rsidR="00D91353" w:rsidRPr="00D04051">
        <w:rPr>
          <w:rFonts w:ascii="Arial" w:hAnsi="Arial" w:cs="Arial"/>
          <w:b/>
          <w:bCs/>
          <w:color w:val="000000"/>
          <w:sz w:val="20"/>
          <w:shd w:val="clear" w:color="auto" w:fill="C5E0B3"/>
        </w:rPr>
        <w:t xml:space="preserve"> 7.6</w:t>
      </w:r>
      <w:r w:rsidR="00FC09A7">
        <w:rPr>
          <w:rFonts w:ascii="Arial" w:hAnsi="Arial" w:cs="Arial"/>
          <w:color w:val="000000"/>
          <w:sz w:val="20"/>
        </w:rPr>
        <w:t xml:space="preserve"> or by the adult Infringement Notice System</w:t>
      </w:r>
      <w:r w:rsidR="00D91353">
        <w:rPr>
          <w:rFonts w:ascii="Arial" w:hAnsi="Arial" w:cs="Arial"/>
          <w:color w:val="000000"/>
          <w:sz w:val="20"/>
        </w:rPr>
        <w:t>.</w:t>
      </w:r>
    </w:p>
    <w:p w14:paraId="55A31C02" w14:textId="77777777" w:rsidR="00BD7F2A" w:rsidRDefault="00BD7F2A" w:rsidP="00EE6C7D">
      <w:pPr>
        <w:jc w:val="both"/>
        <w:rPr>
          <w:rFonts w:ascii="Arial" w:hAnsi="Arial" w:cs="Arial"/>
          <w:color w:val="000000"/>
          <w:sz w:val="20"/>
        </w:rPr>
      </w:pPr>
    </w:p>
    <w:p w14:paraId="6D765C01" w14:textId="77777777" w:rsidR="00C76023" w:rsidRPr="00F51496" w:rsidRDefault="005C5BF2" w:rsidP="00C76023">
      <w:pPr>
        <w:pStyle w:val="Heading3"/>
        <w:keepNext/>
        <w:spacing w:after="120" w:line="240" w:lineRule="auto"/>
        <w:rPr>
          <w:rFonts w:ascii="Arial" w:hAnsi="Arial" w:cs="Arial"/>
          <w:b/>
          <w:bCs/>
          <w:color w:val="000000"/>
          <w:sz w:val="20"/>
        </w:rPr>
      </w:pPr>
      <w:bookmarkStart w:id="304" w:name="_7.7.1_Youth_and"/>
      <w:bookmarkEnd w:id="304"/>
      <w:r w:rsidRPr="00F51496">
        <w:rPr>
          <w:rFonts w:ascii="Arial" w:hAnsi="Arial" w:cs="Arial"/>
          <w:b/>
          <w:bCs/>
          <w:color w:val="000000"/>
          <w:sz w:val="20"/>
        </w:rPr>
        <w:t>7.</w:t>
      </w:r>
      <w:r w:rsidR="00543C02">
        <w:rPr>
          <w:rFonts w:ascii="Arial" w:hAnsi="Arial" w:cs="Arial"/>
          <w:b/>
          <w:bCs/>
          <w:color w:val="000000"/>
          <w:sz w:val="20"/>
        </w:rPr>
        <w:t>7</w:t>
      </w:r>
      <w:r>
        <w:rPr>
          <w:rFonts w:ascii="Arial" w:hAnsi="Arial" w:cs="Arial"/>
          <w:b/>
          <w:bCs/>
          <w:color w:val="000000"/>
          <w:sz w:val="20"/>
        </w:rPr>
        <w:t>.1</w:t>
      </w:r>
      <w:r w:rsidRPr="00F51496">
        <w:rPr>
          <w:rFonts w:ascii="Arial" w:hAnsi="Arial" w:cs="Arial"/>
          <w:b/>
          <w:bCs/>
          <w:color w:val="000000"/>
          <w:sz w:val="20"/>
        </w:rPr>
        <w:tab/>
      </w:r>
      <w:r>
        <w:rPr>
          <w:rFonts w:ascii="Arial" w:hAnsi="Arial" w:cs="Arial"/>
          <w:b/>
          <w:bCs/>
          <w:color w:val="000000"/>
          <w:sz w:val="20"/>
        </w:rPr>
        <w:t>Youth and adult offending in 2008/09</w:t>
      </w:r>
      <w:r w:rsidR="001811EF">
        <w:rPr>
          <w:rFonts w:ascii="Arial" w:hAnsi="Arial" w:cs="Arial"/>
          <w:b/>
          <w:bCs/>
          <w:color w:val="000000"/>
          <w:sz w:val="20"/>
        </w:rPr>
        <w:t xml:space="preserve">, </w:t>
      </w:r>
      <w:r>
        <w:rPr>
          <w:rFonts w:ascii="Arial" w:hAnsi="Arial" w:cs="Arial"/>
          <w:b/>
          <w:bCs/>
          <w:color w:val="000000"/>
          <w:sz w:val="20"/>
        </w:rPr>
        <w:t>2009/10</w:t>
      </w:r>
      <w:r w:rsidR="001811EF">
        <w:rPr>
          <w:rFonts w:ascii="Arial" w:hAnsi="Arial" w:cs="Arial"/>
          <w:b/>
          <w:bCs/>
          <w:color w:val="000000"/>
          <w:sz w:val="20"/>
        </w:rPr>
        <w:t xml:space="preserve"> &amp; 2010/11</w:t>
      </w:r>
    </w:p>
    <w:p w14:paraId="70B4860D" w14:textId="621FAB51" w:rsidR="00BB3554" w:rsidRPr="00F51496" w:rsidRDefault="00DA35F0" w:rsidP="00EE6C7D">
      <w:pPr>
        <w:jc w:val="both"/>
        <w:rPr>
          <w:rFonts w:ascii="Arial" w:hAnsi="Arial" w:cs="Arial"/>
          <w:color w:val="000000"/>
          <w:sz w:val="20"/>
        </w:rPr>
      </w:pPr>
      <w:r w:rsidRPr="00D81EFC">
        <w:rPr>
          <w:rFonts w:ascii="Arial" w:hAnsi="Arial" w:cs="Arial"/>
          <w:color w:val="000000"/>
          <w:sz w:val="20"/>
        </w:rPr>
        <w:t>Most of t</w:t>
      </w:r>
      <w:r w:rsidR="00E728FD" w:rsidRPr="00D81EFC">
        <w:rPr>
          <w:rFonts w:ascii="Arial" w:hAnsi="Arial" w:cs="Arial"/>
          <w:color w:val="000000"/>
          <w:sz w:val="20"/>
        </w:rPr>
        <w:t xml:space="preserve">he </w:t>
      </w:r>
      <w:r w:rsidR="00BB3554" w:rsidRPr="00D81EFC">
        <w:rPr>
          <w:rFonts w:ascii="Arial" w:hAnsi="Arial" w:cs="Arial"/>
          <w:color w:val="000000"/>
          <w:sz w:val="20"/>
        </w:rPr>
        <w:t xml:space="preserve">statistics </w:t>
      </w:r>
      <w:r w:rsidR="00E728FD" w:rsidRPr="00D81EFC">
        <w:rPr>
          <w:rFonts w:ascii="Arial" w:hAnsi="Arial" w:cs="Arial"/>
          <w:color w:val="000000"/>
          <w:sz w:val="20"/>
        </w:rPr>
        <w:t xml:space="preserve">in this section and the commentary on the overall </w:t>
      </w:r>
      <w:r w:rsidRPr="00D81EFC">
        <w:rPr>
          <w:rFonts w:ascii="Arial" w:hAnsi="Arial" w:cs="Arial"/>
          <w:color w:val="000000"/>
          <w:sz w:val="20"/>
        </w:rPr>
        <w:t xml:space="preserve">Victorian </w:t>
      </w:r>
      <w:r w:rsidR="00E728FD" w:rsidRPr="00D81EFC">
        <w:rPr>
          <w:rFonts w:ascii="Arial" w:hAnsi="Arial" w:cs="Arial"/>
          <w:color w:val="000000"/>
          <w:sz w:val="20"/>
        </w:rPr>
        <w:t xml:space="preserve">crime rate </w:t>
      </w:r>
      <w:r w:rsidR="00FE3D2B">
        <w:rPr>
          <w:rFonts w:ascii="Arial" w:hAnsi="Arial" w:cs="Arial"/>
          <w:color w:val="000000"/>
          <w:sz w:val="20"/>
        </w:rPr>
        <w:t xml:space="preserve">in these years </w:t>
      </w:r>
      <w:r w:rsidR="00FC09A7">
        <w:rPr>
          <w:rFonts w:ascii="Arial" w:hAnsi="Arial" w:cs="Arial"/>
          <w:color w:val="000000"/>
          <w:sz w:val="20"/>
        </w:rPr>
        <w:t>we</w:t>
      </w:r>
      <w:r w:rsidR="00BB3554" w:rsidRPr="00D81EFC">
        <w:rPr>
          <w:rFonts w:ascii="Arial" w:hAnsi="Arial" w:cs="Arial"/>
          <w:color w:val="000000"/>
          <w:sz w:val="20"/>
        </w:rPr>
        <w:t xml:space="preserve">re taken from </w:t>
      </w:r>
      <w:hyperlink r:id="rId28" w:history="1">
        <w:r w:rsidR="00BB3554" w:rsidRPr="00D81EFC">
          <w:rPr>
            <w:rStyle w:val="Hyperlink"/>
            <w:rFonts w:ascii="Arial" w:hAnsi="Arial" w:cs="Arial"/>
            <w:color w:val="000000"/>
            <w:sz w:val="20"/>
          </w:rPr>
          <w:t>www.police.vic.gov.au</w:t>
        </w:r>
      </w:hyperlink>
      <w:r w:rsidR="00BB3554" w:rsidRPr="00D81EFC">
        <w:rPr>
          <w:rFonts w:ascii="Arial" w:hAnsi="Arial" w:cs="Arial"/>
          <w:color w:val="000000"/>
          <w:sz w:val="20"/>
        </w:rPr>
        <w:t xml:space="preserve"> </w:t>
      </w:r>
      <w:r w:rsidR="00EE6C7D" w:rsidRPr="00D81EFC">
        <w:rPr>
          <w:rFonts w:ascii="Arial" w:hAnsi="Arial" w:cs="Arial"/>
          <w:color w:val="000000"/>
          <w:sz w:val="20"/>
        </w:rPr>
        <w:t xml:space="preserve">under the tabs </w:t>
      </w:r>
      <w:r w:rsidR="005B5E24" w:rsidRPr="00D81EFC">
        <w:rPr>
          <w:rFonts w:ascii="Arial" w:hAnsi="Arial" w:cs="Arial"/>
          <w:color w:val="000000"/>
          <w:sz w:val="20"/>
        </w:rPr>
        <w:t xml:space="preserve">“About Victoria Police”, </w:t>
      </w:r>
      <w:r w:rsidR="00EE6C7D" w:rsidRPr="00D81EFC">
        <w:rPr>
          <w:rFonts w:ascii="Arial" w:hAnsi="Arial" w:cs="Arial"/>
          <w:color w:val="000000"/>
          <w:sz w:val="20"/>
        </w:rPr>
        <w:t>“Statistics” &amp; “Crime Statistics”.</w:t>
      </w:r>
      <w:r w:rsidR="00505589" w:rsidRPr="00D81EFC">
        <w:rPr>
          <w:rFonts w:ascii="Arial" w:hAnsi="Arial" w:cs="Arial"/>
          <w:color w:val="000000"/>
          <w:sz w:val="20"/>
        </w:rPr>
        <w:t xml:space="preserve">  The column headed</w:t>
      </w:r>
      <w:r w:rsidR="00505589" w:rsidRPr="00F51496">
        <w:rPr>
          <w:rFonts w:ascii="Arial" w:hAnsi="Arial" w:cs="Arial"/>
          <w:color w:val="000000"/>
          <w:sz w:val="20"/>
        </w:rPr>
        <w:t xml:space="preserve"> “Total persons (*)” is </w:t>
      </w:r>
      <w:r w:rsidR="00483BA4" w:rsidRPr="00F51496">
        <w:rPr>
          <w:rFonts w:ascii="Arial" w:hAnsi="Arial" w:cs="Arial"/>
          <w:color w:val="000000"/>
          <w:sz w:val="20"/>
        </w:rPr>
        <w:t>slightly greater than</w:t>
      </w:r>
      <w:r w:rsidR="00505589" w:rsidRPr="00F51496">
        <w:rPr>
          <w:rFonts w:ascii="Arial" w:hAnsi="Arial" w:cs="Arial"/>
          <w:color w:val="000000"/>
          <w:sz w:val="20"/>
        </w:rPr>
        <w:t xml:space="preserve"> the sum of the columns headed “Juveniles (&lt;18)” and “Adults” because it includes a small number of</w:t>
      </w:r>
      <w:r w:rsidR="00483BA4" w:rsidRPr="00F51496">
        <w:rPr>
          <w:rFonts w:ascii="Arial" w:hAnsi="Arial" w:cs="Arial"/>
          <w:color w:val="000000"/>
          <w:sz w:val="20"/>
        </w:rPr>
        <w:t xml:space="preserve"> additional offenders whose </w:t>
      </w:r>
      <w:r w:rsidR="00505589" w:rsidRPr="00F51496">
        <w:rPr>
          <w:rFonts w:ascii="Arial" w:hAnsi="Arial" w:cs="Arial"/>
          <w:color w:val="000000"/>
          <w:sz w:val="20"/>
        </w:rPr>
        <w:t>date of birth has not been specified.</w:t>
      </w:r>
      <w:r w:rsidR="005B5E24" w:rsidRPr="00F51496">
        <w:rPr>
          <w:rFonts w:ascii="Arial" w:hAnsi="Arial" w:cs="Arial"/>
          <w:color w:val="000000"/>
          <w:sz w:val="20"/>
        </w:rPr>
        <w:t xml:space="preserve">  These have not been included in the percentages listed in the last two columns</w:t>
      </w:r>
      <w:r w:rsidR="0083054C" w:rsidRPr="00F51496">
        <w:rPr>
          <w:rFonts w:ascii="Arial" w:hAnsi="Arial" w:cs="Arial"/>
          <w:color w:val="000000"/>
          <w:sz w:val="20"/>
        </w:rPr>
        <w:t>, the sum of which accordingly falls a little below 100%.</w:t>
      </w:r>
    </w:p>
    <w:p w14:paraId="58878BF2" w14:textId="77777777" w:rsidR="00BB3554" w:rsidRPr="00F51496" w:rsidRDefault="00BB3554" w:rsidP="00EE6C7D">
      <w:pPr>
        <w:jc w:val="both"/>
        <w:rPr>
          <w:rFonts w:ascii="Arial" w:hAnsi="Arial" w:cs="Arial"/>
          <w:color w:val="000000"/>
          <w:sz w:val="20"/>
        </w:rPr>
      </w:pPr>
    </w:p>
    <w:tbl>
      <w:tblPr>
        <w:tblW w:w="5132" w:type="pct"/>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7"/>
        <w:gridCol w:w="939"/>
        <w:gridCol w:w="939"/>
        <w:gridCol w:w="939"/>
        <w:gridCol w:w="939"/>
        <w:gridCol w:w="939"/>
        <w:gridCol w:w="939"/>
        <w:gridCol w:w="961"/>
        <w:gridCol w:w="950"/>
      </w:tblGrid>
      <w:tr w:rsidR="00735E39" w:rsidRPr="00EC06B8" w14:paraId="0EF2EE72" w14:textId="77777777" w:rsidTr="00FC09A7">
        <w:trPr>
          <w:trHeight w:val="283"/>
        </w:trPr>
        <w:tc>
          <w:tcPr>
            <w:tcW w:w="5000" w:type="pct"/>
            <w:gridSpan w:val="9"/>
            <w:tcBorders>
              <w:top w:val="single" w:sz="18" w:space="0" w:color="auto"/>
              <w:left w:val="single" w:sz="18" w:space="0" w:color="auto"/>
              <w:right w:val="single" w:sz="18" w:space="0" w:color="auto"/>
            </w:tcBorders>
            <w:shd w:val="clear" w:color="auto" w:fill="DDDDDD"/>
          </w:tcPr>
          <w:p w14:paraId="63109A0E" w14:textId="77777777" w:rsidR="00735E39" w:rsidRPr="00EC06B8" w:rsidRDefault="00735E39" w:rsidP="00D91353">
            <w:pPr>
              <w:autoSpaceDE w:val="0"/>
              <w:autoSpaceDN w:val="0"/>
              <w:adjustRightInd w:val="0"/>
              <w:jc w:val="center"/>
              <w:rPr>
                <w:rFonts w:ascii="Arial" w:hAnsi="Arial" w:cs="Arial"/>
                <w:b/>
                <w:bCs/>
                <w:szCs w:val="20"/>
                <w:lang w:eastAsia="en-AU"/>
              </w:rPr>
            </w:pPr>
            <w:r w:rsidRPr="00EC06B8">
              <w:rPr>
                <w:rFonts w:ascii="Arial" w:hAnsi="Arial" w:cs="Arial"/>
                <w:b/>
                <w:bCs/>
                <w:szCs w:val="20"/>
                <w:lang w:eastAsia="en-AU"/>
              </w:rPr>
              <w:t xml:space="preserve">ALLEGED JUVENILE AND ADULT </w:t>
            </w:r>
            <w:r w:rsidR="00175BB6" w:rsidRPr="00EC06B8">
              <w:rPr>
                <w:rFonts w:ascii="Arial" w:hAnsi="Arial" w:cs="Arial"/>
                <w:b/>
                <w:bCs/>
                <w:szCs w:val="20"/>
                <w:lang w:eastAsia="en-AU"/>
              </w:rPr>
              <w:t xml:space="preserve">CRIMINAL </w:t>
            </w:r>
            <w:r w:rsidRPr="00EC06B8">
              <w:rPr>
                <w:rFonts w:ascii="Arial" w:hAnsi="Arial" w:cs="Arial"/>
                <w:b/>
                <w:bCs/>
                <w:szCs w:val="20"/>
                <w:lang w:eastAsia="en-AU"/>
              </w:rPr>
              <w:t>OFFEN</w:t>
            </w:r>
            <w:r w:rsidR="00ED6B21" w:rsidRPr="00EC06B8">
              <w:rPr>
                <w:rFonts w:ascii="Arial" w:hAnsi="Arial" w:cs="Arial"/>
                <w:b/>
                <w:bCs/>
                <w:szCs w:val="20"/>
                <w:lang w:eastAsia="en-AU"/>
              </w:rPr>
              <w:t>CES</w:t>
            </w:r>
            <w:r w:rsidR="00D91353">
              <w:rPr>
                <w:rFonts w:ascii="Arial" w:hAnsi="Arial" w:cs="Arial"/>
                <w:b/>
                <w:bCs/>
                <w:szCs w:val="20"/>
                <w:lang w:eastAsia="en-AU"/>
              </w:rPr>
              <w:t xml:space="preserve"> </w:t>
            </w:r>
            <w:r w:rsidRPr="00EC06B8">
              <w:rPr>
                <w:rFonts w:ascii="Arial" w:hAnsi="Arial" w:cs="Arial"/>
                <w:b/>
                <w:bCs/>
                <w:szCs w:val="20"/>
                <w:lang w:eastAsia="en-AU"/>
              </w:rPr>
              <w:t>2008/09 &amp; 2009/10</w:t>
            </w:r>
          </w:p>
        </w:tc>
      </w:tr>
      <w:tr w:rsidR="00AA17A3" w:rsidRPr="00EC06B8" w14:paraId="256FB5CD" w14:textId="77777777" w:rsidTr="00FC09A7">
        <w:tc>
          <w:tcPr>
            <w:tcW w:w="1042" w:type="pct"/>
            <w:tcBorders>
              <w:top w:val="single" w:sz="18" w:space="0" w:color="auto"/>
              <w:left w:val="single" w:sz="18" w:space="0" w:color="auto"/>
              <w:bottom w:val="single" w:sz="18" w:space="0" w:color="auto"/>
            </w:tcBorders>
          </w:tcPr>
          <w:p w14:paraId="18B23959" w14:textId="77777777" w:rsidR="00AA17A3" w:rsidRPr="00EC06B8" w:rsidRDefault="0031380A" w:rsidP="00EC06B8">
            <w:pPr>
              <w:autoSpaceDE w:val="0"/>
              <w:autoSpaceDN w:val="0"/>
              <w:adjustRightInd w:val="0"/>
              <w:spacing w:before="120"/>
              <w:jc w:val="center"/>
              <w:rPr>
                <w:rFonts w:ascii="Arial" w:hAnsi="Arial" w:cs="Arial"/>
                <w:b/>
                <w:bCs/>
                <w:sz w:val="18"/>
                <w:szCs w:val="20"/>
                <w:lang w:eastAsia="en-AU"/>
              </w:rPr>
            </w:pPr>
            <w:r w:rsidRPr="00EC06B8">
              <w:rPr>
                <w:rFonts w:ascii="Arial" w:hAnsi="Arial" w:cs="Arial"/>
                <w:b/>
                <w:bCs/>
                <w:sz w:val="18"/>
                <w:szCs w:val="20"/>
                <w:lang w:eastAsia="en-AU"/>
              </w:rPr>
              <w:t>Offence</w:t>
            </w:r>
          </w:p>
        </w:tc>
        <w:tc>
          <w:tcPr>
            <w:tcW w:w="985" w:type="pct"/>
            <w:gridSpan w:val="2"/>
            <w:tcBorders>
              <w:top w:val="single" w:sz="18" w:space="0" w:color="auto"/>
              <w:bottom w:val="single" w:sz="18" w:space="0" w:color="auto"/>
              <w:right w:val="single" w:sz="18" w:space="0" w:color="auto"/>
            </w:tcBorders>
            <w:shd w:val="clear" w:color="auto" w:fill="000000"/>
          </w:tcPr>
          <w:p w14:paraId="084ECC13" w14:textId="77777777" w:rsidR="00AA17A3" w:rsidRPr="00EC06B8" w:rsidRDefault="00AA17A3" w:rsidP="00EC06B8">
            <w:pPr>
              <w:autoSpaceDE w:val="0"/>
              <w:autoSpaceDN w:val="0"/>
              <w:adjustRightInd w:val="0"/>
              <w:jc w:val="center"/>
              <w:rPr>
                <w:rFonts w:ascii="Arial" w:hAnsi="Arial" w:cs="Arial"/>
                <w:b/>
                <w:bCs/>
                <w:sz w:val="20"/>
                <w:szCs w:val="20"/>
                <w:lang w:eastAsia="en-AU"/>
              </w:rPr>
            </w:pPr>
            <w:r w:rsidRPr="00EC06B8">
              <w:rPr>
                <w:rFonts w:ascii="Arial" w:hAnsi="Arial" w:cs="Arial"/>
                <w:b/>
                <w:bCs/>
                <w:sz w:val="20"/>
                <w:szCs w:val="20"/>
                <w:lang w:eastAsia="en-AU"/>
              </w:rPr>
              <w:t>Juveniles</w:t>
            </w:r>
          </w:p>
          <w:p w14:paraId="51F7A5FB" w14:textId="77777777" w:rsidR="00145F5E" w:rsidRPr="00EC06B8" w:rsidRDefault="00145F5E" w:rsidP="00EC06B8">
            <w:pPr>
              <w:autoSpaceDE w:val="0"/>
              <w:autoSpaceDN w:val="0"/>
              <w:adjustRightInd w:val="0"/>
              <w:jc w:val="center"/>
              <w:rPr>
                <w:rFonts w:ascii="Arial" w:hAnsi="Arial" w:cs="Arial"/>
                <w:b/>
                <w:bCs/>
                <w:sz w:val="20"/>
                <w:szCs w:val="20"/>
                <w:lang w:eastAsia="en-AU"/>
              </w:rPr>
            </w:pPr>
            <w:r w:rsidRPr="00EC06B8">
              <w:rPr>
                <w:rFonts w:ascii="Arial" w:hAnsi="Arial" w:cs="Arial"/>
                <w:b/>
                <w:bCs/>
                <w:sz w:val="20"/>
                <w:szCs w:val="20"/>
                <w:lang w:eastAsia="en-AU"/>
              </w:rPr>
              <w:t>(&lt;18)</w:t>
            </w:r>
          </w:p>
        </w:tc>
        <w:tc>
          <w:tcPr>
            <w:tcW w:w="985" w:type="pct"/>
            <w:gridSpan w:val="2"/>
            <w:tcBorders>
              <w:top w:val="single" w:sz="18" w:space="0" w:color="auto"/>
              <w:left w:val="single" w:sz="18" w:space="0" w:color="auto"/>
              <w:bottom w:val="single" w:sz="18" w:space="0" w:color="auto"/>
              <w:right w:val="single" w:sz="18" w:space="0" w:color="auto"/>
            </w:tcBorders>
            <w:shd w:val="clear" w:color="auto" w:fill="000080"/>
          </w:tcPr>
          <w:p w14:paraId="24A7670D" w14:textId="77777777" w:rsidR="00AA17A3" w:rsidRPr="00EC06B8" w:rsidRDefault="00AA17A3" w:rsidP="00EC06B8">
            <w:pPr>
              <w:autoSpaceDE w:val="0"/>
              <w:autoSpaceDN w:val="0"/>
              <w:adjustRightInd w:val="0"/>
              <w:spacing w:before="120"/>
              <w:jc w:val="center"/>
              <w:rPr>
                <w:rFonts w:ascii="Arial" w:hAnsi="Arial" w:cs="Arial"/>
                <w:b/>
                <w:bCs/>
                <w:sz w:val="20"/>
                <w:szCs w:val="20"/>
                <w:lang w:eastAsia="en-AU"/>
              </w:rPr>
            </w:pPr>
            <w:r w:rsidRPr="00EC06B8">
              <w:rPr>
                <w:rFonts w:ascii="Arial" w:hAnsi="Arial" w:cs="Arial"/>
                <w:b/>
                <w:bCs/>
                <w:sz w:val="20"/>
                <w:szCs w:val="20"/>
                <w:lang w:eastAsia="en-AU"/>
              </w:rPr>
              <w:t>Adults</w:t>
            </w:r>
          </w:p>
        </w:tc>
        <w:tc>
          <w:tcPr>
            <w:tcW w:w="985" w:type="pct"/>
            <w:gridSpan w:val="2"/>
            <w:tcBorders>
              <w:top w:val="single" w:sz="18" w:space="0" w:color="auto"/>
              <w:left w:val="single" w:sz="18" w:space="0" w:color="auto"/>
              <w:bottom w:val="single" w:sz="18" w:space="0" w:color="auto"/>
              <w:right w:val="single" w:sz="18" w:space="0" w:color="auto"/>
            </w:tcBorders>
          </w:tcPr>
          <w:p w14:paraId="45292188" w14:textId="77777777" w:rsidR="00AA17A3" w:rsidRPr="00EC06B8" w:rsidRDefault="00AA17A3" w:rsidP="00EC06B8">
            <w:pPr>
              <w:autoSpaceDE w:val="0"/>
              <w:autoSpaceDN w:val="0"/>
              <w:adjustRightInd w:val="0"/>
              <w:spacing w:before="120"/>
              <w:jc w:val="center"/>
              <w:rPr>
                <w:rFonts w:ascii="Arial" w:hAnsi="Arial" w:cs="Arial"/>
                <w:b/>
                <w:bCs/>
                <w:sz w:val="20"/>
                <w:szCs w:val="20"/>
                <w:lang w:eastAsia="en-AU"/>
              </w:rPr>
            </w:pPr>
            <w:r w:rsidRPr="00EC06B8">
              <w:rPr>
                <w:rFonts w:ascii="Arial" w:hAnsi="Arial" w:cs="Arial"/>
                <w:b/>
                <w:bCs/>
                <w:sz w:val="20"/>
                <w:szCs w:val="20"/>
                <w:lang w:eastAsia="en-AU"/>
              </w:rPr>
              <w:t>Total</w:t>
            </w:r>
            <w:r w:rsidR="00505589" w:rsidRPr="00EC06B8">
              <w:rPr>
                <w:rFonts w:ascii="Arial" w:hAnsi="Arial" w:cs="Arial"/>
                <w:b/>
                <w:bCs/>
                <w:sz w:val="20"/>
                <w:szCs w:val="20"/>
                <w:lang w:eastAsia="en-AU"/>
              </w:rPr>
              <w:t xml:space="preserve"> persons (*)</w:t>
            </w:r>
          </w:p>
        </w:tc>
        <w:tc>
          <w:tcPr>
            <w:tcW w:w="504" w:type="pct"/>
            <w:tcBorders>
              <w:top w:val="single" w:sz="18" w:space="0" w:color="auto"/>
              <w:left w:val="single" w:sz="18" w:space="0" w:color="auto"/>
              <w:bottom w:val="single" w:sz="18" w:space="0" w:color="auto"/>
              <w:right w:val="single" w:sz="18" w:space="0" w:color="auto"/>
            </w:tcBorders>
            <w:shd w:val="clear" w:color="auto" w:fill="000000"/>
          </w:tcPr>
          <w:p w14:paraId="55F84701" w14:textId="77777777" w:rsidR="00AA17A3" w:rsidRPr="00EC06B8" w:rsidRDefault="00AA17A3" w:rsidP="00EC06B8">
            <w:pPr>
              <w:autoSpaceDE w:val="0"/>
              <w:autoSpaceDN w:val="0"/>
              <w:adjustRightInd w:val="0"/>
              <w:jc w:val="center"/>
              <w:rPr>
                <w:rFonts w:ascii="Arial" w:hAnsi="Arial" w:cs="Arial"/>
                <w:b/>
                <w:bCs/>
                <w:sz w:val="20"/>
                <w:szCs w:val="20"/>
                <w:lang w:eastAsia="en-AU"/>
              </w:rPr>
            </w:pPr>
            <w:r w:rsidRPr="00EC06B8">
              <w:rPr>
                <w:rFonts w:ascii="Arial" w:hAnsi="Arial" w:cs="Arial"/>
                <w:b/>
                <w:bCs/>
                <w:sz w:val="20"/>
                <w:szCs w:val="20"/>
                <w:lang w:eastAsia="en-AU"/>
              </w:rPr>
              <w:t>Percent</w:t>
            </w:r>
            <w:r w:rsidR="00EE6C7D" w:rsidRPr="00EC06B8">
              <w:rPr>
                <w:rFonts w:ascii="Arial" w:hAnsi="Arial" w:cs="Arial"/>
                <w:b/>
                <w:bCs/>
                <w:sz w:val="20"/>
                <w:szCs w:val="20"/>
                <w:lang w:eastAsia="en-AU"/>
              </w:rPr>
              <w:t xml:space="preserve"> juvenile</w:t>
            </w:r>
          </w:p>
        </w:tc>
        <w:tc>
          <w:tcPr>
            <w:tcW w:w="498" w:type="pct"/>
            <w:tcBorders>
              <w:top w:val="single" w:sz="18" w:space="0" w:color="auto"/>
              <w:left w:val="single" w:sz="18" w:space="0" w:color="auto"/>
              <w:bottom w:val="single" w:sz="18" w:space="0" w:color="auto"/>
              <w:right w:val="single" w:sz="18" w:space="0" w:color="auto"/>
            </w:tcBorders>
            <w:shd w:val="clear" w:color="auto" w:fill="000080"/>
          </w:tcPr>
          <w:p w14:paraId="30C8E115" w14:textId="77777777" w:rsidR="00AA17A3" w:rsidRPr="00EC06B8" w:rsidRDefault="00AA17A3" w:rsidP="00EC06B8">
            <w:pPr>
              <w:autoSpaceDE w:val="0"/>
              <w:autoSpaceDN w:val="0"/>
              <w:adjustRightInd w:val="0"/>
              <w:jc w:val="center"/>
              <w:rPr>
                <w:rFonts w:ascii="Arial" w:hAnsi="Arial" w:cs="Arial"/>
                <w:b/>
                <w:bCs/>
                <w:sz w:val="20"/>
                <w:szCs w:val="20"/>
                <w:lang w:eastAsia="en-AU"/>
              </w:rPr>
            </w:pPr>
            <w:r w:rsidRPr="00EC06B8">
              <w:rPr>
                <w:rFonts w:ascii="Arial" w:hAnsi="Arial" w:cs="Arial"/>
                <w:b/>
                <w:bCs/>
                <w:sz w:val="20"/>
                <w:szCs w:val="20"/>
                <w:lang w:eastAsia="en-AU"/>
              </w:rPr>
              <w:t>Percent</w:t>
            </w:r>
            <w:r w:rsidR="00EE6C7D" w:rsidRPr="00EC06B8">
              <w:rPr>
                <w:rFonts w:ascii="Arial" w:hAnsi="Arial" w:cs="Arial"/>
                <w:b/>
                <w:bCs/>
                <w:sz w:val="20"/>
                <w:szCs w:val="20"/>
                <w:lang w:eastAsia="en-AU"/>
              </w:rPr>
              <w:t xml:space="preserve"> adult</w:t>
            </w:r>
          </w:p>
        </w:tc>
      </w:tr>
      <w:tr w:rsidR="0031380A" w:rsidRPr="00EC06B8" w14:paraId="55C38E82" w14:textId="77777777" w:rsidTr="00FC09A7">
        <w:tc>
          <w:tcPr>
            <w:tcW w:w="1042" w:type="pct"/>
            <w:tcBorders>
              <w:top w:val="single" w:sz="18" w:space="0" w:color="auto"/>
              <w:left w:val="single" w:sz="18" w:space="0" w:color="auto"/>
              <w:bottom w:val="single" w:sz="18" w:space="0" w:color="auto"/>
            </w:tcBorders>
            <w:shd w:val="clear" w:color="auto" w:fill="FF0000"/>
          </w:tcPr>
          <w:p w14:paraId="499E44C6" w14:textId="77777777" w:rsidR="00AA17A3" w:rsidRPr="00EC06B8" w:rsidRDefault="00AA17A3" w:rsidP="00EC06B8">
            <w:pPr>
              <w:autoSpaceDE w:val="0"/>
              <w:autoSpaceDN w:val="0"/>
              <w:adjustRightInd w:val="0"/>
              <w:rPr>
                <w:rFonts w:ascii="Arial" w:hAnsi="Arial" w:cs="Arial"/>
                <w:b/>
                <w:bCs/>
                <w:color w:val="FFFFFF"/>
                <w:sz w:val="18"/>
                <w:szCs w:val="20"/>
                <w:lang w:eastAsia="en-AU"/>
              </w:rPr>
            </w:pPr>
            <w:r w:rsidRPr="00EC06B8">
              <w:rPr>
                <w:rFonts w:ascii="Arial" w:hAnsi="Arial" w:cs="Arial"/>
                <w:b/>
                <w:bCs/>
                <w:color w:val="FFFFFF"/>
                <w:sz w:val="18"/>
                <w:szCs w:val="20"/>
                <w:lang w:eastAsia="en-AU"/>
              </w:rPr>
              <w:t>Against person</w:t>
            </w:r>
          </w:p>
        </w:tc>
        <w:tc>
          <w:tcPr>
            <w:tcW w:w="493" w:type="pct"/>
            <w:tcBorders>
              <w:top w:val="single" w:sz="18" w:space="0" w:color="auto"/>
              <w:bottom w:val="single" w:sz="18" w:space="0" w:color="auto"/>
            </w:tcBorders>
            <w:shd w:val="clear" w:color="auto" w:fill="FF0000"/>
          </w:tcPr>
          <w:p w14:paraId="57C14ED3" w14:textId="77777777" w:rsidR="00AA17A3" w:rsidRPr="00EC06B8" w:rsidRDefault="00EE6C7D"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2DF9C7E6" w14:textId="77777777" w:rsidR="00AA17A3" w:rsidRPr="00EC06B8" w:rsidRDefault="00EE6C7D"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3" w:type="pct"/>
            <w:tcBorders>
              <w:top w:val="single" w:sz="18" w:space="0" w:color="auto"/>
              <w:left w:val="single" w:sz="18" w:space="0" w:color="auto"/>
              <w:bottom w:val="single" w:sz="18" w:space="0" w:color="auto"/>
            </w:tcBorders>
            <w:shd w:val="clear" w:color="auto" w:fill="FF0000"/>
          </w:tcPr>
          <w:p w14:paraId="627694D3" w14:textId="77777777" w:rsidR="00AA17A3" w:rsidRPr="00EC06B8" w:rsidRDefault="00EE6C7D"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7A384D6C" w14:textId="77777777" w:rsidR="00AA17A3" w:rsidRPr="00EC06B8" w:rsidRDefault="00EE6C7D"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3" w:type="pct"/>
            <w:tcBorders>
              <w:top w:val="single" w:sz="18" w:space="0" w:color="auto"/>
              <w:left w:val="single" w:sz="18" w:space="0" w:color="auto"/>
              <w:bottom w:val="single" w:sz="18" w:space="0" w:color="auto"/>
            </w:tcBorders>
            <w:shd w:val="clear" w:color="auto" w:fill="FF0000"/>
          </w:tcPr>
          <w:p w14:paraId="5CFF2237" w14:textId="77777777" w:rsidR="00AA17A3"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42D08D18" w14:textId="77777777" w:rsidR="00AA17A3"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504" w:type="pct"/>
            <w:tcBorders>
              <w:top w:val="single" w:sz="18" w:space="0" w:color="auto"/>
              <w:left w:val="single" w:sz="18" w:space="0" w:color="auto"/>
              <w:bottom w:val="single" w:sz="18" w:space="0" w:color="auto"/>
              <w:right w:val="single" w:sz="18" w:space="0" w:color="auto"/>
            </w:tcBorders>
            <w:shd w:val="clear" w:color="auto" w:fill="FF0000"/>
          </w:tcPr>
          <w:p w14:paraId="55C1A7E3" w14:textId="77777777" w:rsidR="00AA17A3" w:rsidRPr="00EC06B8" w:rsidRDefault="00EE6C7D"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8" w:type="pct"/>
            <w:tcBorders>
              <w:top w:val="single" w:sz="18" w:space="0" w:color="auto"/>
              <w:left w:val="single" w:sz="18" w:space="0" w:color="auto"/>
              <w:bottom w:val="single" w:sz="18" w:space="0" w:color="auto"/>
              <w:right w:val="single" w:sz="18" w:space="0" w:color="auto"/>
            </w:tcBorders>
            <w:shd w:val="clear" w:color="auto" w:fill="FF0000"/>
          </w:tcPr>
          <w:p w14:paraId="015284F6" w14:textId="77777777" w:rsidR="00AA17A3" w:rsidRPr="00EC06B8" w:rsidRDefault="00EE6C7D"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r>
      <w:tr w:rsidR="0031380A" w:rsidRPr="00EC06B8" w14:paraId="3308D0CE" w14:textId="77777777" w:rsidTr="00FC09A7">
        <w:tc>
          <w:tcPr>
            <w:tcW w:w="1042" w:type="pct"/>
            <w:tcBorders>
              <w:top w:val="single" w:sz="18" w:space="0" w:color="auto"/>
              <w:left w:val="single" w:sz="18" w:space="0" w:color="auto"/>
            </w:tcBorders>
          </w:tcPr>
          <w:p w14:paraId="4A3EF375" w14:textId="77777777" w:rsidR="00F470FB" w:rsidRPr="00EC06B8" w:rsidRDefault="00F470FB"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Homicide</w:t>
            </w:r>
          </w:p>
        </w:tc>
        <w:tc>
          <w:tcPr>
            <w:tcW w:w="493" w:type="pct"/>
            <w:tcBorders>
              <w:top w:val="single" w:sz="18" w:space="0" w:color="auto"/>
            </w:tcBorders>
          </w:tcPr>
          <w:p w14:paraId="6C0EB9D3" w14:textId="77777777" w:rsidR="00F470FB" w:rsidRPr="00EC06B8" w:rsidRDefault="00F470FB"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16</w:t>
            </w:r>
          </w:p>
        </w:tc>
        <w:tc>
          <w:tcPr>
            <w:tcW w:w="493" w:type="pct"/>
            <w:tcBorders>
              <w:top w:val="single" w:sz="18" w:space="0" w:color="auto"/>
              <w:right w:val="single" w:sz="18" w:space="0" w:color="auto"/>
            </w:tcBorders>
          </w:tcPr>
          <w:p w14:paraId="0BFBCA31" w14:textId="77777777" w:rsidR="00F470FB" w:rsidRPr="00EC06B8" w:rsidRDefault="00AA17A3"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w:t>
            </w:r>
          </w:p>
        </w:tc>
        <w:tc>
          <w:tcPr>
            <w:tcW w:w="493" w:type="pct"/>
            <w:tcBorders>
              <w:top w:val="single" w:sz="18" w:space="0" w:color="auto"/>
              <w:left w:val="single" w:sz="18" w:space="0" w:color="auto"/>
            </w:tcBorders>
          </w:tcPr>
          <w:p w14:paraId="55887B10"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165</w:t>
            </w:r>
          </w:p>
        </w:tc>
        <w:tc>
          <w:tcPr>
            <w:tcW w:w="493" w:type="pct"/>
            <w:tcBorders>
              <w:top w:val="single" w:sz="18" w:space="0" w:color="auto"/>
              <w:right w:val="single" w:sz="18" w:space="0" w:color="auto"/>
            </w:tcBorders>
          </w:tcPr>
          <w:p w14:paraId="6FE5F6AB"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233</w:t>
            </w:r>
          </w:p>
        </w:tc>
        <w:tc>
          <w:tcPr>
            <w:tcW w:w="493" w:type="pct"/>
            <w:tcBorders>
              <w:top w:val="single" w:sz="18" w:space="0" w:color="auto"/>
              <w:left w:val="single" w:sz="18" w:space="0" w:color="auto"/>
            </w:tcBorders>
          </w:tcPr>
          <w:p w14:paraId="6434E080"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185</w:t>
            </w:r>
          </w:p>
        </w:tc>
        <w:tc>
          <w:tcPr>
            <w:tcW w:w="493" w:type="pct"/>
            <w:tcBorders>
              <w:top w:val="single" w:sz="18" w:space="0" w:color="auto"/>
              <w:right w:val="single" w:sz="18" w:space="0" w:color="auto"/>
            </w:tcBorders>
          </w:tcPr>
          <w:p w14:paraId="5B957B5F"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238</w:t>
            </w:r>
          </w:p>
        </w:tc>
        <w:tc>
          <w:tcPr>
            <w:tcW w:w="504" w:type="pct"/>
            <w:tcBorders>
              <w:top w:val="single" w:sz="18" w:space="0" w:color="auto"/>
              <w:left w:val="single" w:sz="18" w:space="0" w:color="auto"/>
              <w:right w:val="single" w:sz="18" w:space="0" w:color="auto"/>
            </w:tcBorders>
          </w:tcPr>
          <w:p w14:paraId="10AAC26F" w14:textId="77777777" w:rsidR="00F470FB" w:rsidRPr="00EC06B8" w:rsidRDefault="00245B1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w:t>
            </w:r>
          </w:p>
        </w:tc>
        <w:tc>
          <w:tcPr>
            <w:tcW w:w="498" w:type="pct"/>
            <w:tcBorders>
              <w:top w:val="single" w:sz="18" w:space="0" w:color="auto"/>
              <w:left w:val="single" w:sz="18" w:space="0" w:color="auto"/>
              <w:right w:val="single" w:sz="18" w:space="0" w:color="auto"/>
            </w:tcBorders>
          </w:tcPr>
          <w:p w14:paraId="01F1C46A" w14:textId="77777777" w:rsidR="00F470FB" w:rsidRPr="00EC06B8" w:rsidRDefault="00245B1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98.0%</w:t>
            </w:r>
          </w:p>
        </w:tc>
      </w:tr>
      <w:tr w:rsidR="0031380A" w:rsidRPr="00EC06B8" w14:paraId="26503B9D" w14:textId="77777777" w:rsidTr="00FC09A7">
        <w:tc>
          <w:tcPr>
            <w:tcW w:w="1042" w:type="pct"/>
            <w:tcBorders>
              <w:left w:val="single" w:sz="18" w:space="0" w:color="auto"/>
            </w:tcBorders>
          </w:tcPr>
          <w:p w14:paraId="743F2E73" w14:textId="77777777" w:rsidR="00F470FB" w:rsidRPr="00EC06B8" w:rsidRDefault="00F470FB"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Rape</w:t>
            </w:r>
          </w:p>
        </w:tc>
        <w:tc>
          <w:tcPr>
            <w:tcW w:w="493" w:type="pct"/>
          </w:tcPr>
          <w:p w14:paraId="36E5EACA" w14:textId="77777777" w:rsidR="00F470FB" w:rsidRPr="00EC06B8" w:rsidRDefault="00F470FB"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80</w:t>
            </w:r>
          </w:p>
        </w:tc>
        <w:tc>
          <w:tcPr>
            <w:tcW w:w="493" w:type="pct"/>
            <w:tcBorders>
              <w:right w:val="single" w:sz="18" w:space="0" w:color="auto"/>
            </w:tcBorders>
          </w:tcPr>
          <w:p w14:paraId="2D6D0859" w14:textId="77777777" w:rsidR="00F470FB" w:rsidRPr="00EC06B8" w:rsidRDefault="00AA17A3"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153</w:t>
            </w:r>
          </w:p>
        </w:tc>
        <w:tc>
          <w:tcPr>
            <w:tcW w:w="493" w:type="pct"/>
            <w:tcBorders>
              <w:left w:val="single" w:sz="18" w:space="0" w:color="auto"/>
            </w:tcBorders>
          </w:tcPr>
          <w:p w14:paraId="4AE60451"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675</w:t>
            </w:r>
          </w:p>
        </w:tc>
        <w:tc>
          <w:tcPr>
            <w:tcW w:w="493" w:type="pct"/>
            <w:tcBorders>
              <w:right w:val="single" w:sz="18" w:space="0" w:color="auto"/>
            </w:tcBorders>
          </w:tcPr>
          <w:p w14:paraId="754063ED"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708</w:t>
            </w:r>
          </w:p>
        </w:tc>
        <w:tc>
          <w:tcPr>
            <w:tcW w:w="493" w:type="pct"/>
            <w:tcBorders>
              <w:left w:val="single" w:sz="18" w:space="0" w:color="auto"/>
            </w:tcBorders>
          </w:tcPr>
          <w:p w14:paraId="42466665"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762</w:t>
            </w:r>
          </w:p>
        </w:tc>
        <w:tc>
          <w:tcPr>
            <w:tcW w:w="493" w:type="pct"/>
            <w:tcBorders>
              <w:right w:val="single" w:sz="18" w:space="0" w:color="auto"/>
            </w:tcBorders>
          </w:tcPr>
          <w:p w14:paraId="21D30EBB"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871</w:t>
            </w:r>
          </w:p>
        </w:tc>
        <w:tc>
          <w:tcPr>
            <w:tcW w:w="504" w:type="pct"/>
            <w:tcBorders>
              <w:left w:val="single" w:sz="18" w:space="0" w:color="auto"/>
              <w:right w:val="single" w:sz="18" w:space="0" w:color="auto"/>
            </w:tcBorders>
          </w:tcPr>
          <w:p w14:paraId="38E8CDD6" w14:textId="77777777" w:rsidR="00F470FB" w:rsidRPr="00EC06B8" w:rsidRDefault="00245B1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17.5%</w:t>
            </w:r>
          </w:p>
        </w:tc>
        <w:tc>
          <w:tcPr>
            <w:tcW w:w="498" w:type="pct"/>
            <w:tcBorders>
              <w:left w:val="single" w:sz="18" w:space="0" w:color="auto"/>
              <w:right w:val="single" w:sz="18" w:space="0" w:color="auto"/>
            </w:tcBorders>
          </w:tcPr>
          <w:p w14:paraId="562D6388" w14:textId="77777777" w:rsidR="00F470FB" w:rsidRPr="00EC06B8" w:rsidRDefault="00245B1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81.3%</w:t>
            </w:r>
          </w:p>
        </w:tc>
      </w:tr>
      <w:tr w:rsidR="0031380A" w:rsidRPr="00EC06B8" w14:paraId="4D8CBF7A" w14:textId="77777777" w:rsidTr="00FC09A7">
        <w:tc>
          <w:tcPr>
            <w:tcW w:w="1042" w:type="pct"/>
            <w:tcBorders>
              <w:left w:val="single" w:sz="18" w:space="0" w:color="auto"/>
            </w:tcBorders>
          </w:tcPr>
          <w:p w14:paraId="6F0BBC64" w14:textId="77777777" w:rsidR="00F470FB" w:rsidRPr="00EC06B8" w:rsidRDefault="00F470FB"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Sex (non rape)</w:t>
            </w:r>
          </w:p>
        </w:tc>
        <w:tc>
          <w:tcPr>
            <w:tcW w:w="493" w:type="pct"/>
          </w:tcPr>
          <w:p w14:paraId="304737AC" w14:textId="77777777" w:rsidR="00F470FB" w:rsidRPr="00EC06B8" w:rsidRDefault="00F470FB"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418</w:t>
            </w:r>
          </w:p>
        </w:tc>
        <w:tc>
          <w:tcPr>
            <w:tcW w:w="493" w:type="pct"/>
            <w:tcBorders>
              <w:right w:val="single" w:sz="18" w:space="0" w:color="auto"/>
            </w:tcBorders>
          </w:tcPr>
          <w:p w14:paraId="372F9854" w14:textId="77777777" w:rsidR="00F470FB" w:rsidRPr="00EC06B8" w:rsidRDefault="00AA17A3"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466</w:t>
            </w:r>
          </w:p>
        </w:tc>
        <w:tc>
          <w:tcPr>
            <w:tcW w:w="493" w:type="pct"/>
            <w:tcBorders>
              <w:left w:val="single" w:sz="18" w:space="0" w:color="auto"/>
            </w:tcBorders>
          </w:tcPr>
          <w:p w14:paraId="37F395FF"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2,322</w:t>
            </w:r>
          </w:p>
        </w:tc>
        <w:tc>
          <w:tcPr>
            <w:tcW w:w="493" w:type="pct"/>
            <w:tcBorders>
              <w:right w:val="single" w:sz="18" w:space="0" w:color="auto"/>
            </w:tcBorders>
          </w:tcPr>
          <w:p w14:paraId="16CE3C6B" w14:textId="77777777" w:rsidR="00F470FB" w:rsidRPr="00EC06B8" w:rsidRDefault="00EE6C7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2,376</w:t>
            </w:r>
          </w:p>
        </w:tc>
        <w:tc>
          <w:tcPr>
            <w:tcW w:w="493" w:type="pct"/>
            <w:tcBorders>
              <w:left w:val="single" w:sz="18" w:space="0" w:color="auto"/>
            </w:tcBorders>
          </w:tcPr>
          <w:p w14:paraId="00F0941D"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2,757</w:t>
            </w:r>
          </w:p>
        </w:tc>
        <w:tc>
          <w:tcPr>
            <w:tcW w:w="493" w:type="pct"/>
            <w:tcBorders>
              <w:right w:val="single" w:sz="18" w:space="0" w:color="auto"/>
            </w:tcBorders>
          </w:tcPr>
          <w:p w14:paraId="286EDBB4"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2,860</w:t>
            </w:r>
          </w:p>
        </w:tc>
        <w:tc>
          <w:tcPr>
            <w:tcW w:w="504" w:type="pct"/>
            <w:tcBorders>
              <w:left w:val="single" w:sz="18" w:space="0" w:color="auto"/>
              <w:right w:val="single" w:sz="18" w:space="0" w:color="auto"/>
            </w:tcBorders>
          </w:tcPr>
          <w:p w14:paraId="3FEF4097" w14:textId="77777777" w:rsidR="00F470FB" w:rsidRPr="00EC06B8" w:rsidRDefault="00A9538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16.3%</w:t>
            </w:r>
          </w:p>
        </w:tc>
        <w:tc>
          <w:tcPr>
            <w:tcW w:w="498" w:type="pct"/>
            <w:tcBorders>
              <w:left w:val="single" w:sz="18" w:space="0" w:color="auto"/>
              <w:right w:val="single" w:sz="18" w:space="0" w:color="auto"/>
            </w:tcBorders>
          </w:tcPr>
          <w:p w14:paraId="588DA8AC" w14:textId="77777777" w:rsidR="00F470FB" w:rsidRPr="00EC06B8" w:rsidRDefault="00A9538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83.1%</w:t>
            </w:r>
          </w:p>
        </w:tc>
      </w:tr>
      <w:tr w:rsidR="0031380A" w:rsidRPr="00EC06B8" w14:paraId="465D8CC7" w14:textId="77777777" w:rsidTr="00FC09A7">
        <w:tc>
          <w:tcPr>
            <w:tcW w:w="1042" w:type="pct"/>
            <w:tcBorders>
              <w:left w:val="single" w:sz="18" w:space="0" w:color="auto"/>
            </w:tcBorders>
          </w:tcPr>
          <w:p w14:paraId="2B9A81DD" w14:textId="77777777" w:rsidR="00F470FB" w:rsidRPr="00EC06B8" w:rsidRDefault="00F470FB"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Robbery</w:t>
            </w:r>
          </w:p>
        </w:tc>
        <w:tc>
          <w:tcPr>
            <w:tcW w:w="493" w:type="pct"/>
          </w:tcPr>
          <w:p w14:paraId="6174CD41" w14:textId="77777777" w:rsidR="00F470FB" w:rsidRPr="00EC06B8" w:rsidRDefault="00F470FB"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1,210</w:t>
            </w:r>
          </w:p>
        </w:tc>
        <w:tc>
          <w:tcPr>
            <w:tcW w:w="493" w:type="pct"/>
            <w:tcBorders>
              <w:right w:val="single" w:sz="18" w:space="0" w:color="auto"/>
            </w:tcBorders>
          </w:tcPr>
          <w:p w14:paraId="58F32BE0" w14:textId="77777777" w:rsidR="00F470FB" w:rsidRPr="00EC06B8" w:rsidRDefault="00AA17A3"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1,207</w:t>
            </w:r>
          </w:p>
        </w:tc>
        <w:tc>
          <w:tcPr>
            <w:tcW w:w="493" w:type="pct"/>
            <w:tcBorders>
              <w:left w:val="single" w:sz="18" w:space="0" w:color="auto"/>
            </w:tcBorders>
          </w:tcPr>
          <w:p w14:paraId="03E7147C"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1,417</w:t>
            </w:r>
          </w:p>
        </w:tc>
        <w:tc>
          <w:tcPr>
            <w:tcW w:w="493" w:type="pct"/>
            <w:tcBorders>
              <w:right w:val="single" w:sz="18" w:space="0" w:color="auto"/>
            </w:tcBorders>
          </w:tcPr>
          <w:p w14:paraId="53097FEF" w14:textId="77777777" w:rsidR="00F470FB" w:rsidRPr="00EC06B8" w:rsidRDefault="00EE6C7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1,255</w:t>
            </w:r>
          </w:p>
        </w:tc>
        <w:tc>
          <w:tcPr>
            <w:tcW w:w="493" w:type="pct"/>
            <w:tcBorders>
              <w:left w:val="single" w:sz="18" w:space="0" w:color="auto"/>
            </w:tcBorders>
          </w:tcPr>
          <w:p w14:paraId="2E7DD814"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2,631</w:t>
            </w:r>
          </w:p>
        </w:tc>
        <w:tc>
          <w:tcPr>
            <w:tcW w:w="493" w:type="pct"/>
            <w:tcBorders>
              <w:right w:val="single" w:sz="18" w:space="0" w:color="auto"/>
            </w:tcBorders>
          </w:tcPr>
          <w:p w14:paraId="2CD75274"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2,471</w:t>
            </w:r>
          </w:p>
        </w:tc>
        <w:tc>
          <w:tcPr>
            <w:tcW w:w="504" w:type="pct"/>
            <w:tcBorders>
              <w:left w:val="single" w:sz="18" w:space="0" w:color="auto"/>
              <w:right w:val="single" w:sz="18" w:space="0" w:color="auto"/>
            </w:tcBorders>
          </w:tcPr>
          <w:p w14:paraId="5B830827" w14:textId="77777777" w:rsidR="00F470FB" w:rsidRPr="00EC06B8" w:rsidRDefault="00A9538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48.8%</w:t>
            </w:r>
          </w:p>
        </w:tc>
        <w:tc>
          <w:tcPr>
            <w:tcW w:w="498" w:type="pct"/>
            <w:tcBorders>
              <w:left w:val="single" w:sz="18" w:space="0" w:color="auto"/>
              <w:right w:val="single" w:sz="18" w:space="0" w:color="auto"/>
            </w:tcBorders>
          </w:tcPr>
          <w:p w14:paraId="4CDC9C1B" w14:textId="77777777" w:rsidR="00F470FB" w:rsidRPr="00EC06B8" w:rsidRDefault="00A9538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48.9%</w:t>
            </w:r>
          </w:p>
        </w:tc>
      </w:tr>
      <w:tr w:rsidR="0031380A" w:rsidRPr="00EC06B8" w14:paraId="3ACB0086" w14:textId="77777777" w:rsidTr="00FC09A7">
        <w:tc>
          <w:tcPr>
            <w:tcW w:w="1042" w:type="pct"/>
            <w:tcBorders>
              <w:left w:val="single" w:sz="18" w:space="0" w:color="auto"/>
            </w:tcBorders>
          </w:tcPr>
          <w:p w14:paraId="0DEE8763" w14:textId="77777777" w:rsidR="00F470FB" w:rsidRPr="00EC06B8" w:rsidRDefault="00F470FB"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Assault</w:t>
            </w:r>
            <w:r w:rsidR="00EC02AD" w:rsidRPr="00EC06B8">
              <w:rPr>
                <w:rFonts w:ascii="Arial" w:hAnsi="Arial" w:cs="Arial"/>
                <w:b/>
                <w:bCs/>
                <w:sz w:val="18"/>
                <w:szCs w:val="20"/>
                <w:lang w:eastAsia="en-AU"/>
              </w:rPr>
              <w:t xml:space="preserve">  </w:t>
            </w:r>
            <w:r w:rsidR="00EC02AD" w:rsidRPr="00EC06B8">
              <w:rPr>
                <w:rFonts w:ascii="Arial" w:hAnsi="Arial" w:cs="Arial"/>
                <w:bCs/>
                <w:sz w:val="22"/>
                <w:szCs w:val="20"/>
                <w:lang w:eastAsia="en-AU"/>
              </w:rPr>
              <w:t xml:space="preserve">             </w:t>
            </w:r>
            <w:r w:rsidR="003A25C5" w:rsidRPr="00EC06B8">
              <w:rPr>
                <w:rFonts w:ascii="Arial" w:hAnsi="Arial" w:cs="Arial"/>
                <w:bCs/>
                <w:sz w:val="22"/>
                <w:szCs w:val="20"/>
                <w:lang w:eastAsia="en-AU"/>
              </w:rPr>
              <w:sym w:font="Wingdings" w:char="F08E"/>
            </w:r>
          </w:p>
        </w:tc>
        <w:tc>
          <w:tcPr>
            <w:tcW w:w="493" w:type="pct"/>
          </w:tcPr>
          <w:p w14:paraId="12CC9352" w14:textId="77777777" w:rsidR="00F470FB" w:rsidRPr="00EC06B8" w:rsidRDefault="00F470FB"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4,681</w:t>
            </w:r>
          </w:p>
        </w:tc>
        <w:tc>
          <w:tcPr>
            <w:tcW w:w="493" w:type="pct"/>
            <w:tcBorders>
              <w:right w:val="single" w:sz="18" w:space="0" w:color="auto"/>
            </w:tcBorders>
          </w:tcPr>
          <w:p w14:paraId="4D3C66A9" w14:textId="77777777" w:rsidR="00F470FB" w:rsidRPr="00EC06B8" w:rsidRDefault="00AA17A3"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4,972</w:t>
            </w:r>
          </w:p>
        </w:tc>
        <w:tc>
          <w:tcPr>
            <w:tcW w:w="493" w:type="pct"/>
            <w:tcBorders>
              <w:left w:val="single" w:sz="18" w:space="0" w:color="auto"/>
            </w:tcBorders>
          </w:tcPr>
          <w:p w14:paraId="213B523D"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23,254</w:t>
            </w:r>
          </w:p>
        </w:tc>
        <w:tc>
          <w:tcPr>
            <w:tcW w:w="493" w:type="pct"/>
            <w:tcBorders>
              <w:right w:val="single" w:sz="18" w:space="0" w:color="auto"/>
            </w:tcBorders>
          </w:tcPr>
          <w:p w14:paraId="7BCEB6C3" w14:textId="77777777" w:rsidR="00F470FB" w:rsidRPr="00EC06B8" w:rsidRDefault="00EE6C7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24,124</w:t>
            </w:r>
          </w:p>
        </w:tc>
        <w:tc>
          <w:tcPr>
            <w:tcW w:w="493" w:type="pct"/>
            <w:tcBorders>
              <w:left w:val="single" w:sz="18" w:space="0" w:color="auto"/>
            </w:tcBorders>
          </w:tcPr>
          <w:p w14:paraId="4446576B"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28,089</w:t>
            </w:r>
          </w:p>
        </w:tc>
        <w:tc>
          <w:tcPr>
            <w:tcW w:w="493" w:type="pct"/>
            <w:tcBorders>
              <w:right w:val="single" w:sz="18" w:space="0" w:color="auto"/>
            </w:tcBorders>
          </w:tcPr>
          <w:p w14:paraId="59947205"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29,274</w:t>
            </w:r>
          </w:p>
        </w:tc>
        <w:tc>
          <w:tcPr>
            <w:tcW w:w="504" w:type="pct"/>
            <w:tcBorders>
              <w:left w:val="single" w:sz="18" w:space="0" w:color="auto"/>
              <w:right w:val="single" w:sz="18" w:space="0" w:color="auto"/>
            </w:tcBorders>
          </w:tcPr>
          <w:p w14:paraId="2EE714F7" w14:textId="77777777" w:rsidR="00F470FB" w:rsidRPr="00EC06B8" w:rsidRDefault="00A9538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17.0%</w:t>
            </w:r>
          </w:p>
        </w:tc>
        <w:tc>
          <w:tcPr>
            <w:tcW w:w="498" w:type="pct"/>
            <w:tcBorders>
              <w:left w:val="single" w:sz="18" w:space="0" w:color="auto"/>
              <w:right w:val="single" w:sz="18" w:space="0" w:color="auto"/>
            </w:tcBorders>
          </w:tcPr>
          <w:p w14:paraId="721C17D3" w14:textId="77777777" w:rsidR="00F470FB" w:rsidRPr="00EC06B8" w:rsidRDefault="00A9538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82.4%</w:t>
            </w:r>
          </w:p>
        </w:tc>
      </w:tr>
      <w:tr w:rsidR="0031380A" w:rsidRPr="00EC06B8" w14:paraId="21CFA281" w14:textId="77777777" w:rsidTr="00FC09A7">
        <w:tc>
          <w:tcPr>
            <w:tcW w:w="1042" w:type="pct"/>
            <w:tcBorders>
              <w:left w:val="single" w:sz="18" w:space="0" w:color="auto"/>
              <w:bottom w:val="single" w:sz="18" w:space="0" w:color="auto"/>
            </w:tcBorders>
          </w:tcPr>
          <w:p w14:paraId="18DFECB9" w14:textId="77777777" w:rsidR="00F470FB" w:rsidRPr="00EC06B8" w:rsidRDefault="00F470FB"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Abduction/Kidnap</w:t>
            </w:r>
          </w:p>
        </w:tc>
        <w:tc>
          <w:tcPr>
            <w:tcW w:w="493" w:type="pct"/>
            <w:tcBorders>
              <w:bottom w:val="single" w:sz="18" w:space="0" w:color="auto"/>
            </w:tcBorders>
          </w:tcPr>
          <w:p w14:paraId="61893917" w14:textId="77777777" w:rsidR="00F470FB" w:rsidRPr="00EC06B8" w:rsidRDefault="00F470FB"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39</w:t>
            </w:r>
          </w:p>
        </w:tc>
        <w:tc>
          <w:tcPr>
            <w:tcW w:w="493" w:type="pct"/>
            <w:tcBorders>
              <w:bottom w:val="single" w:sz="18" w:space="0" w:color="auto"/>
              <w:right w:val="single" w:sz="18" w:space="0" w:color="auto"/>
            </w:tcBorders>
          </w:tcPr>
          <w:p w14:paraId="686016EC" w14:textId="77777777" w:rsidR="00F470FB" w:rsidRPr="00EC06B8" w:rsidRDefault="00AA17A3"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59</w:t>
            </w:r>
          </w:p>
        </w:tc>
        <w:tc>
          <w:tcPr>
            <w:tcW w:w="493" w:type="pct"/>
            <w:tcBorders>
              <w:left w:val="single" w:sz="18" w:space="0" w:color="auto"/>
              <w:bottom w:val="single" w:sz="18" w:space="0" w:color="auto"/>
            </w:tcBorders>
          </w:tcPr>
          <w:p w14:paraId="495C4755" w14:textId="77777777" w:rsidR="00F470FB" w:rsidRPr="00EC06B8" w:rsidRDefault="008033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315</w:t>
            </w:r>
          </w:p>
        </w:tc>
        <w:tc>
          <w:tcPr>
            <w:tcW w:w="493" w:type="pct"/>
            <w:tcBorders>
              <w:bottom w:val="single" w:sz="18" w:space="0" w:color="auto"/>
              <w:right w:val="single" w:sz="18" w:space="0" w:color="auto"/>
            </w:tcBorders>
          </w:tcPr>
          <w:p w14:paraId="74295B6C" w14:textId="77777777" w:rsidR="00F470FB" w:rsidRPr="00EC06B8" w:rsidRDefault="00EE6C7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379</w:t>
            </w:r>
          </w:p>
        </w:tc>
        <w:tc>
          <w:tcPr>
            <w:tcW w:w="493" w:type="pct"/>
            <w:tcBorders>
              <w:left w:val="single" w:sz="18" w:space="0" w:color="auto"/>
              <w:bottom w:val="single" w:sz="18" w:space="0" w:color="auto"/>
            </w:tcBorders>
          </w:tcPr>
          <w:p w14:paraId="71A52C60"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356</w:t>
            </w:r>
          </w:p>
        </w:tc>
        <w:tc>
          <w:tcPr>
            <w:tcW w:w="493" w:type="pct"/>
            <w:tcBorders>
              <w:bottom w:val="single" w:sz="18" w:space="0" w:color="auto"/>
              <w:right w:val="single" w:sz="18" w:space="0" w:color="auto"/>
            </w:tcBorders>
          </w:tcPr>
          <w:p w14:paraId="68A45FAD"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442</w:t>
            </w:r>
          </w:p>
        </w:tc>
        <w:tc>
          <w:tcPr>
            <w:tcW w:w="504" w:type="pct"/>
            <w:tcBorders>
              <w:left w:val="single" w:sz="18" w:space="0" w:color="auto"/>
              <w:bottom w:val="single" w:sz="18" w:space="0" w:color="auto"/>
              <w:right w:val="single" w:sz="18" w:space="0" w:color="auto"/>
            </w:tcBorders>
          </w:tcPr>
          <w:p w14:paraId="04F752FB" w14:textId="77777777" w:rsidR="00F470FB" w:rsidRPr="00EC06B8" w:rsidRDefault="00A9538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13.3%</w:t>
            </w:r>
          </w:p>
        </w:tc>
        <w:tc>
          <w:tcPr>
            <w:tcW w:w="498" w:type="pct"/>
            <w:tcBorders>
              <w:left w:val="single" w:sz="18" w:space="0" w:color="auto"/>
              <w:bottom w:val="single" w:sz="18" w:space="0" w:color="auto"/>
              <w:right w:val="single" w:sz="18" w:space="0" w:color="auto"/>
            </w:tcBorders>
          </w:tcPr>
          <w:p w14:paraId="1F372693" w14:textId="77777777" w:rsidR="00F470FB" w:rsidRPr="00EC06B8" w:rsidRDefault="00A9538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85.7%</w:t>
            </w:r>
          </w:p>
        </w:tc>
      </w:tr>
      <w:tr w:rsidR="00EE6C7D" w:rsidRPr="00EC06B8" w14:paraId="2E56BABC" w14:textId="77777777" w:rsidTr="00FC09A7">
        <w:tc>
          <w:tcPr>
            <w:tcW w:w="1042" w:type="pct"/>
            <w:tcBorders>
              <w:top w:val="single" w:sz="18" w:space="0" w:color="auto"/>
              <w:left w:val="single" w:sz="18" w:space="0" w:color="auto"/>
              <w:bottom w:val="single" w:sz="18" w:space="0" w:color="auto"/>
            </w:tcBorders>
          </w:tcPr>
          <w:p w14:paraId="359A052E" w14:textId="77777777" w:rsidR="00F470FB"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Sub-total</w:t>
            </w:r>
          </w:p>
        </w:tc>
        <w:tc>
          <w:tcPr>
            <w:tcW w:w="493" w:type="pct"/>
            <w:tcBorders>
              <w:top w:val="single" w:sz="18" w:space="0" w:color="auto"/>
              <w:bottom w:val="single" w:sz="18" w:space="0" w:color="auto"/>
            </w:tcBorders>
            <w:shd w:val="clear" w:color="auto" w:fill="000000"/>
          </w:tcPr>
          <w:p w14:paraId="70C59923" w14:textId="77777777" w:rsidR="00F470FB" w:rsidRPr="00EC06B8" w:rsidRDefault="00F470FB"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6,444</w:t>
            </w:r>
          </w:p>
        </w:tc>
        <w:tc>
          <w:tcPr>
            <w:tcW w:w="493" w:type="pct"/>
            <w:tcBorders>
              <w:top w:val="single" w:sz="18" w:space="0" w:color="auto"/>
              <w:bottom w:val="single" w:sz="18" w:space="0" w:color="auto"/>
              <w:right w:val="single" w:sz="18" w:space="0" w:color="auto"/>
            </w:tcBorders>
            <w:shd w:val="clear" w:color="auto" w:fill="000000"/>
          </w:tcPr>
          <w:p w14:paraId="6790D557" w14:textId="77777777" w:rsidR="00F470FB" w:rsidRPr="00EC06B8" w:rsidRDefault="00AA17A3"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6,860</w:t>
            </w:r>
          </w:p>
        </w:tc>
        <w:tc>
          <w:tcPr>
            <w:tcW w:w="493" w:type="pct"/>
            <w:tcBorders>
              <w:top w:val="single" w:sz="18" w:space="0" w:color="auto"/>
              <w:left w:val="single" w:sz="18" w:space="0" w:color="auto"/>
              <w:bottom w:val="single" w:sz="18" w:space="0" w:color="auto"/>
            </w:tcBorders>
            <w:shd w:val="clear" w:color="auto" w:fill="000080"/>
          </w:tcPr>
          <w:p w14:paraId="3A554DBC"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28,148</w:t>
            </w:r>
          </w:p>
        </w:tc>
        <w:tc>
          <w:tcPr>
            <w:tcW w:w="493" w:type="pct"/>
            <w:tcBorders>
              <w:top w:val="single" w:sz="18" w:space="0" w:color="auto"/>
              <w:bottom w:val="single" w:sz="18" w:space="0" w:color="auto"/>
              <w:right w:val="single" w:sz="18" w:space="0" w:color="auto"/>
            </w:tcBorders>
            <w:shd w:val="clear" w:color="auto" w:fill="000080"/>
          </w:tcPr>
          <w:p w14:paraId="75940B0C"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29</w:t>
            </w:r>
            <w:r w:rsidR="00A95389" w:rsidRPr="00EC06B8">
              <w:rPr>
                <w:rFonts w:ascii="Arial" w:hAnsi="Arial" w:cs="Arial"/>
                <w:b/>
                <w:bCs/>
                <w:sz w:val="20"/>
                <w:szCs w:val="20"/>
                <w:lang w:eastAsia="en-AU"/>
              </w:rPr>
              <w:t>,1</w:t>
            </w:r>
            <w:r w:rsidRPr="00EC06B8">
              <w:rPr>
                <w:rFonts w:ascii="Arial" w:hAnsi="Arial" w:cs="Arial"/>
                <w:b/>
                <w:bCs/>
                <w:sz w:val="20"/>
                <w:szCs w:val="20"/>
                <w:lang w:eastAsia="en-AU"/>
              </w:rPr>
              <w:t>075</w:t>
            </w:r>
          </w:p>
        </w:tc>
        <w:tc>
          <w:tcPr>
            <w:tcW w:w="493" w:type="pct"/>
            <w:tcBorders>
              <w:top w:val="single" w:sz="18" w:space="0" w:color="auto"/>
              <w:left w:val="single" w:sz="18" w:space="0" w:color="auto"/>
              <w:bottom w:val="single" w:sz="18" w:space="0" w:color="auto"/>
            </w:tcBorders>
          </w:tcPr>
          <w:p w14:paraId="4B78BED3"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34,780</w:t>
            </w:r>
          </w:p>
        </w:tc>
        <w:tc>
          <w:tcPr>
            <w:tcW w:w="493" w:type="pct"/>
            <w:tcBorders>
              <w:top w:val="single" w:sz="18" w:space="0" w:color="auto"/>
              <w:bottom w:val="single" w:sz="18" w:space="0" w:color="auto"/>
              <w:right w:val="single" w:sz="18" w:space="0" w:color="auto"/>
            </w:tcBorders>
          </w:tcPr>
          <w:p w14:paraId="723D7B0B" w14:textId="77777777" w:rsidR="00F470FB" w:rsidRPr="00EC06B8" w:rsidRDefault="00483BA4"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36,156</w:t>
            </w:r>
          </w:p>
        </w:tc>
        <w:tc>
          <w:tcPr>
            <w:tcW w:w="504" w:type="pct"/>
            <w:tcBorders>
              <w:top w:val="single" w:sz="18" w:space="0" w:color="auto"/>
              <w:left w:val="single" w:sz="18" w:space="0" w:color="auto"/>
              <w:bottom w:val="single" w:sz="18" w:space="0" w:color="auto"/>
              <w:right w:val="single" w:sz="18" w:space="0" w:color="auto"/>
            </w:tcBorders>
            <w:shd w:val="clear" w:color="auto" w:fill="000000"/>
          </w:tcPr>
          <w:p w14:paraId="3BA63F65" w14:textId="77777777" w:rsidR="00F470FB" w:rsidRPr="00EC06B8" w:rsidRDefault="00A9538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19.0%</w:t>
            </w:r>
          </w:p>
        </w:tc>
        <w:tc>
          <w:tcPr>
            <w:tcW w:w="498" w:type="pct"/>
            <w:tcBorders>
              <w:top w:val="single" w:sz="18" w:space="0" w:color="auto"/>
              <w:left w:val="single" w:sz="18" w:space="0" w:color="auto"/>
              <w:bottom w:val="single" w:sz="18" w:space="0" w:color="auto"/>
              <w:right w:val="single" w:sz="18" w:space="0" w:color="auto"/>
            </w:tcBorders>
            <w:shd w:val="clear" w:color="auto" w:fill="000080"/>
          </w:tcPr>
          <w:p w14:paraId="73DADCD5" w14:textId="77777777" w:rsidR="00F470FB" w:rsidRPr="00EC06B8" w:rsidRDefault="00A9538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80.4%</w:t>
            </w:r>
          </w:p>
        </w:tc>
      </w:tr>
      <w:tr w:rsidR="0031380A" w:rsidRPr="00EC06B8" w14:paraId="12214D6E" w14:textId="77777777" w:rsidTr="00FC09A7">
        <w:tc>
          <w:tcPr>
            <w:tcW w:w="1042" w:type="pct"/>
            <w:tcBorders>
              <w:top w:val="single" w:sz="18" w:space="0" w:color="auto"/>
              <w:left w:val="single" w:sz="18" w:space="0" w:color="auto"/>
              <w:bottom w:val="single" w:sz="18" w:space="0" w:color="auto"/>
            </w:tcBorders>
            <w:shd w:val="clear" w:color="auto" w:fill="FF0000"/>
          </w:tcPr>
          <w:p w14:paraId="504692BE" w14:textId="77777777" w:rsidR="0031380A" w:rsidRPr="00EC06B8" w:rsidRDefault="0031380A" w:rsidP="00EC06B8">
            <w:pPr>
              <w:autoSpaceDE w:val="0"/>
              <w:autoSpaceDN w:val="0"/>
              <w:adjustRightInd w:val="0"/>
              <w:rPr>
                <w:rFonts w:ascii="Arial" w:hAnsi="Arial" w:cs="Arial"/>
                <w:b/>
                <w:bCs/>
                <w:color w:val="FFFFFF"/>
                <w:sz w:val="18"/>
                <w:szCs w:val="20"/>
                <w:lang w:eastAsia="en-AU"/>
              </w:rPr>
            </w:pPr>
            <w:r w:rsidRPr="00EC06B8">
              <w:rPr>
                <w:rFonts w:ascii="Arial" w:hAnsi="Arial" w:cs="Arial"/>
                <w:b/>
                <w:bCs/>
                <w:color w:val="FFFFFF"/>
                <w:sz w:val="18"/>
                <w:szCs w:val="20"/>
                <w:lang w:eastAsia="en-AU"/>
              </w:rPr>
              <w:t>Against property</w:t>
            </w:r>
          </w:p>
        </w:tc>
        <w:tc>
          <w:tcPr>
            <w:tcW w:w="493" w:type="pct"/>
            <w:tcBorders>
              <w:top w:val="single" w:sz="18" w:space="0" w:color="auto"/>
              <w:bottom w:val="single" w:sz="18" w:space="0" w:color="auto"/>
            </w:tcBorders>
            <w:shd w:val="clear" w:color="auto" w:fill="FF0000"/>
          </w:tcPr>
          <w:p w14:paraId="3E7851B3" w14:textId="77777777" w:rsidR="0031380A"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28E30F3A" w14:textId="77777777" w:rsidR="0031380A"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3" w:type="pct"/>
            <w:tcBorders>
              <w:top w:val="single" w:sz="18" w:space="0" w:color="auto"/>
              <w:left w:val="single" w:sz="18" w:space="0" w:color="auto"/>
              <w:bottom w:val="single" w:sz="18" w:space="0" w:color="auto"/>
            </w:tcBorders>
            <w:shd w:val="clear" w:color="auto" w:fill="FF0000"/>
          </w:tcPr>
          <w:p w14:paraId="29CBFDB0" w14:textId="77777777" w:rsidR="0031380A"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11D005B5" w14:textId="77777777" w:rsidR="0031380A"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3" w:type="pct"/>
            <w:tcBorders>
              <w:top w:val="single" w:sz="18" w:space="0" w:color="auto"/>
              <w:left w:val="single" w:sz="18" w:space="0" w:color="auto"/>
              <w:bottom w:val="single" w:sz="18" w:space="0" w:color="auto"/>
            </w:tcBorders>
            <w:shd w:val="clear" w:color="auto" w:fill="FF0000"/>
          </w:tcPr>
          <w:p w14:paraId="7477B024" w14:textId="77777777" w:rsidR="0031380A"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2EAD488B" w14:textId="77777777" w:rsidR="0031380A"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504" w:type="pct"/>
            <w:tcBorders>
              <w:top w:val="single" w:sz="18" w:space="0" w:color="auto"/>
              <w:left w:val="single" w:sz="18" w:space="0" w:color="auto"/>
              <w:bottom w:val="single" w:sz="18" w:space="0" w:color="auto"/>
              <w:right w:val="single" w:sz="18" w:space="0" w:color="auto"/>
            </w:tcBorders>
            <w:shd w:val="clear" w:color="auto" w:fill="FF0000"/>
          </w:tcPr>
          <w:p w14:paraId="48C4D2E3" w14:textId="77777777" w:rsidR="0031380A"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8" w:type="pct"/>
            <w:tcBorders>
              <w:top w:val="single" w:sz="18" w:space="0" w:color="auto"/>
              <w:left w:val="single" w:sz="18" w:space="0" w:color="auto"/>
              <w:bottom w:val="single" w:sz="18" w:space="0" w:color="auto"/>
              <w:right w:val="single" w:sz="18" w:space="0" w:color="auto"/>
            </w:tcBorders>
            <w:shd w:val="clear" w:color="auto" w:fill="FF0000"/>
          </w:tcPr>
          <w:p w14:paraId="41DB38DD" w14:textId="77777777" w:rsidR="0031380A"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r>
      <w:tr w:rsidR="0031380A" w:rsidRPr="00EC06B8" w14:paraId="6864B27A" w14:textId="77777777" w:rsidTr="00FC09A7">
        <w:tc>
          <w:tcPr>
            <w:tcW w:w="1042" w:type="pct"/>
            <w:tcBorders>
              <w:top w:val="single" w:sz="18" w:space="0" w:color="auto"/>
              <w:left w:val="single" w:sz="18" w:space="0" w:color="auto"/>
            </w:tcBorders>
          </w:tcPr>
          <w:p w14:paraId="22A431F4" w14:textId="77777777" w:rsidR="00F470FB" w:rsidRPr="00EC06B8" w:rsidRDefault="00AA17A3"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Arson</w:t>
            </w:r>
          </w:p>
        </w:tc>
        <w:tc>
          <w:tcPr>
            <w:tcW w:w="493" w:type="pct"/>
            <w:tcBorders>
              <w:top w:val="single" w:sz="18" w:space="0" w:color="auto"/>
            </w:tcBorders>
          </w:tcPr>
          <w:p w14:paraId="101D31F0"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439</w:t>
            </w:r>
          </w:p>
        </w:tc>
        <w:tc>
          <w:tcPr>
            <w:tcW w:w="493" w:type="pct"/>
            <w:tcBorders>
              <w:top w:val="single" w:sz="18" w:space="0" w:color="auto"/>
              <w:right w:val="single" w:sz="18" w:space="0" w:color="auto"/>
            </w:tcBorders>
          </w:tcPr>
          <w:p w14:paraId="4B1184ED"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389</w:t>
            </w:r>
          </w:p>
        </w:tc>
        <w:tc>
          <w:tcPr>
            <w:tcW w:w="493" w:type="pct"/>
            <w:tcBorders>
              <w:top w:val="single" w:sz="18" w:space="0" w:color="auto"/>
              <w:left w:val="single" w:sz="18" w:space="0" w:color="auto"/>
            </w:tcBorders>
          </w:tcPr>
          <w:p w14:paraId="7A254F89"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452</w:t>
            </w:r>
          </w:p>
        </w:tc>
        <w:tc>
          <w:tcPr>
            <w:tcW w:w="493" w:type="pct"/>
            <w:tcBorders>
              <w:top w:val="single" w:sz="18" w:space="0" w:color="auto"/>
              <w:right w:val="single" w:sz="18" w:space="0" w:color="auto"/>
            </w:tcBorders>
          </w:tcPr>
          <w:p w14:paraId="04693A00"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610</w:t>
            </w:r>
          </w:p>
        </w:tc>
        <w:tc>
          <w:tcPr>
            <w:tcW w:w="493" w:type="pct"/>
            <w:tcBorders>
              <w:top w:val="single" w:sz="18" w:space="0" w:color="auto"/>
              <w:left w:val="single" w:sz="18" w:space="0" w:color="auto"/>
            </w:tcBorders>
          </w:tcPr>
          <w:p w14:paraId="53E2D5F6"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897</w:t>
            </w:r>
          </w:p>
        </w:tc>
        <w:tc>
          <w:tcPr>
            <w:tcW w:w="493" w:type="pct"/>
            <w:tcBorders>
              <w:top w:val="single" w:sz="18" w:space="0" w:color="auto"/>
              <w:right w:val="single" w:sz="18" w:space="0" w:color="auto"/>
            </w:tcBorders>
          </w:tcPr>
          <w:p w14:paraId="40370E8A"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1,005</w:t>
            </w:r>
          </w:p>
        </w:tc>
        <w:tc>
          <w:tcPr>
            <w:tcW w:w="504" w:type="pct"/>
            <w:tcBorders>
              <w:top w:val="single" w:sz="18" w:space="0" w:color="auto"/>
              <w:left w:val="single" w:sz="18" w:space="0" w:color="auto"/>
              <w:right w:val="single" w:sz="18" w:space="0" w:color="auto"/>
            </w:tcBorders>
          </w:tcPr>
          <w:p w14:paraId="1B35AB9D" w14:textId="77777777" w:rsidR="00F470FB"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38.7%</w:t>
            </w:r>
          </w:p>
        </w:tc>
        <w:tc>
          <w:tcPr>
            <w:tcW w:w="498" w:type="pct"/>
            <w:tcBorders>
              <w:top w:val="single" w:sz="18" w:space="0" w:color="auto"/>
              <w:left w:val="single" w:sz="18" w:space="0" w:color="auto"/>
              <w:right w:val="single" w:sz="18" w:space="0" w:color="auto"/>
            </w:tcBorders>
          </w:tcPr>
          <w:p w14:paraId="75055397" w14:textId="77777777" w:rsidR="00F470FB"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60.7%</w:t>
            </w:r>
          </w:p>
        </w:tc>
      </w:tr>
      <w:tr w:rsidR="0031380A" w:rsidRPr="00EC06B8" w14:paraId="79118A3E" w14:textId="77777777" w:rsidTr="00FC09A7">
        <w:tc>
          <w:tcPr>
            <w:tcW w:w="1042" w:type="pct"/>
            <w:tcBorders>
              <w:left w:val="single" w:sz="18" w:space="0" w:color="auto"/>
            </w:tcBorders>
          </w:tcPr>
          <w:p w14:paraId="7A1FDE70" w14:textId="77777777" w:rsidR="00F470FB" w:rsidRPr="00EC06B8" w:rsidRDefault="00AA17A3"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Property damage</w:t>
            </w:r>
            <w:r w:rsidR="00BA0BC9" w:rsidRPr="00EC06B8">
              <w:rPr>
                <w:rFonts w:ascii="Arial" w:hAnsi="Arial" w:cs="Arial"/>
                <w:b/>
                <w:bCs/>
                <w:sz w:val="18"/>
                <w:szCs w:val="20"/>
                <w:lang w:eastAsia="en-AU"/>
              </w:rPr>
              <w:t xml:space="preserve">  </w:t>
            </w:r>
            <w:r w:rsidR="003A25C5" w:rsidRPr="00EC06B8">
              <w:rPr>
                <w:rFonts w:ascii="Arial" w:hAnsi="Arial" w:cs="Arial"/>
                <w:bCs/>
                <w:sz w:val="22"/>
                <w:szCs w:val="20"/>
                <w:lang w:eastAsia="en-AU"/>
              </w:rPr>
              <w:sym w:font="Wingdings" w:char="F08D"/>
            </w:r>
          </w:p>
        </w:tc>
        <w:tc>
          <w:tcPr>
            <w:tcW w:w="493" w:type="pct"/>
          </w:tcPr>
          <w:p w14:paraId="33A57303"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5,840</w:t>
            </w:r>
          </w:p>
        </w:tc>
        <w:tc>
          <w:tcPr>
            <w:tcW w:w="493" w:type="pct"/>
            <w:tcBorders>
              <w:right w:val="single" w:sz="18" w:space="0" w:color="auto"/>
            </w:tcBorders>
          </w:tcPr>
          <w:p w14:paraId="6D3A0B89"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4,972</w:t>
            </w:r>
          </w:p>
        </w:tc>
        <w:tc>
          <w:tcPr>
            <w:tcW w:w="493" w:type="pct"/>
            <w:tcBorders>
              <w:left w:val="single" w:sz="18" w:space="0" w:color="auto"/>
            </w:tcBorders>
          </w:tcPr>
          <w:p w14:paraId="66D9719E"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8,598</w:t>
            </w:r>
          </w:p>
        </w:tc>
        <w:tc>
          <w:tcPr>
            <w:tcW w:w="493" w:type="pct"/>
            <w:tcBorders>
              <w:right w:val="single" w:sz="18" w:space="0" w:color="auto"/>
            </w:tcBorders>
          </w:tcPr>
          <w:p w14:paraId="3EE89523"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9,120</w:t>
            </w:r>
          </w:p>
        </w:tc>
        <w:tc>
          <w:tcPr>
            <w:tcW w:w="493" w:type="pct"/>
            <w:tcBorders>
              <w:left w:val="single" w:sz="18" w:space="0" w:color="auto"/>
            </w:tcBorders>
          </w:tcPr>
          <w:p w14:paraId="7BAE3847"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14,507</w:t>
            </w:r>
          </w:p>
        </w:tc>
        <w:tc>
          <w:tcPr>
            <w:tcW w:w="493" w:type="pct"/>
            <w:tcBorders>
              <w:right w:val="single" w:sz="18" w:space="0" w:color="auto"/>
            </w:tcBorders>
          </w:tcPr>
          <w:p w14:paraId="65B1F074"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14,219</w:t>
            </w:r>
          </w:p>
        </w:tc>
        <w:tc>
          <w:tcPr>
            <w:tcW w:w="504" w:type="pct"/>
            <w:tcBorders>
              <w:left w:val="single" w:sz="18" w:space="0" w:color="auto"/>
              <w:right w:val="single" w:sz="18" w:space="0" w:color="auto"/>
            </w:tcBorders>
          </w:tcPr>
          <w:p w14:paraId="76628B4C" w14:textId="77777777" w:rsidR="00F470FB"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35.0%</w:t>
            </w:r>
          </w:p>
        </w:tc>
        <w:tc>
          <w:tcPr>
            <w:tcW w:w="498" w:type="pct"/>
            <w:tcBorders>
              <w:left w:val="single" w:sz="18" w:space="0" w:color="auto"/>
              <w:right w:val="single" w:sz="18" w:space="0" w:color="auto"/>
            </w:tcBorders>
          </w:tcPr>
          <w:p w14:paraId="3D86D7CC" w14:textId="77777777" w:rsidR="00F470FB"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64.1%</w:t>
            </w:r>
          </w:p>
        </w:tc>
      </w:tr>
      <w:tr w:rsidR="0031380A" w:rsidRPr="00EC06B8" w14:paraId="6AC1655E" w14:textId="77777777" w:rsidTr="00FC09A7">
        <w:tc>
          <w:tcPr>
            <w:tcW w:w="1042" w:type="pct"/>
            <w:tcBorders>
              <w:left w:val="single" w:sz="18" w:space="0" w:color="auto"/>
            </w:tcBorders>
          </w:tcPr>
          <w:p w14:paraId="30F16443" w14:textId="77777777" w:rsidR="00F470FB" w:rsidRPr="00EC06B8" w:rsidRDefault="00AA17A3"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Burglary (aggravated)</w:t>
            </w:r>
          </w:p>
        </w:tc>
        <w:tc>
          <w:tcPr>
            <w:tcW w:w="493" w:type="pct"/>
          </w:tcPr>
          <w:p w14:paraId="37A01C02"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180</w:t>
            </w:r>
          </w:p>
        </w:tc>
        <w:tc>
          <w:tcPr>
            <w:tcW w:w="493" w:type="pct"/>
            <w:tcBorders>
              <w:right w:val="single" w:sz="18" w:space="0" w:color="auto"/>
            </w:tcBorders>
          </w:tcPr>
          <w:p w14:paraId="145F3F03"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334</w:t>
            </w:r>
          </w:p>
        </w:tc>
        <w:tc>
          <w:tcPr>
            <w:tcW w:w="493" w:type="pct"/>
            <w:tcBorders>
              <w:left w:val="single" w:sz="18" w:space="0" w:color="auto"/>
            </w:tcBorders>
          </w:tcPr>
          <w:p w14:paraId="2501181B"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1,117</w:t>
            </w:r>
          </w:p>
        </w:tc>
        <w:tc>
          <w:tcPr>
            <w:tcW w:w="493" w:type="pct"/>
            <w:tcBorders>
              <w:right w:val="single" w:sz="18" w:space="0" w:color="auto"/>
            </w:tcBorders>
          </w:tcPr>
          <w:p w14:paraId="36067842"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1,190</w:t>
            </w:r>
          </w:p>
        </w:tc>
        <w:tc>
          <w:tcPr>
            <w:tcW w:w="493" w:type="pct"/>
            <w:tcBorders>
              <w:left w:val="single" w:sz="18" w:space="0" w:color="auto"/>
            </w:tcBorders>
          </w:tcPr>
          <w:p w14:paraId="31405B83"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1,301</w:t>
            </w:r>
          </w:p>
        </w:tc>
        <w:tc>
          <w:tcPr>
            <w:tcW w:w="493" w:type="pct"/>
            <w:tcBorders>
              <w:right w:val="single" w:sz="18" w:space="0" w:color="auto"/>
            </w:tcBorders>
          </w:tcPr>
          <w:p w14:paraId="0D037AC6"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1,530</w:t>
            </w:r>
          </w:p>
        </w:tc>
        <w:tc>
          <w:tcPr>
            <w:tcW w:w="504" w:type="pct"/>
            <w:tcBorders>
              <w:left w:val="single" w:sz="18" w:space="0" w:color="auto"/>
              <w:right w:val="single" w:sz="18" w:space="0" w:color="auto"/>
            </w:tcBorders>
          </w:tcPr>
          <w:p w14:paraId="5989AAA9"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21.8%</w:t>
            </w:r>
          </w:p>
        </w:tc>
        <w:tc>
          <w:tcPr>
            <w:tcW w:w="498" w:type="pct"/>
            <w:tcBorders>
              <w:left w:val="single" w:sz="18" w:space="0" w:color="auto"/>
              <w:right w:val="single" w:sz="18" w:space="0" w:color="auto"/>
            </w:tcBorders>
          </w:tcPr>
          <w:p w14:paraId="11650018"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77.8%</w:t>
            </w:r>
          </w:p>
        </w:tc>
      </w:tr>
      <w:tr w:rsidR="0031380A" w:rsidRPr="00EC06B8" w14:paraId="1053D369" w14:textId="77777777" w:rsidTr="00FC09A7">
        <w:tc>
          <w:tcPr>
            <w:tcW w:w="1042" w:type="pct"/>
            <w:tcBorders>
              <w:left w:val="single" w:sz="18" w:space="0" w:color="auto"/>
            </w:tcBorders>
          </w:tcPr>
          <w:p w14:paraId="185AC063" w14:textId="77777777" w:rsidR="00F470FB"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Burglary (residential)</w:t>
            </w:r>
          </w:p>
        </w:tc>
        <w:tc>
          <w:tcPr>
            <w:tcW w:w="493" w:type="pct"/>
          </w:tcPr>
          <w:p w14:paraId="6C934564"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1,750</w:t>
            </w:r>
          </w:p>
        </w:tc>
        <w:tc>
          <w:tcPr>
            <w:tcW w:w="493" w:type="pct"/>
            <w:tcBorders>
              <w:right w:val="single" w:sz="18" w:space="0" w:color="auto"/>
            </w:tcBorders>
          </w:tcPr>
          <w:p w14:paraId="68DA0CB4"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1,510</w:t>
            </w:r>
          </w:p>
        </w:tc>
        <w:tc>
          <w:tcPr>
            <w:tcW w:w="493" w:type="pct"/>
            <w:tcBorders>
              <w:left w:val="single" w:sz="18" w:space="0" w:color="auto"/>
            </w:tcBorders>
          </w:tcPr>
          <w:p w14:paraId="10264D81"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3,760</w:t>
            </w:r>
          </w:p>
        </w:tc>
        <w:tc>
          <w:tcPr>
            <w:tcW w:w="493" w:type="pct"/>
            <w:tcBorders>
              <w:right w:val="single" w:sz="18" w:space="0" w:color="auto"/>
            </w:tcBorders>
          </w:tcPr>
          <w:p w14:paraId="287807DC"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4,186</w:t>
            </w:r>
          </w:p>
        </w:tc>
        <w:tc>
          <w:tcPr>
            <w:tcW w:w="493" w:type="pct"/>
            <w:tcBorders>
              <w:left w:val="single" w:sz="18" w:space="0" w:color="auto"/>
            </w:tcBorders>
          </w:tcPr>
          <w:p w14:paraId="1FD24D07"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5,528</w:t>
            </w:r>
          </w:p>
        </w:tc>
        <w:tc>
          <w:tcPr>
            <w:tcW w:w="493" w:type="pct"/>
            <w:tcBorders>
              <w:right w:val="single" w:sz="18" w:space="0" w:color="auto"/>
            </w:tcBorders>
          </w:tcPr>
          <w:p w14:paraId="61E1D1AB"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5,714</w:t>
            </w:r>
          </w:p>
        </w:tc>
        <w:tc>
          <w:tcPr>
            <w:tcW w:w="504" w:type="pct"/>
            <w:tcBorders>
              <w:left w:val="single" w:sz="18" w:space="0" w:color="auto"/>
              <w:right w:val="single" w:sz="18" w:space="0" w:color="auto"/>
            </w:tcBorders>
          </w:tcPr>
          <w:p w14:paraId="2F357BF1"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26.4%</w:t>
            </w:r>
          </w:p>
        </w:tc>
        <w:tc>
          <w:tcPr>
            <w:tcW w:w="498" w:type="pct"/>
            <w:tcBorders>
              <w:left w:val="single" w:sz="18" w:space="0" w:color="auto"/>
              <w:right w:val="single" w:sz="18" w:space="0" w:color="auto"/>
            </w:tcBorders>
          </w:tcPr>
          <w:p w14:paraId="31E098D4"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73.3%</w:t>
            </w:r>
          </w:p>
        </w:tc>
      </w:tr>
      <w:tr w:rsidR="0031380A" w:rsidRPr="00EC06B8" w14:paraId="711C6430" w14:textId="77777777" w:rsidTr="00FC09A7">
        <w:tc>
          <w:tcPr>
            <w:tcW w:w="1042" w:type="pct"/>
            <w:tcBorders>
              <w:left w:val="single" w:sz="18" w:space="0" w:color="auto"/>
            </w:tcBorders>
          </w:tcPr>
          <w:p w14:paraId="7AE2272D" w14:textId="77777777" w:rsidR="00F470FB"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Burglary (other)</w:t>
            </w:r>
          </w:p>
        </w:tc>
        <w:tc>
          <w:tcPr>
            <w:tcW w:w="493" w:type="pct"/>
          </w:tcPr>
          <w:p w14:paraId="5105E6DA"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1,942</w:t>
            </w:r>
          </w:p>
        </w:tc>
        <w:tc>
          <w:tcPr>
            <w:tcW w:w="493" w:type="pct"/>
            <w:tcBorders>
              <w:right w:val="single" w:sz="18" w:space="0" w:color="auto"/>
            </w:tcBorders>
          </w:tcPr>
          <w:p w14:paraId="6A761C9F"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1,818</w:t>
            </w:r>
          </w:p>
        </w:tc>
        <w:tc>
          <w:tcPr>
            <w:tcW w:w="493" w:type="pct"/>
            <w:tcBorders>
              <w:left w:val="single" w:sz="18" w:space="0" w:color="auto"/>
            </w:tcBorders>
          </w:tcPr>
          <w:p w14:paraId="50350163"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3,816</w:t>
            </w:r>
          </w:p>
        </w:tc>
        <w:tc>
          <w:tcPr>
            <w:tcW w:w="493" w:type="pct"/>
            <w:tcBorders>
              <w:right w:val="single" w:sz="18" w:space="0" w:color="auto"/>
            </w:tcBorders>
          </w:tcPr>
          <w:p w14:paraId="1C8315F3"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3,423</w:t>
            </w:r>
          </w:p>
        </w:tc>
        <w:tc>
          <w:tcPr>
            <w:tcW w:w="493" w:type="pct"/>
            <w:tcBorders>
              <w:left w:val="single" w:sz="18" w:space="0" w:color="auto"/>
            </w:tcBorders>
          </w:tcPr>
          <w:p w14:paraId="6BEDBCBA"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5,778</w:t>
            </w:r>
          </w:p>
        </w:tc>
        <w:tc>
          <w:tcPr>
            <w:tcW w:w="493" w:type="pct"/>
            <w:tcBorders>
              <w:right w:val="single" w:sz="18" w:space="0" w:color="auto"/>
            </w:tcBorders>
          </w:tcPr>
          <w:p w14:paraId="1A6E2748"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5,264</w:t>
            </w:r>
          </w:p>
        </w:tc>
        <w:tc>
          <w:tcPr>
            <w:tcW w:w="504" w:type="pct"/>
            <w:tcBorders>
              <w:left w:val="single" w:sz="18" w:space="0" w:color="auto"/>
              <w:right w:val="single" w:sz="18" w:space="0" w:color="auto"/>
            </w:tcBorders>
          </w:tcPr>
          <w:p w14:paraId="0EE5A470"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34.5%</w:t>
            </w:r>
          </w:p>
        </w:tc>
        <w:tc>
          <w:tcPr>
            <w:tcW w:w="498" w:type="pct"/>
            <w:tcBorders>
              <w:left w:val="single" w:sz="18" w:space="0" w:color="auto"/>
              <w:right w:val="single" w:sz="18" w:space="0" w:color="auto"/>
            </w:tcBorders>
          </w:tcPr>
          <w:p w14:paraId="1AE227C5"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65.0%</w:t>
            </w:r>
          </w:p>
        </w:tc>
      </w:tr>
      <w:tr w:rsidR="0031380A" w:rsidRPr="00EC06B8" w14:paraId="2D0FCF47" w14:textId="77777777" w:rsidTr="00FC09A7">
        <w:tc>
          <w:tcPr>
            <w:tcW w:w="1042" w:type="pct"/>
            <w:tcBorders>
              <w:left w:val="single" w:sz="18" w:space="0" w:color="auto"/>
            </w:tcBorders>
          </w:tcPr>
          <w:p w14:paraId="693C8B68" w14:textId="77777777" w:rsidR="00F470FB"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Deception</w:t>
            </w:r>
          </w:p>
        </w:tc>
        <w:tc>
          <w:tcPr>
            <w:tcW w:w="493" w:type="pct"/>
          </w:tcPr>
          <w:p w14:paraId="52BD0C4B"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505</w:t>
            </w:r>
          </w:p>
        </w:tc>
        <w:tc>
          <w:tcPr>
            <w:tcW w:w="493" w:type="pct"/>
            <w:tcBorders>
              <w:right w:val="single" w:sz="18" w:space="0" w:color="auto"/>
            </w:tcBorders>
          </w:tcPr>
          <w:p w14:paraId="398D6839"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464</w:t>
            </w:r>
          </w:p>
        </w:tc>
        <w:tc>
          <w:tcPr>
            <w:tcW w:w="493" w:type="pct"/>
            <w:tcBorders>
              <w:left w:val="single" w:sz="18" w:space="0" w:color="auto"/>
            </w:tcBorders>
          </w:tcPr>
          <w:p w14:paraId="00E4176C"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9,909</w:t>
            </w:r>
          </w:p>
        </w:tc>
        <w:tc>
          <w:tcPr>
            <w:tcW w:w="493" w:type="pct"/>
            <w:tcBorders>
              <w:right w:val="single" w:sz="18" w:space="0" w:color="auto"/>
            </w:tcBorders>
          </w:tcPr>
          <w:p w14:paraId="49632D00"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8,608</w:t>
            </w:r>
          </w:p>
        </w:tc>
        <w:tc>
          <w:tcPr>
            <w:tcW w:w="493" w:type="pct"/>
            <w:tcBorders>
              <w:left w:val="single" w:sz="18" w:space="0" w:color="auto"/>
            </w:tcBorders>
          </w:tcPr>
          <w:p w14:paraId="7CC23DA0"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10,484</w:t>
            </w:r>
          </w:p>
        </w:tc>
        <w:tc>
          <w:tcPr>
            <w:tcW w:w="493" w:type="pct"/>
            <w:tcBorders>
              <w:right w:val="single" w:sz="18" w:space="0" w:color="auto"/>
            </w:tcBorders>
          </w:tcPr>
          <w:p w14:paraId="42C32C9E"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9,134</w:t>
            </w:r>
          </w:p>
        </w:tc>
        <w:tc>
          <w:tcPr>
            <w:tcW w:w="504" w:type="pct"/>
            <w:tcBorders>
              <w:left w:val="single" w:sz="18" w:space="0" w:color="auto"/>
              <w:right w:val="single" w:sz="18" w:space="0" w:color="auto"/>
            </w:tcBorders>
          </w:tcPr>
          <w:p w14:paraId="54938F3A"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5.1%</w:t>
            </w:r>
          </w:p>
        </w:tc>
        <w:tc>
          <w:tcPr>
            <w:tcW w:w="498" w:type="pct"/>
            <w:tcBorders>
              <w:left w:val="single" w:sz="18" w:space="0" w:color="auto"/>
              <w:right w:val="single" w:sz="18" w:space="0" w:color="auto"/>
            </w:tcBorders>
          </w:tcPr>
          <w:p w14:paraId="3BEA7824"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94.2%</w:t>
            </w:r>
          </w:p>
        </w:tc>
      </w:tr>
      <w:tr w:rsidR="0031380A" w:rsidRPr="00EC06B8" w14:paraId="15019A93" w14:textId="77777777" w:rsidTr="00FC09A7">
        <w:tc>
          <w:tcPr>
            <w:tcW w:w="1042" w:type="pct"/>
            <w:tcBorders>
              <w:left w:val="single" w:sz="18" w:space="0" w:color="auto"/>
            </w:tcBorders>
          </w:tcPr>
          <w:p w14:paraId="528F943C" w14:textId="77777777" w:rsidR="00F470FB"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Handle stolen goods</w:t>
            </w:r>
          </w:p>
        </w:tc>
        <w:tc>
          <w:tcPr>
            <w:tcW w:w="493" w:type="pct"/>
          </w:tcPr>
          <w:p w14:paraId="69369989"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712</w:t>
            </w:r>
          </w:p>
        </w:tc>
        <w:tc>
          <w:tcPr>
            <w:tcW w:w="493" w:type="pct"/>
            <w:tcBorders>
              <w:right w:val="single" w:sz="18" w:space="0" w:color="auto"/>
            </w:tcBorders>
          </w:tcPr>
          <w:p w14:paraId="6EAD1181"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685</w:t>
            </w:r>
          </w:p>
        </w:tc>
        <w:tc>
          <w:tcPr>
            <w:tcW w:w="493" w:type="pct"/>
            <w:tcBorders>
              <w:left w:val="single" w:sz="18" w:space="0" w:color="auto"/>
            </w:tcBorders>
          </w:tcPr>
          <w:p w14:paraId="008581EC"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4,755</w:t>
            </w:r>
          </w:p>
        </w:tc>
        <w:tc>
          <w:tcPr>
            <w:tcW w:w="493" w:type="pct"/>
            <w:tcBorders>
              <w:right w:val="single" w:sz="18" w:space="0" w:color="auto"/>
            </w:tcBorders>
          </w:tcPr>
          <w:p w14:paraId="1CD5D82F"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4,424</w:t>
            </w:r>
          </w:p>
        </w:tc>
        <w:tc>
          <w:tcPr>
            <w:tcW w:w="493" w:type="pct"/>
            <w:tcBorders>
              <w:left w:val="single" w:sz="18" w:space="0" w:color="auto"/>
            </w:tcBorders>
          </w:tcPr>
          <w:p w14:paraId="52D34550"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5,491</w:t>
            </w:r>
          </w:p>
        </w:tc>
        <w:tc>
          <w:tcPr>
            <w:tcW w:w="493" w:type="pct"/>
            <w:tcBorders>
              <w:right w:val="single" w:sz="18" w:space="0" w:color="auto"/>
            </w:tcBorders>
          </w:tcPr>
          <w:p w14:paraId="0E16E2EC"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5,127</w:t>
            </w:r>
          </w:p>
        </w:tc>
        <w:tc>
          <w:tcPr>
            <w:tcW w:w="504" w:type="pct"/>
            <w:tcBorders>
              <w:left w:val="single" w:sz="18" w:space="0" w:color="auto"/>
              <w:right w:val="single" w:sz="18" w:space="0" w:color="auto"/>
            </w:tcBorders>
          </w:tcPr>
          <w:p w14:paraId="1F0C333B"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13.4%</w:t>
            </w:r>
          </w:p>
        </w:tc>
        <w:tc>
          <w:tcPr>
            <w:tcW w:w="498" w:type="pct"/>
            <w:tcBorders>
              <w:left w:val="single" w:sz="18" w:space="0" w:color="auto"/>
              <w:right w:val="single" w:sz="18" w:space="0" w:color="auto"/>
            </w:tcBorders>
          </w:tcPr>
          <w:p w14:paraId="32161A74" w14:textId="77777777" w:rsidR="00F470FB" w:rsidRPr="00EC06B8" w:rsidRDefault="00A2539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86.3%</w:t>
            </w:r>
          </w:p>
        </w:tc>
      </w:tr>
      <w:tr w:rsidR="0031380A" w:rsidRPr="00EC06B8" w14:paraId="27F39EEF" w14:textId="77777777" w:rsidTr="00FC09A7">
        <w:tc>
          <w:tcPr>
            <w:tcW w:w="1042" w:type="pct"/>
            <w:tcBorders>
              <w:left w:val="single" w:sz="18" w:space="0" w:color="auto"/>
            </w:tcBorders>
          </w:tcPr>
          <w:p w14:paraId="7993C959" w14:textId="77777777" w:rsidR="00F470FB"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Theft from motor vehicle</w:t>
            </w:r>
          </w:p>
        </w:tc>
        <w:tc>
          <w:tcPr>
            <w:tcW w:w="493" w:type="pct"/>
          </w:tcPr>
          <w:p w14:paraId="35A05444"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1,918</w:t>
            </w:r>
          </w:p>
        </w:tc>
        <w:tc>
          <w:tcPr>
            <w:tcW w:w="493" w:type="pct"/>
            <w:tcBorders>
              <w:right w:val="single" w:sz="18" w:space="0" w:color="auto"/>
            </w:tcBorders>
          </w:tcPr>
          <w:p w14:paraId="62CD9522"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2,478</w:t>
            </w:r>
          </w:p>
        </w:tc>
        <w:tc>
          <w:tcPr>
            <w:tcW w:w="493" w:type="pct"/>
            <w:tcBorders>
              <w:left w:val="single" w:sz="18" w:space="0" w:color="auto"/>
            </w:tcBorders>
          </w:tcPr>
          <w:p w14:paraId="03DF30CB"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4,214</w:t>
            </w:r>
          </w:p>
        </w:tc>
        <w:tc>
          <w:tcPr>
            <w:tcW w:w="493" w:type="pct"/>
            <w:tcBorders>
              <w:right w:val="single" w:sz="18" w:space="0" w:color="auto"/>
            </w:tcBorders>
          </w:tcPr>
          <w:p w14:paraId="245F7D64"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3,931</w:t>
            </w:r>
          </w:p>
        </w:tc>
        <w:tc>
          <w:tcPr>
            <w:tcW w:w="493" w:type="pct"/>
            <w:tcBorders>
              <w:left w:val="single" w:sz="18" w:space="0" w:color="auto"/>
            </w:tcBorders>
          </w:tcPr>
          <w:p w14:paraId="7E5A2E28"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6,153</w:t>
            </w:r>
          </w:p>
        </w:tc>
        <w:tc>
          <w:tcPr>
            <w:tcW w:w="493" w:type="pct"/>
            <w:tcBorders>
              <w:right w:val="single" w:sz="18" w:space="0" w:color="auto"/>
            </w:tcBorders>
          </w:tcPr>
          <w:p w14:paraId="64A9A3A6"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6,434</w:t>
            </w:r>
          </w:p>
        </w:tc>
        <w:tc>
          <w:tcPr>
            <w:tcW w:w="504" w:type="pct"/>
            <w:tcBorders>
              <w:left w:val="single" w:sz="18" w:space="0" w:color="auto"/>
              <w:right w:val="single" w:sz="18" w:space="0" w:color="auto"/>
            </w:tcBorders>
          </w:tcPr>
          <w:p w14:paraId="5AF7FF87" w14:textId="77777777" w:rsidR="00F470FB"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38.5%</w:t>
            </w:r>
          </w:p>
        </w:tc>
        <w:tc>
          <w:tcPr>
            <w:tcW w:w="498" w:type="pct"/>
            <w:tcBorders>
              <w:left w:val="single" w:sz="18" w:space="0" w:color="auto"/>
              <w:right w:val="single" w:sz="18" w:space="0" w:color="auto"/>
            </w:tcBorders>
          </w:tcPr>
          <w:p w14:paraId="7712D148" w14:textId="77777777" w:rsidR="00F470FB"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61.1%</w:t>
            </w:r>
          </w:p>
        </w:tc>
      </w:tr>
      <w:tr w:rsidR="0031380A" w:rsidRPr="00EC06B8" w14:paraId="71BE480B" w14:textId="77777777" w:rsidTr="00FC09A7">
        <w:tc>
          <w:tcPr>
            <w:tcW w:w="1042" w:type="pct"/>
            <w:tcBorders>
              <w:left w:val="single" w:sz="18" w:space="0" w:color="auto"/>
            </w:tcBorders>
          </w:tcPr>
          <w:p w14:paraId="48250054" w14:textId="77777777" w:rsidR="00F470FB"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Theft (shopsteal)</w:t>
            </w:r>
            <w:r w:rsidR="00BA0BC9" w:rsidRPr="00EC06B8">
              <w:rPr>
                <w:rFonts w:ascii="Arial" w:hAnsi="Arial" w:cs="Arial"/>
                <w:bCs/>
                <w:sz w:val="22"/>
                <w:szCs w:val="20"/>
                <w:lang w:eastAsia="en-AU"/>
              </w:rPr>
              <w:t xml:space="preserve">  </w:t>
            </w:r>
            <w:r w:rsidR="00BA0BC9" w:rsidRPr="00EC06B8">
              <w:rPr>
                <w:rFonts w:ascii="Arial" w:hAnsi="Arial" w:cs="Arial"/>
                <w:bCs/>
                <w:sz w:val="22"/>
                <w:szCs w:val="20"/>
                <w:lang w:eastAsia="en-AU"/>
              </w:rPr>
              <w:sym w:font="Wingdings" w:char="F08C"/>
            </w:r>
          </w:p>
        </w:tc>
        <w:tc>
          <w:tcPr>
            <w:tcW w:w="493" w:type="pct"/>
          </w:tcPr>
          <w:p w14:paraId="4E8A779F"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5,892</w:t>
            </w:r>
          </w:p>
        </w:tc>
        <w:tc>
          <w:tcPr>
            <w:tcW w:w="493" w:type="pct"/>
            <w:tcBorders>
              <w:right w:val="single" w:sz="18" w:space="0" w:color="auto"/>
            </w:tcBorders>
          </w:tcPr>
          <w:p w14:paraId="311BF830"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5,951</w:t>
            </w:r>
          </w:p>
        </w:tc>
        <w:tc>
          <w:tcPr>
            <w:tcW w:w="493" w:type="pct"/>
            <w:tcBorders>
              <w:left w:val="single" w:sz="18" w:space="0" w:color="auto"/>
            </w:tcBorders>
          </w:tcPr>
          <w:p w14:paraId="190D12B8"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12,333</w:t>
            </w:r>
          </w:p>
        </w:tc>
        <w:tc>
          <w:tcPr>
            <w:tcW w:w="493" w:type="pct"/>
            <w:tcBorders>
              <w:right w:val="single" w:sz="18" w:space="0" w:color="auto"/>
            </w:tcBorders>
          </w:tcPr>
          <w:p w14:paraId="2593E90C"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13,084</w:t>
            </w:r>
          </w:p>
        </w:tc>
        <w:tc>
          <w:tcPr>
            <w:tcW w:w="493" w:type="pct"/>
            <w:tcBorders>
              <w:left w:val="single" w:sz="18" w:space="0" w:color="auto"/>
            </w:tcBorders>
          </w:tcPr>
          <w:p w14:paraId="366040C9"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18,340</w:t>
            </w:r>
          </w:p>
        </w:tc>
        <w:tc>
          <w:tcPr>
            <w:tcW w:w="493" w:type="pct"/>
            <w:tcBorders>
              <w:right w:val="single" w:sz="18" w:space="0" w:color="auto"/>
            </w:tcBorders>
          </w:tcPr>
          <w:p w14:paraId="25A2272D"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19,176</w:t>
            </w:r>
          </w:p>
        </w:tc>
        <w:tc>
          <w:tcPr>
            <w:tcW w:w="504" w:type="pct"/>
            <w:tcBorders>
              <w:left w:val="single" w:sz="18" w:space="0" w:color="auto"/>
              <w:right w:val="single" w:sz="18" w:space="0" w:color="auto"/>
            </w:tcBorders>
          </w:tcPr>
          <w:p w14:paraId="58C5C01D" w14:textId="77777777" w:rsidR="00F470FB"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31.0%</w:t>
            </w:r>
          </w:p>
        </w:tc>
        <w:tc>
          <w:tcPr>
            <w:tcW w:w="498" w:type="pct"/>
            <w:tcBorders>
              <w:left w:val="single" w:sz="18" w:space="0" w:color="auto"/>
              <w:right w:val="single" w:sz="18" w:space="0" w:color="auto"/>
            </w:tcBorders>
          </w:tcPr>
          <w:p w14:paraId="3567FF6A" w14:textId="77777777" w:rsidR="00F470FB"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68.2%</w:t>
            </w:r>
          </w:p>
        </w:tc>
      </w:tr>
      <w:tr w:rsidR="0031380A" w:rsidRPr="00EC06B8" w14:paraId="705FB62B" w14:textId="77777777" w:rsidTr="00FC09A7">
        <w:tc>
          <w:tcPr>
            <w:tcW w:w="1042" w:type="pct"/>
            <w:tcBorders>
              <w:left w:val="single" w:sz="18" w:space="0" w:color="auto"/>
            </w:tcBorders>
          </w:tcPr>
          <w:p w14:paraId="2BDEB33A" w14:textId="77777777" w:rsidR="00F470FB"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Theft of motor vehicle</w:t>
            </w:r>
            <w:r w:rsidR="003A25C5" w:rsidRPr="00EC06B8">
              <w:rPr>
                <w:rFonts w:ascii="Arial" w:hAnsi="Arial" w:cs="Arial"/>
                <w:b/>
                <w:bCs/>
                <w:sz w:val="18"/>
                <w:szCs w:val="20"/>
                <w:lang w:eastAsia="en-AU"/>
              </w:rPr>
              <w:t xml:space="preserve">                   </w:t>
            </w:r>
            <w:r w:rsidR="00A95389" w:rsidRPr="00EC06B8">
              <w:rPr>
                <w:rFonts w:ascii="Arial" w:hAnsi="Arial" w:cs="Arial"/>
                <w:bCs/>
                <w:sz w:val="22"/>
                <w:szCs w:val="20"/>
                <w:lang w:eastAsia="en-AU"/>
              </w:rPr>
              <w:sym w:font="Wingdings" w:char="F090"/>
            </w:r>
          </w:p>
        </w:tc>
        <w:tc>
          <w:tcPr>
            <w:tcW w:w="493" w:type="pct"/>
          </w:tcPr>
          <w:p w14:paraId="198E7AD6"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2,237</w:t>
            </w:r>
          </w:p>
        </w:tc>
        <w:tc>
          <w:tcPr>
            <w:tcW w:w="493" w:type="pct"/>
            <w:tcBorders>
              <w:right w:val="single" w:sz="18" w:space="0" w:color="auto"/>
            </w:tcBorders>
          </w:tcPr>
          <w:p w14:paraId="0A0B1127" w14:textId="77777777" w:rsidR="00F470FB"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2,033</w:t>
            </w:r>
          </w:p>
        </w:tc>
        <w:tc>
          <w:tcPr>
            <w:tcW w:w="493" w:type="pct"/>
            <w:tcBorders>
              <w:left w:val="single" w:sz="18" w:space="0" w:color="auto"/>
            </w:tcBorders>
          </w:tcPr>
          <w:p w14:paraId="659DBB7D" w14:textId="77777777" w:rsidR="00F470FB"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3,092</w:t>
            </w:r>
          </w:p>
        </w:tc>
        <w:tc>
          <w:tcPr>
            <w:tcW w:w="493" w:type="pct"/>
            <w:tcBorders>
              <w:right w:val="single" w:sz="18" w:space="0" w:color="auto"/>
            </w:tcBorders>
          </w:tcPr>
          <w:p w14:paraId="6F2E9EB2" w14:textId="77777777" w:rsidR="00F470FB"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2,358</w:t>
            </w:r>
          </w:p>
        </w:tc>
        <w:tc>
          <w:tcPr>
            <w:tcW w:w="493" w:type="pct"/>
            <w:tcBorders>
              <w:left w:val="single" w:sz="18" w:space="0" w:color="auto"/>
            </w:tcBorders>
          </w:tcPr>
          <w:p w14:paraId="6A8B0F44"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5,340</w:t>
            </w:r>
          </w:p>
        </w:tc>
        <w:tc>
          <w:tcPr>
            <w:tcW w:w="493" w:type="pct"/>
            <w:tcBorders>
              <w:right w:val="single" w:sz="18" w:space="0" w:color="auto"/>
            </w:tcBorders>
          </w:tcPr>
          <w:p w14:paraId="73D5A69A" w14:textId="77777777" w:rsidR="00F470FB"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4,402</w:t>
            </w:r>
          </w:p>
        </w:tc>
        <w:tc>
          <w:tcPr>
            <w:tcW w:w="504" w:type="pct"/>
            <w:tcBorders>
              <w:left w:val="single" w:sz="18" w:space="0" w:color="auto"/>
              <w:right w:val="single" w:sz="18" w:space="0" w:color="auto"/>
            </w:tcBorders>
          </w:tcPr>
          <w:p w14:paraId="6665484C" w14:textId="77777777" w:rsidR="00F470FB"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46.2%</w:t>
            </w:r>
          </w:p>
        </w:tc>
        <w:tc>
          <w:tcPr>
            <w:tcW w:w="498" w:type="pct"/>
            <w:tcBorders>
              <w:left w:val="single" w:sz="18" w:space="0" w:color="auto"/>
              <w:right w:val="single" w:sz="18" w:space="0" w:color="auto"/>
            </w:tcBorders>
          </w:tcPr>
          <w:p w14:paraId="56936A3E" w14:textId="77777777" w:rsidR="00F470FB"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53.6%</w:t>
            </w:r>
          </w:p>
        </w:tc>
      </w:tr>
      <w:tr w:rsidR="00735E39" w:rsidRPr="00EC06B8" w14:paraId="41F323B9" w14:textId="77777777" w:rsidTr="00FC09A7">
        <w:tc>
          <w:tcPr>
            <w:tcW w:w="1042" w:type="pct"/>
            <w:tcBorders>
              <w:left w:val="single" w:sz="18" w:space="0" w:color="auto"/>
            </w:tcBorders>
          </w:tcPr>
          <w:p w14:paraId="22DC942C" w14:textId="77777777" w:rsidR="00735E39"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Theft of bicycle</w:t>
            </w:r>
          </w:p>
        </w:tc>
        <w:tc>
          <w:tcPr>
            <w:tcW w:w="493" w:type="pct"/>
          </w:tcPr>
          <w:p w14:paraId="032D1BE7" w14:textId="77777777" w:rsidR="00735E39"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235</w:t>
            </w:r>
          </w:p>
        </w:tc>
        <w:tc>
          <w:tcPr>
            <w:tcW w:w="493" w:type="pct"/>
            <w:tcBorders>
              <w:right w:val="single" w:sz="18" w:space="0" w:color="auto"/>
            </w:tcBorders>
          </w:tcPr>
          <w:p w14:paraId="74941E11" w14:textId="77777777" w:rsidR="00735E39"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240</w:t>
            </w:r>
          </w:p>
        </w:tc>
        <w:tc>
          <w:tcPr>
            <w:tcW w:w="493" w:type="pct"/>
            <w:tcBorders>
              <w:left w:val="single" w:sz="18" w:space="0" w:color="auto"/>
            </w:tcBorders>
          </w:tcPr>
          <w:p w14:paraId="7152785F" w14:textId="77777777" w:rsidR="00735E39"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296</w:t>
            </w:r>
          </w:p>
        </w:tc>
        <w:tc>
          <w:tcPr>
            <w:tcW w:w="493" w:type="pct"/>
            <w:tcBorders>
              <w:right w:val="single" w:sz="18" w:space="0" w:color="auto"/>
            </w:tcBorders>
          </w:tcPr>
          <w:p w14:paraId="03E0D192"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210</w:t>
            </w:r>
          </w:p>
        </w:tc>
        <w:tc>
          <w:tcPr>
            <w:tcW w:w="493" w:type="pct"/>
            <w:tcBorders>
              <w:left w:val="single" w:sz="18" w:space="0" w:color="auto"/>
            </w:tcBorders>
          </w:tcPr>
          <w:p w14:paraId="62D487A8"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533</w:t>
            </w:r>
          </w:p>
        </w:tc>
        <w:tc>
          <w:tcPr>
            <w:tcW w:w="493" w:type="pct"/>
            <w:tcBorders>
              <w:right w:val="single" w:sz="18" w:space="0" w:color="auto"/>
            </w:tcBorders>
          </w:tcPr>
          <w:p w14:paraId="0E652C06"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452</w:t>
            </w:r>
          </w:p>
        </w:tc>
        <w:tc>
          <w:tcPr>
            <w:tcW w:w="504" w:type="pct"/>
            <w:tcBorders>
              <w:left w:val="single" w:sz="18" w:space="0" w:color="auto"/>
              <w:right w:val="single" w:sz="18" w:space="0" w:color="auto"/>
            </w:tcBorders>
          </w:tcPr>
          <w:p w14:paraId="5A569C8C"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53.1%</w:t>
            </w:r>
          </w:p>
        </w:tc>
        <w:tc>
          <w:tcPr>
            <w:tcW w:w="498" w:type="pct"/>
            <w:tcBorders>
              <w:left w:val="single" w:sz="18" w:space="0" w:color="auto"/>
              <w:right w:val="single" w:sz="18" w:space="0" w:color="auto"/>
            </w:tcBorders>
          </w:tcPr>
          <w:p w14:paraId="47C093CE"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46.5%</w:t>
            </w:r>
          </w:p>
        </w:tc>
      </w:tr>
      <w:tr w:rsidR="00735E39" w:rsidRPr="00EC06B8" w14:paraId="25A5F2ED" w14:textId="77777777" w:rsidTr="00FC09A7">
        <w:tc>
          <w:tcPr>
            <w:tcW w:w="1042" w:type="pct"/>
            <w:tcBorders>
              <w:left w:val="single" w:sz="18" w:space="0" w:color="auto"/>
              <w:bottom w:val="single" w:sz="18" w:space="0" w:color="auto"/>
            </w:tcBorders>
          </w:tcPr>
          <w:p w14:paraId="27AE3A8A" w14:textId="77777777" w:rsidR="00735E39"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Theft (other)</w:t>
            </w:r>
            <w:r w:rsidR="00483BA4" w:rsidRPr="00EC06B8">
              <w:rPr>
                <w:rFonts w:ascii="Arial" w:hAnsi="Arial" w:cs="Arial"/>
                <w:b/>
                <w:bCs/>
                <w:sz w:val="18"/>
                <w:szCs w:val="20"/>
                <w:lang w:eastAsia="en-AU"/>
              </w:rPr>
              <w:t xml:space="preserve">          </w:t>
            </w:r>
            <w:r w:rsidR="00A95389" w:rsidRPr="00EC06B8">
              <w:rPr>
                <w:rFonts w:ascii="Arial" w:hAnsi="Arial" w:cs="Arial"/>
                <w:bCs/>
                <w:sz w:val="22"/>
                <w:szCs w:val="20"/>
                <w:lang w:eastAsia="en-AU"/>
              </w:rPr>
              <w:sym w:font="Wingdings" w:char="F08F"/>
            </w:r>
          </w:p>
        </w:tc>
        <w:tc>
          <w:tcPr>
            <w:tcW w:w="493" w:type="pct"/>
            <w:tcBorders>
              <w:bottom w:val="single" w:sz="18" w:space="0" w:color="auto"/>
            </w:tcBorders>
          </w:tcPr>
          <w:p w14:paraId="62087ACD" w14:textId="77777777" w:rsidR="00735E39"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1,911</w:t>
            </w:r>
          </w:p>
        </w:tc>
        <w:tc>
          <w:tcPr>
            <w:tcW w:w="493" w:type="pct"/>
            <w:tcBorders>
              <w:bottom w:val="single" w:sz="18" w:space="0" w:color="auto"/>
              <w:right w:val="single" w:sz="18" w:space="0" w:color="auto"/>
            </w:tcBorders>
          </w:tcPr>
          <w:p w14:paraId="7A5BECED" w14:textId="77777777" w:rsidR="00735E39" w:rsidRPr="00EC06B8" w:rsidRDefault="00735E3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2,108</w:t>
            </w:r>
          </w:p>
        </w:tc>
        <w:tc>
          <w:tcPr>
            <w:tcW w:w="493" w:type="pct"/>
            <w:tcBorders>
              <w:left w:val="single" w:sz="18" w:space="0" w:color="auto"/>
              <w:bottom w:val="single" w:sz="18" w:space="0" w:color="auto"/>
            </w:tcBorders>
          </w:tcPr>
          <w:p w14:paraId="339D33DD" w14:textId="77777777" w:rsidR="00735E39" w:rsidRPr="00EC06B8" w:rsidRDefault="0031380A"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7,909</w:t>
            </w:r>
          </w:p>
        </w:tc>
        <w:tc>
          <w:tcPr>
            <w:tcW w:w="493" w:type="pct"/>
            <w:tcBorders>
              <w:bottom w:val="single" w:sz="18" w:space="0" w:color="auto"/>
              <w:right w:val="single" w:sz="18" w:space="0" w:color="auto"/>
            </w:tcBorders>
          </w:tcPr>
          <w:p w14:paraId="30DB7130"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7,426</w:t>
            </w:r>
          </w:p>
        </w:tc>
        <w:tc>
          <w:tcPr>
            <w:tcW w:w="493" w:type="pct"/>
            <w:tcBorders>
              <w:left w:val="single" w:sz="18" w:space="0" w:color="auto"/>
              <w:bottom w:val="single" w:sz="18" w:space="0" w:color="auto"/>
            </w:tcBorders>
          </w:tcPr>
          <w:p w14:paraId="6D921859"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9,905</w:t>
            </w:r>
          </w:p>
        </w:tc>
        <w:tc>
          <w:tcPr>
            <w:tcW w:w="493" w:type="pct"/>
            <w:tcBorders>
              <w:bottom w:val="single" w:sz="18" w:space="0" w:color="auto"/>
              <w:right w:val="single" w:sz="18" w:space="0" w:color="auto"/>
            </w:tcBorders>
          </w:tcPr>
          <w:p w14:paraId="18BD0D57"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9,594</w:t>
            </w:r>
          </w:p>
        </w:tc>
        <w:tc>
          <w:tcPr>
            <w:tcW w:w="504" w:type="pct"/>
            <w:tcBorders>
              <w:left w:val="single" w:sz="18" w:space="0" w:color="auto"/>
              <w:bottom w:val="single" w:sz="18" w:space="0" w:color="auto"/>
              <w:right w:val="single" w:sz="18" w:space="0" w:color="auto"/>
            </w:tcBorders>
          </w:tcPr>
          <w:p w14:paraId="27B57196"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22.0%</w:t>
            </w:r>
          </w:p>
        </w:tc>
        <w:tc>
          <w:tcPr>
            <w:tcW w:w="498" w:type="pct"/>
            <w:tcBorders>
              <w:left w:val="single" w:sz="18" w:space="0" w:color="auto"/>
              <w:bottom w:val="single" w:sz="18" w:space="0" w:color="auto"/>
              <w:right w:val="single" w:sz="18" w:space="0" w:color="auto"/>
            </w:tcBorders>
          </w:tcPr>
          <w:p w14:paraId="76D35D0F"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77.4%</w:t>
            </w:r>
          </w:p>
        </w:tc>
      </w:tr>
      <w:tr w:rsidR="00735E39" w:rsidRPr="00EC06B8" w14:paraId="3F317B3F" w14:textId="77777777" w:rsidTr="00FC09A7">
        <w:tc>
          <w:tcPr>
            <w:tcW w:w="1042" w:type="pct"/>
            <w:tcBorders>
              <w:top w:val="single" w:sz="18" w:space="0" w:color="auto"/>
              <w:left w:val="single" w:sz="18" w:space="0" w:color="auto"/>
              <w:bottom w:val="single" w:sz="18" w:space="0" w:color="auto"/>
            </w:tcBorders>
          </w:tcPr>
          <w:p w14:paraId="6A6525EB" w14:textId="77777777" w:rsidR="00735E39"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Sub-total</w:t>
            </w:r>
          </w:p>
        </w:tc>
        <w:tc>
          <w:tcPr>
            <w:tcW w:w="493" w:type="pct"/>
            <w:tcBorders>
              <w:top w:val="single" w:sz="18" w:space="0" w:color="auto"/>
              <w:bottom w:val="single" w:sz="18" w:space="0" w:color="auto"/>
            </w:tcBorders>
            <w:shd w:val="clear" w:color="auto" w:fill="000000"/>
          </w:tcPr>
          <w:p w14:paraId="456C8E93" w14:textId="77777777" w:rsidR="00735E39" w:rsidRPr="00EC06B8" w:rsidRDefault="00735E3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23,561</w:t>
            </w:r>
          </w:p>
        </w:tc>
        <w:tc>
          <w:tcPr>
            <w:tcW w:w="493" w:type="pct"/>
            <w:tcBorders>
              <w:top w:val="single" w:sz="18" w:space="0" w:color="auto"/>
              <w:bottom w:val="single" w:sz="18" w:space="0" w:color="auto"/>
              <w:right w:val="single" w:sz="18" w:space="0" w:color="auto"/>
            </w:tcBorders>
            <w:shd w:val="clear" w:color="auto" w:fill="000000"/>
          </w:tcPr>
          <w:p w14:paraId="70A66DF3" w14:textId="77777777" w:rsidR="00735E39" w:rsidRPr="00EC06B8" w:rsidRDefault="00735E3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22,982</w:t>
            </w:r>
          </w:p>
        </w:tc>
        <w:tc>
          <w:tcPr>
            <w:tcW w:w="493" w:type="pct"/>
            <w:tcBorders>
              <w:top w:val="single" w:sz="18" w:space="0" w:color="auto"/>
              <w:left w:val="single" w:sz="18" w:space="0" w:color="auto"/>
              <w:bottom w:val="single" w:sz="18" w:space="0" w:color="auto"/>
            </w:tcBorders>
            <w:shd w:val="clear" w:color="auto" w:fill="000080"/>
          </w:tcPr>
          <w:p w14:paraId="3BD4E73B" w14:textId="77777777" w:rsidR="00735E39"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60,251</w:t>
            </w:r>
          </w:p>
        </w:tc>
        <w:tc>
          <w:tcPr>
            <w:tcW w:w="493" w:type="pct"/>
            <w:tcBorders>
              <w:top w:val="single" w:sz="18" w:space="0" w:color="auto"/>
              <w:bottom w:val="single" w:sz="18" w:space="0" w:color="auto"/>
              <w:right w:val="single" w:sz="18" w:space="0" w:color="auto"/>
            </w:tcBorders>
            <w:shd w:val="clear" w:color="auto" w:fill="000080"/>
          </w:tcPr>
          <w:p w14:paraId="71B7A842" w14:textId="77777777" w:rsidR="00735E39" w:rsidRPr="00EC06B8" w:rsidRDefault="0031380A"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58,570</w:t>
            </w:r>
          </w:p>
        </w:tc>
        <w:tc>
          <w:tcPr>
            <w:tcW w:w="493" w:type="pct"/>
            <w:tcBorders>
              <w:top w:val="single" w:sz="18" w:space="0" w:color="auto"/>
              <w:left w:val="single" w:sz="18" w:space="0" w:color="auto"/>
              <w:bottom w:val="single" w:sz="18" w:space="0" w:color="auto"/>
            </w:tcBorders>
          </w:tcPr>
          <w:p w14:paraId="2DBEE669"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84,257</w:t>
            </w:r>
          </w:p>
        </w:tc>
        <w:tc>
          <w:tcPr>
            <w:tcW w:w="493" w:type="pct"/>
            <w:tcBorders>
              <w:top w:val="single" w:sz="18" w:space="0" w:color="auto"/>
              <w:bottom w:val="single" w:sz="18" w:space="0" w:color="auto"/>
              <w:right w:val="single" w:sz="18" w:space="0" w:color="auto"/>
            </w:tcBorders>
          </w:tcPr>
          <w:p w14:paraId="0F9A1C7E"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82,051</w:t>
            </w:r>
          </w:p>
        </w:tc>
        <w:tc>
          <w:tcPr>
            <w:tcW w:w="504" w:type="pct"/>
            <w:tcBorders>
              <w:top w:val="single" w:sz="18" w:space="0" w:color="auto"/>
              <w:left w:val="single" w:sz="18" w:space="0" w:color="auto"/>
              <w:bottom w:val="single" w:sz="18" w:space="0" w:color="auto"/>
              <w:right w:val="single" w:sz="18" w:space="0" w:color="auto"/>
            </w:tcBorders>
            <w:shd w:val="clear" w:color="auto" w:fill="000000"/>
          </w:tcPr>
          <w:p w14:paraId="2643D927" w14:textId="77777777" w:rsidR="00735E39"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28.0%</w:t>
            </w:r>
          </w:p>
        </w:tc>
        <w:tc>
          <w:tcPr>
            <w:tcW w:w="498" w:type="pct"/>
            <w:tcBorders>
              <w:top w:val="single" w:sz="18" w:space="0" w:color="auto"/>
              <w:left w:val="single" w:sz="18" w:space="0" w:color="auto"/>
              <w:bottom w:val="single" w:sz="18" w:space="0" w:color="auto"/>
              <w:right w:val="single" w:sz="18" w:space="0" w:color="auto"/>
            </w:tcBorders>
            <w:shd w:val="clear" w:color="auto" w:fill="000080"/>
          </w:tcPr>
          <w:p w14:paraId="13EE7CAB" w14:textId="77777777" w:rsidR="00735E39"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71.4%</w:t>
            </w:r>
          </w:p>
        </w:tc>
      </w:tr>
      <w:tr w:rsidR="00145F5E" w:rsidRPr="00EC06B8" w14:paraId="36C370C0" w14:textId="77777777" w:rsidTr="00FC09A7">
        <w:tc>
          <w:tcPr>
            <w:tcW w:w="1042" w:type="pct"/>
            <w:tcBorders>
              <w:top w:val="single" w:sz="18" w:space="0" w:color="auto"/>
              <w:left w:val="single" w:sz="18" w:space="0" w:color="auto"/>
              <w:bottom w:val="single" w:sz="18" w:space="0" w:color="auto"/>
            </w:tcBorders>
            <w:shd w:val="clear" w:color="auto" w:fill="FF0000"/>
          </w:tcPr>
          <w:p w14:paraId="6851F288" w14:textId="77777777" w:rsidR="00145F5E" w:rsidRPr="00EC06B8" w:rsidRDefault="00145F5E" w:rsidP="00EC06B8">
            <w:pPr>
              <w:autoSpaceDE w:val="0"/>
              <w:autoSpaceDN w:val="0"/>
              <w:adjustRightInd w:val="0"/>
              <w:jc w:val="center"/>
              <w:rPr>
                <w:rFonts w:ascii="Arial" w:hAnsi="Arial" w:cs="Arial"/>
                <w:b/>
                <w:bCs/>
                <w:color w:val="FFFFFF"/>
                <w:sz w:val="18"/>
                <w:szCs w:val="20"/>
                <w:lang w:eastAsia="en-AU"/>
              </w:rPr>
            </w:pPr>
            <w:r w:rsidRPr="00EC06B8">
              <w:rPr>
                <w:rFonts w:ascii="Arial" w:hAnsi="Arial" w:cs="Arial"/>
                <w:b/>
                <w:bCs/>
                <w:color w:val="FFFFFF"/>
                <w:sz w:val="18"/>
                <w:szCs w:val="20"/>
                <w:lang w:eastAsia="en-AU"/>
              </w:rPr>
              <w:t>Drug offences</w:t>
            </w:r>
          </w:p>
        </w:tc>
        <w:tc>
          <w:tcPr>
            <w:tcW w:w="493" w:type="pct"/>
            <w:tcBorders>
              <w:top w:val="single" w:sz="18" w:space="0" w:color="auto"/>
              <w:bottom w:val="single" w:sz="18" w:space="0" w:color="auto"/>
            </w:tcBorders>
            <w:shd w:val="clear" w:color="auto" w:fill="FF0000"/>
          </w:tcPr>
          <w:p w14:paraId="2AD232A9"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5CEE3C68"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3" w:type="pct"/>
            <w:tcBorders>
              <w:top w:val="single" w:sz="18" w:space="0" w:color="auto"/>
              <w:left w:val="single" w:sz="18" w:space="0" w:color="auto"/>
              <w:bottom w:val="single" w:sz="18" w:space="0" w:color="auto"/>
            </w:tcBorders>
            <w:shd w:val="clear" w:color="auto" w:fill="FF0000"/>
          </w:tcPr>
          <w:p w14:paraId="3A9058C5"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4EAA4220"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3" w:type="pct"/>
            <w:tcBorders>
              <w:top w:val="single" w:sz="18" w:space="0" w:color="auto"/>
              <w:left w:val="single" w:sz="18" w:space="0" w:color="auto"/>
              <w:bottom w:val="single" w:sz="18" w:space="0" w:color="auto"/>
            </w:tcBorders>
            <w:shd w:val="clear" w:color="auto" w:fill="FF0000"/>
          </w:tcPr>
          <w:p w14:paraId="74B7A72E"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44957C95"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504" w:type="pct"/>
            <w:tcBorders>
              <w:top w:val="single" w:sz="18" w:space="0" w:color="auto"/>
              <w:left w:val="single" w:sz="18" w:space="0" w:color="auto"/>
              <w:bottom w:val="single" w:sz="18" w:space="0" w:color="auto"/>
              <w:right w:val="single" w:sz="18" w:space="0" w:color="auto"/>
            </w:tcBorders>
            <w:shd w:val="clear" w:color="auto" w:fill="FF0000"/>
          </w:tcPr>
          <w:p w14:paraId="35D9371F"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8" w:type="pct"/>
            <w:tcBorders>
              <w:top w:val="single" w:sz="18" w:space="0" w:color="auto"/>
              <w:left w:val="single" w:sz="18" w:space="0" w:color="auto"/>
              <w:bottom w:val="single" w:sz="18" w:space="0" w:color="auto"/>
              <w:right w:val="single" w:sz="18" w:space="0" w:color="auto"/>
            </w:tcBorders>
            <w:shd w:val="clear" w:color="auto" w:fill="FF0000"/>
          </w:tcPr>
          <w:p w14:paraId="692475AE"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r>
      <w:tr w:rsidR="00735E39" w:rsidRPr="00EC06B8" w14:paraId="0F29791E" w14:textId="77777777" w:rsidTr="00FC09A7">
        <w:tc>
          <w:tcPr>
            <w:tcW w:w="1042" w:type="pct"/>
            <w:tcBorders>
              <w:left w:val="single" w:sz="18" w:space="0" w:color="auto"/>
            </w:tcBorders>
          </w:tcPr>
          <w:p w14:paraId="02C935BE" w14:textId="77777777" w:rsidR="00735E39"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Drug (cult</w:t>
            </w:r>
            <w:r w:rsidR="0031380A" w:rsidRPr="00EC06B8">
              <w:rPr>
                <w:rFonts w:ascii="Arial" w:hAnsi="Arial" w:cs="Arial"/>
                <w:b/>
                <w:bCs/>
                <w:sz w:val="18"/>
                <w:szCs w:val="20"/>
                <w:lang w:eastAsia="en-AU"/>
              </w:rPr>
              <w:t>ivate</w:t>
            </w:r>
            <w:r w:rsidRPr="00EC06B8">
              <w:rPr>
                <w:rFonts w:ascii="Arial" w:hAnsi="Arial" w:cs="Arial"/>
                <w:b/>
                <w:bCs/>
                <w:sz w:val="18"/>
                <w:szCs w:val="20"/>
                <w:lang w:eastAsia="en-AU"/>
              </w:rPr>
              <w:t>, manuf</w:t>
            </w:r>
            <w:r w:rsidR="0031380A" w:rsidRPr="00EC06B8">
              <w:rPr>
                <w:rFonts w:ascii="Arial" w:hAnsi="Arial" w:cs="Arial"/>
                <w:b/>
                <w:bCs/>
                <w:sz w:val="18"/>
                <w:szCs w:val="20"/>
                <w:lang w:eastAsia="en-AU"/>
              </w:rPr>
              <w:t>acture</w:t>
            </w:r>
            <w:r w:rsidRPr="00EC06B8">
              <w:rPr>
                <w:rFonts w:ascii="Arial" w:hAnsi="Arial" w:cs="Arial"/>
                <w:b/>
                <w:bCs/>
                <w:sz w:val="18"/>
                <w:szCs w:val="20"/>
                <w:lang w:eastAsia="en-AU"/>
              </w:rPr>
              <w:t>, traffick)</w:t>
            </w:r>
          </w:p>
        </w:tc>
        <w:tc>
          <w:tcPr>
            <w:tcW w:w="493" w:type="pct"/>
          </w:tcPr>
          <w:p w14:paraId="7C1F7224" w14:textId="77777777" w:rsidR="00735E39" w:rsidRPr="00EC06B8" w:rsidRDefault="00EE6C7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93</w:t>
            </w:r>
          </w:p>
        </w:tc>
        <w:tc>
          <w:tcPr>
            <w:tcW w:w="493" w:type="pct"/>
            <w:tcBorders>
              <w:right w:val="single" w:sz="18" w:space="0" w:color="auto"/>
            </w:tcBorders>
          </w:tcPr>
          <w:p w14:paraId="5D6AD128" w14:textId="77777777" w:rsidR="00735E39" w:rsidRPr="00EC06B8" w:rsidRDefault="00EE6C7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90</w:t>
            </w:r>
          </w:p>
        </w:tc>
        <w:tc>
          <w:tcPr>
            <w:tcW w:w="493" w:type="pct"/>
            <w:tcBorders>
              <w:left w:val="single" w:sz="18" w:space="0" w:color="auto"/>
            </w:tcBorders>
          </w:tcPr>
          <w:p w14:paraId="65E6C2AC"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4,011</w:t>
            </w:r>
          </w:p>
        </w:tc>
        <w:tc>
          <w:tcPr>
            <w:tcW w:w="493" w:type="pct"/>
            <w:tcBorders>
              <w:right w:val="single" w:sz="18" w:space="0" w:color="auto"/>
            </w:tcBorders>
          </w:tcPr>
          <w:p w14:paraId="60C723D6"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4,211</w:t>
            </w:r>
          </w:p>
        </w:tc>
        <w:tc>
          <w:tcPr>
            <w:tcW w:w="493" w:type="pct"/>
            <w:tcBorders>
              <w:left w:val="single" w:sz="18" w:space="0" w:color="auto"/>
            </w:tcBorders>
          </w:tcPr>
          <w:p w14:paraId="52B6C366" w14:textId="77777777" w:rsidR="00735E39" w:rsidRPr="00EC06B8" w:rsidRDefault="00570818"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4,115</w:t>
            </w:r>
          </w:p>
        </w:tc>
        <w:tc>
          <w:tcPr>
            <w:tcW w:w="493" w:type="pct"/>
            <w:tcBorders>
              <w:right w:val="single" w:sz="18" w:space="0" w:color="auto"/>
            </w:tcBorders>
          </w:tcPr>
          <w:p w14:paraId="48730728" w14:textId="77777777" w:rsidR="00735E39" w:rsidRPr="00EC06B8" w:rsidRDefault="00570818"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4,323</w:t>
            </w:r>
          </w:p>
        </w:tc>
        <w:tc>
          <w:tcPr>
            <w:tcW w:w="504" w:type="pct"/>
            <w:tcBorders>
              <w:left w:val="single" w:sz="18" w:space="0" w:color="auto"/>
              <w:right w:val="single" w:sz="18" w:space="0" w:color="auto"/>
            </w:tcBorders>
          </w:tcPr>
          <w:p w14:paraId="7FE660F8"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2.1%</w:t>
            </w:r>
          </w:p>
        </w:tc>
        <w:tc>
          <w:tcPr>
            <w:tcW w:w="498" w:type="pct"/>
            <w:tcBorders>
              <w:left w:val="single" w:sz="18" w:space="0" w:color="auto"/>
              <w:right w:val="single" w:sz="18" w:space="0" w:color="auto"/>
            </w:tcBorders>
          </w:tcPr>
          <w:p w14:paraId="44230952"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97.4%</w:t>
            </w:r>
          </w:p>
        </w:tc>
      </w:tr>
      <w:tr w:rsidR="00735E39" w:rsidRPr="00EC06B8" w14:paraId="49AB6518" w14:textId="77777777" w:rsidTr="00FC09A7">
        <w:tc>
          <w:tcPr>
            <w:tcW w:w="1042" w:type="pct"/>
            <w:tcBorders>
              <w:left w:val="single" w:sz="18" w:space="0" w:color="auto"/>
              <w:bottom w:val="single" w:sz="18" w:space="0" w:color="auto"/>
            </w:tcBorders>
          </w:tcPr>
          <w:p w14:paraId="45181DB5" w14:textId="77777777" w:rsidR="00735E39"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Drug (possess, use)</w:t>
            </w:r>
          </w:p>
        </w:tc>
        <w:tc>
          <w:tcPr>
            <w:tcW w:w="493" w:type="pct"/>
            <w:tcBorders>
              <w:bottom w:val="single" w:sz="18" w:space="0" w:color="auto"/>
            </w:tcBorders>
          </w:tcPr>
          <w:p w14:paraId="4938903B" w14:textId="77777777" w:rsidR="00735E39" w:rsidRPr="00EC06B8" w:rsidRDefault="00EE6C7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603</w:t>
            </w:r>
          </w:p>
        </w:tc>
        <w:tc>
          <w:tcPr>
            <w:tcW w:w="493" w:type="pct"/>
            <w:tcBorders>
              <w:bottom w:val="single" w:sz="18" w:space="0" w:color="auto"/>
              <w:right w:val="single" w:sz="18" w:space="0" w:color="auto"/>
            </w:tcBorders>
          </w:tcPr>
          <w:p w14:paraId="1A01FB5B" w14:textId="77777777" w:rsidR="00735E39" w:rsidRPr="00EC06B8" w:rsidRDefault="00EE6C7D"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762</w:t>
            </w:r>
          </w:p>
        </w:tc>
        <w:tc>
          <w:tcPr>
            <w:tcW w:w="493" w:type="pct"/>
            <w:tcBorders>
              <w:left w:val="single" w:sz="18" w:space="0" w:color="auto"/>
              <w:bottom w:val="single" w:sz="18" w:space="0" w:color="auto"/>
            </w:tcBorders>
          </w:tcPr>
          <w:p w14:paraId="59149651"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9,815</w:t>
            </w:r>
          </w:p>
        </w:tc>
        <w:tc>
          <w:tcPr>
            <w:tcW w:w="493" w:type="pct"/>
            <w:tcBorders>
              <w:bottom w:val="single" w:sz="18" w:space="0" w:color="auto"/>
              <w:right w:val="single" w:sz="18" w:space="0" w:color="auto"/>
            </w:tcBorders>
          </w:tcPr>
          <w:p w14:paraId="05D78D7A"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9,617</w:t>
            </w:r>
          </w:p>
        </w:tc>
        <w:tc>
          <w:tcPr>
            <w:tcW w:w="493" w:type="pct"/>
            <w:tcBorders>
              <w:left w:val="single" w:sz="18" w:space="0" w:color="auto"/>
              <w:bottom w:val="single" w:sz="18" w:space="0" w:color="auto"/>
            </w:tcBorders>
          </w:tcPr>
          <w:p w14:paraId="395B31F3" w14:textId="77777777" w:rsidR="00735E39" w:rsidRPr="00EC06B8" w:rsidRDefault="00570818"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10,466</w:t>
            </w:r>
          </w:p>
        </w:tc>
        <w:tc>
          <w:tcPr>
            <w:tcW w:w="493" w:type="pct"/>
            <w:tcBorders>
              <w:bottom w:val="single" w:sz="18" w:space="0" w:color="auto"/>
              <w:right w:val="single" w:sz="18" w:space="0" w:color="auto"/>
            </w:tcBorders>
          </w:tcPr>
          <w:p w14:paraId="7A980CB1" w14:textId="77777777" w:rsidR="00735E39" w:rsidRPr="00EC06B8" w:rsidRDefault="00570818"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10,443</w:t>
            </w:r>
          </w:p>
        </w:tc>
        <w:tc>
          <w:tcPr>
            <w:tcW w:w="504" w:type="pct"/>
            <w:tcBorders>
              <w:left w:val="single" w:sz="18" w:space="0" w:color="auto"/>
              <w:bottom w:val="single" w:sz="18" w:space="0" w:color="auto"/>
              <w:right w:val="single" w:sz="18" w:space="0" w:color="auto"/>
            </w:tcBorders>
          </w:tcPr>
          <w:p w14:paraId="362BE534"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7.3%</w:t>
            </w:r>
          </w:p>
        </w:tc>
        <w:tc>
          <w:tcPr>
            <w:tcW w:w="498" w:type="pct"/>
            <w:tcBorders>
              <w:left w:val="single" w:sz="18" w:space="0" w:color="auto"/>
              <w:bottom w:val="single" w:sz="18" w:space="0" w:color="auto"/>
              <w:right w:val="single" w:sz="18" w:space="0" w:color="auto"/>
            </w:tcBorders>
          </w:tcPr>
          <w:p w14:paraId="4D04BBF4"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92.1%</w:t>
            </w:r>
          </w:p>
        </w:tc>
      </w:tr>
      <w:tr w:rsidR="00735E39" w:rsidRPr="00EC06B8" w14:paraId="03F9A33E" w14:textId="77777777" w:rsidTr="00FC09A7">
        <w:tc>
          <w:tcPr>
            <w:tcW w:w="1042" w:type="pct"/>
            <w:tcBorders>
              <w:top w:val="single" w:sz="18" w:space="0" w:color="auto"/>
              <w:left w:val="single" w:sz="18" w:space="0" w:color="auto"/>
              <w:bottom w:val="single" w:sz="18" w:space="0" w:color="auto"/>
            </w:tcBorders>
          </w:tcPr>
          <w:p w14:paraId="4F52214F" w14:textId="77777777" w:rsidR="00735E39" w:rsidRPr="00EC06B8" w:rsidRDefault="00735E39"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Sub-total</w:t>
            </w:r>
          </w:p>
        </w:tc>
        <w:tc>
          <w:tcPr>
            <w:tcW w:w="493" w:type="pct"/>
            <w:tcBorders>
              <w:top w:val="single" w:sz="18" w:space="0" w:color="auto"/>
              <w:bottom w:val="single" w:sz="18" w:space="0" w:color="auto"/>
            </w:tcBorders>
            <w:shd w:val="clear" w:color="auto" w:fill="000000"/>
          </w:tcPr>
          <w:p w14:paraId="1CD4BA81" w14:textId="77777777" w:rsidR="00735E39" w:rsidRPr="00EC06B8" w:rsidRDefault="00EE6C7D"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696</w:t>
            </w:r>
          </w:p>
        </w:tc>
        <w:tc>
          <w:tcPr>
            <w:tcW w:w="493" w:type="pct"/>
            <w:tcBorders>
              <w:top w:val="single" w:sz="18" w:space="0" w:color="auto"/>
              <w:bottom w:val="single" w:sz="18" w:space="0" w:color="auto"/>
              <w:right w:val="single" w:sz="18" w:space="0" w:color="auto"/>
            </w:tcBorders>
            <w:shd w:val="clear" w:color="auto" w:fill="000000"/>
          </w:tcPr>
          <w:p w14:paraId="2803A26F" w14:textId="77777777" w:rsidR="00735E39" w:rsidRPr="00EC06B8" w:rsidRDefault="00EE6C7D"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852</w:t>
            </w:r>
          </w:p>
        </w:tc>
        <w:tc>
          <w:tcPr>
            <w:tcW w:w="493" w:type="pct"/>
            <w:tcBorders>
              <w:top w:val="single" w:sz="18" w:space="0" w:color="auto"/>
              <w:left w:val="single" w:sz="18" w:space="0" w:color="auto"/>
              <w:bottom w:val="single" w:sz="18" w:space="0" w:color="auto"/>
            </w:tcBorders>
            <w:shd w:val="clear" w:color="auto" w:fill="000080"/>
          </w:tcPr>
          <w:p w14:paraId="2E7B3F50" w14:textId="77777777" w:rsidR="00735E39"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13,826</w:t>
            </w:r>
          </w:p>
        </w:tc>
        <w:tc>
          <w:tcPr>
            <w:tcW w:w="493" w:type="pct"/>
            <w:tcBorders>
              <w:top w:val="single" w:sz="18" w:space="0" w:color="auto"/>
              <w:bottom w:val="single" w:sz="18" w:space="0" w:color="auto"/>
              <w:right w:val="single" w:sz="18" w:space="0" w:color="auto"/>
            </w:tcBorders>
            <w:shd w:val="clear" w:color="auto" w:fill="000080"/>
          </w:tcPr>
          <w:p w14:paraId="4938A260" w14:textId="77777777" w:rsidR="00735E39"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13,828</w:t>
            </w:r>
          </w:p>
        </w:tc>
        <w:tc>
          <w:tcPr>
            <w:tcW w:w="493" w:type="pct"/>
            <w:tcBorders>
              <w:top w:val="single" w:sz="18" w:space="0" w:color="auto"/>
              <w:left w:val="single" w:sz="18" w:space="0" w:color="auto"/>
              <w:bottom w:val="single" w:sz="18" w:space="0" w:color="auto"/>
            </w:tcBorders>
          </w:tcPr>
          <w:p w14:paraId="1CBA0D33" w14:textId="77777777" w:rsidR="00735E39" w:rsidRPr="00EC06B8" w:rsidRDefault="00570818"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14,581</w:t>
            </w:r>
          </w:p>
        </w:tc>
        <w:tc>
          <w:tcPr>
            <w:tcW w:w="493" w:type="pct"/>
            <w:tcBorders>
              <w:top w:val="single" w:sz="18" w:space="0" w:color="auto"/>
              <w:bottom w:val="single" w:sz="18" w:space="0" w:color="auto"/>
              <w:right w:val="single" w:sz="18" w:space="0" w:color="auto"/>
            </w:tcBorders>
          </w:tcPr>
          <w:p w14:paraId="28992C94" w14:textId="77777777" w:rsidR="00735E39" w:rsidRPr="00EC06B8" w:rsidRDefault="00570818"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14,766</w:t>
            </w:r>
          </w:p>
        </w:tc>
        <w:tc>
          <w:tcPr>
            <w:tcW w:w="504" w:type="pct"/>
            <w:tcBorders>
              <w:top w:val="single" w:sz="18" w:space="0" w:color="auto"/>
              <w:left w:val="single" w:sz="18" w:space="0" w:color="auto"/>
              <w:bottom w:val="single" w:sz="18" w:space="0" w:color="auto"/>
              <w:right w:val="single" w:sz="18" w:space="0" w:color="auto"/>
            </w:tcBorders>
            <w:shd w:val="clear" w:color="auto" w:fill="000000"/>
          </w:tcPr>
          <w:p w14:paraId="174FF572" w14:textId="77777777" w:rsidR="00735E39"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5.8%</w:t>
            </w:r>
          </w:p>
        </w:tc>
        <w:tc>
          <w:tcPr>
            <w:tcW w:w="498" w:type="pct"/>
            <w:tcBorders>
              <w:top w:val="single" w:sz="18" w:space="0" w:color="auto"/>
              <w:left w:val="single" w:sz="18" w:space="0" w:color="auto"/>
              <w:bottom w:val="single" w:sz="18" w:space="0" w:color="auto"/>
              <w:right w:val="single" w:sz="18" w:space="0" w:color="auto"/>
            </w:tcBorders>
            <w:shd w:val="clear" w:color="auto" w:fill="000080"/>
          </w:tcPr>
          <w:p w14:paraId="7187DB6C" w14:textId="77777777" w:rsidR="00735E39"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93.6%</w:t>
            </w:r>
          </w:p>
        </w:tc>
      </w:tr>
      <w:tr w:rsidR="00145F5E" w:rsidRPr="00EC06B8" w14:paraId="212B38C9" w14:textId="77777777" w:rsidTr="00FC09A7">
        <w:tc>
          <w:tcPr>
            <w:tcW w:w="1042" w:type="pct"/>
            <w:tcBorders>
              <w:top w:val="single" w:sz="18" w:space="0" w:color="auto"/>
              <w:left w:val="single" w:sz="18" w:space="0" w:color="auto"/>
              <w:bottom w:val="single" w:sz="18" w:space="0" w:color="auto"/>
            </w:tcBorders>
            <w:shd w:val="clear" w:color="auto" w:fill="FF0000"/>
          </w:tcPr>
          <w:p w14:paraId="1AF82F4F" w14:textId="77777777" w:rsidR="00145F5E" w:rsidRPr="00EC06B8" w:rsidRDefault="00145F5E" w:rsidP="00EC06B8">
            <w:pPr>
              <w:autoSpaceDE w:val="0"/>
              <w:autoSpaceDN w:val="0"/>
              <w:adjustRightInd w:val="0"/>
              <w:jc w:val="center"/>
              <w:rPr>
                <w:rFonts w:ascii="Arial" w:hAnsi="Arial" w:cs="Arial"/>
                <w:b/>
                <w:bCs/>
                <w:color w:val="FFFFFF"/>
                <w:sz w:val="18"/>
                <w:szCs w:val="20"/>
                <w:lang w:eastAsia="en-AU"/>
              </w:rPr>
            </w:pPr>
            <w:r w:rsidRPr="00EC06B8">
              <w:rPr>
                <w:rFonts w:ascii="Arial" w:hAnsi="Arial" w:cs="Arial"/>
                <w:b/>
                <w:bCs/>
                <w:color w:val="FFFFFF"/>
                <w:sz w:val="18"/>
                <w:szCs w:val="20"/>
                <w:lang w:eastAsia="en-AU"/>
              </w:rPr>
              <w:t>Other crime</w:t>
            </w:r>
          </w:p>
        </w:tc>
        <w:tc>
          <w:tcPr>
            <w:tcW w:w="493" w:type="pct"/>
            <w:tcBorders>
              <w:top w:val="single" w:sz="18" w:space="0" w:color="auto"/>
              <w:bottom w:val="single" w:sz="18" w:space="0" w:color="auto"/>
            </w:tcBorders>
            <w:shd w:val="clear" w:color="auto" w:fill="FF0000"/>
          </w:tcPr>
          <w:p w14:paraId="3E3B9C80"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0FEFBA30"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3" w:type="pct"/>
            <w:tcBorders>
              <w:top w:val="single" w:sz="18" w:space="0" w:color="auto"/>
              <w:left w:val="single" w:sz="18" w:space="0" w:color="auto"/>
              <w:bottom w:val="single" w:sz="18" w:space="0" w:color="auto"/>
            </w:tcBorders>
            <w:shd w:val="clear" w:color="auto" w:fill="FF0000"/>
          </w:tcPr>
          <w:p w14:paraId="7AC67530"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2A8AA3A8"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3" w:type="pct"/>
            <w:tcBorders>
              <w:top w:val="single" w:sz="18" w:space="0" w:color="auto"/>
              <w:left w:val="single" w:sz="18" w:space="0" w:color="auto"/>
              <w:bottom w:val="single" w:sz="18" w:space="0" w:color="auto"/>
            </w:tcBorders>
            <w:shd w:val="clear" w:color="auto" w:fill="FF0000"/>
          </w:tcPr>
          <w:p w14:paraId="23B52931"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2008/09</w:t>
            </w:r>
          </w:p>
        </w:tc>
        <w:tc>
          <w:tcPr>
            <w:tcW w:w="493" w:type="pct"/>
            <w:tcBorders>
              <w:top w:val="single" w:sz="18" w:space="0" w:color="auto"/>
              <w:bottom w:val="single" w:sz="18" w:space="0" w:color="auto"/>
              <w:right w:val="single" w:sz="18" w:space="0" w:color="auto"/>
            </w:tcBorders>
            <w:shd w:val="clear" w:color="auto" w:fill="FF0000"/>
          </w:tcPr>
          <w:p w14:paraId="77FA0960"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504" w:type="pct"/>
            <w:tcBorders>
              <w:top w:val="single" w:sz="18" w:space="0" w:color="auto"/>
              <w:left w:val="single" w:sz="18" w:space="0" w:color="auto"/>
              <w:bottom w:val="single" w:sz="18" w:space="0" w:color="auto"/>
              <w:right w:val="single" w:sz="18" w:space="0" w:color="auto"/>
            </w:tcBorders>
            <w:shd w:val="clear" w:color="auto" w:fill="FF0000"/>
          </w:tcPr>
          <w:p w14:paraId="4E469A24"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c>
          <w:tcPr>
            <w:tcW w:w="498" w:type="pct"/>
            <w:tcBorders>
              <w:top w:val="single" w:sz="18" w:space="0" w:color="auto"/>
              <w:left w:val="single" w:sz="18" w:space="0" w:color="auto"/>
              <w:bottom w:val="single" w:sz="18" w:space="0" w:color="auto"/>
              <w:right w:val="single" w:sz="18" w:space="0" w:color="auto"/>
            </w:tcBorders>
            <w:shd w:val="clear" w:color="auto" w:fill="FF0000"/>
          </w:tcPr>
          <w:p w14:paraId="05943112" w14:textId="77777777" w:rsidR="00145F5E"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2009/10</w:t>
            </w:r>
          </w:p>
        </w:tc>
      </w:tr>
      <w:tr w:rsidR="00735E39" w:rsidRPr="00EC06B8" w14:paraId="6999C8F3" w14:textId="77777777" w:rsidTr="00FC09A7">
        <w:tc>
          <w:tcPr>
            <w:tcW w:w="1042" w:type="pct"/>
            <w:tcBorders>
              <w:left w:val="single" w:sz="18" w:space="0" w:color="auto"/>
            </w:tcBorders>
          </w:tcPr>
          <w:p w14:paraId="122E482C" w14:textId="77777777" w:rsidR="00735E39" w:rsidRPr="00EC06B8" w:rsidRDefault="00EE6C7D"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Going equipped to steal</w:t>
            </w:r>
          </w:p>
        </w:tc>
        <w:tc>
          <w:tcPr>
            <w:tcW w:w="493" w:type="pct"/>
          </w:tcPr>
          <w:p w14:paraId="14936899"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89</w:t>
            </w:r>
          </w:p>
        </w:tc>
        <w:tc>
          <w:tcPr>
            <w:tcW w:w="493" w:type="pct"/>
            <w:tcBorders>
              <w:right w:val="single" w:sz="18" w:space="0" w:color="auto"/>
            </w:tcBorders>
          </w:tcPr>
          <w:p w14:paraId="76207A4A"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90</w:t>
            </w:r>
          </w:p>
        </w:tc>
        <w:tc>
          <w:tcPr>
            <w:tcW w:w="493" w:type="pct"/>
            <w:tcBorders>
              <w:left w:val="single" w:sz="18" w:space="0" w:color="auto"/>
            </w:tcBorders>
          </w:tcPr>
          <w:p w14:paraId="57005860"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390</w:t>
            </w:r>
          </w:p>
        </w:tc>
        <w:tc>
          <w:tcPr>
            <w:tcW w:w="493" w:type="pct"/>
            <w:tcBorders>
              <w:right w:val="single" w:sz="18" w:space="0" w:color="auto"/>
            </w:tcBorders>
          </w:tcPr>
          <w:p w14:paraId="434B3F81"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436</w:t>
            </w:r>
          </w:p>
        </w:tc>
        <w:tc>
          <w:tcPr>
            <w:tcW w:w="493" w:type="pct"/>
            <w:tcBorders>
              <w:left w:val="single" w:sz="18" w:space="0" w:color="auto"/>
            </w:tcBorders>
          </w:tcPr>
          <w:p w14:paraId="38D00F88"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481</w:t>
            </w:r>
          </w:p>
        </w:tc>
        <w:tc>
          <w:tcPr>
            <w:tcW w:w="493" w:type="pct"/>
            <w:tcBorders>
              <w:right w:val="single" w:sz="18" w:space="0" w:color="auto"/>
            </w:tcBorders>
          </w:tcPr>
          <w:p w14:paraId="20F09BD1"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528</w:t>
            </w:r>
          </w:p>
        </w:tc>
        <w:tc>
          <w:tcPr>
            <w:tcW w:w="504" w:type="pct"/>
            <w:tcBorders>
              <w:left w:val="single" w:sz="18" w:space="0" w:color="auto"/>
              <w:right w:val="single" w:sz="18" w:space="0" w:color="auto"/>
            </w:tcBorders>
          </w:tcPr>
          <w:p w14:paraId="4996585F"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17.0%</w:t>
            </w:r>
          </w:p>
        </w:tc>
        <w:tc>
          <w:tcPr>
            <w:tcW w:w="498" w:type="pct"/>
            <w:tcBorders>
              <w:left w:val="single" w:sz="18" w:space="0" w:color="auto"/>
              <w:right w:val="single" w:sz="18" w:space="0" w:color="auto"/>
            </w:tcBorders>
          </w:tcPr>
          <w:p w14:paraId="27C91E3D"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82.6%</w:t>
            </w:r>
          </w:p>
        </w:tc>
      </w:tr>
      <w:tr w:rsidR="00735E39" w:rsidRPr="00EC06B8" w14:paraId="53DA0BC6" w14:textId="77777777" w:rsidTr="00FC09A7">
        <w:tc>
          <w:tcPr>
            <w:tcW w:w="1042" w:type="pct"/>
            <w:tcBorders>
              <w:left w:val="single" w:sz="18" w:space="0" w:color="auto"/>
            </w:tcBorders>
          </w:tcPr>
          <w:p w14:paraId="4BBEF45C" w14:textId="77777777" w:rsidR="00735E39" w:rsidRPr="00EC06B8" w:rsidRDefault="00EE6C7D"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Justice procedures</w:t>
            </w:r>
          </w:p>
        </w:tc>
        <w:tc>
          <w:tcPr>
            <w:tcW w:w="493" w:type="pct"/>
          </w:tcPr>
          <w:p w14:paraId="77B13E57"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1,057</w:t>
            </w:r>
          </w:p>
        </w:tc>
        <w:tc>
          <w:tcPr>
            <w:tcW w:w="493" w:type="pct"/>
            <w:tcBorders>
              <w:right w:val="single" w:sz="18" w:space="0" w:color="auto"/>
            </w:tcBorders>
          </w:tcPr>
          <w:p w14:paraId="65B19666"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1,103</w:t>
            </w:r>
          </w:p>
        </w:tc>
        <w:tc>
          <w:tcPr>
            <w:tcW w:w="493" w:type="pct"/>
            <w:tcBorders>
              <w:left w:val="single" w:sz="18" w:space="0" w:color="auto"/>
            </w:tcBorders>
          </w:tcPr>
          <w:p w14:paraId="68E3BE90"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13,183</w:t>
            </w:r>
          </w:p>
        </w:tc>
        <w:tc>
          <w:tcPr>
            <w:tcW w:w="493" w:type="pct"/>
            <w:tcBorders>
              <w:right w:val="single" w:sz="18" w:space="0" w:color="auto"/>
            </w:tcBorders>
          </w:tcPr>
          <w:p w14:paraId="04128FA7"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13,450</w:t>
            </w:r>
          </w:p>
        </w:tc>
        <w:tc>
          <w:tcPr>
            <w:tcW w:w="493" w:type="pct"/>
            <w:tcBorders>
              <w:left w:val="single" w:sz="18" w:space="0" w:color="auto"/>
            </w:tcBorders>
          </w:tcPr>
          <w:p w14:paraId="571DBE60"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14,290</w:t>
            </w:r>
          </w:p>
        </w:tc>
        <w:tc>
          <w:tcPr>
            <w:tcW w:w="493" w:type="pct"/>
            <w:tcBorders>
              <w:right w:val="single" w:sz="18" w:space="0" w:color="auto"/>
            </w:tcBorders>
          </w:tcPr>
          <w:p w14:paraId="2B1D585F"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14,600</w:t>
            </w:r>
          </w:p>
        </w:tc>
        <w:tc>
          <w:tcPr>
            <w:tcW w:w="504" w:type="pct"/>
            <w:tcBorders>
              <w:left w:val="single" w:sz="18" w:space="0" w:color="auto"/>
              <w:right w:val="single" w:sz="18" w:space="0" w:color="auto"/>
            </w:tcBorders>
          </w:tcPr>
          <w:p w14:paraId="1FD3F2C8"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7.6%</w:t>
            </w:r>
          </w:p>
        </w:tc>
        <w:tc>
          <w:tcPr>
            <w:tcW w:w="498" w:type="pct"/>
            <w:tcBorders>
              <w:left w:val="single" w:sz="18" w:space="0" w:color="auto"/>
              <w:right w:val="single" w:sz="18" w:space="0" w:color="auto"/>
            </w:tcBorders>
          </w:tcPr>
          <w:p w14:paraId="211593F6"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92.1%</w:t>
            </w:r>
          </w:p>
        </w:tc>
      </w:tr>
      <w:tr w:rsidR="00735E39" w:rsidRPr="00EC06B8" w14:paraId="3DF62310" w14:textId="77777777" w:rsidTr="00FC09A7">
        <w:tc>
          <w:tcPr>
            <w:tcW w:w="1042" w:type="pct"/>
            <w:tcBorders>
              <w:left w:val="single" w:sz="18" w:space="0" w:color="auto"/>
            </w:tcBorders>
          </w:tcPr>
          <w:p w14:paraId="6F0288BD" w14:textId="77777777" w:rsidR="00735E39" w:rsidRPr="00EC06B8" w:rsidRDefault="00EE6C7D"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Regulated public order</w:t>
            </w:r>
          </w:p>
        </w:tc>
        <w:tc>
          <w:tcPr>
            <w:tcW w:w="493" w:type="pct"/>
          </w:tcPr>
          <w:p w14:paraId="4F44A462"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1,207</w:t>
            </w:r>
          </w:p>
        </w:tc>
        <w:tc>
          <w:tcPr>
            <w:tcW w:w="493" w:type="pct"/>
            <w:tcBorders>
              <w:right w:val="single" w:sz="18" w:space="0" w:color="auto"/>
            </w:tcBorders>
          </w:tcPr>
          <w:p w14:paraId="176328D5"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1,002</w:t>
            </w:r>
          </w:p>
        </w:tc>
        <w:tc>
          <w:tcPr>
            <w:tcW w:w="493" w:type="pct"/>
            <w:tcBorders>
              <w:left w:val="single" w:sz="18" w:space="0" w:color="auto"/>
            </w:tcBorders>
          </w:tcPr>
          <w:p w14:paraId="52223610"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661</w:t>
            </w:r>
          </w:p>
        </w:tc>
        <w:tc>
          <w:tcPr>
            <w:tcW w:w="493" w:type="pct"/>
            <w:tcBorders>
              <w:right w:val="single" w:sz="18" w:space="0" w:color="auto"/>
            </w:tcBorders>
          </w:tcPr>
          <w:p w14:paraId="0580F6FB"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666</w:t>
            </w:r>
          </w:p>
        </w:tc>
        <w:tc>
          <w:tcPr>
            <w:tcW w:w="493" w:type="pct"/>
            <w:tcBorders>
              <w:left w:val="single" w:sz="18" w:space="0" w:color="auto"/>
            </w:tcBorders>
          </w:tcPr>
          <w:p w14:paraId="3F8FB5A1"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1,876</w:t>
            </w:r>
          </w:p>
        </w:tc>
        <w:tc>
          <w:tcPr>
            <w:tcW w:w="493" w:type="pct"/>
            <w:tcBorders>
              <w:right w:val="single" w:sz="18" w:space="0" w:color="auto"/>
            </w:tcBorders>
          </w:tcPr>
          <w:p w14:paraId="0737AF0B"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1,684</w:t>
            </w:r>
          </w:p>
        </w:tc>
        <w:tc>
          <w:tcPr>
            <w:tcW w:w="504" w:type="pct"/>
            <w:tcBorders>
              <w:left w:val="single" w:sz="18" w:space="0" w:color="auto"/>
              <w:right w:val="single" w:sz="18" w:space="0" w:color="auto"/>
            </w:tcBorders>
          </w:tcPr>
          <w:p w14:paraId="7E42EC65"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59.5%</w:t>
            </w:r>
          </w:p>
        </w:tc>
        <w:tc>
          <w:tcPr>
            <w:tcW w:w="498" w:type="pct"/>
            <w:tcBorders>
              <w:left w:val="single" w:sz="18" w:space="0" w:color="auto"/>
              <w:right w:val="single" w:sz="18" w:space="0" w:color="auto"/>
            </w:tcBorders>
          </w:tcPr>
          <w:p w14:paraId="6873CFC2"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39.5%</w:t>
            </w:r>
          </w:p>
        </w:tc>
      </w:tr>
      <w:tr w:rsidR="00735E39" w:rsidRPr="00EC06B8" w14:paraId="10BBB892" w14:textId="77777777" w:rsidTr="00FC09A7">
        <w:tc>
          <w:tcPr>
            <w:tcW w:w="1042" w:type="pct"/>
            <w:tcBorders>
              <w:left w:val="single" w:sz="18" w:space="0" w:color="auto"/>
            </w:tcBorders>
          </w:tcPr>
          <w:p w14:paraId="26ABF1A2" w14:textId="77777777" w:rsidR="00735E39" w:rsidRPr="00EC06B8" w:rsidRDefault="00EE6C7D"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Weapons/explosives</w:t>
            </w:r>
          </w:p>
        </w:tc>
        <w:tc>
          <w:tcPr>
            <w:tcW w:w="493" w:type="pct"/>
          </w:tcPr>
          <w:p w14:paraId="2D619F02"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903</w:t>
            </w:r>
          </w:p>
        </w:tc>
        <w:tc>
          <w:tcPr>
            <w:tcW w:w="493" w:type="pct"/>
            <w:tcBorders>
              <w:right w:val="single" w:sz="18" w:space="0" w:color="auto"/>
            </w:tcBorders>
          </w:tcPr>
          <w:p w14:paraId="151DCA53"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990</w:t>
            </w:r>
          </w:p>
        </w:tc>
        <w:tc>
          <w:tcPr>
            <w:tcW w:w="493" w:type="pct"/>
            <w:tcBorders>
              <w:left w:val="single" w:sz="18" w:space="0" w:color="auto"/>
            </w:tcBorders>
          </w:tcPr>
          <w:p w14:paraId="32E78747"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5,686</w:t>
            </w:r>
          </w:p>
        </w:tc>
        <w:tc>
          <w:tcPr>
            <w:tcW w:w="493" w:type="pct"/>
            <w:tcBorders>
              <w:right w:val="single" w:sz="18" w:space="0" w:color="auto"/>
            </w:tcBorders>
          </w:tcPr>
          <w:p w14:paraId="773D8050"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5,414</w:t>
            </w:r>
          </w:p>
        </w:tc>
        <w:tc>
          <w:tcPr>
            <w:tcW w:w="493" w:type="pct"/>
            <w:tcBorders>
              <w:left w:val="single" w:sz="18" w:space="0" w:color="auto"/>
            </w:tcBorders>
          </w:tcPr>
          <w:p w14:paraId="0D706EE2"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6,611</w:t>
            </w:r>
          </w:p>
        </w:tc>
        <w:tc>
          <w:tcPr>
            <w:tcW w:w="493" w:type="pct"/>
            <w:tcBorders>
              <w:right w:val="single" w:sz="18" w:space="0" w:color="auto"/>
            </w:tcBorders>
          </w:tcPr>
          <w:p w14:paraId="2D5A8448"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6,434</w:t>
            </w:r>
          </w:p>
        </w:tc>
        <w:tc>
          <w:tcPr>
            <w:tcW w:w="504" w:type="pct"/>
            <w:tcBorders>
              <w:left w:val="single" w:sz="18" w:space="0" w:color="auto"/>
              <w:right w:val="single" w:sz="18" w:space="0" w:color="auto"/>
            </w:tcBorders>
          </w:tcPr>
          <w:p w14:paraId="04919022"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15.4%</w:t>
            </w:r>
          </w:p>
        </w:tc>
        <w:tc>
          <w:tcPr>
            <w:tcW w:w="498" w:type="pct"/>
            <w:tcBorders>
              <w:left w:val="single" w:sz="18" w:space="0" w:color="auto"/>
              <w:right w:val="single" w:sz="18" w:space="0" w:color="auto"/>
            </w:tcBorders>
          </w:tcPr>
          <w:p w14:paraId="5F5310E3"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84.1%</w:t>
            </w:r>
          </w:p>
        </w:tc>
      </w:tr>
      <w:tr w:rsidR="00735E39" w:rsidRPr="00EC06B8" w14:paraId="1ADC74AC" w14:textId="77777777" w:rsidTr="00FC09A7">
        <w:tc>
          <w:tcPr>
            <w:tcW w:w="1042" w:type="pct"/>
            <w:tcBorders>
              <w:left w:val="single" w:sz="18" w:space="0" w:color="auto"/>
            </w:tcBorders>
          </w:tcPr>
          <w:p w14:paraId="0CA4864B" w14:textId="77777777" w:rsidR="00735E39" w:rsidRPr="00EC06B8" w:rsidRDefault="00EE6C7D"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Haras</w:t>
            </w:r>
            <w:r w:rsidR="004A28C7" w:rsidRPr="00EC06B8">
              <w:rPr>
                <w:rFonts w:ascii="Arial" w:hAnsi="Arial" w:cs="Arial"/>
                <w:b/>
                <w:bCs/>
                <w:sz w:val="18"/>
                <w:szCs w:val="20"/>
                <w:lang w:eastAsia="en-AU"/>
              </w:rPr>
              <w:t>s</w:t>
            </w:r>
            <w:r w:rsidRPr="00EC06B8">
              <w:rPr>
                <w:rFonts w:ascii="Arial" w:hAnsi="Arial" w:cs="Arial"/>
                <w:b/>
                <w:bCs/>
                <w:sz w:val="18"/>
                <w:szCs w:val="20"/>
                <w:lang w:eastAsia="en-AU"/>
              </w:rPr>
              <w:t>ment</w:t>
            </w:r>
          </w:p>
        </w:tc>
        <w:tc>
          <w:tcPr>
            <w:tcW w:w="493" w:type="pct"/>
          </w:tcPr>
          <w:p w14:paraId="1EC0A924"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77</w:t>
            </w:r>
          </w:p>
        </w:tc>
        <w:tc>
          <w:tcPr>
            <w:tcW w:w="493" w:type="pct"/>
            <w:tcBorders>
              <w:right w:val="single" w:sz="18" w:space="0" w:color="auto"/>
            </w:tcBorders>
          </w:tcPr>
          <w:p w14:paraId="60257EE7"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127</w:t>
            </w:r>
          </w:p>
        </w:tc>
        <w:tc>
          <w:tcPr>
            <w:tcW w:w="493" w:type="pct"/>
            <w:tcBorders>
              <w:left w:val="single" w:sz="18" w:space="0" w:color="auto"/>
            </w:tcBorders>
          </w:tcPr>
          <w:p w14:paraId="19823FEF"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1,228</w:t>
            </w:r>
          </w:p>
        </w:tc>
        <w:tc>
          <w:tcPr>
            <w:tcW w:w="493" w:type="pct"/>
            <w:tcBorders>
              <w:right w:val="single" w:sz="18" w:space="0" w:color="auto"/>
            </w:tcBorders>
          </w:tcPr>
          <w:p w14:paraId="34DB6966"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1,517</w:t>
            </w:r>
          </w:p>
        </w:tc>
        <w:tc>
          <w:tcPr>
            <w:tcW w:w="493" w:type="pct"/>
            <w:tcBorders>
              <w:left w:val="single" w:sz="18" w:space="0" w:color="auto"/>
            </w:tcBorders>
          </w:tcPr>
          <w:p w14:paraId="60674306"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1,313</w:t>
            </w:r>
          </w:p>
        </w:tc>
        <w:tc>
          <w:tcPr>
            <w:tcW w:w="493" w:type="pct"/>
            <w:tcBorders>
              <w:right w:val="single" w:sz="18" w:space="0" w:color="auto"/>
            </w:tcBorders>
          </w:tcPr>
          <w:p w14:paraId="74831644"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1,655</w:t>
            </w:r>
          </w:p>
        </w:tc>
        <w:tc>
          <w:tcPr>
            <w:tcW w:w="504" w:type="pct"/>
            <w:tcBorders>
              <w:left w:val="single" w:sz="18" w:space="0" w:color="auto"/>
              <w:right w:val="single" w:sz="18" w:space="0" w:color="auto"/>
            </w:tcBorders>
          </w:tcPr>
          <w:p w14:paraId="63FA2DC8"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7.7%</w:t>
            </w:r>
          </w:p>
        </w:tc>
        <w:tc>
          <w:tcPr>
            <w:tcW w:w="498" w:type="pct"/>
            <w:tcBorders>
              <w:left w:val="single" w:sz="18" w:space="0" w:color="auto"/>
              <w:right w:val="single" w:sz="18" w:space="0" w:color="auto"/>
            </w:tcBorders>
          </w:tcPr>
          <w:p w14:paraId="0FBB2DE5"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91.7%</w:t>
            </w:r>
          </w:p>
        </w:tc>
      </w:tr>
      <w:tr w:rsidR="00735E39" w:rsidRPr="00EC06B8" w14:paraId="6B0AC3DB" w14:textId="77777777" w:rsidTr="00FC09A7">
        <w:tc>
          <w:tcPr>
            <w:tcW w:w="1042" w:type="pct"/>
            <w:tcBorders>
              <w:left w:val="single" w:sz="18" w:space="0" w:color="auto"/>
            </w:tcBorders>
          </w:tcPr>
          <w:p w14:paraId="1674B318" w14:textId="77777777" w:rsidR="00735E39" w:rsidRPr="00EC06B8" w:rsidRDefault="00EE6C7D"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Behaviour in public</w:t>
            </w:r>
          </w:p>
        </w:tc>
        <w:tc>
          <w:tcPr>
            <w:tcW w:w="493" w:type="pct"/>
          </w:tcPr>
          <w:p w14:paraId="16075392"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599</w:t>
            </w:r>
          </w:p>
        </w:tc>
        <w:tc>
          <w:tcPr>
            <w:tcW w:w="493" w:type="pct"/>
            <w:tcBorders>
              <w:right w:val="single" w:sz="18" w:space="0" w:color="auto"/>
            </w:tcBorders>
          </w:tcPr>
          <w:p w14:paraId="321DD631"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643</w:t>
            </w:r>
          </w:p>
        </w:tc>
        <w:tc>
          <w:tcPr>
            <w:tcW w:w="493" w:type="pct"/>
            <w:tcBorders>
              <w:left w:val="single" w:sz="18" w:space="0" w:color="auto"/>
            </w:tcBorders>
          </w:tcPr>
          <w:p w14:paraId="3DAEDA96"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5,513</w:t>
            </w:r>
          </w:p>
        </w:tc>
        <w:tc>
          <w:tcPr>
            <w:tcW w:w="493" w:type="pct"/>
            <w:tcBorders>
              <w:right w:val="single" w:sz="18" w:space="0" w:color="auto"/>
            </w:tcBorders>
          </w:tcPr>
          <w:p w14:paraId="78047C96"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7,399</w:t>
            </w:r>
          </w:p>
        </w:tc>
        <w:tc>
          <w:tcPr>
            <w:tcW w:w="493" w:type="pct"/>
            <w:tcBorders>
              <w:left w:val="single" w:sz="18" w:space="0" w:color="auto"/>
            </w:tcBorders>
          </w:tcPr>
          <w:p w14:paraId="5F2C8D5D"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6,183</w:t>
            </w:r>
          </w:p>
        </w:tc>
        <w:tc>
          <w:tcPr>
            <w:tcW w:w="493" w:type="pct"/>
            <w:tcBorders>
              <w:right w:val="single" w:sz="18" w:space="0" w:color="auto"/>
            </w:tcBorders>
          </w:tcPr>
          <w:p w14:paraId="4B3800D3"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8,128</w:t>
            </w:r>
          </w:p>
        </w:tc>
        <w:tc>
          <w:tcPr>
            <w:tcW w:w="504" w:type="pct"/>
            <w:tcBorders>
              <w:left w:val="single" w:sz="18" w:space="0" w:color="auto"/>
              <w:right w:val="single" w:sz="18" w:space="0" w:color="auto"/>
            </w:tcBorders>
          </w:tcPr>
          <w:p w14:paraId="3E8488E7"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7.9%</w:t>
            </w:r>
          </w:p>
        </w:tc>
        <w:tc>
          <w:tcPr>
            <w:tcW w:w="498" w:type="pct"/>
            <w:tcBorders>
              <w:left w:val="single" w:sz="18" w:space="0" w:color="auto"/>
              <w:right w:val="single" w:sz="18" w:space="0" w:color="auto"/>
            </w:tcBorders>
          </w:tcPr>
          <w:p w14:paraId="7D84CF1F"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91.0%</w:t>
            </w:r>
          </w:p>
        </w:tc>
      </w:tr>
      <w:tr w:rsidR="00735E39" w:rsidRPr="00EC06B8" w14:paraId="54182CBD" w14:textId="77777777" w:rsidTr="00FC09A7">
        <w:tc>
          <w:tcPr>
            <w:tcW w:w="1042" w:type="pct"/>
            <w:tcBorders>
              <w:left w:val="single" w:sz="18" w:space="0" w:color="auto"/>
              <w:bottom w:val="single" w:sz="18" w:space="0" w:color="auto"/>
            </w:tcBorders>
          </w:tcPr>
          <w:p w14:paraId="1708A278" w14:textId="77777777" w:rsidR="00735E39" w:rsidRPr="00EC06B8" w:rsidRDefault="00EE6C7D"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Other</w:t>
            </w:r>
          </w:p>
        </w:tc>
        <w:tc>
          <w:tcPr>
            <w:tcW w:w="493" w:type="pct"/>
            <w:tcBorders>
              <w:bottom w:val="single" w:sz="18" w:space="0" w:color="auto"/>
            </w:tcBorders>
          </w:tcPr>
          <w:p w14:paraId="414D9D73" w14:textId="77777777" w:rsidR="00735E39" w:rsidRPr="00EC06B8" w:rsidRDefault="00145F5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1,323</w:t>
            </w:r>
          </w:p>
        </w:tc>
        <w:tc>
          <w:tcPr>
            <w:tcW w:w="493" w:type="pct"/>
            <w:tcBorders>
              <w:bottom w:val="single" w:sz="18" w:space="0" w:color="auto"/>
              <w:right w:val="single" w:sz="18" w:space="0" w:color="auto"/>
            </w:tcBorders>
          </w:tcPr>
          <w:p w14:paraId="599E2608"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1,216</w:t>
            </w:r>
          </w:p>
        </w:tc>
        <w:tc>
          <w:tcPr>
            <w:tcW w:w="493" w:type="pct"/>
            <w:tcBorders>
              <w:left w:val="single" w:sz="18" w:space="0" w:color="auto"/>
              <w:bottom w:val="single" w:sz="18" w:space="0" w:color="auto"/>
            </w:tcBorders>
          </w:tcPr>
          <w:p w14:paraId="2325F845"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3,339</w:t>
            </w:r>
          </w:p>
        </w:tc>
        <w:tc>
          <w:tcPr>
            <w:tcW w:w="493" w:type="pct"/>
            <w:tcBorders>
              <w:bottom w:val="single" w:sz="18" w:space="0" w:color="auto"/>
              <w:right w:val="single" w:sz="18" w:space="0" w:color="auto"/>
            </w:tcBorders>
          </w:tcPr>
          <w:p w14:paraId="02B2301C" w14:textId="77777777" w:rsidR="00735E39" w:rsidRPr="00EC06B8" w:rsidRDefault="00BA0BC9"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3,359</w:t>
            </w:r>
          </w:p>
        </w:tc>
        <w:tc>
          <w:tcPr>
            <w:tcW w:w="493" w:type="pct"/>
            <w:tcBorders>
              <w:left w:val="single" w:sz="18" w:space="0" w:color="auto"/>
              <w:bottom w:val="single" w:sz="18" w:space="0" w:color="auto"/>
            </w:tcBorders>
          </w:tcPr>
          <w:p w14:paraId="08EC48C3"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4,692</w:t>
            </w:r>
          </w:p>
        </w:tc>
        <w:tc>
          <w:tcPr>
            <w:tcW w:w="493" w:type="pct"/>
            <w:tcBorders>
              <w:bottom w:val="single" w:sz="18" w:space="0" w:color="auto"/>
              <w:right w:val="single" w:sz="18" w:space="0" w:color="auto"/>
            </w:tcBorders>
          </w:tcPr>
          <w:p w14:paraId="6BB02938"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4,612</w:t>
            </w:r>
          </w:p>
        </w:tc>
        <w:tc>
          <w:tcPr>
            <w:tcW w:w="504" w:type="pct"/>
            <w:tcBorders>
              <w:left w:val="single" w:sz="18" w:space="0" w:color="auto"/>
              <w:bottom w:val="single" w:sz="18" w:space="0" w:color="auto"/>
              <w:right w:val="single" w:sz="18" w:space="0" w:color="auto"/>
            </w:tcBorders>
          </w:tcPr>
          <w:p w14:paraId="602A4C02"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26.4%</w:t>
            </w:r>
          </w:p>
        </w:tc>
        <w:tc>
          <w:tcPr>
            <w:tcW w:w="498" w:type="pct"/>
            <w:tcBorders>
              <w:left w:val="single" w:sz="18" w:space="0" w:color="auto"/>
              <w:bottom w:val="single" w:sz="18" w:space="0" w:color="auto"/>
              <w:right w:val="single" w:sz="18" w:space="0" w:color="auto"/>
            </w:tcBorders>
          </w:tcPr>
          <w:p w14:paraId="51B2D167" w14:textId="77777777" w:rsidR="00735E39" w:rsidRPr="00EC06B8" w:rsidRDefault="00D3382C"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72.8%</w:t>
            </w:r>
          </w:p>
        </w:tc>
      </w:tr>
      <w:tr w:rsidR="00735E39" w:rsidRPr="00EC06B8" w14:paraId="48C90A20" w14:textId="77777777" w:rsidTr="00FC09A7">
        <w:tc>
          <w:tcPr>
            <w:tcW w:w="1042" w:type="pct"/>
            <w:tcBorders>
              <w:top w:val="single" w:sz="18" w:space="0" w:color="auto"/>
              <w:left w:val="single" w:sz="18" w:space="0" w:color="auto"/>
              <w:bottom w:val="single" w:sz="18" w:space="0" w:color="auto"/>
            </w:tcBorders>
          </w:tcPr>
          <w:p w14:paraId="3E794413" w14:textId="77777777" w:rsidR="00735E39" w:rsidRPr="00EC06B8" w:rsidRDefault="00EE6C7D" w:rsidP="00EC06B8">
            <w:pPr>
              <w:autoSpaceDE w:val="0"/>
              <w:autoSpaceDN w:val="0"/>
              <w:adjustRightInd w:val="0"/>
              <w:rPr>
                <w:rFonts w:ascii="Arial" w:hAnsi="Arial" w:cs="Arial"/>
                <w:b/>
                <w:bCs/>
                <w:sz w:val="18"/>
                <w:szCs w:val="20"/>
                <w:lang w:eastAsia="en-AU"/>
              </w:rPr>
            </w:pPr>
            <w:r w:rsidRPr="00EC06B8">
              <w:rPr>
                <w:rFonts w:ascii="Arial" w:hAnsi="Arial" w:cs="Arial"/>
                <w:b/>
                <w:bCs/>
                <w:sz w:val="18"/>
                <w:szCs w:val="20"/>
                <w:lang w:eastAsia="en-AU"/>
              </w:rPr>
              <w:t>Sub-total</w:t>
            </w:r>
          </w:p>
        </w:tc>
        <w:tc>
          <w:tcPr>
            <w:tcW w:w="493" w:type="pct"/>
            <w:tcBorders>
              <w:top w:val="single" w:sz="18" w:space="0" w:color="auto"/>
              <w:bottom w:val="single" w:sz="18" w:space="0" w:color="auto"/>
            </w:tcBorders>
            <w:shd w:val="clear" w:color="auto" w:fill="000000"/>
          </w:tcPr>
          <w:p w14:paraId="4D355894" w14:textId="77777777" w:rsidR="00735E39"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5,255</w:t>
            </w:r>
          </w:p>
        </w:tc>
        <w:tc>
          <w:tcPr>
            <w:tcW w:w="493" w:type="pct"/>
            <w:tcBorders>
              <w:top w:val="single" w:sz="18" w:space="0" w:color="auto"/>
              <w:bottom w:val="single" w:sz="18" w:space="0" w:color="auto"/>
              <w:right w:val="single" w:sz="18" w:space="0" w:color="auto"/>
            </w:tcBorders>
            <w:shd w:val="clear" w:color="auto" w:fill="000000"/>
          </w:tcPr>
          <w:p w14:paraId="12941124" w14:textId="77777777" w:rsidR="00735E39" w:rsidRPr="00EC06B8" w:rsidRDefault="00BA0BC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5,171</w:t>
            </w:r>
          </w:p>
        </w:tc>
        <w:tc>
          <w:tcPr>
            <w:tcW w:w="493" w:type="pct"/>
            <w:tcBorders>
              <w:top w:val="single" w:sz="18" w:space="0" w:color="auto"/>
              <w:left w:val="single" w:sz="18" w:space="0" w:color="auto"/>
              <w:bottom w:val="single" w:sz="18" w:space="0" w:color="auto"/>
            </w:tcBorders>
            <w:shd w:val="clear" w:color="auto" w:fill="000080"/>
          </w:tcPr>
          <w:p w14:paraId="556250B8" w14:textId="77777777" w:rsidR="00735E39" w:rsidRPr="00EC06B8" w:rsidRDefault="00BA0BC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30,000</w:t>
            </w:r>
          </w:p>
        </w:tc>
        <w:tc>
          <w:tcPr>
            <w:tcW w:w="493" w:type="pct"/>
            <w:tcBorders>
              <w:top w:val="single" w:sz="18" w:space="0" w:color="auto"/>
              <w:bottom w:val="single" w:sz="18" w:space="0" w:color="auto"/>
              <w:right w:val="single" w:sz="18" w:space="0" w:color="auto"/>
            </w:tcBorders>
            <w:shd w:val="clear" w:color="auto" w:fill="000080"/>
          </w:tcPr>
          <w:p w14:paraId="37BF76FD" w14:textId="77777777" w:rsidR="00735E39" w:rsidRPr="00EC06B8" w:rsidRDefault="00BA0BC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32,241</w:t>
            </w:r>
          </w:p>
        </w:tc>
        <w:tc>
          <w:tcPr>
            <w:tcW w:w="493" w:type="pct"/>
            <w:tcBorders>
              <w:top w:val="single" w:sz="18" w:space="0" w:color="auto"/>
              <w:left w:val="single" w:sz="18" w:space="0" w:color="auto"/>
              <w:bottom w:val="single" w:sz="18" w:space="0" w:color="auto"/>
            </w:tcBorders>
          </w:tcPr>
          <w:p w14:paraId="4744A113"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35,446</w:t>
            </w:r>
          </w:p>
        </w:tc>
        <w:tc>
          <w:tcPr>
            <w:tcW w:w="493" w:type="pct"/>
            <w:tcBorders>
              <w:top w:val="single" w:sz="18" w:space="0" w:color="auto"/>
              <w:bottom w:val="single" w:sz="18" w:space="0" w:color="auto"/>
              <w:right w:val="single" w:sz="18" w:space="0" w:color="auto"/>
            </w:tcBorders>
          </w:tcPr>
          <w:p w14:paraId="2EE43596" w14:textId="77777777" w:rsidR="00735E39" w:rsidRPr="00EC06B8" w:rsidRDefault="004A28C7"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37,641</w:t>
            </w:r>
          </w:p>
        </w:tc>
        <w:tc>
          <w:tcPr>
            <w:tcW w:w="504" w:type="pct"/>
            <w:tcBorders>
              <w:top w:val="single" w:sz="18" w:space="0" w:color="auto"/>
              <w:left w:val="single" w:sz="18" w:space="0" w:color="auto"/>
              <w:bottom w:val="single" w:sz="18" w:space="0" w:color="auto"/>
              <w:right w:val="single" w:sz="18" w:space="0" w:color="auto"/>
            </w:tcBorders>
            <w:shd w:val="clear" w:color="auto" w:fill="000000"/>
          </w:tcPr>
          <w:p w14:paraId="03E8939D" w14:textId="77777777" w:rsidR="00735E39"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13.7%</w:t>
            </w:r>
          </w:p>
        </w:tc>
        <w:tc>
          <w:tcPr>
            <w:tcW w:w="498" w:type="pct"/>
            <w:tcBorders>
              <w:top w:val="single" w:sz="18" w:space="0" w:color="auto"/>
              <w:left w:val="single" w:sz="18" w:space="0" w:color="auto"/>
              <w:bottom w:val="single" w:sz="18" w:space="0" w:color="auto"/>
              <w:right w:val="single" w:sz="18" w:space="0" w:color="auto"/>
            </w:tcBorders>
            <w:shd w:val="clear" w:color="auto" w:fill="000080"/>
          </w:tcPr>
          <w:p w14:paraId="0C739287" w14:textId="77777777" w:rsidR="00735E39"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85.7%</w:t>
            </w:r>
          </w:p>
        </w:tc>
      </w:tr>
      <w:tr w:rsidR="00735E39" w:rsidRPr="00EC06B8" w14:paraId="19122CD5" w14:textId="77777777" w:rsidTr="00FC09A7">
        <w:tc>
          <w:tcPr>
            <w:tcW w:w="1042" w:type="pct"/>
            <w:tcBorders>
              <w:top w:val="single" w:sz="18" w:space="0" w:color="auto"/>
              <w:left w:val="single" w:sz="18" w:space="0" w:color="auto"/>
              <w:bottom w:val="single" w:sz="18" w:space="0" w:color="auto"/>
            </w:tcBorders>
          </w:tcPr>
          <w:p w14:paraId="63965998" w14:textId="77777777" w:rsidR="00735E39" w:rsidRPr="00EC06B8" w:rsidRDefault="00EE6C7D" w:rsidP="00EC06B8">
            <w:pPr>
              <w:autoSpaceDE w:val="0"/>
              <w:autoSpaceDN w:val="0"/>
              <w:adjustRightInd w:val="0"/>
              <w:jc w:val="center"/>
              <w:rPr>
                <w:rFonts w:ascii="Arial" w:hAnsi="Arial" w:cs="Arial"/>
                <w:b/>
                <w:bCs/>
                <w:sz w:val="18"/>
                <w:szCs w:val="20"/>
                <w:lang w:eastAsia="en-AU"/>
              </w:rPr>
            </w:pPr>
            <w:r w:rsidRPr="00EC06B8">
              <w:rPr>
                <w:rFonts w:ascii="Arial" w:hAnsi="Arial" w:cs="Arial"/>
                <w:b/>
                <w:bCs/>
                <w:sz w:val="18"/>
                <w:szCs w:val="20"/>
                <w:lang w:eastAsia="en-AU"/>
              </w:rPr>
              <w:t>TOTAL</w:t>
            </w:r>
          </w:p>
        </w:tc>
        <w:tc>
          <w:tcPr>
            <w:tcW w:w="493" w:type="pct"/>
            <w:tcBorders>
              <w:top w:val="single" w:sz="18" w:space="0" w:color="auto"/>
              <w:bottom w:val="single" w:sz="18" w:space="0" w:color="auto"/>
            </w:tcBorders>
            <w:shd w:val="clear" w:color="auto" w:fill="000000"/>
          </w:tcPr>
          <w:p w14:paraId="19F8129C" w14:textId="77777777" w:rsidR="00735E39" w:rsidRPr="00EC06B8" w:rsidRDefault="00145F5E"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35,956</w:t>
            </w:r>
          </w:p>
        </w:tc>
        <w:tc>
          <w:tcPr>
            <w:tcW w:w="493" w:type="pct"/>
            <w:tcBorders>
              <w:top w:val="single" w:sz="18" w:space="0" w:color="auto"/>
              <w:bottom w:val="single" w:sz="18" w:space="0" w:color="auto"/>
              <w:right w:val="single" w:sz="18" w:space="0" w:color="auto"/>
            </w:tcBorders>
            <w:shd w:val="clear" w:color="auto" w:fill="000000"/>
          </w:tcPr>
          <w:p w14:paraId="5CEE9DD9" w14:textId="77777777" w:rsidR="00735E39" w:rsidRPr="00EC06B8" w:rsidRDefault="00BA0BC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35,865</w:t>
            </w:r>
          </w:p>
        </w:tc>
        <w:tc>
          <w:tcPr>
            <w:tcW w:w="493" w:type="pct"/>
            <w:tcBorders>
              <w:top w:val="single" w:sz="18" w:space="0" w:color="auto"/>
              <w:left w:val="single" w:sz="18" w:space="0" w:color="auto"/>
              <w:bottom w:val="single" w:sz="18" w:space="0" w:color="auto"/>
            </w:tcBorders>
            <w:shd w:val="clear" w:color="auto" w:fill="000080"/>
          </w:tcPr>
          <w:p w14:paraId="492A69FE" w14:textId="77777777" w:rsidR="00735E39" w:rsidRPr="00EC06B8" w:rsidRDefault="00BA0BC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132,225</w:t>
            </w:r>
          </w:p>
        </w:tc>
        <w:tc>
          <w:tcPr>
            <w:tcW w:w="493" w:type="pct"/>
            <w:tcBorders>
              <w:top w:val="single" w:sz="18" w:space="0" w:color="auto"/>
              <w:bottom w:val="single" w:sz="18" w:space="0" w:color="auto"/>
              <w:right w:val="single" w:sz="18" w:space="0" w:color="auto"/>
            </w:tcBorders>
            <w:shd w:val="clear" w:color="auto" w:fill="000080"/>
          </w:tcPr>
          <w:p w14:paraId="7B311F25" w14:textId="77777777" w:rsidR="00735E39" w:rsidRPr="00EC06B8" w:rsidRDefault="00BA0BC9" w:rsidP="00EC06B8">
            <w:pPr>
              <w:autoSpaceDE w:val="0"/>
              <w:autoSpaceDN w:val="0"/>
              <w:adjustRightInd w:val="0"/>
              <w:jc w:val="right"/>
              <w:rPr>
                <w:rFonts w:ascii="Arial" w:hAnsi="Arial" w:cs="Arial"/>
                <w:b/>
                <w:bCs/>
                <w:color w:val="FFFFFF"/>
                <w:sz w:val="20"/>
                <w:szCs w:val="20"/>
                <w:lang w:eastAsia="en-AU"/>
              </w:rPr>
            </w:pPr>
            <w:r w:rsidRPr="00EC06B8">
              <w:rPr>
                <w:rFonts w:ascii="Arial" w:hAnsi="Arial" w:cs="Arial"/>
                <w:b/>
                <w:bCs/>
                <w:color w:val="FFFFFF"/>
                <w:sz w:val="20"/>
                <w:szCs w:val="20"/>
                <w:lang w:eastAsia="en-AU"/>
              </w:rPr>
              <w:t>133,714</w:t>
            </w:r>
          </w:p>
        </w:tc>
        <w:tc>
          <w:tcPr>
            <w:tcW w:w="493" w:type="pct"/>
            <w:tcBorders>
              <w:top w:val="single" w:sz="18" w:space="0" w:color="auto"/>
              <w:left w:val="single" w:sz="18" w:space="0" w:color="auto"/>
              <w:bottom w:val="single" w:sz="18" w:space="0" w:color="auto"/>
            </w:tcBorders>
          </w:tcPr>
          <w:p w14:paraId="2684C188" w14:textId="77777777" w:rsidR="00735E39" w:rsidRPr="00EC06B8" w:rsidRDefault="00570818"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169,064</w:t>
            </w:r>
          </w:p>
        </w:tc>
        <w:tc>
          <w:tcPr>
            <w:tcW w:w="493" w:type="pct"/>
            <w:tcBorders>
              <w:top w:val="single" w:sz="18" w:space="0" w:color="auto"/>
              <w:bottom w:val="single" w:sz="18" w:space="0" w:color="auto"/>
              <w:right w:val="single" w:sz="18" w:space="0" w:color="auto"/>
            </w:tcBorders>
          </w:tcPr>
          <w:p w14:paraId="4E01583F" w14:textId="77777777" w:rsidR="00735E39" w:rsidRPr="00EC06B8" w:rsidRDefault="00570818"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170,614</w:t>
            </w:r>
          </w:p>
        </w:tc>
        <w:tc>
          <w:tcPr>
            <w:tcW w:w="504" w:type="pct"/>
            <w:tcBorders>
              <w:top w:val="single" w:sz="18" w:space="0" w:color="auto"/>
              <w:left w:val="single" w:sz="18" w:space="0" w:color="auto"/>
              <w:bottom w:val="single" w:sz="18" w:space="0" w:color="auto"/>
              <w:right w:val="single" w:sz="18" w:space="0" w:color="auto"/>
            </w:tcBorders>
            <w:shd w:val="clear" w:color="auto" w:fill="000000"/>
          </w:tcPr>
          <w:p w14:paraId="24A33A90" w14:textId="77777777" w:rsidR="00735E39"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21.0%</w:t>
            </w:r>
          </w:p>
        </w:tc>
        <w:tc>
          <w:tcPr>
            <w:tcW w:w="498" w:type="pct"/>
            <w:tcBorders>
              <w:top w:val="single" w:sz="18" w:space="0" w:color="auto"/>
              <w:left w:val="single" w:sz="18" w:space="0" w:color="auto"/>
              <w:bottom w:val="single" w:sz="18" w:space="0" w:color="auto"/>
              <w:right w:val="single" w:sz="18" w:space="0" w:color="auto"/>
            </w:tcBorders>
            <w:shd w:val="clear" w:color="auto" w:fill="000080"/>
          </w:tcPr>
          <w:p w14:paraId="250A5957" w14:textId="77777777" w:rsidR="00735E39" w:rsidRPr="00EC06B8" w:rsidRDefault="003C4AEE" w:rsidP="00EC06B8">
            <w:pPr>
              <w:autoSpaceDE w:val="0"/>
              <w:autoSpaceDN w:val="0"/>
              <w:adjustRightInd w:val="0"/>
              <w:jc w:val="right"/>
              <w:rPr>
                <w:rFonts w:ascii="Arial" w:hAnsi="Arial" w:cs="Arial"/>
                <w:b/>
                <w:bCs/>
                <w:sz w:val="20"/>
                <w:szCs w:val="20"/>
                <w:lang w:eastAsia="en-AU"/>
              </w:rPr>
            </w:pPr>
            <w:r w:rsidRPr="00EC06B8">
              <w:rPr>
                <w:rFonts w:ascii="Arial" w:hAnsi="Arial" w:cs="Arial"/>
                <w:b/>
                <w:bCs/>
                <w:sz w:val="20"/>
                <w:szCs w:val="20"/>
                <w:lang w:eastAsia="en-AU"/>
              </w:rPr>
              <w:t>78.4%</w:t>
            </w:r>
          </w:p>
        </w:tc>
      </w:tr>
    </w:tbl>
    <w:p w14:paraId="694EB321" w14:textId="77777777" w:rsidR="00F470FB" w:rsidRDefault="00F470FB" w:rsidP="004A6BE3">
      <w:pPr>
        <w:autoSpaceDE w:val="0"/>
        <w:autoSpaceDN w:val="0"/>
        <w:adjustRightInd w:val="0"/>
        <w:rPr>
          <w:rFonts w:ascii="Arial" w:hAnsi="Arial" w:cs="Arial"/>
          <w:b/>
          <w:bCs/>
          <w:sz w:val="20"/>
          <w:szCs w:val="20"/>
          <w:lang w:eastAsia="en-AU"/>
        </w:rPr>
      </w:pPr>
    </w:p>
    <w:p w14:paraId="0B3AEB55" w14:textId="77777777" w:rsidR="00E728FD" w:rsidRPr="00F51496" w:rsidRDefault="00033244" w:rsidP="00E83147">
      <w:pPr>
        <w:autoSpaceDE w:val="0"/>
        <w:autoSpaceDN w:val="0"/>
        <w:adjustRightInd w:val="0"/>
        <w:jc w:val="both"/>
        <w:rPr>
          <w:rFonts w:ascii="Arial" w:hAnsi="Arial" w:cs="Arial"/>
          <w:color w:val="000000"/>
          <w:sz w:val="20"/>
          <w:szCs w:val="20"/>
          <w:lang w:eastAsia="en-AU"/>
        </w:rPr>
      </w:pPr>
      <w:r w:rsidRPr="00F51496">
        <w:rPr>
          <w:rFonts w:ascii="Arial" w:hAnsi="Arial" w:cs="Arial"/>
          <w:color w:val="000000"/>
          <w:sz w:val="20"/>
          <w:szCs w:val="20"/>
          <w:lang w:eastAsia="en-AU"/>
        </w:rPr>
        <w:t>The criminal offending statistics show that t</w:t>
      </w:r>
      <w:r w:rsidR="00E728FD" w:rsidRPr="00F51496">
        <w:rPr>
          <w:rFonts w:ascii="Arial" w:hAnsi="Arial" w:cs="Arial"/>
          <w:color w:val="000000"/>
          <w:sz w:val="20"/>
          <w:szCs w:val="20"/>
          <w:lang w:eastAsia="en-AU"/>
        </w:rPr>
        <w:t xml:space="preserve">here were 133,714 </w:t>
      </w:r>
      <w:r w:rsidRPr="00F51496">
        <w:rPr>
          <w:rFonts w:ascii="Arial" w:hAnsi="Arial" w:cs="Arial"/>
          <w:color w:val="000000"/>
          <w:sz w:val="20"/>
          <w:szCs w:val="20"/>
          <w:lang w:eastAsia="en-AU"/>
        </w:rPr>
        <w:t>adult</w:t>
      </w:r>
      <w:r w:rsidR="006A5601" w:rsidRPr="00F51496">
        <w:rPr>
          <w:rFonts w:ascii="Arial" w:hAnsi="Arial" w:cs="Arial"/>
          <w:color w:val="000000"/>
          <w:sz w:val="20"/>
          <w:szCs w:val="20"/>
          <w:lang w:eastAsia="en-AU"/>
        </w:rPr>
        <w:t xml:space="preserve"> offences</w:t>
      </w:r>
      <w:r w:rsidRPr="00F51496">
        <w:rPr>
          <w:rFonts w:ascii="Arial" w:hAnsi="Arial" w:cs="Arial"/>
          <w:color w:val="000000"/>
          <w:sz w:val="20"/>
          <w:szCs w:val="20"/>
          <w:lang w:eastAsia="en-AU"/>
        </w:rPr>
        <w:t xml:space="preserve"> processed during 2009/</w:t>
      </w:r>
      <w:r w:rsidR="00E728FD" w:rsidRPr="00F51496">
        <w:rPr>
          <w:rFonts w:ascii="Arial" w:hAnsi="Arial" w:cs="Arial"/>
          <w:color w:val="000000"/>
          <w:sz w:val="20"/>
          <w:szCs w:val="20"/>
          <w:lang w:eastAsia="en-AU"/>
        </w:rPr>
        <w:t xml:space="preserve">10, which is an increase of 1.1% on </w:t>
      </w:r>
      <w:r w:rsidRPr="00F51496">
        <w:rPr>
          <w:rFonts w:ascii="Arial" w:hAnsi="Arial" w:cs="Arial"/>
          <w:color w:val="000000"/>
          <w:sz w:val="20"/>
          <w:szCs w:val="20"/>
          <w:lang w:eastAsia="en-AU"/>
        </w:rPr>
        <w:t>the 132,225 processed in 2008/</w:t>
      </w:r>
      <w:r w:rsidR="00E728FD" w:rsidRPr="00F51496">
        <w:rPr>
          <w:rFonts w:ascii="Arial" w:hAnsi="Arial" w:cs="Arial"/>
          <w:color w:val="000000"/>
          <w:sz w:val="20"/>
          <w:szCs w:val="20"/>
          <w:lang w:eastAsia="en-AU"/>
        </w:rPr>
        <w:t>09. There were 35,865 juvenile offen</w:t>
      </w:r>
      <w:r w:rsidR="006A5601" w:rsidRPr="00F51496">
        <w:rPr>
          <w:rFonts w:ascii="Arial" w:hAnsi="Arial" w:cs="Arial"/>
          <w:color w:val="000000"/>
          <w:sz w:val="20"/>
          <w:szCs w:val="20"/>
          <w:lang w:eastAsia="en-AU"/>
        </w:rPr>
        <w:t>ces</w:t>
      </w:r>
      <w:r w:rsidR="00E728FD" w:rsidRPr="00F51496">
        <w:rPr>
          <w:rFonts w:ascii="Arial" w:hAnsi="Arial" w:cs="Arial"/>
          <w:color w:val="000000"/>
          <w:sz w:val="20"/>
          <w:szCs w:val="20"/>
          <w:lang w:eastAsia="en-AU"/>
        </w:rPr>
        <w:t xml:space="preserve"> </w:t>
      </w:r>
      <w:r w:rsidRPr="00F51496">
        <w:rPr>
          <w:rFonts w:ascii="Arial" w:hAnsi="Arial" w:cs="Arial"/>
          <w:color w:val="000000"/>
          <w:sz w:val="20"/>
          <w:szCs w:val="20"/>
          <w:lang w:eastAsia="en-AU"/>
        </w:rPr>
        <w:t xml:space="preserve">processed in 2009/10, </w:t>
      </w:r>
      <w:r w:rsidR="00E728FD" w:rsidRPr="00F51496">
        <w:rPr>
          <w:rFonts w:ascii="Arial" w:hAnsi="Arial" w:cs="Arial"/>
          <w:color w:val="000000"/>
          <w:sz w:val="20"/>
          <w:szCs w:val="20"/>
          <w:lang w:eastAsia="en-AU"/>
        </w:rPr>
        <w:t>a decrease of 0.3% on the 35,956 processed in 2008/2009.</w:t>
      </w:r>
    </w:p>
    <w:p w14:paraId="6E62D665" w14:textId="77777777" w:rsidR="00E728FD" w:rsidRPr="00F51496" w:rsidRDefault="00E728FD" w:rsidP="00E728FD">
      <w:pPr>
        <w:autoSpaceDE w:val="0"/>
        <w:autoSpaceDN w:val="0"/>
        <w:adjustRightInd w:val="0"/>
        <w:jc w:val="both"/>
        <w:rPr>
          <w:rFonts w:ascii="Arial" w:hAnsi="Arial" w:cs="Arial"/>
          <w:color w:val="000000"/>
          <w:sz w:val="20"/>
          <w:szCs w:val="20"/>
          <w:lang w:eastAsia="en-AU"/>
        </w:rPr>
      </w:pPr>
    </w:p>
    <w:p w14:paraId="60C7DB92" w14:textId="77777777" w:rsidR="00BB3554" w:rsidRPr="00F51496" w:rsidRDefault="00033244" w:rsidP="00E728FD">
      <w:pPr>
        <w:autoSpaceDE w:val="0"/>
        <w:autoSpaceDN w:val="0"/>
        <w:adjustRightInd w:val="0"/>
        <w:jc w:val="both"/>
        <w:rPr>
          <w:rFonts w:ascii="Arial" w:hAnsi="Arial" w:cs="Arial"/>
          <w:color w:val="000000"/>
          <w:sz w:val="20"/>
        </w:rPr>
      </w:pPr>
      <w:r w:rsidRPr="00F51496">
        <w:rPr>
          <w:rFonts w:ascii="Arial" w:hAnsi="Arial" w:cs="Arial"/>
          <w:color w:val="000000"/>
          <w:sz w:val="20"/>
          <w:szCs w:val="20"/>
          <w:lang w:eastAsia="en-AU"/>
        </w:rPr>
        <w:t>Between 2008/</w:t>
      </w:r>
      <w:r w:rsidR="00E728FD" w:rsidRPr="00F51496">
        <w:rPr>
          <w:rFonts w:ascii="Arial" w:hAnsi="Arial" w:cs="Arial"/>
          <w:color w:val="000000"/>
          <w:sz w:val="20"/>
          <w:szCs w:val="20"/>
          <w:lang w:eastAsia="en-AU"/>
        </w:rPr>
        <w:t xml:space="preserve">09 </w:t>
      </w:r>
      <w:r w:rsidR="0083054C" w:rsidRPr="00F51496">
        <w:rPr>
          <w:rFonts w:ascii="Arial" w:hAnsi="Arial" w:cs="Arial"/>
          <w:color w:val="000000"/>
          <w:sz w:val="20"/>
          <w:szCs w:val="20"/>
          <w:lang w:eastAsia="en-AU"/>
        </w:rPr>
        <w:t>&amp;</w:t>
      </w:r>
      <w:r w:rsidR="00BB3554" w:rsidRPr="00F51496">
        <w:rPr>
          <w:rFonts w:ascii="Arial" w:hAnsi="Arial" w:cs="Arial"/>
          <w:color w:val="000000"/>
          <w:sz w:val="20"/>
          <w:szCs w:val="20"/>
          <w:lang w:eastAsia="en-AU"/>
        </w:rPr>
        <w:t xml:space="preserve"> 2009</w:t>
      </w:r>
      <w:r w:rsidRPr="00F51496">
        <w:rPr>
          <w:rFonts w:ascii="Arial" w:hAnsi="Arial" w:cs="Arial"/>
          <w:color w:val="000000"/>
          <w:sz w:val="20"/>
          <w:szCs w:val="20"/>
          <w:lang w:eastAsia="en-AU"/>
        </w:rPr>
        <w:t>/</w:t>
      </w:r>
      <w:r w:rsidR="00BB3554" w:rsidRPr="00F51496">
        <w:rPr>
          <w:rFonts w:ascii="Arial" w:hAnsi="Arial" w:cs="Arial"/>
          <w:color w:val="000000"/>
          <w:sz w:val="20"/>
          <w:szCs w:val="20"/>
          <w:lang w:eastAsia="en-AU"/>
        </w:rPr>
        <w:t>10, there was a decline in overall crime of 6.4%, as a rat</w:t>
      </w:r>
      <w:r w:rsidRPr="00F51496">
        <w:rPr>
          <w:rFonts w:ascii="Arial" w:hAnsi="Arial" w:cs="Arial"/>
          <w:color w:val="000000"/>
          <w:sz w:val="20"/>
          <w:szCs w:val="20"/>
          <w:lang w:eastAsia="en-AU"/>
        </w:rPr>
        <w:t>e per 100,000 population. The 20</w:t>
      </w:r>
      <w:r w:rsidR="00BB3554" w:rsidRPr="00F51496">
        <w:rPr>
          <w:rFonts w:ascii="Arial" w:hAnsi="Arial" w:cs="Arial"/>
          <w:color w:val="000000"/>
          <w:sz w:val="20"/>
          <w:szCs w:val="20"/>
          <w:lang w:eastAsia="en-AU"/>
        </w:rPr>
        <w:t xml:space="preserve">09/10 crime rate per 100,000 is 6,665.6, the lowest since the implementation of Victoria Police’s LEAP computer system in March 1993.  </w:t>
      </w:r>
      <w:r w:rsidRPr="00F51496">
        <w:rPr>
          <w:rFonts w:ascii="Arial" w:hAnsi="Arial" w:cs="Arial"/>
          <w:color w:val="000000"/>
          <w:sz w:val="20"/>
          <w:szCs w:val="20"/>
          <w:lang w:eastAsia="en-AU"/>
        </w:rPr>
        <w:t>Since 2000/</w:t>
      </w:r>
      <w:r w:rsidR="00BB3554" w:rsidRPr="00F51496">
        <w:rPr>
          <w:rFonts w:ascii="Arial" w:hAnsi="Arial" w:cs="Arial"/>
          <w:color w:val="000000"/>
          <w:sz w:val="20"/>
          <w:szCs w:val="20"/>
          <w:lang w:eastAsia="en-AU"/>
        </w:rPr>
        <w:t>01, overall crime has decreased by 29.9%, as a rate per 100,000 population. The number of recorded offences has decreased by 19.3% over the same period.</w:t>
      </w:r>
    </w:p>
    <w:p w14:paraId="6E3F6C0B" w14:textId="77777777" w:rsidR="00BB3554" w:rsidRPr="00F51496" w:rsidRDefault="00BB3554" w:rsidP="00BB3554">
      <w:pPr>
        <w:jc w:val="both"/>
        <w:rPr>
          <w:rFonts w:ascii="Arial" w:hAnsi="Arial" w:cs="Arial"/>
          <w:color w:val="000000"/>
          <w:sz w:val="20"/>
        </w:rPr>
      </w:pPr>
    </w:p>
    <w:p w14:paraId="1220D371" w14:textId="77777777" w:rsidR="00415247" w:rsidRPr="00F51496" w:rsidRDefault="0083054C" w:rsidP="00BB3554">
      <w:pPr>
        <w:jc w:val="both"/>
        <w:rPr>
          <w:rFonts w:ascii="Arial" w:hAnsi="Arial" w:cs="Arial"/>
          <w:color w:val="000000"/>
          <w:sz w:val="20"/>
        </w:rPr>
      </w:pPr>
      <w:r w:rsidRPr="00F51496">
        <w:rPr>
          <w:rFonts w:ascii="Arial" w:hAnsi="Arial" w:cs="Arial"/>
          <w:color w:val="000000"/>
          <w:sz w:val="20"/>
        </w:rPr>
        <w:t xml:space="preserve">While the decline in the overall crime rate – involving both juveniles and adults – is encouraging, it is of concern that between 2008/09 &amp; 2009/10 there was an increase of 6.4% in the </w:t>
      </w:r>
      <w:r w:rsidR="00BE7B20" w:rsidRPr="00F51496">
        <w:rPr>
          <w:rFonts w:ascii="Arial" w:hAnsi="Arial" w:cs="Arial"/>
          <w:color w:val="000000"/>
          <w:sz w:val="20"/>
        </w:rPr>
        <w:t xml:space="preserve">number of </w:t>
      </w:r>
      <w:r w:rsidR="003F7C73" w:rsidRPr="00F51496">
        <w:rPr>
          <w:rFonts w:ascii="Arial" w:hAnsi="Arial" w:cs="Arial"/>
          <w:color w:val="000000"/>
          <w:sz w:val="20"/>
        </w:rPr>
        <w:t xml:space="preserve">offences against the person allegedly committed by </w:t>
      </w:r>
      <w:r w:rsidR="00BE7B20" w:rsidRPr="00F51496">
        <w:rPr>
          <w:rFonts w:ascii="Arial" w:hAnsi="Arial" w:cs="Arial"/>
          <w:color w:val="000000"/>
          <w:sz w:val="20"/>
        </w:rPr>
        <w:t>juvenile</w:t>
      </w:r>
      <w:r w:rsidR="003F7C73" w:rsidRPr="00F51496">
        <w:rPr>
          <w:rFonts w:ascii="Arial" w:hAnsi="Arial" w:cs="Arial"/>
          <w:color w:val="000000"/>
          <w:sz w:val="20"/>
        </w:rPr>
        <w:t>s</w:t>
      </w:r>
      <w:r w:rsidR="00BE7B20" w:rsidRPr="00F51496">
        <w:rPr>
          <w:rFonts w:ascii="Arial" w:hAnsi="Arial" w:cs="Arial"/>
          <w:color w:val="000000"/>
          <w:sz w:val="20"/>
        </w:rPr>
        <w:t xml:space="preserve">.  At the same </w:t>
      </w:r>
      <w:r w:rsidR="003F7C73" w:rsidRPr="00F51496">
        <w:rPr>
          <w:rFonts w:ascii="Arial" w:hAnsi="Arial" w:cs="Arial"/>
          <w:color w:val="000000"/>
          <w:sz w:val="20"/>
        </w:rPr>
        <w:t>time,</w:t>
      </w:r>
      <w:r w:rsidR="00BE7B20" w:rsidRPr="00F51496">
        <w:rPr>
          <w:rFonts w:ascii="Arial" w:hAnsi="Arial" w:cs="Arial"/>
          <w:color w:val="000000"/>
          <w:sz w:val="20"/>
        </w:rPr>
        <w:t xml:space="preserve"> there was a decrease of 2.5% in the number of </w:t>
      </w:r>
      <w:r w:rsidR="003F7C73" w:rsidRPr="00F51496">
        <w:rPr>
          <w:rFonts w:ascii="Arial" w:hAnsi="Arial" w:cs="Arial"/>
          <w:color w:val="000000"/>
          <w:sz w:val="20"/>
        </w:rPr>
        <w:t xml:space="preserve">offences against property allegedly committed by </w:t>
      </w:r>
      <w:r w:rsidR="00BE7B20" w:rsidRPr="00F51496">
        <w:rPr>
          <w:rFonts w:ascii="Arial" w:hAnsi="Arial" w:cs="Arial"/>
          <w:color w:val="000000"/>
          <w:sz w:val="20"/>
        </w:rPr>
        <w:t>juveniles.</w:t>
      </w:r>
    </w:p>
    <w:p w14:paraId="105C49D4" w14:textId="77777777" w:rsidR="00415247" w:rsidRPr="00F51496" w:rsidRDefault="00415247" w:rsidP="00BB3554">
      <w:pPr>
        <w:jc w:val="both"/>
        <w:rPr>
          <w:rFonts w:ascii="Arial" w:hAnsi="Arial" w:cs="Arial"/>
          <w:color w:val="000000"/>
          <w:sz w:val="20"/>
        </w:rPr>
      </w:pPr>
    </w:p>
    <w:p w14:paraId="3F891133" w14:textId="77777777" w:rsidR="00BB3554" w:rsidRPr="00F51496" w:rsidRDefault="00BB3554" w:rsidP="00BB3554">
      <w:pPr>
        <w:jc w:val="both"/>
        <w:rPr>
          <w:rFonts w:ascii="Arial" w:hAnsi="Arial" w:cs="Arial"/>
          <w:color w:val="000000"/>
          <w:sz w:val="20"/>
        </w:rPr>
      </w:pPr>
      <w:r w:rsidRPr="00F51496">
        <w:rPr>
          <w:rFonts w:ascii="Arial" w:hAnsi="Arial" w:cs="Arial"/>
          <w:color w:val="000000"/>
          <w:sz w:val="20"/>
        </w:rPr>
        <w:t xml:space="preserve">In </w:t>
      </w:r>
      <w:r w:rsidR="005B5E24" w:rsidRPr="00F51496">
        <w:rPr>
          <w:rFonts w:ascii="Arial" w:hAnsi="Arial" w:cs="Arial"/>
          <w:color w:val="000000"/>
          <w:sz w:val="20"/>
        </w:rPr>
        <w:t>2009</w:t>
      </w:r>
      <w:r w:rsidRPr="00F51496">
        <w:rPr>
          <w:rFonts w:ascii="Arial" w:hAnsi="Arial" w:cs="Arial"/>
          <w:color w:val="000000"/>
          <w:sz w:val="20"/>
        </w:rPr>
        <w:t>/</w:t>
      </w:r>
      <w:r w:rsidR="005B5E24" w:rsidRPr="00F51496">
        <w:rPr>
          <w:rFonts w:ascii="Arial" w:hAnsi="Arial" w:cs="Arial"/>
          <w:color w:val="000000"/>
          <w:sz w:val="20"/>
        </w:rPr>
        <w:t>10</w:t>
      </w:r>
      <w:r w:rsidRPr="00F51496">
        <w:rPr>
          <w:rFonts w:ascii="Arial" w:hAnsi="Arial" w:cs="Arial"/>
          <w:color w:val="000000"/>
          <w:sz w:val="20"/>
        </w:rPr>
        <w:t xml:space="preserve"> approximately </w:t>
      </w:r>
      <w:r w:rsidR="00D10FB7" w:rsidRPr="00F51496">
        <w:rPr>
          <w:rFonts w:ascii="Arial" w:hAnsi="Arial" w:cs="Arial"/>
          <w:color w:val="000000"/>
          <w:sz w:val="20"/>
        </w:rPr>
        <w:t>21</w:t>
      </w:r>
      <w:r w:rsidRPr="00F51496">
        <w:rPr>
          <w:rFonts w:ascii="Arial" w:hAnsi="Arial" w:cs="Arial"/>
          <w:color w:val="000000"/>
          <w:sz w:val="20"/>
        </w:rPr>
        <w:t xml:space="preserve">% of the </w:t>
      </w:r>
      <w:r w:rsidR="006A5601" w:rsidRPr="00F51496">
        <w:rPr>
          <w:rFonts w:ascii="Arial" w:hAnsi="Arial" w:cs="Arial"/>
          <w:color w:val="000000"/>
          <w:sz w:val="20"/>
        </w:rPr>
        <w:t>processed</w:t>
      </w:r>
      <w:r w:rsidR="005B5E24" w:rsidRPr="00F51496">
        <w:rPr>
          <w:rFonts w:ascii="Arial" w:hAnsi="Arial" w:cs="Arial"/>
          <w:color w:val="000000"/>
          <w:sz w:val="20"/>
        </w:rPr>
        <w:t xml:space="preserve"> </w:t>
      </w:r>
      <w:r w:rsidR="00377230" w:rsidRPr="00F51496">
        <w:rPr>
          <w:rFonts w:ascii="Arial" w:hAnsi="Arial" w:cs="Arial"/>
          <w:color w:val="000000"/>
          <w:sz w:val="20"/>
        </w:rPr>
        <w:t xml:space="preserve">criminal </w:t>
      </w:r>
      <w:r w:rsidR="005B5E24" w:rsidRPr="00F51496">
        <w:rPr>
          <w:rFonts w:ascii="Arial" w:hAnsi="Arial" w:cs="Arial"/>
          <w:color w:val="000000"/>
          <w:sz w:val="20"/>
        </w:rPr>
        <w:t>offences</w:t>
      </w:r>
      <w:r w:rsidRPr="00F51496">
        <w:rPr>
          <w:rFonts w:ascii="Arial" w:hAnsi="Arial" w:cs="Arial"/>
          <w:color w:val="000000"/>
          <w:sz w:val="20"/>
        </w:rPr>
        <w:t xml:space="preserve"> were </w:t>
      </w:r>
      <w:r w:rsidR="005B5E24" w:rsidRPr="00F51496">
        <w:rPr>
          <w:rFonts w:ascii="Arial" w:hAnsi="Arial" w:cs="Arial"/>
          <w:color w:val="000000"/>
          <w:sz w:val="20"/>
        </w:rPr>
        <w:t xml:space="preserve">allegedly committed by </w:t>
      </w:r>
      <w:r w:rsidRPr="00F51496">
        <w:rPr>
          <w:rFonts w:ascii="Arial" w:hAnsi="Arial" w:cs="Arial"/>
          <w:color w:val="000000"/>
          <w:sz w:val="20"/>
        </w:rPr>
        <w:t xml:space="preserve">juveniles.  </w:t>
      </w:r>
      <w:r w:rsidR="00DE47A2" w:rsidRPr="00F51496">
        <w:rPr>
          <w:rFonts w:ascii="Arial" w:hAnsi="Arial" w:cs="Arial"/>
          <w:color w:val="000000"/>
          <w:sz w:val="20"/>
        </w:rPr>
        <w:t>T</w:t>
      </w:r>
      <w:r w:rsidR="005B5E24" w:rsidRPr="00F51496">
        <w:rPr>
          <w:rFonts w:ascii="Arial" w:hAnsi="Arial" w:cs="Arial"/>
          <w:color w:val="000000"/>
          <w:sz w:val="20"/>
        </w:rPr>
        <w:t xml:space="preserve">he </w:t>
      </w:r>
      <w:r w:rsidR="00D47C84">
        <w:rPr>
          <w:rFonts w:ascii="Arial" w:hAnsi="Arial" w:cs="Arial"/>
          <w:color w:val="000000"/>
          <w:sz w:val="20"/>
        </w:rPr>
        <w:t>large</w:t>
      </w:r>
      <w:r w:rsidR="005B5E24" w:rsidRPr="00F51496">
        <w:rPr>
          <w:rFonts w:ascii="Arial" w:hAnsi="Arial" w:cs="Arial"/>
          <w:color w:val="000000"/>
          <w:sz w:val="20"/>
        </w:rPr>
        <w:t xml:space="preserve"> majority of juvenile offenders were male.  </w:t>
      </w:r>
      <w:r w:rsidRPr="00F51496">
        <w:rPr>
          <w:rFonts w:ascii="Arial" w:hAnsi="Arial" w:cs="Arial"/>
          <w:color w:val="000000"/>
          <w:sz w:val="20"/>
        </w:rPr>
        <w:t xml:space="preserve">Unsurprisingly, juveniles are over-represented in theft </w:t>
      </w:r>
      <w:r w:rsidR="00D10FB7" w:rsidRPr="00F51496">
        <w:rPr>
          <w:rFonts w:ascii="Arial" w:hAnsi="Arial" w:cs="Arial"/>
          <w:color w:val="000000"/>
          <w:sz w:val="20"/>
        </w:rPr>
        <w:t xml:space="preserve">and property damage </w:t>
      </w:r>
      <w:r w:rsidRPr="00F51496">
        <w:rPr>
          <w:rFonts w:ascii="Arial" w:hAnsi="Arial" w:cs="Arial"/>
          <w:color w:val="000000"/>
          <w:sz w:val="20"/>
        </w:rPr>
        <w:t>offences.</w:t>
      </w:r>
    </w:p>
    <w:p w14:paraId="08659A70" w14:textId="77777777" w:rsidR="006A5601" w:rsidRPr="00F51496" w:rsidRDefault="006A5601" w:rsidP="00BB3554">
      <w:pPr>
        <w:jc w:val="both"/>
        <w:rPr>
          <w:rFonts w:ascii="Arial" w:hAnsi="Arial" w:cs="Arial"/>
          <w:color w:val="000000"/>
          <w:sz w:val="20"/>
        </w:rPr>
      </w:pPr>
    </w:p>
    <w:p w14:paraId="3CE2640C" w14:textId="77777777" w:rsidR="006A5601" w:rsidRPr="00F51496" w:rsidRDefault="006A5601" w:rsidP="00BB3554">
      <w:pPr>
        <w:jc w:val="both"/>
        <w:rPr>
          <w:rFonts w:ascii="Arial" w:hAnsi="Arial" w:cs="Arial"/>
          <w:color w:val="000000"/>
          <w:sz w:val="20"/>
        </w:rPr>
      </w:pPr>
      <w:r w:rsidRPr="00F51496">
        <w:rPr>
          <w:rFonts w:ascii="Arial" w:hAnsi="Arial" w:cs="Arial"/>
          <w:color w:val="000000"/>
          <w:sz w:val="20"/>
        </w:rPr>
        <w:t xml:space="preserve">The above statistics are for all </w:t>
      </w:r>
      <w:r w:rsidR="003F7C73" w:rsidRPr="00F51496">
        <w:rPr>
          <w:rFonts w:ascii="Arial" w:hAnsi="Arial" w:cs="Arial"/>
          <w:color w:val="000000"/>
          <w:sz w:val="20"/>
        </w:rPr>
        <w:t xml:space="preserve">processed </w:t>
      </w:r>
      <w:r w:rsidRPr="00F51496">
        <w:rPr>
          <w:rFonts w:ascii="Arial" w:hAnsi="Arial" w:cs="Arial"/>
          <w:color w:val="000000"/>
          <w:sz w:val="20"/>
        </w:rPr>
        <w:t>crimin</w:t>
      </w:r>
      <w:r w:rsidR="003F7C73" w:rsidRPr="00F51496">
        <w:rPr>
          <w:rFonts w:ascii="Arial" w:hAnsi="Arial" w:cs="Arial"/>
          <w:color w:val="000000"/>
          <w:sz w:val="20"/>
        </w:rPr>
        <w:t xml:space="preserve">al offences </w:t>
      </w:r>
      <w:r w:rsidRPr="00F51496">
        <w:rPr>
          <w:rFonts w:ascii="Arial" w:hAnsi="Arial" w:cs="Arial"/>
          <w:color w:val="000000"/>
          <w:sz w:val="20"/>
        </w:rPr>
        <w:t xml:space="preserve">in </w:t>
      </w:r>
      <w:smartTag w:uri="urn:schemas-microsoft-com:office:smarttags" w:element="State">
        <w:smartTag w:uri="urn:schemas-microsoft-com:office:smarttags" w:element="place">
          <w:r w:rsidRPr="00F51496">
            <w:rPr>
              <w:rFonts w:ascii="Arial" w:hAnsi="Arial" w:cs="Arial"/>
              <w:color w:val="000000"/>
              <w:sz w:val="20"/>
            </w:rPr>
            <w:t>Victoria</w:t>
          </w:r>
        </w:smartTag>
      </w:smartTag>
      <w:r w:rsidRPr="00F51496">
        <w:rPr>
          <w:rFonts w:ascii="Arial" w:hAnsi="Arial" w:cs="Arial"/>
          <w:color w:val="000000"/>
          <w:sz w:val="20"/>
        </w:rPr>
        <w:t xml:space="preserve"> in 2008/09 &amp; 2009/10.  They </w:t>
      </w:r>
      <w:r w:rsidR="00E971C9" w:rsidRPr="00F51496">
        <w:rPr>
          <w:rFonts w:ascii="Arial" w:hAnsi="Arial" w:cs="Arial"/>
          <w:color w:val="000000"/>
          <w:sz w:val="20"/>
        </w:rPr>
        <w:t xml:space="preserve">are somewhat </w:t>
      </w:r>
      <w:r w:rsidR="00DE47A2" w:rsidRPr="00F51496">
        <w:rPr>
          <w:rFonts w:ascii="Arial" w:hAnsi="Arial" w:cs="Arial"/>
          <w:color w:val="000000"/>
          <w:sz w:val="20"/>
        </w:rPr>
        <w:t xml:space="preserve">misleading for it is common for offenders to be charged with multiple </w:t>
      </w:r>
      <w:r w:rsidR="00ED6B21" w:rsidRPr="00F51496">
        <w:rPr>
          <w:rFonts w:ascii="Arial" w:hAnsi="Arial" w:cs="Arial"/>
          <w:color w:val="000000"/>
          <w:sz w:val="20"/>
        </w:rPr>
        <w:t xml:space="preserve">charges, often including </w:t>
      </w:r>
      <w:r w:rsidR="00DE47A2" w:rsidRPr="00F51496">
        <w:rPr>
          <w:rFonts w:ascii="Arial" w:hAnsi="Arial" w:cs="Arial"/>
          <w:color w:val="000000"/>
          <w:sz w:val="20"/>
        </w:rPr>
        <w:t xml:space="preserve">alternative charges arising from the one incident.  A common example </w:t>
      </w:r>
      <w:r w:rsidR="00ED6B21" w:rsidRPr="00F51496">
        <w:rPr>
          <w:rFonts w:ascii="Arial" w:hAnsi="Arial" w:cs="Arial"/>
          <w:color w:val="000000"/>
          <w:sz w:val="20"/>
        </w:rPr>
        <w:t xml:space="preserve">of this </w:t>
      </w:r>
      <w:r w:rsidR="00DE47A2" w:rsidRPr="00F51496">
        <w:rPr>
          <w:rFonts w:ascii="Arial" w:hAnsi="Arial" w:cs="Arial"/>
          <w:color w:val="000000"/>
          <w:sz w:val="20"/>
        </w:rPr>
        <w:t xml:space="preserve">is intentionally/recklessly causing injury/ serious injury and assault.  </w:t>
      </w:r>
      <w:r w:rsidR="00F45968" w:rsidRPr="00F51496">
        <w:rPr>
          <w:rFonts w:ascii="Arial" w:hAnsi="Arial" w:cs="Arial"/>
          <w:color w:val="000000"/>
          <w:sz w:val="20"/>
        </w:rPr>
        <w:t>A more accurate picture is provided by the following chart of principal proven offences for the years from 2004/0</w:t>
      </w:r>
      <w:r w:rsidR="00D54E6D">
        <w:rPr>
          <w:rFonts w:ascii="Arial" w:hAnsi="Arial" w:cs="Arial"/>
          <w:color w:val="000000"/>
          <w:sz w:val="20"/>
        </w:rPr>
        <w:t>5 to 2008/09.</w:t>
      </w:r>
    </w:p>
    <w:p w14:paraId="54250463" w14:textId="77777777" w:rsidR="00B22584" w:rsidRPr="00F51496" w:rsidRDefault="00B22584">
      <w:pPr>
        <w:rPr>
          <w:rFonts w:ascii="Arial" w:hAnsi="Arial" w:cs="Arial"/>
          <w:color w:val="000000"/>
          <w:sz w:val="20"/>
        </w:rPr>
      </w:pPr>
      <w:bookmarkStart w:id="305" w:name="_Toc30669420"/>
      <w:bookmarkStart w:id="306" w:name="_Toc30671636"/>
      <w:bookmarkStart w:id="307" w:name="_Toc30674163"/>
      <w:bookmarkStart w:id="308" w:name="_Toc30691385"/>
      <w:bookmarkStart w:id="309" w:name="_Toc30691760"/>
      <w:bookmarkStart w:id="310" w:name="_Toc30692140"/>
      <w:bookmarkStart w:id="311" w:name="_Toc30692899"/>
      <w:bookmarkStart w:id="312" w:name="_Toc30693278"/>
      <w:bookmarkStart w:id="313" w:name="_Toc30693656"/>
      <w:bookmarkStart w:id="314" w:name="_Toc30694034"/>
      <w:bookmarkStart w:id="315" w:name="_Toc30669421"/>
      <w:bookmarkStart w:id="316" w:name="_Toc30671637"/>
      <w:bookmarkStart w:id="317" w:name="_Toc30674164"/>
      <w:bookmarkStart w:id="318" w:name="_Toc30691386"/>
      <w:bookmarkStart w:id="319" w:name="_Toc30691761"/>
      <w:bookmarkStart w:id="320" w:name="_Toc30692141"/>
      <w:bookmarkStart w:id="321" w:name="_Toc30692900"/>
      <w:bookmarkStart w:id="322" w:name="_Toc30693279"/>
      <w:bookmarkStart w:id="323" w:name="_Toc30693657"/>
      <w:bookmarkStart w:id="324" w:name="_Toc30694035"/>
    </w:p>
    <w:p w14:paraId="2B26369D" w14:textId="77777777" w:rsidR="00377230" w:rsidRPr="00D81EFC" w:rsidRDefault="00377230" w:rsidP="00377230">
      <w:pPr>
        <w:jc w:val="center"/>
        <w:rPr>
          <w:rFonts w:ascii="Calibri" w:hAnsi="Calibri" w:cs="Arial"/>
          <w:b/>
          <w:color w:val="000000"/>
        </w:rPr>
      </w:pPr>
      <w:r w:rsidRPr="00D81EFC">
        <w:rPr>
          <w:rFonts w:ascii="Calibri" w:hAnsi="Calibri" w:cs="Arial"/>
          <w:b/>
          <w:color w:val="000000"/>
          <w:sz w:val="72"/>
        </w:rPr>
        <w:t>Principal Proven Offence</w:t>
      </w:r>
      <w:r w:rsidR="00DA35F0" w:rsidRPr="00D81EFC">
        <w:rPr>
          <w:rFonts w:ascii="Calibri" w:hAnsi="Calibri" w:cs="Arial"/>
          <w:b/>
          <w:color w:val="000000"/>
          <w:sz w:val="72"/>
        </w:rPr>
        <w:t>s Vic</w:t>
      </w:r>
    </w:p>
    <w:p w14:paraId="7409E70B" w14:textId="77777777" w:rsidR="00377230" w:rsidRPr="006A5601" w:rsidRDefault="00377230">
      <w:pPr>
        <w:rPr>
          <w:rFonts w:ascii="Arial" w:hAnsi="Arial" w:cs="Arial"/>
          <w:sz w:val="20"/>
        </w:rPr>
      </w:pPr>
    </w:p>
    <w:p w14:paraId="3AF1922C" w14:textId="7060B3B6" w:rsidR="00377230" w:rsidRDefault="00F26F9A">
      <w:pPr>
        <w:rPr>
          <w:rFonts w:ascii="Arial" w:hAnsi="Arial" w:cs="Arial"/>
        </w:rPr>
      </w:pPr>
      <w:r>
        <w:rPr>
          <w:rFonts w:ascii="Arial" w:hAnsi="Arial" w:cs="Arial"/>
          <w:noProof/>
        </w:rPr>
        <w:drawing>
          <wp:inline distT="0" distB="0" distL="0" distR="0" wp14:anchorId="18963BCF" wp14:editId="66C6B6D3">
            <wp:extent cx="5749290" cy="187833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cstate="print">
                      <a:extLst>
                        <a:ext uri="{28A0092B-C50C-407E-A947-70E740481C1C}">
                          <a14:useLocalDpi xmlns:a14="http://schemas.microsoft.com/office/drawing/2010/main" val="0"/>
                        </a:ext>
                      </a:extLst>
                    </a:blip>
                    <a:srcRect t="4665" r="24844"/>
                    <a:stretch>
                      <a:fillRect/>
                    </a:stretch>
                  </pic:blipFill>
                  <pic:spPr bwMode="auto">
                    <a:xfrm>
                      <a:off x="0" y="0"/>
                      <a:ext cx="5749290" cy="1878330"/>
                    </a:xfrm>
                    <a:prstGeom prst="rect">
                      <a:avLst/>
                    </a:prstGeom>
                    <a:noFill/>
                    <a:ln>
                      <a:noFill/>
                    </a:ln>
                    <a:effectLst/>
                  </pic:spPr>
                </pic:pic>
              </a:graphicData>
            </a:graphic>
          </wp:inline>
        </w:drawing>
      </w:r>
    </w:p>
    <w:p w14:paraId="60818184" w14:textId="77777777" w:rsidR="00377230" w:rsidRDefault="00377230">
      <w:pPr>
        <w:rPr>
          <w:rFonts w:ascii="Arial" w:hAnsi="Arial" w:cs="Arial"/>
        </w:rPr>
      </w:pPr>
    </w:p>
    <w:p w14:paraId="6352957E" w14:textId="3BDB47CE" w:rsidR="00377230" w:rsidRPr="00170F68" w:rsidRDefault="00F26F9A">
      <w:pPr>
        <w:rPr>
          <w:rFonts w:ascii="Arial" w:hAnsi="Arial" w:cs="Arial"/>
        </w:rPr>
      </w:pPr>
      <w:r>
        <w:rPr>
          <w:rFonts w:ascii="Arial" w:hAnsi="Arial" w:cs="Arial"/>
          <w:noProof/>
        </w:rPr>
        <w:drawing>
          <wp:inline distT="0" distB="0" distL="0" distR="0" wp14:anchorId="568132C3" wp14:editId="0EFA855F">
            <wp:extent cx="5760085" cy="27825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60085" cy="2782570"/>
                    </a:xfrm>
                    <a:prstGeom prst="rect">
                      <a:avLst/>
                    </a:prstGeom>
                    <a:noFill/>
                    <a:ln>
                      <a:noFill/>
                    </a:ln>
                    <a:effectLst/>
                  </pic:spPr>
                </pic:pic>
              </a:graphicData>
            </a:graphic>
          </wp:inline>
        </w:drawing>
      </w:r>
    </w:p>
    <w:p w14:paraId="723DFC3B" w14:textId="77777777" w:rsidR="00F45968" w:rsidRPr="00F51496" w:rsidRDefault="00F45968" w:rsidP="00F45968">
      <w:pPr>
        <w:jc w:val="both"/>
        <w:rPr>
          <w:rFonts w:ascii="Arial" w:hAnsi="Arial" w:cs="Arial"/>
          <w:color w:val="000000"/>
          <w:sz w:val="20"/>
        </w:rPr>
      </w:pPr>
      <w:bookmarkStart w:id="325" w:name="_Toc30694415"/>
      <w:bookmarkStart w:id="326" w:name="_Toc30699004"/>
      <w:bookmarkStart w:id="327" w:name="_Toc30699382"/>
      <w:bookmarkStart w:id="328" w:name="_Toc30699767"/>
      <w:bookmarkStart w:id="329" w:name="_Toc30700922"/>
      <w:bookmarkStart w:id="330" w:name="_Toc30701309"/>
      <w:bookmarkStart w:id="331" w:name="_Toc30743920"/>
      <w:bookmarkStart w:id="332" w:name="_Toc30754743"/>
      <w:bookmarkStart w:id="333" w:name="_Toc30757184"/>
      <w:bookmarkStart w:id="334" w:name="_Toc30757732"/>
      <w:bookmarkStart w:id="335" w:name="_Toc30758132"/>
      <w:bookmarkStart w:id="336" w:name="_Toc30762893"/>
      <w:bookmarkStart w:id="337" w:name="_Toc30767547"/>
      <w:bookmarkStart w:id="338" w:name="_Toc34823565"/>
      <w:r w:rsidRPr="00F51496">
        <w:rPr>
          <w:rFonts w:ascii="Arial" w:hAnsi="Arial" w:cs="Arial"/>
          <w:color w:val="000000"/>
          <w:sz w:val="20"/>
        </w:rPr>
        <w:lastRenderedPageBreak/>
        <w:t>It is noteworthy that only a small percentage of young people engage in offending that leads to court intervention.  In 2008/09, 6,633 young people –</w:t>
      </w:r>
      <w:r w:rsidR="00AE33DD" w:rsidRPr="00F51496">
        <w:rPr>
          <w:rFonts w:ascii="Arial" w:hAnsi="Arial" w:cs="Arial"/>
          <w:color w:val="000000"/>
          <w:sz w:val="20"/>
        </w:rPr>
        <w:t xml:space="preserve"> 1.2% of the 620,000 young Victorians aged 10 to 17 inclusive </w:t>
      </w:r>
      <w:r w:rsidRPr="00F51496">
        <w:rPr>
          <w:rFonts w:ascii="Arial" w:hAnsi="Arial" w:cs="Arial"/>
          <w:color w:val="000000"/>
          <w:sz w:val="20"/>
        </w:rPr>
        <w:t>– were</w:t>
      </w:r>
      <w:r w:rsidR="00AE33DD" w:rsidRPr="00F51496">
        <w:rPr>
          <w:rFonts w:ascii="Arial" w:hAnsi="Arial" w:cs="Arial"/>
          <w:color w:val="000000"/>
          <w:sz w:val="20"/>
        </w:rPr>
        <w:t xml:space="preserve"> </w:t>
      </w:r>
      <w:r w:rsidRPr="00F51496">
        <w:rPr>
          <w:rFonts w:ascii="Arial" w:hAnsi="Arial" w:cs="Arial"/>
          <w:color w:val="000000"/>
          <w:sz w:val="20"/>
        </w:rPr>
        <w:t>found guilty of one or more offences in the Children’</w:t>
      </w:r>
      <w:r w:rsidR="00736E8B" w:rsidRPr="00F51496">
        <w:rPr>
          <w:rFonts w:ascii="Arial" w:hAnsi="Arial" w:cs="Arial"/>
          <w:color w:val="000000"/>
          <w:sz w:val="20"/>
        </w:rPr>
        <w:t>s Court of Victoria.  Of these:</w:t>
      </w:r>
    </w:p>
    <w:p w14:paraId="4F024E22" w14:textId="77777777" w:rsidR="00736E8B" w:rsidRPr="00F51496" w:rsidRDefault="00736E8B" w:rsidP="00591749">
      <w:pPr>
        <w:numPr>
          <w:ilvl w:val="0"/>
          <w:numId w:val="18"/>
        </w:numPr>
        <w:tabs>
          <w:tab w:val="clear" w:pos="720"/>
        </w:tabs>
        <w:ind w:left="357" w:hanging="357"/>
        <w:jc w:val="both"/>
        <w:rPr>
          <w:rFonts w:ascii="Arial" w:hAnsi="Arial" w:cs="Arial"/>
          <w:color w:val="000000"/>
          <w:sz w:val="20"/>
        </w:rPr>
      </w:pPr>
      <w:r w:rsidRPr="00F51496">
        <w:rPr>
          <w:rFonts w:ascii="Arial" w:hAnsi="Arial" w:cs="Arial"/>
          <w:color w:val="000000"/>
          <w:sz w:val="20"/>
        </w:rPr>
        <w:t>4,986 [75%] received undertakings, bonds or fines;</w:t>
      </w:r>
    </w:p>
    <w:p w14:paraId="267C3B01" w14:textId="77777777" w:rsidR="00736E8B" w:rsidRPr="00F51496" w:rsidRDefault="00736E8B" w:rsidP="00591749">
      <w:pPr>
        <w:numPr>
          <w:ilvl w:val="0"/>
          <w:numId w:val="18"/>
        </w:numPr>
        <w:tabs>
          <w:tab w:val="clear" w:pos="720"/>
        </w:tabs>
        <w:ind w:left="357" w:hanging="357"/>
        <w:jc w:val="both"/>
        <w:rPr>
          <w:rFonts w:ascii="Arial" w:hAnsi="Arial" w:cs="Arial"/>
          <w:color w:val="000000"/>
          <w:sz w:val="20"/>
        </w:rPr>
      </w:pPr>
      <w:r w:rsidRPr="00F51496">
        <w:rPr>
          <w:rFonts w:ascii="Arial" w:hAnsi="Arial" w:cs="Arial"/>
          <w:color w:val="000000"/>
          <w:sz w:val="20"/>
        </w:rPr>
        <w:t>1,431 [22%] received some form of supervisory order [probation etc];</w:t>
      </w:r>
    </w:p>
    <w:p w14:paraId="06F0683D" w14:textId="77777777" w:rsidR="00736E8B" w:rsidRPr="00F51496" w:rsidRDefault="00736E8B" w:rsidP="00591749">
      <w:pPr>
        <w:numPr>
          <w:ilvl w:val="0"/>
          <w:numId w:val="18"/>
        </w:numPr>
        <w:tabs>
          <w:tab w:val="clear" w:pos="720"/>
        </w:tabs>
        <w:ind w:left="357" w:hanging="357"/>
        <w:jc w:val="both"/>
        <w:rPr>
          <w:rFonts w:ascii="Arial" w:hAnsi="Arial" w:cs="Arial"/>
          <w:color w:val="000000"/>
          <w:sz w:val="20"/>
        </w:rPr>
      </w:pPr>
      <w:r w:rsidRPr="00F51496">
        <w:rPr>
          <w:rFonts w:ascii="Arial" w:hAnsi="Arial" w:cs="Arial"/>
          <w:color w:val="000000"/>
          <w:sz w:val="20"/>
        </w:rPr>
        <w:t>209 [3%] received detention orders.</w:t>
      </w:r>
    </w:p>
    <w:p w14:paraId="4FDB9B97" w14:textId="77777777" w:rsidR="002207FD" w:rsidRDefault="002207FD" w:rsidP="002207FD">
      <w:pPr>
        <w:jc w:val="both"/>
        <w:rPr>
          <w:rFonts w:ascii="Arial" w:hAnsi="Arial" w:cs="Arial"/>
          <w:color w:val="000000"/>
          <w:sz w:val="20"/>
        </w:rPr>
      </w:pPr>
      <w:r w:rsidRPr="00F51496">
        <w:rPr>
          <w:rFonts w:ascii="Arial" w:hAnsi="Arial" w:cs="Arial"/>
          <w:color w:val="000000"/>
          <w:sz w:val="20"/>
        </w:rPr>
        <w:t>These figures demonstrate that only a small percentage of young Victorians actually come to the attention of law enforcement authorities and fewer still require formal intervention in their lives.  The vast majority of the small percentage of young Victorians involved in criminal behaviour do not constitute a risk to the safety of the Victorian community.</w:t>
      </w:r>
    </w:p>
    <w:p w14:paraId="36ECC8DF" w14:textId="77777777" w:rsidR="00DA35F0" w:rsidRPr="00D81EFC" w:rsidRDefault="00DA35F0" w:rsidP="002207FD">
      <w:pPr>
        <w:jc w:val="both"/>
        <w:rPr>
          <w:rFonts w:ascii="Arial" w:hAnsi="Arial" w:cs="Arial"/>
          <w:color w:val="000000"/>
          <w:sz w:val="20"/>
        </w:rPr>
      </w:pPr>
    </w:p>
    <w:p w14:paraId="34E2E4C2" w14:textId="77777777" w:rsidR="00DA35F0" w:rsidRDefault="00DA35F0" w:rsidP="00DA35F0">
      <w:pPr>
        <w:spacing w:after="120"/>
        <w:jc w:val="both"/>
        <w:rPr>
          <w:rFonts w:ascii="Arial" w:hAnsi="Arial" w:cs="Arial"/>
          <w:color w:val="000000"/>
          <w:sz w:val="20"/>
        </w:rPr>
      </w:pPr>
      <w:r w:rsidRPr="00D81EFC">
        <w:rPr>
          <w:rFonts w:ascii="Arial" w:hAnsi="Arial" w:cs="Arial"/>
          <w:color w:val="000000"/>
          <w:sz w:val="20"/>
        </w:rPr>
        <w:t>It is also noteworthy that Victoria – which ha</w:t>
      </w:r>
      <w:r w:rsidR="005C5BF2">
        <w:rPr>
          <w:rFonts w:ascii="Arial" w:hAnsi="Arial" w:cs="Arial"/>
          <w:color w:val="000000"/>
          <w:sz w:val="20"/>
        </w:rPr>
        <w:t>d</w:t>
      </w:r>
      <w:r w:rsidRPr="00D81EFC">
        <w:rPr>
          <w:rFonts w:ascii="Arial" w:hAnsi="Arial" w:cs="Arial"/>
          <w:color w:val="000000"/>
          <w:sz w:val="20"/>
        </w:rPr>
        <w:t xml:space="preserve"> by far the lowest youth detention rate – also ha</w:t>
      </w:r>
      <w:r w:rsidR="005C5BF2">
        <w:rPr>
          <w:rFonts w:ascii="Arial" w:hAnsi="Arial" w:cs="Arial"/>
          <w:color w:val="000000"/>
          <w:sz w:val="20"/>
        </w:rPr>
        <w:t>d</w:t>
      </w:r>
      <w:r w:rsidRPr="00D81EFC">
        <w:rPr>
          <w:rFonts w:ascii="Arial" w:hAnsi="Arial" w:cs="Arial"/>
          <w:color w:val="000000"/>
          <w:sz w:val="20"/>
        </w:rPr>
        <w:t xml:space="preserve"> the lowest rate of youth offending of any Australian State or Territory other than the A.C.T. whose data is described in notes to the chart below as “understated”.</w:t>
      </w:r>
    </w:p>
    <w:p w14:paraId="7F6EC6D5" w14:textId="77777777" w:rsidR="003D386A" w:rsidRPr="00EA0CF2" w:rsidRDefault="003D386A" w:rsidP="00EA0CF2">
      <w:pPr>
        <w:pBdr>
          <w:top w:val="single" w:sz="8" w:space="1" w:color="auto"/>
          <w:left w:val="single" w:sz="8" w:space="4" w:color="auto"/>
          <w:bottom w:val="single" w:sz="8" w:space="1" w:color="auto"/>
          <w:right w:val="single" w:sz="8" w:space="4" w:color="auto"/>
        </w:pBdr>
        <w:shd w:val="clear" w:color="auto" w:fill="000000"/>
        <w:autoSpaceDE w:val="0"/>
        <w:autoSpaceDN w:val="0"/>
        <w:adjustRightInd w:val="0"/>
        <w:spacing w:before="120"/>
        <w:ind w:left="113" w:right="57"/>
        <w:jc w:val="center"/>
        <w:rPr>
          <w:rFonts w:ascii="Arial" w:hAnsi="Arial" w:cs="Arial"/>
          <w:color w:val="FFFFFF"/>
          <w:sz w:val="28"/>
          <w:szCs w:val="32"/>
        </w:rPr>
      </w:pPr>
      <w:r w:rsidRPr="00EA0CF2">
        <w:rPr>
          <w:rFonts w:ascii="Arial" w:hAnsi="Arial" w:cs="Arial"/>
          <w:b/>
          <w:bCs/>
          <w:i/>
          <w:iCs/>
          <w:color w:val="FFFFFF"/>
          <w:sz w:val="28"/>
          <w:szCs w:val="32"/>
        </w:rPr>
        <w:t>Australian youth offender rates per 100,000 from 2008-2011</w:t>
      </w:r>
    </w:p>
    <w:p w14:paraId="57CEC9D8" w14:textId="10BB3A9E" w:rsidR="00DA35F0" w:rsidRDefault="00F26F9A" w:rsidP="00DA35F0">
      <w:pPr>
        <w:jc w:val="both"/>
        <w:rPr>
          <w:rFonts w:ascii="Arial" w:hAnsi="Arial" w:cs="Arial"/>
          <w:sz w:val="20"/>
        </w:rPr>
      </w:pPr>
      <w:r>
        <w:rPr>
          <w:rFonts w:ascii="Arial" w:hAnsi="Arial" w:cs="Arial"/>
          <w:noProof/>
          <w:sz w:val="20"/>
        </w:rPr>
        <w:drawing>
          <wp:inline distT="0" distB="0" distL="0" distR="0" wp14:anchorId="35855661" wp14:editId="08FA100C">
            <wp:extent cx="5781600" cy="2703600"/>
            <wp:effectExtent l="19050" t="19050" r="10160" b="20955"/>
            <wp:docPr id="14" name="Picture 14" descr="Graph: Youth offender rate(a), States and territories—2008–09 to 2010–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Graph: Youth offender rate(a), States and territories—2008–09 to 2010–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81600" cy="2703600"/>
                    </a:xfrm>
                    <a:prstGeom prst="rect">
                      <a:avLst/>
                    </a:prstGeom>
                    <a:noFill/>
                    <a:ln w="12700">
                      <a:solidFill>
                        <a:srgbClr val="000000"/>
                      </a:solidFill>
                      <a:miter lim="800000"/>
                      <a:headEnd/>
                      <a:tailEnd/>
                    </a:ln>
                    <a:effectLst/>
                  </pic:spPr>
                </pic:pic>
              </a:graphicData>
            </a:graphic>
          </wp:inline>
        </w:drawing>
      </w:r>
    </w:p>
    <w:p w14:paraId="33225609" w14:textId="77777777" w:rsidR="00DA35F0" w:rsidRPr="003A5DD6" w:rsidRDefault="00DA35F0" w:rsidP="00DA35F0">
      <w:pPr>
        <w:jc w:val="both"/>
        <w:rPr>
          <w:rFonts w:ascii="Arial" w:hAnsi="Arial" w:cs="Arial"/>
          <w:sz w:val="20"/>
          <w:szCs w:val="20"/>
        </w:rPr>
      </w:pPr>
    </w:p>
    <w:p w14:paraId="474B66B2" w14:textId="3EB03884" w:rsidR="00C76023" w:rsidRDefault="00134C5C" w:rsidP="00FC09A7">
      <w:pPr>
        <w:pStyle w:val="Heading3"/>
        <w:keepNext/>
        <w:spacing w:line="240" w:lineRule="auto"/>
        <w:rPr>
          <w:rFonts w:ascii="Arial" w:hAnsi="Arial" w:cs="Arial"/>
          <w:b/>
          <w:bCs/>
          <w:color w:val="000000"/>
          <w:sz w:val="20"/>
        </w:rPr>
      </w:pPr>
      <w:bookmarkStart w:id="339" w:name="_7.7.2_Youth_offending"/>
      <w:bookmarkStart w:id="340" w:name="_Toc30671644"/>
      <w:bookmarkStart w:id="341" w:name="_Toc30674171"/>
      <w:bookmarkStart w:id="342" w:name="_Toc30691393"/>
      <w:bookmarkStart w:id="343" w:name="_Toc30691768"/>
      <w:bookmarkStart w:id="344" w:name="_Toc30692148"/>
      <w:bookmarkStart w:id="345" w:name="_Toc30692907"/>
      <w:bookmarkStart w:id="346" w:name="_Toc30693286"/>
      <w:bookmarkStart w:id="347" w:name="_Toc30693664"/>
      <w:bookmarkStart w:id="348" w:name="_Toc30694042"/>
      <w:bookmarkStart w:id="349" w:name="_Toc30694422"/>
      <w:bookmarkStart w:id="350" w:name="_Toc30699011"/>
      <w:bookmarkStart w:id="351" w:name="_Toc30699389"/>
      <w:bookmarkStart w:id="352" w:name="_Toc30699774"/>
      <w:bookmarkStart w:id="353" w:name="_Toc30700929"/>
      <w:bookmarkStart w:id="354" w:name="_Toc30701316"/>
      <w:bookmarkStart w:id="355" w:name="_Toc30743927"/>
      <w:bookmarkStart w:id="356" w:name="_Toc30754750"/>
      <w:bookmarkStart w:id="357" w:name="_Toc30757191"/>
      <w:bookmarkStart w:id="358" w:name="_Toc30757739"/>
      <w:bookmarkStart w:id="359" w:name="_Toc30758139"/>
      <w:bookmarkStart w:id="360" w:name="_Toc30762900"/>
      <w:bookmarkStart w:id="361" w:name="_Toc30767554"/>
      <w:bookmarkStart w:id="362" w:name="_Toc34823572"/>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sidRPr="00F51496">
        <w:rPr>
          <w:rFonts w:ascii="Arial" w:hAnsi="Arial" w:cs="Arial"/>
          <w:b/>
          <w:bCs/>
          <w:color w:val="000000"/>
          <w:sz w:val="20"/>
        </w:rPr>
        <w:t>7.</w:t>
      </w:r>
      <w:r>
        <w:rPr>
          <w:rFonts w:ascii="Arial" w:hAnsi="Arial" w:cs="Arial"/>
          <w:b/>
          <w:bCs/>
          <w:color w:val="000000"/>
          <w:sz w:val="20"/>
        </w:rPr>
        <w:t>7.2</w:t>
      </w:r>
      <w:r w:rsidRPr="00F51496">
        <w:rPr>
          <w:rFonts w:ascii="Arial" w:hAnsi="Arial" w:cs="Arial"/>
          <w:b/>
          <w:bCs/>
          <w:color w:val="000000"/>
          <w:sz w:val="20"/>
        </w:rPr>
        <w:tab/>
      </w:r>
      <w:r>
        <w:rPr>
          <w:rFonts w:ascii="Arial" w:hAnsi="Arial" w:cs="Arial"/>
          <w:b/>
          <w:bCs/>
          <w:color w:val="000000"/>
          <w:sz w:val="20"/>
        </w:rPr>
        <w:t xml:space="preserve">Youth offending from </w:t>
      </w:r>
      <w:r w:rsidR="00F12894">
        <w:rPr>
          <w:rFonts w:ascii="Arial" w:hAnsi="Arial" w:cs="Arial"/>
          <w:b/>
          <w:bCs/>
          <w:color w:val="000000"/>
          <w:sz w:val="20"/>
        </w:rPr>
        <w:t>2008/09</w:t>
      </w:r>
      <w:r w:rsidR="00FE3D2B">
        <w:rPr>
          <w:rFonts w:ascii="Arial" w:hAnsi="Arial" w:cs="Arial"/>
          <w:b/>
          <w:bCs/>
          <w:color w:val="000000"/>
          <w:sz w:val="20"/>
        </w:rPr>
        <w:t xml:space="preserve"> to </w:t>
      </w:r>
      <w:r w:rsidR="00F12894">
        <w:rPr>
          <w:rFonts w:ascii="Arial" w:hAnsi="Arial" w:cs="Arial"/>
          <w:b/>
          <w:bCs/>
          <w:color w:val="000000"/>
          <w:sz w:val="20"/>
        </w:rPr>
        <w:t>20</w:t>
      </w:r>
      <w:r w:rsidR="006A0484">
        <w:rPr>
          <w:rFonts w:ascii="Arial" w:hAnsi="Arial" w:cs="Arial"/>
          <w:b/>
          <w:bCs/>
          <w:color w:val="000000"/>
          <w:sz w:val="20"/>
        </w:rPr>
        <w:t>2</w:t>
      </w:r>
      <w:r w:rsidR="00C25504">
        <w:rPr>
          <w:rFonts w:ascii="Arial" w:hAnsi="Arial" w:cs="Arial"/>
          <w:b/>
          <w:bCs/>
          <w:color w:val="000000"/>
          <w:sz w:val="20"/>
        </w:rPr>
        <w:t>4</w:t>
      </w:r>
      <w:r w:rsidR="00F12894">
        <w:rPr>
          <w:rFonts w:ascii="Arial" w:hAnsi="Arial" w:cs="Arial"/>
          <w:b/>
          <w:bCs/>
          <w:color w:val="000000"/>
          <w:sz w:val="20"/>
        </w:rPr>
        <w:t>/2</w:t>
      </w:r>
      <w:r w:rsidR="00C25504">
        <w:rPr>
          <w:rFonts w:ascii="Arial" w:hAnsi="Arial" w:cs="Arial"/>
          <w:b/>
          <w:bCs/>
          <w:color w:val="000000"/>
          <w:sz w:val="20"/>
        </w:rPr>
        <w:t>5</w:t>
      </w:r>
    </w:p>
    <w:p w14:paraId="77A0778C" w14:textId="77777777" w:rsidR="00FC09A7" w:rsidRDefault="00FC09A7" w:rsidP="0013035F">
      <w:pPr>
        <w:spacing w:before="120"/>
        <w:jc w:val="both"/>
        <w:rPr>
          <w:rFonts w:ascii="Arial" w:hAnsi="Arial" w:cs="Arial"/>
          <w:color w:val="000000"/>
          <w:sz w:val="20"/>
        </w:rPr>
      </w:pPr>
      <w:r>
        <w:rPr>
          <w:rFonts w:ascii="Arial" w:hAnsi="Arial" w:cs="Arial"/>
          <w:color w:val="000000"/>
          <w:sz w:val="20"/>
        </w:rPr>
        <w:t xml:space="preserve">The on-going reduction in the number of youth offenders </w:t>
      </w:r>
      <w:r w:rsidRPr="00EA0CF2">
        <w:rPr>
          <w:rFonts w:ascii="Arial" w:hAnsi="Arial" w:cs="Arial"/>
          <w:b/>
          <w:bCs/>
          <w:color w:val="FFFFFF"/>
          <w:sz w:val="20"/>
          <w:shd w:val="clear" w:color="auto" w:fill="FF0000"/>
        </w:rPr>
        <w:t>found guilty by</w:t>
      </w:r>
      <w:r>
        <w:rPr>
          <w:rFonts w:ascii="Arial" w:hAnsi="Arial" w:cs="Arial"/>
          <w:color w:val="000000"/>
          <w:sz w:val="20"/>
        </w:rPr>
        <w:t xml:space="preserve"> or </w:t>
      </w:r>
      <w:r w:rsidRPr="00EA0CF2">
        <w:rPr>
          <w:rFonts w:ascii="Arial" w:hAnsi="Arial" w:cs="Arial"/>
          <w:b/>
          <w:bCs/>
          <w:color w:val="000000"/>
          <w:sz w:val="20"/>
          <w:shd w:val="clear" w:color="auto" w:fill="9CC2E5"/>
        </w:rPr>
        <w:t>acknowledging guilt to</w:t>
      </w:r>
      <w:r>
        <w:rPr>
          <w:rFonts w:ascii="Arial" w:hAnsi="Arial" w:cs="Arial"/>
          <w:color w:val="000000"/>
          <w:sz w:val="20"/>
        </w:rPr>
        <w:t xml:space="preserve"> the Criminal Division of the Children’s Court of Victoria over the period 2008-2017 is graphically illustrated by the following chart:</w:t>
      </w:r>
    </w:p>
    <w:p w14:paraId="3B0E25E5" w14:textId="77777777" w:rsidR="00FC09A7" w:rsidRPr="008A4776" w:rsidRDefault="00FC09A7" w:rsidP="00FC09A7">
      <w:pPr>
        <w:jc w:val="center"/>
        <w:rPr>
          <w:rFonts w:ascii="Arial" w:hAnsi="Arial" w:cs="Arial"/>
          <w:color w:val="000000"/>
          <w:sz w:val="18"/>
          <w:szCs w:val="20"/>
        </w:rPr>
      </w:pPr>
      <w:r>
        <w:rPr>
          <w:noProof/>
        </w:rPr>
        <mc:AlternateContent>
          <mc:Choice Requires="wps">
            <w:drawing>
              <wp:inline distT="0" distB="0" distL="0" distR="0" wp14:anchorId="66F025B6" wp14:editId="25E3B5F9">
                <wp:extent cx="5775960" cy="344170"/>
                <wp:effectExtent l="0" t="0" r="0" b="0"/>
                <wp:docPr id="8195" name="Title 2"/>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5775960" cy="344170"/>
                        </a:xfrm>
                        <a:prstGeom prst="rect">
                          <a:avLst/>
                        </a:prstGeom>
                        <a:noFill/>
                        <a:ln>
                          <a:noFill/>
                        </a:ln>
                      </wps:spPr>
                      <wps:txbx>
                        <w:txbxContent>
                          <w:p w14:paraId="24D28391" w14:textId="77777777" w:rsidR="00FC09A7" w:rsidRPr="00A97C7D" w:rsidRDefault="00FC09A7" w:rsidP="00FC09A7">
                            <w:pPr>
                              <w:jc w:val="center"/>
                              <w:textAlignment w:val="baseline"/>
                              <w:rPr>
                                <w:sz w:val="30"/>
                                <w:szCs w:val="30"/>
                              </w:rPr>
                            </w:pPr>
                            <w:r w:rsidRPr="00A97C7D">
                              <w:rPr>
                                <w:rFonts w:ascii="Georgia" w:hAnsi="Georgia"/>
                                <w:b/>
                                <w:bCs/>
                                <w:color w:val="003865"/>
                                <w:kern w:val="24"/>
                                <w:position w:val="1"/>
                                <w:sz w:val="30"/>
                                <w:szCs w:val="30"/>
                              </w:rPr>
                              <w:t>Number of sentenced and diverted children, 2008-2017</w:t>
                            </w:r>
                          </w:p>
                        </w:txbxContent>
                      </wps:txbx>
                      <wps:bodyPr vert="horz" wrap="square" lIns="91440" tIns="45720" rIns="91440" bIns="45720" numCol="1" rtlCol="0" anchor="ctr" anchorCtr="0" compatLnSpc="1">
                        <a:prstTxWarp prst="textNoShape">
                          <a:avLst/>
                        </a:prstTxWarp>
                        <a:noAutofit/>
                      </wps:bodyPr>
                    </wps:wsp>
                  </a:graphicData>
                </a:graphic>
              </wp:inline>
            </w:drawing>
          </mc:Choice>
          <mc:Fallback>
            <w:pict>
              <v:rect w14:anchorId="66F025B6" id="Title 2" o:spid="_x0000_s1026" style="width:454.8pt;height:27.1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" filled="f" stroked="f">
                <o:lock v:ext="edit" grouping="t"/>
                <v:textbox>
                  <w:txbxContent>
                    <w:p w14:paraId="24D28391" w14:textId="77777777" w:rsidR="00FC09A7" w:rsidRPr="00A97C7D" w:rsidRDefault="00FC09A7" w:rsidP="00FC09A7">
                      <w:pPr>
                        <w:jc w:val="center"/>
                        <w:textAlignment w:val="baseline"/>
                        <w:rPr>
                          <w:sz w:val="30"/>
                          <w:szCs w:val="30"/>
                        </w:rPr>
                      </w:pPr>
                      <w:r w:rsidRPr="00A97C7D">
                        <w:rPr>
                          <w:rFonts w:ascii="Georgia" w:hAnsi="Georgia"/>
                          <w:b/>
                          <w:bCs/>
                          <w:color w:val="003865"/>
                          <w:kern w:val="24"/>
                          <w:position w:val="1"/>
                          <w:sz w:val="30"/>
                          <w:szCs w:val="30"/>
                        </w:rPr>
                        <w:t>Number of sentenced and diverted children, 2008-2017</w:t>
                      </w:r>
                    </w:p>
                  </w:txbxContent>
                </v:textbox>
                <w10:anchorlock/>
              </v:rect>
            </w:pict>
          </mc:Fallback>
        </mc:AlternateContent>
      </w:r>
    </w:p>
    <w:p w14:paraId="28D0A253" w14:textId="77777777" w:rsidR="00FC09A7" w:rsidRPr="00D031C6" w:rsidRDefault="00FC09A7" w:rsidP="00FC09A7">
      <w:pPr>
        <w:jc w:val="both"/>
        <w:rPr>
          <w:rFonts w:ascii="Arial" w:hAnsi="Arial" w:cs="Arial"/>
          <w:color w:val="000000"/>
          <w:sz w:val="20"/>
        </w:rPr>
      </w:pPr>
      <w:r w:rsidRPr="00A97C7D">
        <w:rPr>
          <w:rFonts w:ascii="Arial" w:hAnsi="Arial" w:cs="Arial"/>
          <w:noProof/>
          <w:color w:val="000000"/>
          <w:sz w:val="20"/>
          <w:bdr w:val="single" w:sz="4" w:space="0" w:color="auto"/>
        </w:rPr>
        <w:drawing>
          <wp:inline distT="0" distB="0" distL="0" distR="0" wp14:anchorId="2BC8D8CA" wp14:editId="53319439">
            <wp:extent cx="5689600" cy="2908300"/>
            <wp:effectExtent l="19050" t="19050" r="6350" b="635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t="5396"/>
                    <a:stretch>
                      <a:fillRect/>
                    </a:stretch>
                  </pic:blipFill>
                  <pic:spPr bwMode="auto">
                    <a:xfrm>
                      <a:off x="0" y="0"/>
                      <a:ext cx="5689600" cy="2908300"/>
                    </a:xfrm>
                    <a:prstGeom prst="rect">
                      <a:avLst/>
                    </a:prstGeom>
                    <a:noFill/>
                    <a:ln w="12700" cmpd="sng">
                      <a:solidFill>
                        <a:srgbClr val="000000"/>
                      </a:solidFill>
                      <a:miter lim="800000"/>
                      <a:headEnd/>
                      <a:tailEnd/>
                    </a:ln>
                    <a:effectLst/>
                  </pic:spPr>
                </pic:pic>
              </a:graphicData>
            </a:graphic>
          </wp:inline>
        </w:drawing>
      </w:r>
    </w:p>
    <w:p w14:paraId="767620D1" w14:textId="5EF9B382" w:rsidR="009112B4" w:rsidRDefault="009112B4" w:rsidP="00FC09A7">
      <w:pPr>
        <w:spacing w:after="120"/>
        <w:jc w:val="both"/>
        <w:rPr>
          <w:rFonts w:ascii="Arial" w:hAnsi="Arial" w:cs="Arial"/>
          <w:color w:val="000000"/>
          <w:sz w:val="20"/>
        </w:rPr>
      </w:pPr>
      <w:r>
        <w:rPr>
          <w:rFonts w:ascii="Arial" w:hAnsi="Arial" w:cs="Arial"/>
          <w:color w:val="000000"/>
          <w:sz w:val="20"/>
        </w:rPr>
        <w:lastRenderedPageBreak/>
        <w:t xml:space="preserve">And it is clear from the following chart that the downward trend in number of youth offenders </w:t>
      </w:r>
      <w:r w:rsidRPr="00EA0CF2">
        <w:rPr>
          <w:rFonts w:ascii="Arial" w:hAnsi="Arial" w:cs="Arial"/>
          <w:b/>
          <w:bCs/>
          <w:color w:val="FFFFFF"/>
          <w:sz w:val="20"/>
          <w:shd w:val="clear" w:color="auto" w:fill="FF0000"/>
        </w:rPr>
        <w:t>found guilty by</w:t>
      </w:r>
      <w:r>
        <w:rPr>
          <w:rFonts w:ascii="Arial" w:hAnsi="Arial" w:cs="Arial"/>
          <w:color w:val="000000"/>
          <w:sz w:val="20"/>
        </w:rPr>
        <w:t xml:space="preserve"> or </w:t>
      </w:r>
      <w:r w:rsidRPr="00EA0CF2">
        <w:rPr>
          <w:rFonts w:ascii="Arial" w:hAnsi="Arial" w:cs="Arial"/>
          <w:b/>
          <w:bCs/>
          <w:color w:val="000000"/>
          <w:sz w:val="20"/>
          <w:shd w:val="clear" w:color="auto" w:fill="9CC2E5"/>
        </w:rPr>
        <w:t>acknowledging guilt to</w:t>
      </w:r>
      <w:r>
        <w:rPr>
          <w:rFonts w:ascii="Arial" w:hAnsi="Arial" w:cs="Arial"/>
          <w:color w:val="000000"/>
          <w:sz w:val="20"/>
        </w:rPr>
        <w:t xml:space="preserve"> the Criminal Division of the Children’s Court of Victoria over the period 2015/16 to 2024/25 has by and large continued.</w:t>
      </w:r>
    </w:p>
    <w:p w14:paraId="24DF42F2" w14:textId="055F3A2E" w:rsidR="009112B4" w:rsidRDefault="009112B4" w:rsidP="00FC09A7">
      <w:pPr>
        <w:spacing w:after="120"/>
        <w:jc w:val="both"/>
        <w:rPr>
          <w:rFonts w:ascii="Arial" w:hAnsi="Arial" w:cs="Arial"/>
          <w:color w:val="000000"/>
          <w:sz w:val="20"/>
        </w:rPr>
      </w:pPr>
      <w:r>
        <w:rPr>
          <w:noProof/>
        </w:rPr>
        <w:drawing>
          <wp:inline distT="0" distB="0" distL="0" distR="0" wp14:anchorId="3147BC2C" wp14:editId="016D49B4">
            <wp:extent cx="5759450" cy="4319905"/>
            <wp:effectExtent l="0" t="0" r="0" b="4445"/>
            <wp:docPr id="806187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18793" name=""/>
                    <pic:cNvPicPr/>
                  </pic:nvPicPr>
                  <pic:blipFill>
                    <a:blip r:embed="rId33">
                      <a:extLst>
                        <a:ext uri="{96DAC541-7B7A-43D3-8B79-37D633B846F1}">
                          <asvg:svgBlip xmlns:asvg="http://schemas.microsoft.com/office/drawing/2016/SVG/main" r:embed="rId34"/>
                        </a:ext>
                      </a:extLst>
                    </a:blip>
                    <a:stretch>
                      <a:fillRect/>
                    </a:stretch>
                  </pic:blipFill>
                  <pic:spPr>
                    <a:xfrm>
                      <a:off x="0" y="0"/>
                      <a:ext cx="5759450" cy="4319905"/>
                    </a:xfrm>
                    <a:prstGeom prst="rect">
                      <a:avLst/>
                    </a:prstGeom>
                  </pic:spPr>
                </pic:pic>
              </a:graphicData>
            </a:graphic>
          </wp:inline>
        </w:drawing>
      </w:r>
    </w:p>
    <w:p w14:paraId="32AF82D2" w14:textId="67B2A70B" w:rsidR="00EA0A44" w:rsidRDefault="00AB4EA8" w:rsidP="00FC09A7">
      <w:pPr>
        <w:spacing w:after="120"/>
        <w:jc w:val="both"/>
        <w:rPr>
          <w:rFonts w:ascii="Arial" w:hAnsi="Arial" w:cs="Arial"/>
          <w:color w:val="000000"/>
          <w:sz w:val="20"/>
        </w:rPr>
      </w:pPr>
      <w:r>
        <w:rPr>
          <w:rFonts w:ascii="Arial" w:hAnsi="Arial" w:cs="Arial"/>
          <w:color w:val="000000"/>
          <w:sz w:val="20"/>
        </w:rPr>
        <w:t xml:space="preserve">Since 01/01/2015 the Crime Statistics Agency (CSA) became responsible for processing, analysing and publishing Victorian crime statistics, independently of Victoria Police.  </w:t>
      </w:r>
      <w:r w:rsidR="00EA0A44">
        <w:rPr>
          <w:rFonts w:ascii="Arial" w:hAnsi="Arial" w:cs="Arial"/>
          <w:color w:val="000000"/>
          <w:sz w:val="20"/>
        </w:rPr>
        <w:t>I</w:t>
      </w:r>
      <w:r>
        <w:rPr>
          <w:rFonts w:ascii="Arial" w:hAnsi="Arial" w:cs="Arial"/>
          <w:color w:val="000000"/>
          <w:sz w:val="20"/>
        </w:rPr>
        <w:t xml:space="preserve">nformation taken from the CSA website </w:t>
      </w:r>
      <w:hyperlink r:id="rId35" w:history="1">
        <w:r w:rsidR="00FE3D2B" w:rsidRPr="008072E2">
          <w:rPr>
            <w:rStyle w:val="Hyperlink"/>
            <w:rFonts w:ascii="Arial" w:hAnsi="Arial" w:cs="Arial"/>
            <w:sz w:val="20"/>
          </w:rPr>
          <w:t>www.crimestatistics.vic.gov.au</w:t>
        </w:r>
      </w:hyperlink>
      <w:r w:rsidR="00EA0A44">
        <w:rPr>
          <w:rFonts w:ascii="Arial" w:hAnsi="Arial" w:cs="Arial"/>
          <w:color w:val="000000"/>
          <w:sz w:val="20"/>
        </w:rPr>
        <w:t xml:space="preserve"> shows that the </w:t>
      </w:r>
      <w:r w:rsidR="00477CEA">
        <w:rPr>
          <w:rFonts w:ascii="Arial" w:hAnsi="Arial" w:cs="Arial"/>
          <w:color w:val="000000"/>
          <w:sz w:val="20"/>
        </w:rPr>
        <w:t xml:space="preserve">total numbers of </w:t>
      </w:r>
      <w:r w:rsidR="00EA0A44">
        <w:rPr>
          <w:rFonts w:ascii="Arial" w:hAnsi="Arial" w:cs="Arial"/>
          <w:color w:val="000000"/>
          <w:sz w:val="20"/>
        </w:rPr>
        <w:t>alleged youth offender (10-17) incidents for years ending 31 March were as follows:</w:t>
      </w:r>
    </w:p>
    <w:tbl>
      <w:tblPr>
        <w:tblW w:w="0" w:type="auto"/>
        <w:tblInd w:w="11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536"/>
        <w:gridCol w:w="1231"/>
        <w:gridCol w:w="1230"/>
        <w:gridCol w:w="1230"/>
        <w:gridCol w:w="1230"/>
        <w:gridCol w:w="1230"/>
        <w:gridCol w:w="1224"/>
      </w:tblGrid>
      <w:tr w:rsidR="009735AD" w:rsidRPr="00EA0CF2" w14:paraId="1A85FD0D" w14:textId="77777777" w:rsidTr="00EA0CF2">
        <w:tc>
          <w:tcPr>
            <w:tcW w:w="1547" w:type="dxa"/>
            <w:tcBorders>
              <w:right w:val="single" w:sz="4" w:space="0" w:color="auto"/>
            </w:tcBorders>
            <w:shd w:val="clear" w:color="auto" w:fill="000000"/>
          </w:tcPr>
          <w:p w14:paraId="123A890F" w14:textId="77777777" w:rsidR="009735AD" w:rsidRPr="00EA0CF2" w:rsidRDefault="003A5DD6" w:rsidP="00EA0CF2">
            <w:pPr>
              <w:jc w:val="center"/>
              <w:rPr>
                <w:rFonts w:ascii="Arial" w:hAnsi="Arial" w:cs="Arial"/>
                <w:b/>
                <w:bCs/>
                <w:color w:val="000000"/>
                <w:sz w:val="20"/>
              </w:rPr>
            </w:pPr>
            <w:r w:rsidRPr="00EA0CF2">
              <w:rPr>
                <w:rFonts w:ascii="Arial" w:hAnsi="Arial" w:cs="Arial"/>
                <w:b/>
                <w:bCs/>
                <w:color w:val="FFFFFF"/>
                <w:sz w:val="20"/>
              </w:rPr>
              <w:t>C</w:t>
            </w:r>
            <w:r w:rsidR="00951D34" w:rsidRPr="00EA0CF2">
              <w:rPr>
                <w:rFonts w:ascii="Arial" w:hAnsi="Arial" w:cs="Arial"/>
                <w:b/>
                <w:bCs/>
                <w:color w:val="FFFFFF"/>
                <w:sz w:val="20"/>
              </w:rPr>
              <w:t>HILDREN</w:t>
            </w:r>
          </w:p>
        </w:tc>
        <w:tc>
          <w:tcPr>
            <w:tcW w:w="1247" w:type="dxa"/>
            <w:tcBorders>
              <w:left w:val="single" w:sz="4" w:space="0" w:color="auto"/>
              <w:bottom w:val="single" w:sz="18" w:space="0" w:color="auto"/>
              <w:right w:val="single" w:sz="4" w:space="0" w:color="auto"/>
            </w:tcBorders>
          </w:tcPr>
          <w:p w14:paraId="6AA8C4F6"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2016</w:t>
            </w:r>
          </w:p>
        </w:tc>
        <w:tc>
          <w:tcPr>
            <w:tcW w:w="1247" w:type="dxa"/>
            <w:tcBorders>
              <w:left w:val="single" w:sz="4" w:space="0" w:color="auto"/>
              <w:bottom w:val="single" w:sz="18" w:space="0" w:color="auto"/>
            </w:tcBorders>
          </w:tcPr>
          <w:p w14:paraId="6798FA44"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2017</w:t>
            </w:r>
          </w:p>
        </w:tc>
        <w:tc>
          <w:tcPr>
            <w:tcW w:w="1247" w:type="dxa"/>
            <w:tcBorders>
              <w:bottom w:val="single" w:sz="18" w:space="0" w:color="auto"/>
            </w:tcBorders>
          </w:tcPr>
          <w:p w14:paraId="72C5E7EE"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2018</w:t>
            </w:r>
          </w:p>
        </w:tc>
        <w:tc>
          <w:tcPr>
            <w:tcW w:w="1247" w:type="dxa"/>
            <w:tcBorders>
              <w:bottom w:val="single" w:sz="18" w:space="0" w:color="auto"/>
            </w:tcBorders>
          </w:tcPr>
          <w:p w14:paraId="2D5F7E83"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2019</w:t>
            </w:r>
          </w:p>
        </w:tc>
        <w:tc>
          <w:tcPr>
            <w:tcW w:w="1247" w:type="dxa"/>
            <w:tcBorders>
              <w:bottom w:val="single" w:sz="18" w:space="0" w:color="auto"/>
            </w:tcBorders>
          </w:tcPr>
          <w:p w14:paraId="4385348B"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2020</w:t>
            </w:r>
          </w:p>
        </w:tc>
        <w:tc>
          <w:tcPr>
            <w:tcW w:w="1247" w:type="dxa"/>
            <w:tcBorders>
              <w:bottom w:val="single" w:sz="18" w:space="0" w:color="auto"/>
            </w:tcBorders>
          </w:tcPr>
          <w:p w14:paraId="683D80E0"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2021</w:t>
            </w:r>
          </w:p>
        </w:tc>
      </w:tr>
      <w:tr w:rsidR="009735AD" w:rsidRPr="00EA0CF2" w14:paraId="21C977FE" w14:textId="77777777" w:rsidTr="00EA0CF2">
        <w:tc>
          <w:tcPr>
            <w:tcW w:w="1547" w:type="dxa"/>
            <w:tcBorders>
              <w:right w:val="single" w:sz="4" w:space="0" w:color="auto"/>
            </w:tcBorders>
          </w:tcPr>
          <w:p w14:paraId="21498FE0"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MALES</w:t>
            </w:r>
          </w:p>
        </w:tc>
        <w:tc>
          <w:tcPr>
            <w:tcW w:w="1247" w:type="dxa"/>
            <w:tcBorders>
              <w:top w:val="single" w:sz="18" w:space="0" w:color="auto"/>
              <w:left w:val="single" w:sz="4" w:space="0" w:color="auto"/>
              <w:bottom w:val="nil"/>
              <w:right w:val="single" w:sz="4" w:space="0" w:color="auto"/>
            </w:tcBorders>
          </w:tcPr>
          <w:p w14:paraId="1E21480A"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15,626</w:t>
            </w:r>
          </w:p>
        </w:tc>
        <w:tc>
          <w:tcPr>
            <w:tcW w:w="1247" w:type="dxa"/>
            <w:tcBorders>
              <w:left w:val="single" w:sz="4" w:space="0" w:color="auto"/>
              <w:bottom w:val="nil"/>
            </w:tcBorders>
          </w:tcPr>
          <w:p w14:paraId="7DD55BEE"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16,142</w:t>
            </w:r>
          </w:p>
        </w:tc>
        <w:tc>
          <w:tcPr>
            <w:tcW w:w="1247" w:type="dxa"/>
            <w:tcBorders>
              <w:bottom w:val="nil"/>
            </w:tcBorders>
          </w:tcPr>
          <w:p w14:paraId="7D34B16B"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14,716</w:t>
            </w:r>
          </w:p>
        </w:tc>
        <w:tc>
          <w:tcPr>
            <w:tcW w:w="1247" w:type="dxa"/>
            <w:tcBorders>
              <w:bottom w:val="nil"/>
            </w:tcBorders>
          </w:tcPr>
          <w:p w14:paraId="69874EBA"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13,414</w:t>
            </w:r>
          </w:p>
        </w:tc>
        <w:tc>
          <w:tcPr>
            <w:tcW w:w="1247" w:type="dxa"/>
            <w:tcBorders>
              <w:bottom w:val="nil"/>
            </w:tcBorders>
          </w:tcPr>
          <w:p w14:paraId="06E43554"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14,826</w:t>
            </w:r>
          </w:p>
        </w:tc>
        <w:tc>
          <w:tcPr>
            <w:tcW w:w="1247" w:type="dxa"/>
            <w:tcBorders>
              <w:bottom w:val="nil"/>
            </w:tcBorders>
          </w:tcPr>
          <w:p w14:paraId="7BDE7F60" w14:textId="77777777" w:rsidR="009735AD" w:rsidRPr="00EA0CF2" w:rsidRDefault="009735AD" w:rsidP="00EA0CF2">
            <w:pPr>
              <w:jc w:val="center"/>
              <w:rPr>
                <w:rFonts w:ascii="Arial" w:hAnsi="Arial" w:cs="Arial"/>
                <w:b/>
                <w:bCs/>
                <w:color w:val="000000"/>
                <w:sz w:val="20"/>
              </w:rPr>
            </w:pPr>
          </w:p>
        </w:tc>
      </w:tr>
      <w:tr w:rsidR="009735AD" w:rsidRPr="00EA0CF2" w14:paraId="26B3E1F0" w14:textId="77777777" w:rsidTr="00EA0CF2">
        <w:tc>
          <w:tcPr>
            <w:tcW w:w="1547" w:type="dxa"/>
            <w:tcBorders>
              <w:right w:val="single" w:sz="4" w:space="0" w:color="auto"/>
            </w:tcBorders>
          </w:tcPr>
          <w:p w14:paraId="490D1753"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FEMALES</w:t>
            </w:r>
          </w:p>
        </w:tc>
        <w:tc>
          <w:tcPr>
            <w:tcW w:w="1247" w:type="dxa"/>
            <w:tcBorders>
              <w:top w:val="nil"/>
              <w:left w:val="single" w:sz="4" w:space="0" w:color="auto"/>
              <w:bottom w:val="single" w:sz="4" w:space="0" w:color="auto"/>
              <w:right w:val="single" w:sz="4" w:space="0" w:color="auto"/>
            </w:tcBorders>
          </w:tcPr>
          <w:p w14:paraId="1644B301"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 xml:space="preserve">  4,161</w:t>
            </w:r>
          </w:p>
        </w:tc>
        <w:tc>
          <w:tcPr>
            <w:tcW w:w="1247" w:type="dxa"/>
            <w:tcBorders>
              <w:top w:val="nil"/>
              <w:left w:val="single" w:sz="4" w:space="0" w:color="auto"/>
            </w:tcBorders>
          </w:tcPr>
          <w:p w14:paraId="6493FDC2"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 xml:space="preserve">  4,491</w:t>
            </w:r>
          </w:p>
        </w:tc>
        <w:tc>
          <w:tcPr>
            <w:tcW w:w="1247" w:type="dxa"/>
            <w:tcBorders>
              <w:top w:val="nil"/>
            </w:tcBorders>
          </w:tcPr>
          <w:p w14:paraId="1C7AF7DC"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 xml:space="preserve">  4,502</w:t>
            </w:r>
          </w:p>
        </w:tc>
        <w:tc>
          <w:tcPr>
            <w:tcW w:w="1247" w:type="dxa"/>
            <w:tcBorders>
              <w:top w:val="nil"/>
            </w:tcBorders>
          </w:tcPr>
          <w:p w14:paraId="34837A7B"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 xml:space="preserve">  4,805</w:t>
            </w:r>
          </w:p>
        </w:tc>
        <w:tc>
          <w:tcPr>
            <w:tcW w:w="1247" w:type="dxa"/>
            <w:tcBorders>
              <w:top w:val="nil"/>
            </w:tcBorders>
          </w:tcPr>
          <w:p w14:paraId="32FE8611" w14:textId="77777777" w:rsidR="009735AD" w:rsidRPr="00EA0CF2" w:rsidRDefault="009735AD" w:rsidP="00EA0CF2">
            <w:pPr>
              <w:jc w:val="center"/>
              <w:rPr>
                <w:rFonts w:ascii="Arial" w:hAnsi="Arial" w:cs="Arial"/>
                <w:b/>
                <w:bCs/>
                <w:color w:val="000000"/>
                <w:sz w:val="20"/>
              </w:rPr>
            </w:pPr>
            <w:r w:rsidRPr="00EA0CF2">
              <w:rPr>
                <w:rFonts w:ascii="Arial" w:hAnsi="Arial" w:cs="Arial"/>
                <w:b/>
                <w:bCs/>
                <w:color w:val="000000"/>
                <w:sz w:val="20"/>
              </w:rPr>
              <w:t xml:space="preserve">  5,312</w:t>
            </w:r>
          </w:p>
        </w:tc>
        <w:tc>
          <w:tcPr>
            <w:tcW w:w="1247" w:type="dxa"/>
            <w:tcBorders>
              <w:top w:val="nil"/>
            </w:tcBorders>
          </w:tcPr>
          <w:p w14:paraId="696A1BA8" w14:textId="77777777" w:rsidR="009735AD" w:rsidRPr="00EA0CF2" w:rsidRDefault="009735AD" w:rsidP="00EA0CF2">
            <w:pPr>
              <w:jc w:val="center"/>
              <w:rPr>
                <w:rFonts w:ascii="Arial" w:hAnsi="Arial" w:cs="Arial"/>
                <w:b/>
                <w:bCs/>
                <w:color w:val="000000"/>
                <w:sz w:val="20"/>
              </w:rPr>
            </w:pPr>
          </w:p>
        </w:tc>
      </w:tr>
      <w:tr w:rsidR="009735AD" w:rsidRPr="00EA0CF2" w14:paraId="2F8BF31F" w14:textId="77777777" w:rsidTr="00EA0CF2">
        <w:tc>
          <w:tcPr>
            <w:tcW w:w="1547" w:type="dxa"/>
            <w:tcBorders>
              <w:right w:val="single" w:sz="4" w:space="0" w:color="auto"/>
            </w:tcBorders>
            <w:shd w:val="clear" w:color="auto" w:fill="000000"/>
          </w:tcPr>
          <w:p w14:paraId="5DEF68DC" w14:textId="77777777" w:rsidR="009735AD" w:rsidRPr="00EA0CF2" w:rsidRDefault="009735AD" w:rsidP="00EA0CF2">
            <w:pPr>
              <w:jc w:val="center"/>
              <w:rPr>
                <w:rFonts w:ascii="Arial" w:hAnsi="Arial" w:cs="Arial"/>
                <w:b/>
                <w:bCs/>
                <w:color w:val="FFFFFF"/>
                <w:sz w:val="20"/>
              </w:rPr>
            </w:pPr>
            <w:r w:rsidRPr="00EA0CF2">
              <w:rPr>
                <w:rFonts w:ascii="Arial" w:hAnsi="Arial" w:cs="Arial"/>
                <w:b/>
                <w:bCs/>
                <w:color w:val="FFFFFF"/>
                <w:sz w:val="20"/>
              </w:rPr>
              <w:t>TOTAL</w:t>
            </w:r>
          </w:p>
        </w:tc>
        <w:tc>
          <w:tcPr>
            <w:tcW w:w="1247" w:type="dxa"/>
            <w:tcBorders>
              <w:top w:val="single" w:sz="4" w:space="0" w:color="auto"/>
              <w:left w:val="single" w:sz="4" w:space="0" w:color="auto"/>
              <w:right w:val="single" w:sz="4" w:space="0" w:color="auto"/>
            </w:tcBorders>
            <w:shd w:val="clear" w:color="auto" w:fill="000000"/>
          </w:tcPr>
          <w:p w14:paraId="4496B45C" w14:textId="77777777" w:rsidR="009735AD" w:rsidRPr="00EA0CF2" w:rsidRDefault="009735AD" w:rsidP="00EA0CF2">
            <w:pPr>
              <w:jc w:val="center"/>
              <w:rPr>
                <w:rFonts w:ascii="Arial" w:hAnsi="Arial" w:cs="Arial"/>
                <w:b/>
                <w:bCs/>
                <w:color w:val="FFFFFF"/>
                <w:sz w:val="20"/>
              </w:rPr>
            </w:pPr>
            <w:r w:rsidRPr="00EA0CF2">
              <w:rPr>
                <w:rFonts w:ascii="Arial" w:hAnsi="Arial" w:cs="Arial"/>
                <w:b/>
                <w:bCs/>
                <w:color w:val="FFFFFF"/>
                <w:sz w:val="20"/>
              </w:rPr>
              <w:t>19,787</w:t>
            </w:r>
          </w:p>
        </w:tc>
        <w:tc>
          <w:tcPr>
            <w:tcW w:w="1247" w:type="dxa"/>
            <w:tcBorders>
              <w:left w:val="single" w:sz="4" w:space="0" w:color="auto"/>
            </w:tcBorders>
            <w:shd w:val="clear" w:color="auto" w:fill="000000"/>
          </w:tcPr>
          <w:p w14:paraId="64921199" w14:textId="77777777" w:rsidR="009735AD" w:rsidRPr="00EA0CF2" w:rsidRDefault="009735AD" w:rsidP="00EA0CF2">
            <w:pPr>
              <w:jc w:val="center"/>
              <w:rPr>
                <w:rFonts w:ascii="Arial" w:hAnsi="Arial" w:cs="Arial"/>
                <w:b/>
                <w:bCs/>
                <w:color w:val="FFFFFF"/>
                <w:sz w:val="20"/>
              </w:rPr>
            </w:pPr>
            <w:r w:rsidRPr="00EA0CF2">
              <w:rPr>
                <w:rFonts w:ascii="Arial" w:hAnsi="Arial" w:cs="Arial"/>
                <w:b/>
                <w:bCs/>
                <w:color w:val="FFFFFF"/>
                <w:sz w:val="20"/>
              </w:rPr>
              <w:t>20,633</w:t>
            </w:r>
          </w:p>
        </w:tc>
        <w:tc>
          <w:tcPr>
            <w:tcW w:w="1247" w:type="dxa"/>
            <w:shd w:val="clear" w:color="auto" w:fill="000000"/>
          </w:tcPr>
          <w:p w14:paraId="52BA152A" w14:textId="77777777" w:rsidR="009735AD" w:rsidRPr="00EA0CF2" w:rsidRDefault="009735AD" w:rsidP="00EA0CF2">
            <w:pPr>
              <w:jc w:val="center"/>
              <w:rPr>
                <w:rFonts w:ascii="Arial" w:hAnsi="Arial" w:cs="Arial"/>
                <w:b/>
                <w:bCs/>
                <w:color w:val="FFFFFF"/>
                <w:sz w:val="20"/>
              </w:rPr>
            </w:pPr>
            <w:r w:rsidRPr="00EA0CF2">
              <w:rPr>
                <w:rFonts w:ascii="Arial" w:hAnsi="Arial" w:cs="Arial"/>
                <w:b/>
                <w:bCs/>
                <w:color w:val="FFFFFF"/>
                <w:sz w:val="20"/>
              </w:rPr>
              <w:t>19,218</w:t>
            </w:r>
          </w:p>
        </w:tc>
        <w:tc>
          <w:tcPr>
            <w:tcW w:w="1247" w:type="dxa"/>
            <w:shd w:val="clear" w:color="auto" w:fill="000000"/>
          </w:tcPr>
          <w:p w14:paraId="47CACC64" w14:textId="77777777" w:rsidR="009735AD" w:rsidRPr="00EA0CF2" w:rsidRDefault="009735AD" w:rsidP="00EA0CF2">
            <w:pPr>
              <w:jc w:val="center"/>
              <w:rPr>
                <w:rFonts w:ascii="Arial" w:hAnsi="Arial" w:cs="Arial"/>
                <w:b/>
                <w:bCs/>
                <w:color w:val="FFFFFF"/>
                <w:sz w:val="20"/>
              </w:rPr>
            </w:pPr>
            <w:r w:rsidRPr="00EA0CF2">
              <w:rPr>
                <w:rFonts w:ascii="Arial" w:hAnsi="Arial" w:cs="Arial"/>
                <w:b/>
                <w:bCs/>
                <w:color w:val="FFFFFF"/>
                <w:sz w:val="20"/>
              </w:rPr>
              <w:t>18,219</w:t>
            </w:r>
          </w:p>
        </w:tc>
        <w:tc>
          <w:tcPr>
            <w:tcW w:w="1247" w:type="dxa"/>
            <w:shd w:val="clear" w:color="auto" w:fill="000000"/>
          </w:tcPr>
          <w:p w14:paraId="4A0FF3E4" w14:textId="77777777" w:rsidR="009735AD" w:rsidRPr="00EA0CF2" w:rsidRDefault="009735AD" w:rsidP="00EA0CF2">
            <w:pPr>
              <w:jc w:val="center"/>
              <w:rPr>
                <w:rFonts w:ascii="Arial" w:hAnsi="Arial" w:cs="Arial"/>
                <w:b/>
                <w:bCs/>
                <w:color w:val="FFFFFF"/>
                <w:sz w:val="20"/>
              </w:rPr>
            </w:pPr>
            <w:r w:rsidRPr="00EA0CF2">
              <w:rPr>
                <w:rFonts w:ascii="Arial" w:hAnsi="Arial" w:cs="Arial"/>
                <w:b/>
                <w:bCs/>
                <w:color w:val="FFFFFF"/>
                <w:sz w:val="20"/>
              </w:rPr>
              <w:t>20,138</w:t>
            </w:r>
          </w:p>
        </w:tc>
        <w:tc>
          <w:tcPr>
            <w:tcW w:w="1247" w:type="dxa"/>
            <w:shd w:val="clear" w:color="auto" w:fill="000000"/>
          </w:tcPr>
          <w:p w14:paraId="610C4A51" w14:textId="77777777" w:rsidR="009735AD" w:rsidRPr="00EA0CF2" w:rsidRDefault="009735AD" w:rsidP="00EA0CF2">
            <w:pPr>
              <w:jc w:val="center"/>
              <w:rPr>
                <w:rFonts w:ascii="Arial" w:hAnsi="Arial" w:cs="Arial"/>
                <w:b/>
                <w:bCs/>
                <w:color w:val="FFFFFF"/>
                <w:sz w:val="20"/>
              </w:rPr>
            </w:pPr>
          </w:p>
        </w:tc>
      </w:tr>
    </w:tbl>
    <w:p w14:paraId="26FAC31B" w14:textId="77777777" w:rsidR="00EA0A44" w:rsidRDefault="00951D34" w:rsidP="00951D34">
      <w:pPr>
        <w:spacing w:before="120" w:after="120"/>
        <w:jc w:val="both"/>
        <w:rPr>
          <w:rFonts w:ascii="Arial" w:hAnsi="Arial" w:cs="Arial"/>
          <w:color w:val="000000"/>
          <w:sz w:val="20"/>
        </w:rPr>
      </w:pPr>
      <w:r>
        <w:rPr>
          <w:rFonts w:ascii="Arial" w:hAnsi="Arial" w:cs="Arial"/>
          <w:color w:val="000000"/>
          <w:sz w:val="20"/>
        </w:rPr>
        <w:t>By comparison the total numbers of alleged adult youth offender incidents for years ending 31 March were as follows:</w:t>
      </w:r>
    </w:p>
    <w:tbl>
      <w:tblPr>
        <w:tblW w:w="0" w:type="auto"/>
        <w:tblInd w:w="113"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525"/>
        <w:gridCol w:w="1233"/>
        <w:gridCol w:w="1233"/>
        <w:gridCol w:w="1233"/>
        <w:gridCol w:w="1233"/>
        <w:gridCol w:w="1233"/>
        <w:gridCol w:w="1221"/>
      </w:tblGrid>
      <w:tr w:rsidR="00951D34" w:rsidRPr="00EA0CF2" w14:paraId="07D96584" w14:textId="77777777" w:rsidTr="00EA0CF2">
        <w:tc>
          <w:tcPr>
            <w:tcW w:w="1547" w:type="dxa"/>
            <w:tcBorders>
              <w:right w:val="single" w:sz="4" w:space="0" w:color="auto"/>
            </w:tcBorders>
            <w:shd w:val="clear" w:color="auto" w:fill="000000"/>
          </w:tcPr>
          <w:p w14:paraId="7D1BAA49" w14:textId="77777777" w:rsidR="00951D34" w:rsidRPr="00EA0CF2" w:rsidRDefault="00951D34" w:rsidP="00EA0CF2">
            <w:pPr>
              <w:jc w:val="center"/>
              <w:rPr>
                <w:rFonts w:ascii="Arial" w:hAnsi="Arial" w:cs="Arial"/>
                <w:b/>
                <w:bCs/>
                <w:color w:val="FFFFFF"/>
                <w:sz w:val="20"/>
              </w:rPr>
            </w:pPr>
            <w:r w:rsidRPr="00EA0CF2">
              <w:rPr>
                <w:rFonts w:ascii="Arial" w:hAnsi="Arial" w:cs="Arial"/>
                <w:b/>
                <w:bCs/>
                <w:color w:val="FFFFFF"/>
                <w:sz w:val="20"/>
              </w:rPr>
              <w:t>ADULTS</w:t>
            </w:r>
          </w:p>
        </w:tc>
        <w:tc>
          <w:tcPr>
            <w:tcW w:w="1247" w:type="dxa"/>
            <w:tcBorders>
              <w:left w:val="single" w:sz="4" w:space="0" w:color="auto"/>
              <w:bottom w:val="single" w:sz="18" w:space="0" w:color="auto"/>
              <w:right w:val="single" w:sz="4" w:space="0" w:color="auto"/>
            </w:tcBorders>
          </w:tcPr>
          <w:p w14:paraId="2960BDAA" w14:textId="77777777" w:rsidR="00951D34" w:rsidRPr="00EA0CF2" w:rsidRDefault="00951D34" w:rsidP="00EA0CF2">
            <w:pPr>
              <w:jc w:val="center"/>
              <w:rPr>
                <w:rFonts w:ascii="Arial" w:hAnsi="Arial" w:cs="Arial"/>
                <w:b/>
                <w:bCs/>
                <w:color w:val="000000"/>
                <w:sz w:val="20"/>
              </w:rPr>
            </w:pPr>
            <w:r w:rsidRPr="00EA0CF2">
              <w:rPr>
                <w:rFonts w:ascii="Arial" w:hAnsi="Arial" w:cs="Arial"/>
                <w:b/>
                <w:bCs/>
                <w:color w:val="000000"/>
                <w:sz w:val="20"/>
              </w:rPr>
              <w:t>2016</w:t>
            </w:r>
          </w:p>
        </w:tc>
        <w:tc>
          <w:tcPr>
            <w:tcW w:w="1247" w:type="dxa"/>
            <w:tcBorders>
              <w:left w:val="single" w:sz="4" w:space="0" w:color="auto"/>
              <w:bottom w:val="single" w:sz="18" w:space="0" w:color="auto"/>
            </w:tcBorders>
          </w:tcPr>
          <w:p w14:paraId="7F58E212" w14:textId="77777777" w:rsidR="00951D34" w:rsidRPr="00EA0CF2" w:rsidRDefault="00951D34" w:rsidP="00EA0CF2">
            <w:pPr>
              <w:jc w:val="center"/>
              <w:rPr>
                <w:rFonts w:ascii="Arial" w:hAnsi="Arial" w:cs="Arial"/>
                <w:b/>
                <w:bCs/>
                <w:color w:val="000000"/>
                <w:sz w:val="20"/>
              </w:rPr>
            </w:pPr>
            <w:r w:rsidRPr="00EA0CF2">
              <w:rPr>
                <w:rFonts w:ascii="Arial" w:hAnsi="Arial" w:cs="Arial"/>
                <w:b/>
                <w:bCs/>
                <w:color w:val="000000"/>
                <w:sz w:val="20"/>
              </w:rPr>
              <w:t>2017</w:t>
            </w:r>
          </w:p>
        </w:tc>
        <w:tc>
          <w:tcPr>
            <w:tcW w:w="1247" w:type="dxa"/>
            <w:tcBorders>
              <w:bottom w:val="single" w:sz="18" w:space="0" w:color="auto"/>
            </w:tcBorders>
          </w:tcPr>
          <w:p w14:paraId="0FE5B90A" w14:textId="77777777" w:rsidR="00951D34" w:rsidRPr="00EA0CF2" w:rsidRDefault="00951D34" w:rsidP="00EA0CF2">
            <w:pPr>
              <w:jc w:val="center"/>
              <w:rPr>
                <w:rFonts w:ascii="Arial" w:hAnsi="Arial" w:cs="Arial"/>
                <w:b/>
                <w:bCs/>
                <w:color w:val="000000"/>
                <w:sz w:val="20"/>
              </w:rPr>
            </w:pPr>
            <w:r w:rsidRPr="00EA0CF2">
              <w:rPr>
                <w:rFonts w:ascii="Arial" w:hAnsi="Arial" w:cs="Arial"/>
                <w:b/>
                <w:bCs/>
                <w:color w:val="000000"/>
                <w:sz w:val="20"/>
              </w:rPr>
              <w:t>2018</w:t>
            </w:r>
          </w:p>
        </w:tc>
        <w:tc>
          <w:tcPr>
            <w:tcW w:w="1247" w:type="dxa"/>
            <w:tcBorders>
              <w:bottom w:val="single" w:sz="18" w:space="0" w:color="auto"/>
            </w:tcBorders>
          </w:tcPr>
          <w:p w14:paraId="7AF868B4" w14:textId="77777777" w:rsidR="00951D34" w:rsidRPr="00EA0CF2" w:rsidRDefault="00951D34" w:rsidP="00EA0CF2">
            <w:pPr>
              <w:jc w:val="center"/>
              <w:rPr>
                <w:rFonts w:ascii="Arial" w:hAnsi="Arial" w:cs="Arial"/>
                <w:b/>
                <w:bCs/>
                <w:color w:val="000000"/>
                <w:sz w:val="20"/>
              </w:rPr>
            </w:pPr>
            <w:r w:rsidRPr="00EA0CF2">
              <w:rPr>
                <w:rFonts w:ascii="Arial" w:hAnsi="Arial" w:cs="Arial"/>
                <w:b/>
                <w:bCs/>
                <w:color w:val="000000"/>
                <w:sz w:val="20"/>
              </w:rPr>
              <w:t>2019</w:t>
            </w:r>
          </w:p>
        </w:tc>
        <w:tc>
          <w:tcPr>
            <w:tcW w:w="1247" w:type="dxa"/>
            <w:tcBorders>
              <w:bottom w:val="single" w:sz="18" w:space="0" w:color="auto"/>
            </w:tcBorders>
          </w:tcPr>
          <w:p w14:paraId="26D5CAD0" w14:textId="77777777" w:rsidR="00951D34" w:rsidRPr="00EA0CF2" w:rsidRDefault="00951D34" w:rsidP="00EA0CF2">
            <w:pPr>
              <w:jc w:val="center"/>
              <w:rPr>
                <w:rFonts w:ascii="Arial" w:hAnsi="Arial" w:cs="Arial"/>
                <w:b/>
                <w:bCs/>
                <w:color w:val="000000"/>
                <w:sz w:val="20"/>
              </w:rPr>
            </w:pPr>
            <w:r w:rsidRPr="00EA0CF2">
              <w:rPr>
                <w:rFonts w:ascii="Arial" w:hAnsi="Arial" w:cs="Arial"/>
                <w:b/>
                <w:bCs/>
                <w:color w:val="000000"/>
                <w:sz w:val="20"/>
              </w:rPr>
              <w:t>2020</w:t>
            </w:r>
          </w:p>
        </w:tc>
        <w:tc>
          <w:tcPr>
            <w:tcW w:w="1247" w:type="dxa"/>
            <w:tcBorders>
              <w:bottom w:val="single" w:sz="18" w:space="0" w:color="auto"/>
            </w:tcBorders>
          </w:tcPr>
          <w:p w14:paraId="72D24621" w14:textId="77777777" w:rsidR="00951D34" w:rsidRPr="00EA0CF2" w:rsidRDefault="00951D34" w:rsidP="00EA0CF2">
            <w:pPr>
              <w:jc w:val="center"/>
              <w:rPr>
                <w:rFonts w:ascii="Arial" w:hAnsi="Arial" w:cs="Arial"/>
                <w:b/>
                <w:bCs/>
                <w:color w:val="000000"/>
                <w:sz w:val="20"/>
              </w:rPr>
            </w:pPr>
            <w:r w:rsidRPr="00EA0CF2">
              <w:rPr>
                <w:rFonts w:ascii="Arial" w:hAnsi="Arial" w:cs="Arial"/>
                <w:b/>
                <w:bCs/>
                <w:color w:val="000000"/>
                <w:sz w:val="20"/>
              </w:rPr>
              <w:t>2021</w:t>
            </w:r>
          </w:p>
        </w:tc>
      </w:tr>
      <w:tr w:rsidR="00951D34" w:rsidRPr="00EA0CF2" w14:paraId="7ED5B0BB" w14:textId="77777777" w:rsidTr="00EA0CF2">
        <w:tc>
          <w:tcPr>
            <w:tcW w:w="1547" w:type="dxa"/>
            <w:tcBorders>
              <w:right w:val="single" w:sz="4" w:space="0" w:color="auto"/>
            </w:tcBorders>
            <w:shd w:val="clear" w:color="auto" w:fill="000000"/>
          </w:tcPr>
          <w:p w14:paraId="3A182071" w14:textId="77777777" w:rsidR="00951D34" w:rsidRPr="00EA0CF2" w:rsidRDefault="00951D34" w:rsidP="00EA0CF2">
            <w:pPr>
              <w:jc w:val="center"/>
              <w:rPr>
                <w:rFonts w:ascii="Arial" w:hAnsi="Arial" w:cs="Arial"/>
                <w:b/>
                <w:bCs/>
                <w:color w:val="FFFFFF"/>
                <w:sz w:val="20"/>
              </w:rPr>
            </w:pPr>
            <w:r w:rsidRPr="00EA0CF2">
              <w:rPr>
                <w:rFonts w:ascii="Arial" w:hAnsi="Arial" w:cs="Arial"/>
                <w:b/>
                <w:bCs/>
                <w:color w:val="FFFFFF"/>
                <w:sz w:val="20"/>
              </w:rPr>
              <w:t>TOTAL</w:t>
            </w:r>
          </w:p>
        </w:tc>
        <w:tc>
          <w:tcPr>
            <w:tcW w:w="1247" w:type="dxa"/>
            <w:tcBorders>
              <w:top w:val="single" w:sz="4" w:space="0" w:color="auto"/>
              <w:left w:val="single" w:sz="4" w:space="0" w:color="auto"/>
              <w:right w:val="single" w:sz="4" w:space="0" w:color="auto"/>
            </w:tcBorders>
            <w:shd w:val="clear" w:color="auto" w:fill="000000"/>
          </w:tcPr>
          <w:p w14:paraId="4AA15E53" w14:textId="77777777" w:rsidR="00951D34" w:rsidRPr="00EA0CF2" w:rsidRDefault="00951D34" w:rsidP="00EA0CF2">
            <w:pPr>
              <w:jc w:val="center"/>
              <w:rPr>
                <w:rFonts w:ascii="Arial" w:hAnsi="Arial" w:cs="Arial"/>
                <w:b/>
                <w:bCs/>
                <w:color w:val="FFFFFF"/>
                <w:sz w:val="20"/>
              </w:rPr>
            </w:pPr>
            <w:r w:rsidRPr="00EA0CF2">
              <w:rPr>
                <w:rFonts w:ascii="Arial" w:hAnsi="Arial" w:cs="Arial"/>
                <w:b/>
                <w:bCs/>
                <w:color w:val="FFFFFF"/>
                <w:sz w:val="20"/>
              </w:rPr>
              <w:t>144,435</w:t>
            </w:r>
          </w:p>
        </w:tc>
        <w:tc>
          <w:tcPr>
            <w:tcW w:w="1247" w:type="dxa"/>
            <w:tcBorders>
              <w:left w:val="single" w:sz="4" w:space="0" w:color="auto"/>
            </w:tcBorders>
            <w:shd w:val="clear" w:color="auto" w:fill="000000"/>
          </w:tcPr>
          <w:p w14:paraId="2BAC76BD" w14:textId="77777777" w:rsidR="00951D34" w:rsidRPr="00EA0CF2" w:rsidRDefault="00951D34" w:rsidP="00EA0CF2">
            <w:pPr>
              <w:jc w:val="center"/>
              <w:rPr>
                <w:rFonts w:ascii="Arial" w:hAnsi="Arial" w:cs="Arial"/>
                <w:b/>
                <w:bCs/>
                <w:color w:val="FFFFFF"/>
                <w:sz w:val="20"/>
              </w:rPr>
            </w:pPr>
            <w:r w:rsidRPr="00EA0CF2">
              <w:rPr>
                <w:rFonts w:ascii="Arial" w:hAnsi="Arial" w:cs="Arial"/>
                <w:b/>
                <w:bCs/>
                <w:color w:val="FFFFFF"/>
                <w:sz w:val="20"/>
              </w:rPr>
              <w:t>153,651</w:t>
            </w:r>
          </w:p>
        </w:tc>
        <w:tc>
          <w:tcPr>
            <w:tcW w:w="1247" w:type="dxa"/>
            <w:shd w:val="clear" w:color="auto" w:fill="000000"/>
          </w:tcPr>
          <w:p w14:paraId="1253E94F" w14:textId="77777777" w:rsidR="00951D34" w:rsidRPr="00EA0CF2" w:rsidRDefault="00951D34" w:rsidP="00EA0CF2">
            <w:pPr>
              <w:jc w:val="center"/>
              <w:rPr>
                <w:rFonts w:ascii="Arial" w:hAnsi="Arial" w:cs="Arial"/>
                <w:b/>
                <w:bCs/>
                <w:color w:val="FFFFFF"/>
                <w:sz w:val="20"/>
              </w:rPr>
            </w:pPr>
            <w:r w:rsidRPr="00EA0CF2">
              <w:rPr>
                <w:rFonts w:ascii="Arial" w:hAnsi="Arial" w:cs="Arial"/>
                <w:b/>
                <w:bCs/>
                <w:color w:val="FFFFFF"/>
                <w:sz w:val="20"/>
              </w:rPr>
              <w:t>146,761</w:t>
            </w:r>
          </w:p>
        </w:tc>
        <w:tc>
          <w:tcPr>
            <w:tcW w:w="1247" w:type="dxa"/>
            <w:shd w:val="clear" w:color="auto" w:fill="000000"/>
          </w:tcPr>
          <w:p w14:paraId="382A3B77" w14:textId="77777777" w:rsidR="00951D34" w:rsidRPr="00EA0CF2" w:rsidRDefault="00951D34" w:rsidP="00EA0CF2">
            <w:pPr>
              <w:jc w:val="center"/>
              <w:rPr>
                <w:rFonts w:ascii="Arial" w:hAnsi="Arial" w:cs="Arial"/>
                <w:b/>
                <w:bCs/>
                <w:color w:val="FFFFFF"/>
                <w:sz w:val="20"/>
              </w:rPr>
            </w:pPr>
            <w:r w:rsidRPr="00EA0CF2">
              <w:rPr>
                <w:rFonts w:ascii="Arial" w:hAnsi="Arial" w:cs="Arial"/>
                <w:b/>
                <w:bCs/>
                <w:color w:val="FFFFFF"/>
                <w:sz w:val="20"/>
              </w:rPr>
              <w:t>153,704</w:t>
            </w:r>
          </w:p>
        </w:tc>
        <w:tc>
          <w:tcPr>
            <w:tcW w:w="1247" w:type="dxa"/>
            <w:shd w:val="clear" w:color="auto" w:fill="000000"/>
          </w:tcPr>
          <w:p w14:paraId="47380DCF" w14:textId="77777777" w:rsidR="00951D34" w:rsidRPr="00EA0CF2" w:rsidRDefault="00951D34" w:rsidP="00EA0CF2">
            <w:pPr>
              <w:jc w:val="center"/>
              <w:rPr>
                <w:rFonts w:ascii="Arial" w:hAnsi="Arial" w:cs="Arial"/>
                <w:b/>
                <w:bCs/>
                <w:color w:val="FFFFFF"/>
                <w:sz w:val="20"/>
              </w:rPr>
            </w:pPr>
            <w:r w:rsidRPr="00EA0CF2">
              <w:rPr>
                <w:rFonts w:ascii="Arial" w:hAnsi="Arial" w:cs="Arial"/>
                <w:b/>
                <w:bCs/>
                <w:color w:val="FFFFFF"/>
                <w:sz w:val="20"/>
              </w:rPr>
              <w:t>157,744</w:t>
            </w:r>
          </w:p>
        </w:tc>
        <w:tc>
          <w:tcPr>
            <w:tcW w:w="1247" w:type="dxa"/>
            <w:shd w:val="clear" w:color="auto" w:fill="000000"/>
          </w:tcPr>
          <w:p w14:paraId="4C76A646" w14:textId="77777777" w:rsidR="00951D34" w:rsidRPr="00EA0CF2" w:rsidRDefault="00951D34" w:rsidP="00EA0CF2">
            <w:pPr>
              <w:jc w:val="center"/>
              <w:rPr>
                <w:rFonts w:ascii="Arial" w:hAnsi="Arial" w:cs="Arial"/>
                <w:b/>
                <w:bCs/>
                <w:color w:val="FFFFFF"/>
                <w:sz w:val="20"/>
              </w:rPr>
            </w:pPr>
          </w:p>
        </w:tc>
      </w:tr>
    </w:tbl>
    <w:p w14:paraId="36278A66" w14:textId="1EB73519" w:rsidR="00024058" w:rsidRPr="00024058" w:rsidRDefault="00951D34" w:rsidP="000C34B6">
      <w:pPr>
        <w:spacing w:before="120"/>
        <w:jc w:val="both"/>
        <w:rPr>
          <w:rFonts w:ascii="Arial" w:hAnsi="Arial" w:cs="Arial"/>
          <w:b/>
          <w:bCs/>
          <w:color w:val="000000"/>
          <w:sz w:val="20"/>
        </w:rPr>
      </w:pPr>
      <w:r w:rsidRPr="00024058">
        <w:rPr>
          <w:rFonts w:ascii="Arial" w:hAnsi="Arial" w:cs="Arial"/>
          <w:b/>
          <w:bCs/>
          <w:color w:val="000000"/>
          <w:sz w:val="20"/>
        </w:rPr>
        <w:t xml:space="preserve">It is </w:t>
      </w:r>
      <w:r w:rsidR="0013035F">
        <w:rPr>
          <w:rFonts w:ascii="Arial" w:hAnsi="Arial" w:cs="Arial"/>
          <w:b/>
          <w:bCs/>
          <w:color w:val="000000"/>
          <w:sz w:val="20"/>
        </w:rPr>
        <w:t>noteworthy</w:t>
      </w:r>
      <w:r w:rsidRPr="00024058">
        <w:rPr>
          <w:rFonts w:ascii="Arial" w:hAnsi="Arial" w:cs="Arial"/>
          <w:b/>
          <w:bCs/>
          <w:color w:val="000000"/>
          <w:sz w:val="20"/>
        </w:rPr>
        <w:t xml:space="preserve"> </w:t>
      </w:r>
      <w:r w:rsidR="00024058" w:rsidRPr="00024058">
        <w:rPr>
          <w:rFonts w:ascii="Arial" w:hAnsi="Arial" w:cs="Arial"/>
          <w:b/>
          <w:bCs/>
          <w:color w:val="000000"/>
          <w:sz w:val="20"/>
        </w:rPr>
        <w:t xml:space="preserve">that </w:t>
      </w:r>
      <w:r w:rsidR="0013035F">
        <w:rPr>
          <w:rFonts w:ascii="Arial" w:hAnsi="Arial" w:cs="Arial"/>
          <w:b/>
          <w:bCs/>
          <w:color w:val="000000"/>
          <w:sz w:val="20"/>
        </w:rPr>
        <w:t xml:space="preserve">the </w:t>
      </w:r>
      <w:r w:rsidR="00024058" w:rsidRPr="00024058">
        <w:rPr>
          <w:rFonts w:ascii="Arial" w:hAnsi="Arial" w:cs="Arial"/>
          <w:b/>
          <w:bCs/>
          <w:color w:val="000000"/>
          <w:sz w:val="20"/>
        </w:rPr>
        <w:t xml:space="preserve">number of </w:t>
      </w:r>
      <w:r w:rsidRPr="00024058">
        <w:rPr>
          <w:rFonts w:ascii="Arial" w:hAnsi="Arial" w:cs="Arial"/>
          <w:b/>
          <w:bCs/>
          <w:color w:val="000000"/>
          <w:sz w:val="20"/>
        </w:rPr>
        <w:t>alleged offender incidents recorded in the year ending March 202</w:t>
      </w:r>
      <w:r w:rsidR="000B0C64">
        <w:rPr>
          <w:rFonts w:ascii="Arial" w:hAnsi="Arial" w:cs="Arial"/>
          <w:b/>
          <w:bCs/>
          <w:color w:val="000000"/>
          <w:sz w:val="20"/>
        </w:rPr>
        <w:t>1</w:t>
      </w:r>
      <w:r w:rsidRPr="00024058">
        <w:rPr>
          <w:rFonts w:ascii="Arial" w:hAnsi="Arial" w:cs="Arial"/>
          <w:b/>
          <w:bCs/>
          <w:color w:val="000000"/>
          <w:sz w:val="20"/>
        </w:rPr>
        <w:t xml:space="preserve"> </w:t>
      </w:r>
      <w:r w:rsidR="00024058" w:rsidRPr="00024058">
        <w:rPr>
          <w:rFonts w:ascii="Arial" w:hAnsi="Arial" w:cs="Arial"/>
          <w:b/>
          <w:bCs/>
          <w:color w:val="000000"/>
          <w:sz w:val="20"/>
        </w:rPr>
        <w:t>compared with those recorded in 2008/09 have decreased by 43% for youths aged 10-17 but have increased by 18% for adults.</w:t>
      </w:r>
    </w:p>
    <w:p w14:paraId="25F52CD8" w14:textId="77777777" w:rsidR="00FE3D2B" w:rsidRDefault="00FE3D2B" w:rsidP="00134C5C">
      <w:pPr>
        <w:jc w:val="both"/>
        <w:rPr>
          <w:rFonts w:ascii="Arial" w:hAnsi="Arial" w:cs="Arial"/>
          <w:color w:val="000000"/>
          <w:sz w:val="20"/>
        </w:rPr>
      </w:pPr>
    </w:p>
    <w:p w14:paraId="49C62060" w14:textId="7B170D59" w:rsidR="003A5DD6" w:rsidRDefault="003A5DD6" w:rsidP="003A5DD6">
      <w:pPr>
        <w:jc w:val="both"/>
        <w:rPr>
          <w:rFonts w:ascii="Arial" w:hAnsi="Arial" w:cs="Arial"/>
          <w:color w:val="000000"/>
          <w:sz w:val="20"/>
        </w:rPr>
      </w:pPr>
      <w:r w:rsidRPr="00F51496">
        <w:rPr>
          <w:rFonts w:ascii="Arial" w:hAnsi="Arial" w:cs="Arial"/>
          <w:color w:val="000000"/>
          <w:sz w:val="20"/>
        </w:rPr>
        <w:t>In 20</w:t>
      </w:r>
      <w:r>
        <w:rPr>
          <w:rFonts w:ascii="Arial" w:hAnsi="Arial" w:cs="Arial"/>
          <w:color w:val="000000"/>
          <w:sz w:val="20"/>
        </w:rPr>
        <w:t>1</w:t>
      </w:r>
      <w:r w:rsidRPr="00F51496">
        <w:rPr>
          <w:rFonts w:ascii="Arial" w:hAnsi="Arial" w:cs="Arial"/>
          <w:color w:val="000000"/>
          <w:sz w:val="20"/>
        </w:rPr>
        <w:t>8/</w:t>
      </w:r>
      <w:r>
        <w:rPr>
          <w:rFonts w:ascii="Arial" w:hAnsi="Arial" w:cs="Arial"/>
          <w:color w:val="000000"/>
          <w:sz w:val="20"/>
        </w:rPr>
        <w:t>1</w:t>
      </w:r>
      <w:r w:rsidRPr="00F51496">
        <w:rPr>
          <w:rFonts w:ascii="Arial" w:hAnsi="Arial" w:cs="Arial"/>
          <w:color w:val="000000"/>
          <w:sz w:val="20"/>
        </w:rPr>
        <w:t>9</w:t>
      </w:r>
      <w:r>
        <w:rPr>
          <w:rFonts w:ascii="Arial" w:hAnsi="Arial" w:cs="Arial"/>
          <w:color w:val="000000"/>
          <w:sz w:val="20"/>
        </w:rPr>
        <w:t xml:space="preserve"> – by comparison with </w:t>
      </w:r>
      <w:r w:rsidRPr="00F51496">
        <w:rPr>
          <w:rFonts w:ascii="Arial" w:hAnsi="Arial" w:cs="Arial"/>
          <w:color w:val="000000"/>
          <w:sz w:val="20"/>
        </w:rPr>
        <w:t>2008/09</w:t>
      </w:r>
      <w:r>
        <w:rPr>
          <w:rFonts w:ascii="Arial" w:hAnsi="Arial" w:cs="Arial"/>
          <w:color w:val="000000"/>
          <w:sz w:val="20"/>
        </w:rPr>
        <w:t xml:space="preserve"> when</w:t>
      </w:r>
      <w:r w:rsidRPr="00F51496">
        <w:rPr>
          <w:rFonts w:ascii="Arial" w:hAnsi="Arial" w:cs="Arial"/>
          <w:color w:val="000000"/>
          <w:sz w:val="20"/>
        </w:rPr>
        <w:t xml:space="preserve"> </w:t>
      </w:r>
      <w:r w:rsidRPr="00C76023">
        <w:rPr>
          <w:rFonts w:ascii="Arial" w:hAnsi="Arial" w:cs="Arial"/>
          <w:b/>
          <w:bCs/>
          <w:color w:val="000000"/>
          <w:sz w:val="20"/>
        </w:rPr>
        <w:t>6,633</w:t>
      </w:r>
      <w:r w:rsidRPr="00F51496">
        <w:rPr>
          <w:rFonts w:ascii="Arial" w:hAnsi="Arial" w:cs="Arial"/>
          <w:color w:val="000000"/>
          <w:sz w:val="20"/>
        </w:rPr>
        <w:t xml:space="preserve"> young p</w:t>
      </w:r>
      <w:r w:rsidR="00C76023">
        <w:rPr>
          <w:rFonts w:ascii="Arial" w:hAnsi="Arial" w:cs="Arial"/>
          <w:color w:val="000000"/>
          <w:sz w:val="20"/>
        </w:rPr>
        <w:t>eople</w:t>
      </w:r>
      <w:r w:rsidRPr="00F51496">
        <w:rPr>
          <w:rFonts w:ascii="Arial" w:hAnsi="Arial" w:cs="Arial"/>
          <w:color w:val="000000"/>
          <w:sz w:val="20"/>
        </w:rPr>
        <w:t xml:space="preserve"> aged 10 to 17 inclusive were found guilty of one or more offences in the Children’s Court of Victoria</w:t>
      </w:r>
      <w:r>
        <w:rPr>
          <w:rFonts w:ascii="Arial" w:hAnsi="Arial" w:cs="Arial"/>
          <w:color w:val="000000"/>
          <w:sz w:val="20"/>
        </w:rPr>
        <w:t xml:space="preserve"> – only </w:t>
      </w:r>
      <w:r w:rsidR="00C76023" w:rsidRPr="00C76023">
        <w:rPr>
          <w:rFonts w:ascii="Arial" w:hAnsi="Arial" w:cs="Arial"/>
          <w:b/>
          <w:bCs/>
          <w:color w:val="000000"/>
          <w:sz w:val="20"/>
        </w:rPr>
        <w:t>3,479</w:t>
      </w:r>
      <w:r w:rsidR="00F12894">
        <w:rPr>
          <w:rFonts w:ascii="Arial" w:hAnsi="Arial" w:cs="Arial"/>
          <w:color w:val="000000"/>
          <w:sz w:val="20"/>
        </w:rPr>
        <w:t xml:space="preserve"> </w:t>
      </w:r>
      <w:r w:rsidR="00FC09A7">
        <w:rPr>
          <w:rFonts w:ascii="Arial" w:hAnsi="Arial" w:cs="Arial"/>
          <w:color w:val="000000"/>
          <w:sz w:val="20"/>
        </w:rPr>
        <w:t>child offenders</w:t>
      </w:r>
      <w:r>
        <w:rPr>
          <w:rFonts w:ascii="Arial" w:hAnsi="Arial" w:cs="Arial"/>
          <w:color w:val="000000"/>
          <w:sz w:val="20"/>
        </w:rPr>
        <w:t xml:space="preserve"> aged 10</w:t>
      </w:r>
      <w:r w:rsidR="00FC09A7">
        <w:rPr>
          <w:rFonts w:ascii="Arial" w:hAnsi="Arial" w:cs="Arial"/>
          <w:color w:val="000000"/>
          <w:sz w:val="20"/>
        </w:rPr>
        <w:noBreakHyphen/>
        <w:t>17</w:t>
      </w:r>
      <w:r>
        <w:rPr>
          <w:rFonts w:ascii="Arial" w:hAnsi="Arial" w:cs="Arial"/>
          <w:color w:val="000000"/>
          <w:sz w:val="20"/>
        </w:rPr>
        <w:t xml:space="preserve"> were </w:t>
      </w:r>
      <w:r w:rsidR="00DF479E">
        <w:rPr>
          <w:rFonts w:ascii="Arial" w:hAnsi="Arial" w:cs="Arial"/>
          <w:color w:val="000000"/>
          <w:sz w:val="20"/>
        </w:rPr>
        <w:t xml:space="preserve">found guilty by – or acknowledged guilt to – </w:t>
      </w:r>
      <w:r>
        <w:rPr>
          <w:rFonts w:ascii="Arial" w:hAnsi="Arial" w:cs="Arial"/>
          <w:color w:val="000000"/>
          <w:sz w:val="20"/>
        </w:rPr>
        <w:t>the</w:t>
      </w:r>
      <w:r w:rsidR="00DF479E">
        <w:rPr>
          <w:rFonts w:ascii="Arial" w:hAnsi="Arial" w:cs="Arial"/>
          <w:color w:val="000000"/>
          <w:sz w:val="20"/>
        </w:rPr>
        <w:t xml:space="preserve"> </w:t>
      </w:r>
      <w:r>
        <w:rPr>
          <w:rFonts w:ascii="Arial" w:hAnsi="Arial" w:cs="Arial"/>
          <w:color w:val="000000"/>
          <w:sz w:val="20"/>
        </w:rPr>
        <w:t>Children’s Court</w:t>
      </w:r>
      <w:r w:rsidR="00A561B7">
        <w:rPr>
          <w:rFonts w:ascii="Arial" w:hAnsi="Arial" w:cs="Arial"/>
          <w:color w:val="000000"/>
          <w:sz w:val="20"/>
        </w:rPr>
        <w:t>.  Of</w:t>
      </w:r>
      <w:r w:rsidR="00DF479E">
        <w:rPr>
          <w:rFonts w:ascii="Arial" w:hAnsi="Arial" w:cs="Arial"/>
          <w:color w:val="000000"/>
          <w:sz w:val="20"/>
        </w:rPr>
        <w:t> </w:t>
      </w:r>
      <w:r w:rsidR="00A561B7">
        <w:rPr>
          <w:rFonts w:ascii="Arial" w:hAnsi="Arial" w:cs="Arial"/>
          <w:color w:val="000000"/>
          <w:sz w:val="20"/>
        </w:rPr>
        <w:t xml:space="preserve">these </w:t>
      </w:r>
      <w:r w:rsidR="00A561B7" w:rsidRPr="00C76023">
        <w:rPr>
          <w:rFonts w:ascii="Arial" w:hAnsi="Arial" w:cs="Arial"/>
          <w:b/>
          <w:bCs/>
          <w:color w:val="000000"/>
          <w:sz w:val="20"/>
        </w:rPr>
        <w:t>2,071</w:t>
      </w:r>
      <w:r w:rsidR="00A561B7">
        <w:rPr>
          <w:rFonts w:ascii="Arial" w:hAnsi="Arial" w:cs="Arial"/>
          <w:color w:val="000000"/>
          <w:sz w:val="20"/>
        </w:rPr>
        <w:t xml:space="preserve"> were found guilty of one or more offences</w:t>
      </w:r>
      <w:r w:rsidR="00A6233A">
        <w:rPr>
          <w:rFonts w:ascii="Arial" w:hAnsi="Arial" w:cs="Arial"/>
          <w:color w:val="000000"/>
          <w:sz w:val="20"/>
        </w:rPr>
        <w:t xml:space="preserve"> and</w:t>
      </w:r>
      <w:r w:rsidR="00235652">
        <w:rPr>
          <w:rFonts w:ascii="Arial" w:hAnsi="Arial" w:cs="Arial"/>
          <w:color w:val="000000"/>
          <w:sz w:val="20"/>
        </w:rPr>
        <w:t>–</w:t>
      </w:r>
    </w:p>
    <w:p w14:paraId="50D4EEC5" w14:textId="77777777" w:rsidR="003A5DD6" w:rsidRPr="00F51496" w:rsidRDefault="00F12894" w:rsidP="00591749">
      <w:pPr>
        <w:numPr>
          <w:ilvl w:val="0"/>
          <w:numId w:val="18"/>
        </w:numPr>
        <w:tabs>
          <w:tab w:val="clear" w:pos="720"/>
        </w:tabs>
        <w:ind w:left="357" w:hanging="357"/>
        <w:jc w:val="both"/>
        <w:rPr>
          <w:rFonts w:ascii="Arial" w:hAnsi="Arial" w:cs="Arial"/>
          <w:color w:val="000000"/>
          <w:sz w:val="20"/>
        </w:rPr>
      </w:pPr>
      <w:r>
        <w:rPr>
          <w:rFonts w:ascii="Arial" w:hAnsi="Arial" w:cs="Arial"/>
          <w:color w:val="000000"/>
          <w:sz w:val="20"/>
        </w:rPr>
        <w:t>1</w:t>
      </w:r>
      <w:r w:rsidR="003A5DD6" w:rsidRPr="00F51496">
        <w:rPr>
          <w:rFonts w:ascii="Arial" w:hAnsi="Arial" w:cs="Arial"/>
          <w:color w:val="000000"/>
          <w:sz w:val="20"/>
        </w:rPr>
        <w:t>,</w:t>
      </w:r>
      <w:r>
        <w:rPr>
          <w:rFonts w:ascii="Arial" w:hAnsi="Arial" w:cs="Arial"/>
          <w:color w:val="000000"/>
          <w:sz w:val="20"/>
        </w:rPr>
        <w:t>167</w:t>
      </w:r>
      <w:r w:rsidR="003A5DD6" w:rsidRPr="00F51496">
        <w:rPr>
          <w:rFonts w:ascii="Arial" w:hAnsi="Arial" w:cs="Arial"/>
          <w:color w:val="000000"/>
          <w:sz w:val="20"/>
        </w:rPr>
        <w:t xml:space="preserve"> [</w:t>
      </w:r>
      <w:r>
        <w:rPr>
          <w:rFonts w:ascii="Arial" w:hAnsi="Arial" w:cs="Arial"/>
          <w:color w:val="000000"/>
          <w:sz w:val="20"/>
        </w:rPr>
        <w:t>56</w:t>
      </w:r>
      <w:r w:rsidR="003A5DD6" w:rsidRPr="00F51496">
        <w:rPr>
          <w:rFonts w:ascii="Arial" w:hAnsi="Arial" w:cs="Arial"/>
          <w:color w:val="000000"/>
          <w:sz w:val="20"/>
        </w:rPr>
        <w:t>%] received undertakings, bonds or fines;</w:t>
      </w:r>
    </w:p>
    <w:p w14:paraId="13D8EAFD" w14:textId="77777777" w:rsidR="003A5DD6" w:rsidRPr="00F51496" w:rsidRDefault="00F12894" w:rsidP="00591749">
      <w:pPr>
        <w:numPr>
          <w:ilvl w:val="0"/>
          <w:numId w:val="18"/>
        </w:numPr>
        <w:tabs>
          <w:tab w:val="clear" w:pos="720"/>
        </w:tabs>
        <w:ind w:left="357" w:hanging="357"/>
        <w:jc w:val="both"/>
        <w:rPr>
          <w:rFonts w:ascii="Arial" w:hAnsi="Arial" w:cs="Arial"/>
          <w:color w:val="000000"/>
          <w:sz w:val="20"/>
        </w:rPr>
      </w:pPr>
      <w:r>
        <w:rPr>
          <w:rFonts w:ascii="Arial" w:hAnsi="Arial" w:cs="Arial"/>
          <w:color w:val="000000"/>
          <w:sz w:val="20"/>
        </w:rPr>
        <w:t xml:space="preserve">   694</w:t>
      </w:r>
      <w:r w:rsidR="003A5DD6" w:rsidRPr="00F51496">
        <w:rPr>
          <w:rFonts w:ascii="Arial" w:hAnsi="Arial" w:cs="Arial"/>
          <w:color w:val="000000"/>
          <w:sz w:val="20"/>
        </w:rPr>
        <w:t xml:space="preserve"> [</w:t>
      </w:r>
      <w:r>
        <w:rPr>
          <w:rFonts w:ascii="Arial" w:hAnsi="Arial" w:cs="Arial"/>
          <w:color w:val="000000"/>
          <w:sz w:val="20"/>
        </w:rPr>
        <w:t>34</w:t>
      </w:r>
      <w:r w:rsidR="003A5DD6" w:rsidRPr="00F51496">
        <w:rPr>
          <w:rFonts w:ascii="Arial" w:hAnsi="Arial" w:cs="Arial"/>
          <w:color w:val="000000"/>
          <w:sz w:val="20"/>
        </w:rPr>
        <w:t>%] received some form of supervisory order [probation etc];</w:t>
      </w:r>
    </w:p>
    <w:p w14:paraId="03BBA336" w14:textId="77777777" w:rsidR="003A5DD6" w:rsidRPr="00F51496" w:rsidRDefault="00F12894" w:rsidP="00591749">
      <w:pPr>
        <w:numPr>
          <w:ilvl w:val="0"/>
          <w:numId w:val="18"/>
        </w:numPr>
        <w:tabs>
          <w:tab w:val="clear" w:pos="720"/>
        </w:tabs>
        <w:ind w:left="357" w:hanging="357"/>
        <w:jc w:val="both"/>
        <w:rPr>
          <w:rFonts w:ascii="Arial" w:hAnsi="Arial" w:cs="Arial"/>
          <w:color w:val="000000"/>
          <w:sz w:val="20"/>
        </w:rPr>
      </w:pPr>
      <w:r>
        <w:rPr>
          <w:rFonts w:ascii="Arial" w:hAnsi="Arial" w:cs="Arial"/>
          <w:color w:val="000000"/>
          <w:sz w:val="20"/>
        </w:rPr>
        <w:t xml:space="preserve">   </w:t>
      </w:r>
      <w:r w:rsidR="003A5DD6" w:rsidRPr="00F51496">
        <w:rPr>
          <w:rFonts w:ascii="Arial" w:hAnsi="Arial" w:cs="Arial"/>
          <w:color w:val="000000"/>
          <w:sz w:val="20"/>
        </w:rPr>
        <w:t>2</w:t>
      </w:r>
      <w:r>
        <w:rPr>
          <w:rFonts w:ascii="Arial" w:hAnsi="Arial" w:cs="Arial"/>
          <w:color w:val="000000"/>
          <w:sz w:val="20"/>
        </w:rPr>
        <w:t>10</w:t>
      </w:r>
      <w:r w:rsidR="003A5DD6" w:rsidRPr="00F51496">
        <w:rPr>
          <w:rFonts w:ascii="Arial" w:hAnsi="Arial" w:cs="Arial"/>
          <w:color w:val="000000"/>
          <w:sz w:val="20"/>
        </w:rPr>
        <w:t xml:space="preserve"> [</w:t>
      </w:r>
      <w:r>
        <w:rPr>
          <w:rFonts w:ascii="Arial" w:hAnsi="Arial" w:cs="Arial"/>
          <w:color w:val="000000"/>
          <w:sz w:val="20"/>
        </w:rPr>
        <w:t>10</w:t>
      </w:r>
      <w:r w:rsidR="003A5DD6" w:rsidRPr="00F51496">
        <w:rPr>
          <w:rFonts w:ascii="Arial" w:hAnsi="Arial" w:cs="Arial"/>
          <w:color w:val="000000"/>
          <w:sz w:val="20"/>
        </w:rPr>
        <w:t>%] received detention orders.</w:t>
      </w:r>
    </w:p>
    <w:p w14:paraId="5071040A" w14:textId="4284693B" w:rsidR="00AD117E" w:rsidRDefault="00A6233A" w:rsidP="00134C5C">
      <w:pPr>
        <w:jc w:val="both"/>
        <w:rPr>
          <w:rFonts w:ascii="Arial" w:hAnsi="Arial" w:cs="Arial"/>
          <w:color w:val="000000"/>
          <w:sz w:val="20"/>
        </w:rPr>
      </w:pPr>
      <w:r>
        <w:rPr>
          <w:rFonts w:ascii="Arial" w:hAnsi="Arial" w:cs="Arial"/>
          <w:color w:val="000000"/>
          <w:sz w:val="20"/>
        </w:rPr>
        <w:t>A further</w:t>
      </w:r>
      <w:r w:rsidR="00F12894">
        <w:rPr>
          <w:rFonts w:ascii="Arial" w:hAnsi="Arial" w:cs="Arial"/>
          <w:color w:val="000000"/>
          <w:sz w:val="20"/>
        </w:rPr>
        <w:t xml:space="preserve"> break-down of the above figures </w:t>
      </w:r>
      <w:r>
        <w:rPr>
          <w:rFonts w:ascii="Arial" w:hAnsi="Arial" w:cs="Arial"/>
          <w:color w:val="000000"/>
          <w:sz w:val="20"/>
        </w:rPr>
        <w:t>can be found</w:t>
      </w:r>
      <w:r w:rsidR="00F12894">
        <w:rPr>
          <w:rFonts w:ascii="Arial" w:hAnsi="Arial" w:cs="Arial"/>
          <w:color w:val="000000"/>
          <w:sz w:val="20"/>
        </w:rPr>
        <w:t xml:space="preserve"> in </w:t>
      </w:r>
      <w:r w:rsidR="00F12894" w:rsidRPr="00D04051">
        <w:rPr>
          <w:rFonts w:ascii="Arial" w:hAnsi="Arial" w:cs="Arial"/>
          <w:b/>
          <w:bCs/>
          <w:color w:val="000000"/>
          <w:sz w:val="20"/>
          <w:shd w:val="clear" w:color="auto" w:fill="C5E0B3"/>
        </w:rPr>
        <w:t>section 11.7.1</w:t>
      </w:r>
      <w:r w:rsidR="00F12894">
        <w:rPr>
          <w:rFonts w:ascii="Arial" w:hAnsi="Arial" w:cs="Arial"/>
          <w:color w:val="000000"/>
          <w:sz w:val="20"/>
        </w:rPr>
        <w:t xml:space="preserve"> of the Research Materials.</w:t>
      </w:r>
      <w:r w:rsidR="00BD7F2A">
        <w:rPr>
          <w:rFonts w:ascii="Arial" w:hAnsi="Arial" w:cs="Arial"/>
          <w:color w:val="000000"/>
          <w:sz w:val="20"/>
        </w:rPr>
        <w:t xml:space="preserve">  Th</w:t>
      </w:r>
      <w:r w:rsidR="00AD117E">
        <w:rPr>
          <w:rFonts w:ascii="Arial" w:hAnsi="Arial" w:cs="Arial"/>
          <w:color w:val="000000"/>
          <w:sz w:val="20"/>
        </w:rPr>
        <w:t xml:space="preserve">e balance of </w:t>
      </w:r>
      <w:r w:rsidR="00AD117E" w:rsidRPr="00C76023">
        <w:rPr>
          <w:rFonts w:ascii="Arial" w:hAnsi="Arial" w:cs="Arial"/>
          <w:b/>
          <w:bCs/>
          <w:color w:val="000000"/>
          <w:sz w:val="20"/>
        </w:rPr>
        <w:t>1,408</w:t>
      </w:r>
      <w:r w:rsidR="00AD117E">
        <w:rPr>
          <w:rFonts w:ascii="Arial" w:hAnsi="Arial" w:cs="Arial"/>
          <w:color w:val="000000"/>
          <w:sz w:val="20"/>
        </w:rPr>
        <w:t xml:space="preserve"> received diversion orders, 94% of whom successfully completed the associated diversion program.</w:t>
      </w:r>
      <w:r w:rsidR="00904791">
        <w:rPr>
          <w:rFonts w:ascii="Arial" w:hAnsi="Arial" w:cs="Arial"/>
          <w:color w:val="000000"/>
          <w:sz w:val="20"/>
        </w:rPr>
        <w:t xml:space="preserve">  For more details of Children’s Court diversion powers see </w:t>
      </w:r>
      <w:r w:rsidR="00D76C31">
        <w:rPr>
          <w:rFonts w:ascii="Arial" w:hAnsi="Arial" w:cs="Arial"/>
          <w:b/>
          <w:bCs/>
          <w:color w:val="000000"/>
          <w:sz w:val="20"/>
          <w:shd w:val="clear" w:color="auto" w:fill="C5E0B3"/>
        </w:rPr>
        <w:t>Part</w:t>
      </w:r>
      <w:r w:rsidR="00904791" w:rsidRPr="00D04051">
        <w:rPr>
          <w:rFonts w:ascii="Arial" w:hAnsi="Arial" w:cs="Arial"/>
          <w:b/>
          <w:bCs/>
          <w:color w:val="000000"/>
          <w:sz w:val="20"/>
          <w:shd w:val="clear" w:color="auto" w:fill="C5E0B3"/>
        </w:rPr>
        <w:t xml:space="preserve"> 10.7</w:t>
      </w:r>
      <w:r w:rsidR="00904791">
        <w:rPr>
          <w:rFonts w:ascii="Arial" w:hAnsi="Arial" w:cs="Arial"/>
          <w:color w:val="000000"/>
          <w:sz w:val="20"/>
        </w:rPr>
        <w:t>.</w:t>
      </w:r>
    </w:p>
    <w:p w14:paraId="1AB4E108" w14:textId="3ECB4FB0" w:rsidR="00AD117E" w:rsidRDefault="00AD117E" w:rsidP="00134C5C">
      <w:pPr>
        <w:jc w:val="both"/>
        <w:rPr>
          <w:rFonts w:ascii="Arial" w:hAnsi="Arial" w:cs="Arial"/>
          <w:color w:val="000000"/>
          <w:sz w:val="20"/>
        </w:rPr>
      </w:pPr>
    </w:p>
    <w:p w14:paraId="6976528E" w14:textId="0CF0269C" w:rsidR="00FC09A7" w:rsidRDefault="000B0C64" w:rsidP="00134C5C">
      <w:pPr>
        <w:jc w:val="both"/>
        <w:rPr>
          <w:rFonts w:ascii="Arial" w:hAnsi="Arial" w:cs="Arial"/>
          <w:color w:val="000000"/>
          <w:sz w:val="20"/>
        </w:rPr>
      </w:pPr>
      <w:r>
        <w:rPr>
          <w:rFonts w:ascii="Arial" w:hAnsi="Arial" w:cs="Arial"/>
          <w:color w:val="000000"/>
          <w:sz w:val="20"/>
        </w:rPr>
        <w:t>Th</w:t>
      </w:r>
      <w:r w:rsidR="006E1FD7">
        <w:rPr>
          <w:rFonts w:ascii="Arial" w:hAnsi="Arial" w:cs="Arial"/>
          <w:color w:val="000000"/>
          <w:sz w:val="20"/>
        </w:rPr>
        <w:t>is</w:t>
      </w:r>
      <w:r>
        <w:rPr>
          <w:rFonts w:ascii="Arial" w:hAnsi="Arial" w:cs="Arial"/>
          <w:color w:val="000000"/>
          <w:sz w:val="20"/>
        </w:rPr>
        <w:t xml:space="preserve"> </w:t>
      </w:r>
      <w:r w:rsidR="00FC09A7">
        <w:rPr>
          <w:rFonts w:ascii="Arial" w:hAnsi="Arial" w:cs="Arial"/>
          <w:color w:val="000000"/>
          <w:sz w:val="20"/>
        </w:rPr>
        <w:t xml:space="preserve">reducing trend for 10-17 year old offenders continued in 2019/20 when </w:t>
      </w:r>
      <w:r w:rsidR="00DD2910">
        <w:rPr>
          <w:rFonts w:ascii="Arial" w:hAnsi="Arial" w:cs="Arial"/>
          <w:b/>
          <w:bCs/>
          <w:color w:val="000000"/>
          <w:sz w:val="20"/>
        </w:rPr>
        <w:t>1,630</w:t>
      </w:r>
      <w:r w:rsidR="00FC09A7">
        <w:rPr>
          <w:rFonts w:ascii="Arial" w:hAnsi="Arial" w:cs="Arial"/>
          <w:color w:val="000000"/>
          <w:sz w:val="20"/>
        </w:rPr>
        <w:t xml:space="preserve"> were </w:t>
      </w:r>
      <w:r w:rsidR="00110383">
        <w:rPr>
          <w:rFonts w:ascii="Arial" w:hAnsi="Arial" w:cs="Arial"/>
          <w:color w:val="000000"/>
          <w:sz w:val="20"/>
        </w:rPr>
        <w:t>sentenced</w:t>
      </w:r>
      <w:r w:rsidR="00FC09A7">
        <w:rPr>
          <w:rFonts w:ascii="Arial" w:hAnsi="Arial" w:cs="Arial"/>
          <w:color w:val="000000"/>
          <w:sz w:val="20"/>
        </w:rPr>
        <w:t xml:space="preserve"> and </w:t>
      </w:r>
      <w:r w:rsidR="00DD2910">
        <w:rPr>
          <w:rFonts w:ascii="Arial" w:hAnsi="Arial" w:cs="Arial"/>
          <w:b/>
          <w:bCs/>
          <w:color w:val="000000"/>
          <w:sz w:val="20"/>
        </w:rPr>
        <w:t>1,170</w:t>
      </w:r>
      <w:r w:rsidR="00FC09A7">
        <w:rPr>
          <w:rFonts w:ascii="Arial" w:hAnsi="Arial" w:cs="Arial"/>
          <w:color w:val="000000"/>
          <w:sz w:val="20"/>
        </w:rPr>
        <w:t xml:space="preserve"> acknowledged guilt and were placed on diversion.  The reduction intensified in 2020/21 when </w:t>
      </w:r>
      <w:r w:rsidR="00DD2910">
        <w:rPr>
          <w:rFonts w:ascii="Arial" w:hAnsi="Arial" w:cs="Arial"/>
          <w:b/>
          <w:bCs/>
          <w:color w:val="000000"/>
          <w:sz w:val="20"/>
        </w:rPr>
        <w:t>1,213</w:t>
      </w:r>
      <w:r w:rsidR="00FC09A7">
        <w:rPr>
          <w:rFonts w:ascii="Arial" w:hAnsi="Arial" w:cs="Arial"/>
          <w:color w:val="000000"/>
          <w:sz w:val="20"/>
        </w:rPr>
        <w:t xml:space="preserve"> were </w:t>
      </w:r>
      <w:r w:rsidR="00110383">
        <w:rPr>
          <w:rFonts w:ascii="Arial" w:hAnsi="Arial" w:cs="Arial"/>
          <w:color w:val="000000"/>
          <w:sz w:val="20"/>
        </w:rPr>
        <w:t>sentenced</w:t>
      </w:r>
      <w:r w:rsidR="00FC09A7">
        <w:rPr>
          <w:rFonts w:ascii="Arial" w:hAnsi="Arial" w:cs="Arial"/>
          <w:color w:val="000000"/>
          <w:sz w:val="20"/>
        </w:rPr>
        <w:t xml:space="preserve"> and </w:t>
      </w:r>
      <w:r w:rsidR="00DD2910">
        <w:rPr>
          <w:rFonts w:ascii="Arial" w:hAnsi="Arial" w:cs="Arial"/>
          <w:b/>
          <w:bCs/>
          <w:color w:val="000000"/>
          <w:sz w:val="20"/>
        </w:rPr>
        <w:t>1,166</w:t>
      </w:r>
      <w:r w:rsidR="00FC09A7">
        <w:rPr>
          <w:rFonts w:ascii="Arial" w:hAnsi="Arial" w:cs="Arial"/>
          <w:color w:val="000000"/>
          <w:sz w:val="20"/>
        </w:rPr>
        <w:t xml:space="preserve"> acknowledged guilt and were placed on diversion.</w:t>
      </w:r>
    </w:p>
    <w:p w14:paraId="2A3ED6AA" w14:textId="77777777" w:rsidR="00DD2910" w:rsidRDefault="00DD2910" w:rsidP="00134C5C">
      <w:pPr>
        <w:jc w:val="both"/>
        <w:rPr>
          <w:rFonts w:ascii="Arial" w:hAnsi="Arial" w:cs="Arial"/>
          <w:color w:val="000000"/>
          <w:sz w:val="20"/>
        </w:rPr>
      </w:pPr>
    </w:p>
    <w:p w14:paraId="2829AAE0" w14:textId="7E4F1D63" w:rsidR="00FE3D2B" w:rsidRDefault="00AD117E" w:rsidP="00134C5C">
      <w:pPr>
        <w:jc w:val="both"/>
        <w:rPr>
          <w:rFonts w:ascii="Arial" w:hAnsi="Arial" w:cs="Arial"/>
          <w:color w:val="000000"/>
          <w:sz w:val="20"/>
        </w:rPr>
      </w:pPr>
      <w:r>
        <w:rPr>
          <w:rFonts w:ascii="Arial" w:hAnsi="Arial" w:cs="Arial"/>
          <w:color w:val="000000"/>
          <w:sz w:val="20"/>
        </w:rPr>
        <w:t xml:space="preserve">This </w:t>
      </w:r>
      <w:r w:rsidR="00BD7F2A">
        <w:rPr>
          <w:rFonts w:ascii="Arial" w:hAnsi="Arial" w:cs="Arial"/>
          <w:color w:val="000000"/>
          <w:sz w:val="20"/>
        </w:rPr>
        <w:t xml:space="preserve">reduction of </w:t>
      </w:r>
      <w:r w:rsidR="00D7320F">
        <w:rPr>
          <w:rFonts w:ascii="Arial" w:hAnsi="Arial" w:cs="Arial"/>
          <w:color w:val="000000"/>
          <w:sz w:val="20"/>
        </w:rPr>
        <w:t>64</w:t>
      </w:r>
      <w:r w:rsidR="00BE0E05">
        <w:rPr>
          <w:rFonts w:ascii="Arial" w:hAnsi="Arial" w:cs="Arial"/>
          <w:color w:val="000000"/>
          <w:sz w:val="20"/>
        </w:rPr>
        <w:t xml:space="preserve">% in the number of children </w:t>
      </w:r>
      <w:r w:rsidR="00A6233A">
        <w:rPr>
          <w:rFonts w:ascii="Arial" w:hAnsi="Arial" w:cs="Arial"/>
          <w:color w:val="000000"/>
          <w:sz w:val="20"/>
        </w:rPr>
        <w:t>who were processed in the main-stream Criminal Division of the Children’s Court between 2008/09 and 20</w:t>
      </w:r>
      <w:r w:rsidR="006A0484">
        <w:rPr>
          <w:rFonts w:ascii="Arial" w:hAnsi="Arial" w:cs="Arial"/>
          <w:color w:val="000000"/>
          <w:sz w:val="20"/>
        </w:rPr>
        <w:t>20</w:t>
      </w:r>
      <w:r w:rsidR="00A6233A">
        <w:rPr>
          <w:rFonts w:ascii="Arial" w:hAnsi="Arial" w:cs="Arial"/>
          <w:color w:val="000000"/>
          <w:sz w:val="20"/>
        </w:rPr>
        <w:t>/</w:t>
      </w:r>
      <w:r w:rsidR="00110383">
        <w:rPr>
          <w:rFonts w:ascii="Arial" w:hAnsi="Arial" w:cs="Arial"/>
          <w:color w:val="000000"/>
          <w:sz w:val="20"/>
        </w:rPr>
        <w:t>21</w:t>
      </w:r>
      <w:r w:rsidR="00A6233A">
        <w:rPr>
          <w:rFonts w:ascii="Arial" w:hAnsi="Arial" w:cs="Arial"/>
          <w:color w:val="000000"/>
          <w:sz w:val="20"/>
        </w:rPr>
        <w:t xml:space="preserve"> occurred despite an increase in the </w:t>
      </w:r>
      <w:r w:rsidR="00D47C84">
        <w:rPr>
          <w:rFonts w:ascii="Arial" w:hAnsi="Arial" w:cs="Arial"/>
          <w:color w:val="000000"/>
          <w:sz w:val="20"/>
        </w:rPr>
        <w:t xml:space="preserve">demographic of the </w:t>
      </w:r>
      <w:r w:rsidR="00A6233A">
        <w:rPr>
          <w:rFonts w:ascii="Arial" w:hAnsi="Arial" w:cs="Arial"/>
          <w:color w:val="000000"/>
          <w:sz w:val="20"/>
        </w:rPr>
        <w:t>10-17 year old cohort in Victoria during that period.</w:t>
      </w:r>
    </w:p>
    <w:p w14:paraId="56725160" w14:textId="77777777" w:rsidR="00A97C7D" w:rsidRDefault="00A97C7D" w:rsidP="00A97C7D">
      <w:pPr>
        <w:jc w:val="both"/>
        <w:rPr>
          <w:rFonts w:ascii="Arial" w:hAnsi="Arial" w:cs="Arial"/>
          <w:sz w:val="20"/>
          <w:szCs w:val="20"/>
        </w:rPr>
      </w:pPr>
    </w:p>
    <w:p w14:paraId="7AA8AC42" w14:textId="45E4C1BF" w:rsidR="007F7B45" w:rsidRDefault="00DB4527" w:rsidP="00A97C7D">
      <w:pPr>
        <w:jc w:val="both"/>
        <w:rPr>
          <w:rFonts w:ascii="Arial" w:hAnsi="Arial" w:cs="Arial"/>
          <w:sz w:val="20"/>
          <w:szCs w:val="20"/>
        </w:rPr>
      </w:pPr>
      <w:r>
        <w:rPr>
          <w:rFonts w:ascii="Arial" w:hAnsi="Arial" w:cs="Arial"/>
          <w:sz w:val="20"/>
          <w:szCs w:val="20"/>
        </w:rPr>
        <w:t>In 2019/20 t</w:t>
      </w:r>
      <w:r w:rsidR="007F7B45">
        <w:rPr>
          <w:rFonts w:ascii="Arial" w:hAnsi="Arial" w:cs="Arial"/>
          <w:sz w:val="20"/>
          <w:szCs w:val="20"/>
        </w:rPr>
        <w:t xml:space="preserve">he top five offences for which children were found guilty </w:t>
      </w:r>
      <w:r w:rsidR="00110383">
        <w:rPr>
          <w:rFonts w:ascii="Arial" w:hAnsi="Arial" w:cs="Arial"/>
          <w:sz w:val="20"/>
          <w:szCs w:val="20"/>
        </w:rPr>
        <w:t xml:space="preserve">or acknowledged guilt </w:t>
      </w:r>
      <w:r w:rsidR="007F7B45">
        <w:rPr>
          <w:rFonts w:ascii="Arial" w:hAnsi="Arial" w:cs="Arial"/>
          <w:sz w:val="20"/>
          <w:szCs w:val="20"/>
        </w:rPr>
        <w:t>were: (i)</w:t>
      </w:r>
      <w:r w:rsidR="00110383">
        <w:rPr>
          <w:rFonts w:ascii="Arial" w:hAnsi="Arial" w:cs="Arial"/>
          <w:sz w:val="20"/>
          <w:szCs w:val="20"/>
        </w:rPr>
        <w:t> </w:t>
      </w:r>
      <w:r w:rsidR="007F7B45">
        <w:rPr>
          <w:rFonts w:ascii="Arial" w:hAnsi="Arial" w:cs="Arial"/>
          <w:sz w:val="20"/>
          <w:szCs w:val="20"/>
        </w:rPr>
        <w:t>assault; (ii)</w:t>
      </w:r>
      <w:r w:rsidR="0013035F">
        <w:rPr>
          <w:rFonts w:ascii="Arial" w:hAnsi="Arial" w:cs="Arial"/>
          <w:sz w:val="20"/>
          <w:szCs w:val="20"/>
        </w:rPr>
        <w:t xml:space="preserve"> </w:t>
      </w:r>
      <w:r w:rsidR="007F7B45">
        <w:rPr>
          <w:rFonts w:ascii="Arial" w:hAnsi="Arial" w:cs="Arial"/>
          <w:sz w:val="20"/>
          <w:szCs w:val="20"/>
        </w:rPr>
        <w:t>burglary/robbery; (iii) theft; (iv) traffic offences; and (v) property damage.</w:t>
      </w:r>
      <w:r>
        <w:rPr>
          <w:rFonts w:ascii="Arial" w:hAnsi="Arial" w:cs="Arial"/>
          <w:sz w:val="20"/>
          <w:szCs w:val="20"/>
        </w:rPr>
        <w:t xml:space="preserve">  Males comprised 70% of the offenders and females 30%.</w:t>
      </w:r>
    </w:p>
    <w:p w14:paraId="33E55EC2" w14:textId="3471C2CC" w:rsidR="007F7B45" w:rsidRDefault="0020235A" w:rsidP="00A97C7D">
      <w:pPr>
        <w:jc w:val="both"/>
        <w:rPr>
          <w:rFonts w:ascii="Arial" w:hAnsi="Arial" w:cs="Arial"/>
          <w:sz w:val="20"/>
          <w:szCs w:val="20"/>
        </w:rPr>
      </w:pPr>
      <w:r>
        <w:rPr>
          <w:rFonts w:ascii="Arial" w:hAnsi="Arial" w:cs="Arial"/>
          <w:sz w:val="20"/>
          <w:szCs w:val="20"/>
        </w:rPr>
        <w:t xml:space="preserve"> </w:t>
      </w:r>
    </w:p>
    <w:p w14:paraId="5A3F4A63" w14:textId="2CD1F608" w:rsidR="006A0484" w:rsidRPr="00124048" w:rsidRDefault="006A0484" w:rsidP="006A0484">
      <w:pPr>
        <w:jc w:val="both"/>
        <w:rPr>
          <w:rFonts w:ascii="Arial" w:hAnsi="Arial" w:cs="Arial"/>
          <w:color w:val="000000"/>
          <w:sz w:val="20"/>
          <w:szCs w:val="20"/>
        </w:rPr>
      </w:pPr>
      <w:r w:rsidRPr="00124048">
        <w:rPr>
          <w:rFonts w:ascii="Arial" w:hAnsi="Arial" w:cs="Arial"/>
          <w:color w:val="000000"/>
          <w:sz w:val="20"/>
          <w:szCs w:val="20"/>
        </w:rPr>
        <w:t xml:space="preserve">A statutory review </w:t>
      </w:r>
      <w:r>
        <w:rPr>
          <w:rFonts w:ascii="Arial" w:hAnsi="Arial" w:cs="Arial"/>
          <w:color w:val="000000"/>
          <w:sz w:val="20"/>
          <w:szCs w:val="20"/>
        </w:rPr>
        <w:t xml:space="preserve">pursuant to s.492B of the CYFA </w:t>
      </w:r>
      <w:r w:rsidRPr="00124048">
        <w:rPr>
          <w:rFonts w:ascii="Arial" w:hAnsi="Arial" w:cs="Arial"/>
          <w:color w:val="000000"/>
          <w:sz w:val="20"/>
          <w:szCs w:val="20"/>
        </w:rPr>
        <w:t xml:space="preserve">of the </w:t>
      </w:r>
      <w:r w:rsidRPr="00124048">
        <w:rPr>
          <w:rFonts w:ascii="Arial" w:hAnsi="Arial" w:cs="Arial"/>
          <w:i/>
          <w:iCs/>
          <w:color w:val="000000"/>
          <w:sz w:val="20"/>
          <w:szCs w:val="20"/>
        </w:rPr>
        <w:t>Children and Justice Legislation Amendment (Youth Justice Reform) Act 2017</w:t>
      </w:r>
      <w:r>
        <w:rPr>
          <w:rFonts w:ascii="Arial" w:hAnsi="Arial" w:cs="Arial"/>
          <w:color w:val="000000"/>
          <w:sz w:val="20"/>
          <w:szCs w:val="20"/>
        </w:rPr>
        <w:t xml:space="preserve"> </w:t>
      </w:r>
      <w:r w:rsidR="0020235A">
        <w:rPr>
          <w:rFonts w:ascii="Arial" w:hAnsi="Arial" w:cs="Arial"/>
          <w:color w:val="000000"/>
          <w:sz w:val="20"/>
          <w:szCs w:val="20"/>
        </w:rPr>
        <w:t xml:space="preserve">(‘the </w:t>
      </w:r>
      <w:r w:rsidR="0020235A" w:rsidRPr="0020235A">
        <w:rPr>
          <w:rFonts w:ascii="Arial" w:hAnsi="Arial" w:cs="Arial"/>
          <w:i/>
          <w:iCs/>
          <w:color w:val="000000"/>
          <w:sz w:val="20"/>
          <w:szCs w:val="20"/>
        </w:rPr>
        <w:t>YJ Reform Act</w:t>
      </w:r>
      <w:r w:rsidR="0020235A">
        <w:rPr>
          <w:rFonts w:ascii="Arial" w:hAnsi="Arial" w:cs="Arial"/>
          <w:color w:val="000000"/>
          <w:sz w:val="20"/>
          <w:szCs w:val="20"/>
        </w:rPr>
        <w:t xml:space="preserve">’) </w:t>
      </w:r>
      <w:r>
        <w:rPr>
          <w:rFonts w:ascii="Arial" w:hAnsi="Arial" w:cs="Arial"/>
          <w:color w:val="000000"/>
          <w:sz w:val="20"/>
          <w:szCs w:val="20"/>
        </w:rPr>
        <w:t xml:space="preserve">and dated May 2022 </w:t>
      </w:r>
      <w:r w:rsidR="0020235A">
        <w:rPr>
          <w:rFonts w:ascii="Arial" w:hAnsi="Arial" w:cs="Arial"/>
          <w:color w:val="000000"/>
          <w:sz w:val="20"/>
          <w:szCs w:val="20"/>
        </w:rPr>
        <w:t>(‘</w:t>
      </w:r>
      <w:hyperlink r:id="rId36" w:history="1">
        <w:r w:rsidR="0020235A" w:rsidRPr="00E51315">
          <w:rPr>
            <w:rStyle w:val="Hyperlink"/>
            <w:rFonts w:ascii="Arial" w:hAnsi="Arial" w:cs="Arial"/>
            <w:sz w:val="20"/>
            <w:szCs w:val="20"/>
          </w:rPr>
          <w:t>the May 2022 statutory review</w:t>
        </w:r>
      </w:hyperlink>
      <w:r w:rsidR="0020235A">
        <w:rPr>
          <w:rFonts w:ascii="Arial" w:hAnsi="Arial" w:cs="Arial"/>
          <w:color w:val="000000"/>
          <w:sz w:val="20"/>
          <w:szCs w:val="20"/>
        </w:rPr>
        <w:t xml:space="preserve">’) </w:t>
      </w:r>
      <w:r>
        <w:rPr>
          <w:rFonts w:ascii="Arial" w:hAnsi="Arial" w:cs="Arial"/>
          <w:color w:val="000000"/>
          <w:sz w:val="20"/>
          <w:szCs w:val="20"/>
        </w:rPr>
        <w:t>provided at pp.16-2</w:t>
      </w:r>
      <w:r w:rsidR="0013035F">
        <w:rPr>
          <w:rFonts w:ascii="Arial" w:hAnsi="Arial" w:cs="Arial"/>
          <w:color w:val="000000"/>
          <w:sz w:val="20"/>
          <w:szCs w:val="20"/>
        </w:rPr>
        <w:t>0</w:t>
      </w:r>
      <w:r>
        <w:rPr>
          <w:rFonts w:ascii="Arial" w:hAnsi="Arial" w:cs="Arial"/>
          <w:color w:val="000000"/>
          <w:sz w:val="20"/>
          <w:szCs w:val="20"/>
        </w:rPr>
        <w:t xml:space="preserve"> the following analysis of Victorian youth justice trends </w:t>
      </w:r>
      <w:r w:rsidR="009119B9">
        <w:rPr>
          <w:rFonts w:ascii="Arial" w:hAnsi="Arial" w:cs="Arial"/>
          <w:color w:val="000000"/>
          <w:sz w:val="20"/>
          <w:szCs w:val="20"/>
        </w:rPr>
        <w:t>from</w:t>
      </w:r>
      <w:r>
        <w:rPr>
          <w:rFonts w:ascii="Arial" w:hAnsi="Arial" w:cs="Arial"/>
          <w:color w:val="000000"/>
          <w:sz w:val="20"/>
          <w:szCs w:val="20"/>
        </w:rPr>
        <w:t xml:space="preserve"> 201</w:t>
      </w:r>
      <w:r w:rsidR="009119B9">
        <w:rPr>
          <w:rFonts w:ascii="Arial" w:hAnsi="Arial" w:cs="Arial"/>
          <w:color w:val="000000"/>
          <w:sz w:val="20"/>
          <w:szCs w:val="20"/>
        </w:rPr>
        <w:t>0</w:t>
      </w:r>
      <w:r>
        <w:rPr>
          <w:rFonts w:ascii="Arial" w:hAnsi="Arial" w:cs="Arial"/>
          <w:color w:val="000000"/>
          <w:sz w:val="20"/>
          <w:szCs w:val="20"/>
        </w:rPr>
        <w:t>:</w:t>
      </w:r>
    </w:p>
    <w:p w14:paraId="4915B039" w14:textId="27BF25D8" w:rsidR="006A0484" w:rsidRPr="00B246E6" w:rsidRDefault="006A0484" w:rsidP="00591749">
      <w:pPr>
        <w:pStyle w:val="ListParagraph"/>
        <w:numPr>
          <w:ilvl w:val="0"/>
          <w:numId w:val="58"/>
        </w:numPr>
        <w:spacing w:before="60" w:after="0" w:line="240" w:lineRule="auto"/>
        <w:ind w:left="357" w:hanging="357"/>
        <w:jc w:val="both"/>
        <w:rPr>
          <w:rFonts w:ascii="Arial" w:hAnsi="Arial" w:cs="Arial"/>
          <w:color w:val="000000"/>
          <w:sz w:val="20"/>
          <w:szCs w:val="20"/>
        </w:rPr>
      </w:pPr>
      <w:r>
        <w:rPr>
          <w:rFonts w:ascii="Arial" w:hAnsi="Arial" w:cs="Arial"/>
          <w:color w:val="000000"/>
          <w:sz w:val="20"/>
          <w:szCs w:val="20"/>
        </w:rPr>
        <w:t>Between 2010 and 2015 the number of young people sentenc</w:t>
      </w:r>
      <w:r w:rsidR="0020235A">
        <w:rPr>
          <w:rFonts w:ascii="Arial" w:hAnsi="Arial" w:cs="Arial"/>
          <w:color w:val="000000"/>
          <w:sz w:val="20"/>
          <w:szCs w:val="20"/>
        </w:rPr>
        <w:t>ed</w:t>
      </w:r>
      <w:r>
        <w:rPr>
          <w:rFonts w:ascii="Arial" w:hAnsi="Arial" w:cs="Arial"/>
          <w:color w:val="000000"/>
          <w:sz w:val="20"/>
          <w:szCs w:val="20"/>
        </w:rPr>
        <w:t xml:space="preserve"> in the ChCV decreased by 43%.</w:t>
      </w:r>
    </w:p>
    <w:p w14:paraId="60166900" w14:textId="0B3B7201" w:rsidR="006A0484" w:rsidRPr="00B246E6" w:rsidRDefault="006A0484" w:rsidP="00591749">
      <w:pPr>
        <w:pStyle w:val="ListParagraph"/>
        <w:numPr>
          <w:ilvl w:val="0"/>
          <w:numId w:val="58"/>
        </w:numPr>
        <w:spacing w:before="60" w:after="0" w:line="240" w:lineRule="auto"/>
        <w:ind w:left="357" w:hanging="357"/>
        <w:jc w:val="both"/>
        <w:rPr>
          <w:rFonts w:ascii="Arial" w:hAnsi="Arial" w:cs="Arial"/>
          <w:color w:val="000000"/>
          <w:sz w:val="20"/>
          <w:szCs w:val="20"/>
        </w:rPr>
      </w:pPr>
      <w:r w:rsidRPr="00B246E6">
        <w:rPr>
          <w:rFonts w:ascii="Arial" w:hAnsi="Arial" w:cs="Arial"/>
          <w:sz w:val="20"/>
          <w:szCs w:val="20"/>
        </w:rPr>
        <w:t>Over the five years to 2016</w:t>
      </w:r>
      <w:r>
        <w:rPr>
          <w:rFonts w:ascii="Arial" w:hAnsi="Arial" w:cs="Arial"/>
          <w:sz w:val="20"/>
          <w:szCs w:val="20"/>
        </w:rPr>
        <w:t>/</w:t>
      </w:r>
      <w:r w:rsidRPr="00B246E6">
        <w:rPr>
          <w:rFonts w:ascii="Arial" w:hAnsi="Arial" w:cs="Arial"/>
          <w:sz w:val="20"/>
          <w:szCs w:val="20"/>
        </w:rPr>
        <w:t>17, the number of young people under supervision on an average day fell by 22</w:t>
      </w:r>
      <w:r w:rsidR="005E3844">
        <w:rPr>
          <w:rFonts w:ascii="Arial" w:hAnsi="Arial" w:cs="Arial"/>
          <w:sz w:val="20"/>
          <w:szCs w:val="20"/>
        </w:rPr>
        <w:t>%</w:t>
      </w:r>
      <w:r w:rsidRPr="00B246E6">
        <w:rPr>
          <w:rFonts w:ascii="Arial" w:hAnsi="Arial" w:cs="Arial"/>
          <w:sz w:val="20"/>
          <w:szCs w:val="20"/>
        </w:rPr>
        <w:t>, while the rate for those aged 10–17 fell from 16 to 13 per 10,000.</w:t>
      </w:r>
      <w:r>
        <w:rPr>
          <w:rFonts w:ascii="Arial" w:hAnsi="Arial" w:cs="Arial"/>
          <w:sz w:val="20"/>
          <w:szCs w:val="20"/>
        </w:rPr>
        <w:t xml:space="preserve">  </w:t>
      </w:r>
      <w:r w:rsidRPr="006A0484">
        <w:rPr>
          <w:rFonts w:ascii="Arial" w:hAnsi="Arial" w:cs="Arial"/>
          <w:sz w:val="20"/>
          <w:szCs w:val="20"/>
        </w:rPr>
        <w:t>At the same time, there was an increase in the number of convicted young people aged 10–17 years who were responsible for a disproportionate number of incidents of offending in the community, with increases in the number of individual young people who were responsible for multiple incidents of offending.</w:t>
      </w:r>
    </w:p>
    <w:p w14:paraId="15D0F78E" w14:textId="3446B868" w:rsidR="006A0484" w:rsidRPr="00B246E6" w:rsidRDefault="006A0484" w:rsidP="00591749">
      <w:pPr>
        <w:pStyle w:val="ListParagraph"/>
        <w:numPr>
          <w:ilvl w:val="0"/>
          <w:numId w:val="58"/>
        </w:numPr>
        <w:spacing w:before="60" w:after="0" w:line="240" w:lineRule="auto"/>
        <w:ind w:left="357" w:hanging="357"/>
        <w:jc w:val="both"/>
        <w:rPr>
          <w:rFonts w:ascii="Arial" w:hAnsi="Arial" w:cs="Arial"/>
          <w:color w:val="000000"/>
          <w:sz w:val="20"/>
          <w:szCs w:val="20"/>
        </w:rPr>
      </w:pPr>
      <w:r w:rsidRPr="006A0484">
        <w:rPr>
          <w:rFonts w:ascii="Arial" w:hAnsi="Arial" w:cs="Arial"/>
          <w:sz w:val="20"/>
          <w:szCs w:val="20"/>
        </w:rPr>
        <w:t xml:space="preserve">In 2016 and 2017 there were a number of high-profile incidents in the community and in youth justice facilities which increased community concerns about youth crime. In July 2017, the Armytage and Ogloff Youth Justice Review reported that Victoria had the highest recorded rates of assaults in custody compared with other Australian jurisdictions. </w:t>
      </w:r>
      <w:r>
        <w:rPr>
          <w:rFonts w:ascii="Arial" w:hAnsi="Arial" w:cs="Arial"/>
          <w:sz w:val="20"/>
          <w:szCs w:val="20"/>
        </w:rPr>
        <w:t xml:space="preserve"> </w:t>
      </w:r>
      <w:r w:rsidRPr="006A0484">
        <w:rPr>
          <w:rFonts w:ascii="Arial" w:hAnsi="Arial" w:cs="Arial"/>
          <w:sz w:val="20"/>
          <w:szCs w:val="20"/>
        </w:rPr>
        <w:t xml:space="preserve">In the general community, there was also a sense of growing concern about youth crime. The Armytage and Ogloff Youth Justice Review in 2017 noted </w:t>
      </w:r>
      <w:r w:rsidR="005E3844">
        <w:rPr>
          <w:rFonts w:ascii="Arial" w:hAnsi="Arial" w:cs="Arial"/>
          <w:sz w:val="20"/>
          <w:szCs w:val="20"/>
        </w:rPr>
        <w:t>“</w:t>
      </w:r>
      <w:r w:rsidRPr="006A0484">
        <w:rPr>
          <w:rFonts w:ascii="Arial" w:hAnsi="Arial" w:cs="Arial"/>
          <w:sz w:val="20"/>
          <w:szCs w:val="20"/>
        </w:rPr>
        <w:t>the constant and high volume of media attention on violent crime</w:t>
      </w:r>
      <w:r w:rsidR="005E3844">
        <w:rPr>
          <w:rFonts w:ascii="Arial" w:hAnsi="Arial" w:cs="Arial"/>
          <w:sz w:val="20"/>
          <w:szCs w:val="20"/>
        </w:rPr>
        <w:t>”</w:t>
      </w:r>
      <w:r w:rsidRPr="006A0484">
        <w:rPr>
          <w:rFonts w:ascii="Arial" w:hAnsi="Arial" w:cs="Arial"/>
          <w:sz w:val="20"/>
          <w:szCs w:val="20"/>
        </w:rPr>
        <w:t>.</w:t>
      </w:r>
      <w:r>
        <w:rPr>
          <w:rFonts w:ascii="Arial" w:hAnsi="Arial" w:cs="Arial"/>
          <w:sz w:val="20"/>
          <w:szCs w:val="20"/>
        </w:rPr>
        <w:t xml:space="preserve">  However, s</w:t>
      </w:r>
      <w:r w:rsidRPr="006A0484">
        <w:rPr>
          <w:rFonts w:ascii="Arial" w:hAnsi="Arial" w:cs="Arial"/>
          <w:sz w:val="20"/>
          <w:szCs w:val="20"/>
        </w:rPr>
        <w:t>ince 2017, there has been a steady reduction in the rate of offending by children and young people in Victoria</w:t>
      </w:r>
      <w:r>
        <w:rPr>
          <w:rFonts w:ascii="Arial" w:hAnsi="Arial" w:cs="Arial"/>
          <w:sz w:val="20"/>
          <w:szCs w:val="20"/>
        </w:rPr>
        <w:t xml:space="preserve"> as the following chart</w:t>
      </w:r>
      <w:r w:rsidR="00885E49">
        <w:rPr>
          <w:rFonts w:ascii="Arial" w:hAnsi="Arial" w:cs="Arial"/>
          <w:sz w:val="20"/>
          <w:szCs w:val="20"/>
        </w:rPr>
        <w:t>s</w:t>
      </w:r>
      <w:r>
        <w:rPr>
          <w:rFonts w:ascii="Arial" w:hAnsi="Arial" w:cs="Arial"/>
          <w:sz w:val="20"/>
          <w:szCs w:val="20"/>
        </w:rPr>
        <w:t xml:space="preserve"> show</w:t>
      </w:r>
      <w:r w:rsidR="00885E49">
        <w:rPr>
          <w:rFonts w:ascii="Arial" w:hAnsi="Arial" w:cs="Arial"/>
          <w:sz w:val="20"/>
          <w:szCs w:val="20"/>
        </w:rPr>
        <w:t>:</w:t>
      </w:r>
    </w:p>
    <w:p w14:paraId="1AF127C5" w14:textId="0CB5CEB7" w:rsidR="006A0484" w:rsidRPr="006A0484" w:rsidRDefault="006A0484" w:rsidP="006A0484">
      <w:pPr>
        <w:spacing w:after="138"/>
        <w:ind w:left="-5" w:right="11"/>
        <w:rPr>
          <w:rFonts w:ascii="Arial" w:hAnsi="Arial" w:cs="Arial"/>
          <w:sz w:val="20"/>
          <w:szCs w:val="20"/>
        </w:rPr>
      </w:pPr>
    </w:p>
    <w:p w14:paraId="4FE0A624" w14:textId="5C608FC8" w:rsidR="006A0484" w:rsidRDefault="006A0484" w:rsidP="00885E49">
      <w:pPr>
        <w:jc w:val="center"/>
      </w:pPr>
      <w:r>
        <w:rPr>
          <w:rFonts w:ascii="Arial" w:eastAsia="Arial" w:hAnsi="Arial" w:cs="Arial"/>
          <w:i/>
        </w:rPr>
        <w:t>Youth offending 2016–21 (10–17 year olds): Crimes against the person and property and deception offences</w:t>
      </w:r>
    </w:p>
    <w:p w14:paraId="78528786" w14:textId="34FAAD70" w:rsidR="006A0484" w:rsidRDefault="006A0484" w:rsidP="006A0484">
      <w:pPr>
        <w:spacing w:after="51" w:line="259" w:lineRule="auto"/>
      </w:pPr>
    </w:p>
    <w:p w14:paraId="7AA860A0" w14:textId="77777777" w:rsidR="006A0484" w:rsidRDefault="006A0484" w:rsidP="006A0484">
      <w:pPr>
        <w:spacing w:after="459" w:line="259" w:lineRule="auto"/>
        <w:ind w:left="129"/>
      </w:pPr>
      <w:r>
        <w:rPr>
          <w:rFonts w:ascii="Calibri" w:eastAsia="Calibri" w:hAnsi="Calibri" w:cs="Calibri"/>
          <w:noProof/>
        </w:rPr>
        <mc:AlternateContent>
          <mc:Choice Requires="wpg">
            <w:drawing>
              <wp:inline distT="0" distB="0" distL="0" distR="0" wp14:anchorId="4A7C70F3" wp14:editId="54E75A50">
                <wp:extent cx="5796000" cy="1383856"/>
                <wp:effectExtent l="0" t="0" r="14605" b="0"/>
                <wp:docPr id="249094" name="Group 249094"/>
                <wp:cNvGraphicFramePr/>
                <a:graphic xmlns:a="http://schemas.openxmlformats.org/drawingml/2006/main">
                  <a:graphicData uri="http://schemas.microsoft.com/office/word/2010/wordprocessingGroup">
                    <wpg:wgp>
                      <wpg:cNvGrpSpPr/>
                      <wpg:grpSpPr>
                        <a:xfrm>
                          <a:off x="0" y="0"/>
                          <a:ext cx="5796000" cy="1383856"/>
                          <a:chOff x="0" y="0"/>
                          <a:chExt cx="6348654" cy="1383856"/>
                        </a:xfrm>
                      </wpg:grpSpPr>
                      <wps:wsp>
                        <wps:cNvPr id="3505" name="Shape 3505"/>
                        <wps:cNvSpPr/>
                        <wps:spPr>
                          <a:xfrm>
                            <a:off x="447789" y="1323531"/>
                            <a:ext cx="5900865" cy="0"/>
                          </a:xfrm>
                          <a:custGeom>
                            <a:avLst/>
                            <a:gdLst/>
                            <a:ahLst/>
                            <a:cxnLst/>
                            <a:rect l="0" t="0" r="0" b="0"/>
                            <a:pathLst>
                              <a:path w="5900865">
                                <a:moveTo>
                                  <a:pt x="0" y="0"/>
                                </a:moveTo>
                                <a:lnTo>
                                  <a:pt x="590086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06" name="Shape 3506"/>
                        <wps:cNvSpPr/>
                        <wps:spPr>
                          <a:xfrm>
                            <a:off x="447789" y="904431"/>
                            <a:ext cx="5900865" cy="0"/>
                          </a:xfrm>
                          <a:custGeom>
                            <a:avLst/>
                            <a:gdLst/>
                            <a:ahLst/>
                            <a:cxnLst/>
                            <a:rect l="0" t="0" r="0" b="0"/>
                            <a:pathLst>
                              <a:path w="5900865">
                                <a:moveTo>
                                  <a:pt x="0" y="0"/>
                                </a:moveTo>
                                <a:lnTo>
                                  <a:pt x="590086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07" name="Shape 3507"/>
                        <wps:cNvSpPr/>
                        <wps:spPr>
                          <a:xfrm>
                            <a:off x="447789" y="485331"/>
                            <a:ext cx="5900865" cy="0"/>
                          </a:xfrm>
                          <a:custGeom>
                            <a:avLst/>
                            <a:gdLst/>
                            <a:ahLst/>
                            <a:cxnLst/>
                            <a:rect l="0" t="0" r="0" b="0"/>
                            <a:pathLst>
                              <a:path w="5900865">
                                <a:moveTo>
                                  <a:pt x="0" y="0"/>
                                </a:moveTo>
                                <a:lnTo>
                                  <a:pt x="590086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08" name="Shape 3508"/>
                        <wps:cNvSpPr/>
                        <wps:spPr>
                          <a:xfrm>
                            <a:off x="447789" y="66231"/>
                            <a:ext cx="5900865" cy="0"/>
                          </a:xfrm>
                          <a:custGeom>
                            <a:avLst/>
                            <a:gdLst/>
                            <a:ahLst/>
                            <a:cxnLst/>
                            <a:rect l="0" t="0" r="0" b="0"/>
                            <a:pathLst>
                              <a:path w="5900865">
                                <a:moveTo>
                                  <a:pt x="0" y="0"/>
                                </a:moveTo>
                                <a:lnTo>
                                  <a:pt x="5900865"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11" name="Shape 3511"/>
                        <wps:cNvSpPr/>
                        <wps:spPr>
                          <a:xfrm>
                            <a:off x="1037895" y="967804"/>
                            <a:ext cx="4720717" cy="162687"/>
                          </a:xfrm>
                          <a:custGeom>
                            <a:avLst/>
                            <a:gdLst/>
                            <a:ahLst/>
                            <a:cxnLst/>
                            <a:rect l="0" t="0" r="0" b="0"/>
                            <a:pathLst>
                              <a:path w="4720717" h="162687">
                                <a:moveTo>
                                  <a:pt x="0" y="136271"/>
                                </a:moveTo>
                                <a:lnTo>
                                  <a:pt x="1179830" y="116459"/>
                                </a:lnTo>
                                <a:lnTo>
                                  <a:pt x="2360930" y="87503"/>
                                </a:lnTo>
                                <a:lnTo>
                                  <a:pt x="3540506" y="0"/>
                                </a:lnTo>
                                <a:lnTo>
                                  <a:pt x="4720717" y="162687"/>
                                </a:lnTo>
                              </a:path>
                            </a:pathLst>
                          </a:custGeom>
                          <a:ln w="28575" cap="rnd">
                            <a:round/>
                          </a:ln>
                        </wps:spPr>
                        <wps:style>
                          <a:lnRef idx="1">
                            <a:srgbClr val="007DC3"/>
                          </a:lnRef>
                          <a:fillRef idx="0">
                            <a:srgbClr val="000000">
                              <a:alpha val="0"/>
                            </a:srgbClr>
                          </a:fillRef>
                          <a:effectRef idx="0">
                            <a:scrgbClr r="0" g="0" b="0"/>
                          </a:effectRef>
                          <a:fontRef idx="none"/>
                        </wps:style>
                        <wps:bodyPr/>
                      </wps:wsp>
                      <wps:wsp>
                        <wps:cNvPr id="3512" name="Shape 3512"/>
                        <wps:cNvSpPr/>
                        <wps:spPr>
                          <a:xfrm>
                            <a:off x="1037895" y="33592"/>
                            <a:ext cx="4720717" cy="705739"/>
                          </a:xfrm>
                          <a:custGeom>
                            <a:avLst/>
                            <a:gdLst/>
                            <a:ahLst/>
                            <a:cxnLst/>
                            <a:rect l="0" t="0" r="0" b="0"/>
                            <a:pathLst>
                              <a:path w="4720717" h="705739">
                                <a:moveTo>
                                  <a:pt x="0" y="0"/>
                                </a:moveTo>
                                <a:lnTo>
                                  <a:pt x="1179830" y="358775"/>
                                </a:lnTo>
                                <a:lnTo>
                                  <a:pt x="2360930" y="369443"/>
                                </a:lnTo>
                                <a:lnTo>
                                  <a:pt x="3540506" y="331343"/>
                                </a:lnTo>
                                <a:lnTo>
                                  <a:pt x="4720717" y="705739"/>
                                </a:lnTo>
                              </a:path>
                            </a:pathLst>
                          </a:custGeom>
                          <a:ln w="28575" cap="rnd">
                            <a:round/>
                          </a:ln>
                        </wps:spPr>
                        <wps:style>
                          <a:lnRef idx="1">
                            <a:srgbClr val="00529B"/>
                          </a:lnRef>
                          <a:fillRef idx="0">
                            <a:srgbClr val="000000">
                              <a:alpha val="0"/>
                            </a:srgbClr>
                          </a:fillRef>
                          <a:effectRef idx="0">
                            <a:scrgbClr r="0" g="0" b="0"/>
                          </a:effectRef>
                          <a:fontRef idx="none"/>
                        </wps:style>
                        <wps:bodyPr/>
                      </wps:wsp>
                      <wps:wsp>
                        <wps:cNvPr id="3514" name="Rectangle 3514"/>
                        <wps:cNvSpPr/>
                        <wps:spPr>
                          <a:xfrm>
                            <a:off x="63703" y="1256411"/>
                            <a:ext cx="380223" cy="169502"/>
                          </a:xfrm>
                          <a:prstGeom prst="rect">
                            <a:avLst/>
                          </a:prstGeom>
                          <a:ln>
                            <a:noFill/>
                          </a:ln>
                        </wps:spPr>
                        <wps:txbx>
                          <w:txbxContent>
                            <w:p w14:paraId="2B8B7F03" w14:textId="77777777" w:rsidR="006A0484" w:rsidRDefault="006A0484" w:rsidP="006A0484">
                              <w:pPr>
                                <w:spacing w:after="160" w:line="259" w:lineRule="auto"/>
                              </w:pPr>
                              <w:r>
                                <w:rPr>
                                  <w:color w:val="595959"/>
                                  <w:sz w:val="18"/>
                                </w:rPr>
                                <w:t>5,000</w:t>
                              </w:r>
                            </w:p>
                          </w:txbxContent>
                        </wps:txbx>
                        <wps:bodyPr horzOverflow="overflow" vert="horz" lIns="0" tIns="0" rIns="0" bIns="0" rtlCol="0">
                          <a:noAutofit/>
                        </wps:bodyPr>
                      </wps:wsp>
                      <wps:wsp>
                        <wps:cNvPr id="3515" name="Rectangle 3515"/>
                        <wps:cNvSpPr/>
                        <wps:spPr>
                          <a:xfrm>
                            <a:off x="0" y="837565"/>
                            <a:ext cx="465178" cy="169502"/>
                          </a:xfrm>
                          <a:prstGeom prst="rect">
                            <a:avLst/>
                          </a:prstGeom>
                          <a:ln>
                            <a:noFill/>
                          </a:ln>
                        </wps:spPr>
                        <wps:txbx>
                          <w:txbxContent>
                            <w:p w14:paraId="21945D59" w14:textId="77777777" w:rsidR="006A0484" w:rsidRDefault="006A0484" w:rsidP="006A0484">
                              <w:pPr>
                                <w:spacing w:after="160" w:line="259" w:lineRule="auto"/>
                              </w:pPr>
                              <w:r>
                                <w:rPr>
                                  <w:color w:val="595959"/>
                                  <w:sz w:val="18"/>
                                </w:rPr>
                                <w:t>10,000</w:t>
                              </w:r>
                            </w:p>
                          </w:txbxContent>
                        </wps:txbx>
                        <wps:bodyPr horzOverflow="overflow" vert="horz" lIns="0" tIns="0" rIns="0" bIns="0" rtlCol="0">
                          <a:noAutofit/>
                        </wps:bodyPr>
                      </wps:wsp>
                      <wps:wsp>
                        <wps:cNvPr id="3516" name="Rectangle 3516"/>
                        <wps:cNvSpPr/>
                        <wps:spPr>
                          <a:xfrm>
                            <a:off x="0" y="418719"/>
                            <a:ext cx="465178" cy="169502"/>
                          </a:xfrm>
                          <a:prstGeom prst="rect">
                            <a:avLst/>
                          </a:prstGeom>
                          <a:ln>
                            <a:noFill/>
                          </a:ln>
                        </wps:spPr>
                        <wps:txbx>
                          <w:txbxContent>
                            <w:p w14:paraId="53CDEF34" w14:textId="77777777" w:rsidR="006A0484" w:rsidRDefault="006A0484" w:rsidP="006A0484">
                              <w:pPr>
                                <w:spacing w:after="160" w:line="259" w:lineRule="auto"/>
                              </w:pPr>
                              <w:r>
                                <w:rPr>
                                  <w:color w:val="595959"/>
                                  <w:sz w:val="18"/>
                                </w:rPr>
                                <w:t>15,000</w:t>
                              </w:r>
                            </w:p>
                          </w:txbxContent>
                        </wps:txbx>
                        <wps:bodyPr horzOverflow="overflow" vert="horz" lIns="0" tIns="0" rIns="0" bIns="0" rtlCol="0">
                          <a:noAutofit/>
                        </wps:bodyPr>
                      </wps:wsp>
                      <wps:wsp>
                        <wps:cNvPr id="3517" name="Rectangle 3517"/>
                        <wps:cNvSpPr/>
                        <wps:spPr>
                          <a:xfrm>
                            <a:off x="0" y="0"/>
                            <a:ext cx="465178" cy="169502"/>
                          </a:xfrm>
                          <a:prstGeom prst="rect">
                            <a:avLst/>
                          </a:prstGeom>
                          <a:ln>
                            <a:noFill/>
                          </a:ln>
                        </wps:spPr>
                        <wps:txbx>
                          <w:txbxContent>
                            <w:p w14:paraId="1E5E8FDC" w14:textId="77777777" w:rsidR="006A0484" w:rsidRDefault="006A0484" w:rsidP="006A0484">
                              <w:pPr>
                                <w:spacing w:after="160" w:line="259" w:lineRule="auto"/>
                              </w:pPr>
                              <w:r>
                                <w:rPr>
                                  <w:color w:val="595959"/>
                                  <w:sz w:val="18"/>
                                </w:rPr>
                                <w:t>20,000</w:t>
                              </w:r>
                            </w:p>
                          </w:txbxContent>
                        </wps:txbx>
                        <wps:bodyPr horzOverflow="overflow" vert="horz" lIns="0" tIns="0" rIns="0" bIns="0" rtlCol="0">
                          <a:noAutofit/>
                        </wps:bodyPr>
                      </wps:wsp>
                    </wpg:wgp>
                  </a:graphicData>
                </a:graphic>
              </wp:inline>
            </w:drawing>
          </mc:Choice>
          <mc:Fallback>
            <w:pict>
              <v:group w14:anchorId="4A7C70F3" id="Group 249094" o:spid="_x0000_s1027" style="width:456.4pt;height:108.95pt;mso-position-horizontal-relative:char;mso-position-vertical-relative:line" coordsize="63486,13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">
                <v:shape id="Shape 3505" o:spid="_x0000_s1028" style="position:absolute;left:4477;top:13235;width:59009;height:0;visibility:visible;mso-wrap-style:square;v-text-anchor:top" coordsize="5900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" path="m,l5900865,e" filled="f" strokecolor="#d9d9d9">
                  <v:path arrowok="t" textboxrect="0,0,5900865,0"/>
                </v:shape>
                <v:shape id="Shape 3506" o:spid="_x0000_s1029" style="position:absolute;left:4477;top:9044;width:59009;height:0;visibility:visible;mso-wrap-style:square;v-text-anchor:top" coordsize="5900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" path="m,l5900865,e" filled="f" strokecolor="#d9d9d9">
                  <v:path arrowok="t" textboxrect="0,0,5900865,0"/>
                </v:shape>
                <v:shape id="Shape 3507" o:spid="_x0000_s1030" style="position:absolute;left:4477;top:4853;width:59009;height:0;visibility:visible;mso-wrap-style:square;v-text-anchor:top" coordsize="5900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" path="m,l5900865,e" filled="f" strokecolor="#d9d9d9">
                  <v:path arrowok="t" textboxrect="0,0,5900865,0"/>
                </v:shape>
                <v:shape id="Shape 3508" o:spid="_x0000_s1031" style="position:absolute;left:4477;top:662;width:59009;height:0;visibility:visible;mso-wrap-style:square;v-text-anchor:top" coordsize="5900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" path="m,l5900865,e" filled="f" strokecolor="#d9d9d9">
                  <v:path arrowok="t" textboxrect="0,0,5900865,0"/>
                </v:shape>
                <v:shape id="Shape 3511" o:spid="_x0000_s1032" style="position:absolute;left:10378;top:9678;width:47208;height:1626;visibility:visible;mso-wrap-style:square;v-text-anchor:top" coordsize="4720717,1626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" path="m,136271l1179830,116459,2360930,87503,3540506,,4720717,162687e" filled="f" strokecolor="#007dc3" strokeweight="2.25pt">
                  <v:stroke endcap="round"/>
                  <v:path arrowok="t" textboxrect="0,0,4720717,162687"/>
                </v:shape>
                <v:shape id="Shape 3512" o:spid="_x0000_s1033" style="position:absolute;left:10378;top:335;width:47208;height:7058;visibility:visible;mso-wrap-style:square;v-text-anchor:top" coordsize="4720717,705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" path="m,l1179830,358775r1181100,10668l3540506,331343,4720717,705739e" filled="f" strokecolor="#00529b" strokeweight="2.25pt">
                  <v:stroke endcap="round"/>
                  <v:path arrowok="t" textboxrect="0,0,4720717,705739"/>
                </v:shape>
                <v:rect id="Rectangle 3514" o:spid="_x0000_s1034" style="position:absolute;left:637;top:12564;width:380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" filled="f" stroked="f">
                  <v:textbox inset="0,0,0,0">
                    <w:txbxContent>
                      <w:p w14:paraId="2B8B7F03" w14:textId="77777777" w:rsidR="006A0484" w:rsidRDefault="006A0484" w:rsidP="006A0484">
                        <w:pPr>
                          <w:spacing w:after="160" w:line="259" w:lineRule="auto"/>
                        </w:pPr>
                        <w:r>
                          <w:rPr>
                            <w:color w:val="595959"/>
                            <w:sz w:val="18"/>
                          </w:rPr>
                          <w:t>5,000</w:t>
                        </w:r>
                      </w:p>
                    </w:txbxContent>
                  </v:textbox>
                </v:rect>
                <v:rect id="Rectangle 3515" o:spid="_x0000_s1035" style="position:absolute;top:8375;width:465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" filled="f" stroked="f">
                  <v:textbox inset="0,0,0,0">
                    <w:txbxContent>
                      <w:p w14:paraId="21945D59" w14:textId="77777777" w:rsidR="006A0484" w:rsidRDefault="006A0484" w:rsidP="006A0484">
                        <w:pPr>
                          <w:spacing w:after="160" w:line="259" w:lineRule="auto"/>
                        </w:pPr>
                        <w:r>
                          <w:rPr>
                            <w:color w:val="595959"/>
                            <w:sz w:val="18"/>
                          </w:rPr>
                          <w:t>10,000</w:t>
                        </w:r>
                      </w:p>
                    </w:txbxContent>
                  </v:textbox>
                </v:rect>
                <v:rect id="Rectangle 3516" o:spid="_x0000_s1036" style="position:absolute;top:4187;width:465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" filled="f" stroked="f">
                  <v:textbox inset="0,0,0,0">
                    <w:txbxContent>
                      <w:p w14:paraId="53CDEF34" w14:textId="77777777" w:rsidR="006A0484" w:rsidRDefault="006A0484" w:rsidP="006A0484">
                        <w:pPr>
                          <w:spacing w:after="160" w:line="259" w:lineRule="auto"/>
                        </w:pPr>
                        <w:r>
                          <w:rPr>
                            <w:color w:val="595959"/>
                            <w:sz w:val="18"/>
                          </w:rPr>
                          <w:t>15,000</w:t>
                        </w:r>
                      </w:p>
                    </w:txbxContent>
                  </v:textbox>
                </v:rect>
                <v:rect id="Rectangle 3517" o:spid="_x0000_s1037" style="position:absolute;width:4651;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" filled="f" stroked="f">
                  <v:textbox inset="0,0,0,0">
                    <w:txbxContent>
                      <w:p w14:paraId="1E5E8FDC" w14:textId="77777777" w:rsidR="006A0484" w:rsidRDefault="006A0484" w:rsidP="006A0484">
                        <w:pPr>
                          <w:spacing w:after="160" w:line="259" w:lineRule="auto"/>
                        </w:pPr>
                        <w:r>
                          <w:rPr>
                            <w:color w:val="595959"/>
                            <w:sz w:val="18"/>
                          </w:rPr>
                          <w:t>20,000</w:t>
                        </w:r>
                      </w:p>
                    </w:txbxContent>
                  </v:textbox>
                </v:rect>
                <w10:anchorlock/>
              </v:group>
            </w:pict>
          </mc:Fallback>
        </mc:AlternateContent>
      </w:r>
    </w:p>
    <w:p w14:paraId="288FE1E6" w14:textId="0FDC765C" w:rsidR="006A0484" w:rsidRDefault="006A0484" w:rsidP="006A0484">
      <w:pPr>
        <w:tabs>
          <w:tab w:val="center" w:pos="630"/>
          <w:tab w:val="center" w:pos="5481"/>
        </w:tabs>
        <w:spacing w:line="265" w:lineRule="auto"/>
      </w:pPr>
      <w:r>
        <w:rPr>
          <w:rFonts w:ascii="Calibri" w:eastAsia="Calibri" w:hAnsi="Calibri" w:cs="Calibri"/>
          <w:sz w:val="22"/>
        </w:rPr>
        <w:tab/>
      </w:r>
      <w:r>
        <w:rPr>
          <w:color w:val="595959"/>
          <w:sz w:val="18"/>
        </w:rPr>
        <w:t>0</w:t>
      </w:r>
      <w:r>
        <w:rPr>
          <w:rFonts w:ascii="Calibri" w:eastAsia="Calibri" w:hAnsi="Calibri" w:cs="Calibri"/>
          <w:noProof/>
        </w:rPr>
        <mc:AlternateContent>
          <mc:Choice Requires="wpg">
            <w:drawing>
              <wp:inline distT="0" distB="0" distL="0" distR="0" wp14:anchorId="36FA0E7E" wp14:editId="320ACF4A">
                <wp:extent cx="5900865" cy="9525"/>
                <wp:effectExtent l="0" t="0" r="0" b="0"/>
                <wp:docPr id="249097" name="Group 249097"/>
                <wp:cNvGraphicFramePr/>
                <a:graphic xmlns:a="http://schemas.openxmlformats.org/drawingml/2006/main">
                  <a:graphicData uri="http://schemas.microsoft.com/office/word/2010/wordprocessingGroup">
                    <wpg:wgp>
                      <wpg:cNvGrpSpPr/>
                      <wpg:grpSpPr>
                        <a:xfrm>
                          <a:off x="0" y="0"/>
                          <a:ext cx="5900865" cy="9525"/>
                          <a:chOff x="0" y="0"/>
                          <a:chExt cx="5900865" cy="9525"/>
                        </a:xfrm>
                      </wpg:grpSpPr>
                      <wps:wsp>
                        <wps:cNvPr id="3510" name="Shape 3510"/>
                        <wps:cNvSpPr/>
                        <wps:spPr>
                          <a:xfrm>
                            <a:off x="0" y="0"/>
                            <a:ext cx="5900865" cy="0"/>
                          </a:xfrm>
                          <a:custGeom>
                            <a:avLst/>
                            <a:gdLst/>
                            <a:ahLst/>
                            <a:cxnLst/>
                            <a:rect l="0" t="0" r="0" b="0"/>
                            <a:pathLst>
                              <a:path w="5900865">
                                <a:moveTo>
                                  <a:pt x="0" y="0"/>
                                </a:moveTo>
                                <a:lnTo>
                                  <a:pt x="5900865" y="0"/>
                                </a:lnTo>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075E92AE" id="Group 249097" o:spid="_x0000_s1026" style="width:464.65pt;height:.75pt;mso-position-horizontal-relative:char;mso-position-vertical-relative:line" coordsize="5900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">
                <v:shape id="Shape 3510" o:spid="_x0000_s1027" style="position:absolute;width:59008;height:0;visibility:visible;mso-wrap-style:square;v-text-anchor:top" coordsize="59008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" path="m,l5900865,e" filled="f" strokecolor="#d9d9d9">
                  <v:path arrowok="t" textboxrect="0,0,5900865,0"/>
                </v:shape>
                <w10:anchorlock/>
              </v:group>
            </w:pict>
          </mc:Fallback>
        </mc:AlternateContent>
      </w:r>
    </w:p>
    <w:p w14:paraId="32D9ED20" w14:textId="77777777" w:rsidR="006A0484" w:rsidRDefault="006A0484" w:rsidP="00087105">
      <w:pPr>
        <w:ind w:left="680"/>
        <w:jc w:val="center"/>
      </w:pPr>
      <w:r>
        <w:rPr>
          <w:color w:val="595959"/>
          <w:sz w:val="18"/>
        </w:rPr>
        <w:t>Jul 2016–Jun 2017</w:t>
      </w:r>
      <w:r>
        <w:rPr>
          <w:color w:val="595959"/>
          <w:sz w:val="18"/>
        </w:rPr>
        <w:tab/>
        <w:t>Jul 2017–Jun 2018</w:t>
      </w:r>
      <w:r>
        <w:rPr>
          <w:color w:val="595959"/>
          <w:sz w:val="18"/>
        </w:rPr>
        <w:tab/>
        <w:t>Jul 2018–Jun 2019</w:t>
      </w:r>
      <w:r>
        <w:rPr>
          <w:color w:val="595959"/>
          <w:sz w:val="18"/>
        </w:rPr>
        <w:tab/>
        <w:t>Jul 2019–Jun 2020</w:t>
      </w:r>
      <w:r>
        <w:rPr>
          <w:color w:val="595959"/>
          <w:sz w:val="18"/>
        </w:rPr>
        <w:tab/>
        <w:t xml:space="preserve">Jul 2020–Jun 2021 </w:t>
      </w:r>
      <w:r>
        <w:rPr>
          <w:rFonts w:ascii="Calibri" w:eastAsia="Calibri" w:hAnsi="Calibri" w:cs="Calibri"/>
          <w:noProof/>
        </w:rPr>
        <mc:AlternateContent>
          <mc:Choice Requires="wpg">
            <w:drawing>
              <wp:inline distT="0" distB="0" distL="0" distR="0" wp14:anchorId="63BF29B7" wp14:editId="37B03789">
                <wp:extent cx="243840" cy="28575"/>
                <wp:effectExtent l="0" t="0" r="0" b="0"/>
                <wp:docPr id="249098" name="Group 249098"/>
                <wp:cNvGraphicFramePr/>
                <a:graphic xmlns:a="http://schemas.openxmlformats.org/drawingml/2006/main">
                  <a:graphicData uri="http://schemas.microsoft.com/office/word/2010/wordprocessingGroup">
                    <wpg:wgp>
                      <wpg:cNvGrpSpPr/>
                      <wpg:grpSpPr>
                        <a:xfrm>
                          <a:off x="0" y="0"/>
                          <a:ext cx="243840" cy="28575"/>
                          <a:chOff x="0" y="0"/>
                          <a:chExt cx="243840" cy="28575"/>
                        </a:xfrm>
                      </wpg:grpSpPr>
                      <wps:wsp>
                        <wps:cNvPr id="3534" name="Shape 3534"/>
                        <wps:cNvSpPr/>
                        <wps:spPr>
                          <a:xfrm>
                            <a:off x="0" y="0"/>
                            <a:ext cx="243840" cy="0"/>
                          </a:xfrm>
                          <a:custGeom>
                            <a:avLst/>
                            <a:gdLst/>
                            <a:ahLst/>
                            <a:cxnLst/>
                            <a:rect l="0" t="0" r="0" b="0"/>
                            <a:pathLst>
                              <a:path w="243840">
                                <a:moveTo>
                                  <a:pt x="0" y="0"/>
                                </a:moveTo>
                                <a:lnTo>
                                  <a:pt x="243840" y="0"/>
                                </a:lnTo>
                              </a:path>
                            </a:pathLst>
                          </a:custGeom>
                          <a:ln w="28575" cap="rnd">
                            <a:round/>
                          </a:ln>
                        </wps:spPr>
                        <wps:style>
                          <a:lnRef idx="1">
                            <a:srgbClr val="007DC3"/>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4560764E" id="Group 249098" o:spid="_x0000_s1026" style="width:19.2pt;height:2.25pt;mso-position-horizontal-relative:char;mso-position-vertical-relative:line" coordsize="2438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">
                <v:shape id="Shape 3534" o:spid="_x0000_s1027" style="position:absolute;width:243840;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" path="m,l243840,e" filled="f" strokecolor="#007dc3" strokeweight="2.25pt">
                  <v:stroke endcap="round"/>
                  <v:path arrowok="t" textboxrect="0,0,243840,0"/>
                </v:shape>
                <w10:anchorlock/>
              </v:group>
            </w:pict>
          </mc:Fallback>
        </mc:AlternateContent>
      </w:r>
      <w:r>
        <w:rPr>
          <w:color w:val="595959"/>
          <w:sz w:val="18"/>
        </w:rPr>
        <w:t xml:space="preserve"> Crimes against the person</w:t>
      </w:r>
      <w:r>
        <w:rPr>
          <w:color w:val="595959"/>
          <w:sz w:val="18"/>
        </w:rPr>
        <w:tab/>
      </w:r>
      <w:r>
        <w:rPr>
          <w:rFonts w:ascii="Calibri" w:eastAsia="Calibri" w:hAnsi="Calibri" w:cs="Calibri"/>
          <w:noProof/>
        </w:rPr>
        <mc:AlternateContent>
          <mc:Choice Requires="wpg">
            <w:drawing>
              <wp:inline distT="0" distB="0" distL="0" distR="0" wp14:anchorId="7E4F4561" wp14:editId="4225866F">
                <wp:extent cx="243840" cy="28575"/>
                <wp:effectExtent l="0" t="0" r="0" b="0"/>
                <wp:docPr id="249099" name="Group 249099"/>
                <wp:cNvGraphicFramePr/>
                <a:graphic xmlns:a="http://schemas.openxmlformats.org/drawingml/2006/main">
                  <a:graphicData uri="http://schemas.microsoft.com/office/word/2010/wordprocessingGroup">
                    <wpg:wgp>
                      <wpg:cNvGrpSpPr/>
                      <wpg:grpSpPr>
                        <a:xfrm>
                          <a:off x="0" y="0"/>
                          <a:ext cx="243840" cy="28575"/>
                          <a:chOff x="0" y="0"/>
                          <a:chExt cx="243840" cy="28575"/>
                        </a:xfrm>
                      </wpg:grpSpPr>
                      <wps:wsp>
                        <wps:cNvPr id="3536" name="Shape 3536"/>
                        <wps:cNvSpPr/>
                        <wps:spPr>
                          <a:xfrm>
                            <a:off x="0" y="0"/>
                            <a:ext cx="243840" cy="0"/>
                          </a:xfrm>
                          <a:custGeom>
                            <a:avLst/>
                            <a:gdLst/>
                            <a:ahLst/>
                            <a:cxnLst/>
                            <a:rect l="0" t="0" r="0" b="0"/>
                            <a:pathLst>
                              <a:path w="243840">
                                <a:moveTo>
                                  <a:pt x="0" y="0"/>
                                </a:moveTo>
                                <a:lnTo>
                                  <a:pt x="243840" y="0"/>
                                </a:lnTo>
                              </a:path>
                            </a:pathLst>
                          </a:custGeom>
                          <a:ln w="28575" cap="rnd">
                            <a:round/>
                          </a:ln>
                        </wps:spPr>
                        <wps:style>
                          <a:lnRef idx="1">
                            <a:srgbClr val="00529B"/>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2CA52B7C" id="Group 249099" o:spid="_x0000_s1026" style="width:19.2pt;height:2.25pt;mso-position-horizontal-relative:char;mso-position-vertical-relative:line" coordsize="2438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">
                <v:shape id="Shape 3536" o:spid="_x0000_s1027" style="position:absolute;width:243840;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" path="m,l243840,e" filled="f" strokecolor="#00529b" strokeweight="2.25pt">
                  <v:stroke endcap="round"/>
                  <v:path arrowok="t" textboxrect="0,0,243840,0"/>
                </v:shape>
                <w10:anchorlock/>
              </v:group>
            </w:pict>
          </mc:Fallback>
        </mc:AlternateContent>
      </w:r>
      <w:r>
        <w:rPr>
          <w:color w:val="595959"/>
          <w:sz w:val="18"/>
        </w:rPr>
        <w:t xml:space="preserve"> Property and deception offences</w:t>
      </w:r>
    </w:p>
    <w:p w14:paraId="6D6AC3C8" w14:textId="77777777" w:rsidR="006A0484" w:rsidRDefault="006A0484" w:rsidP="006A0484">
      <w:pPr>
        <w:spacing w:after="173" w:line="259" w:lineRule="auto"/>
        <w:jc w:val="right"/>
      </w:pPr>
      <w:r>
        <w:t xml:space="preserve"> </w:t>
      </w:r>
    </w:p>
    <w:p w14:paraId="33E5C3B9" w14:textId="08203566" w:rsidR="006A0484" w:rsidRDefault="006A0484" w:rsidP="008E702A">
      <w:pPr>
        <w:keepNext/>
        <w:keepLines/>
        <w:spacing w:after="5" w:line="250" w:lineRule="auto"/>
        <w:ind w:left="-6"/>
        <w:jc w:val="center"/>
      </w:pPr>
      <w:r>
        <w:rPr>
          <w:rFonts w:ascii="Arial" w:eastAsia="Arial" w:hAnsi="Arial" w:cs="Arial"/>
          <w:i/>
        </w:rPr>
        <w:lastRenderedPageBreak/>
        <w:t>Youth offending 2016–21 (10–17 year olds): Drug offences, public order offences, justice procedures offences and other offences</w:t>
      </w:r>
    </w:p>
    <w:p w14:paraId="1092519F" w14:textId="77777777" w:rsidR="006A0484" w:rsidRDefault="006A0484" w:rsidP="006A0484">
      <w:pPr>
        <w:spacing w:after="185" w:line="259" w:lineRule="auto"/>
        <w:ind w:left="129"/>
      </w:pPr>
      <w:r>
        <w:rPr>
          <w:rFonts w:ascii="Calibri" w:eastAsia="Calibri" w:hAnsi="Calibri" w:cs="Calibri"/>
          <w:noProof/>
        </w:rPr>
        <mc:AlternateContent>
          <mc:Choice Requires="wpg">
            <w:drawing>
              <wp:inline distT="0" distB="0" distL="0" distR="0" wp14:anchorId="34A33541" wp14:editId="21F260C8">
                <wp:extent cx="5796000" cy="2159537"/>
                <wp:effectExtent l="0" t="0" r="33655" b="0"/>
                <wp:docPr id="249100" name="Group 249100"/>
                <wp:cNvGraphicFramePr/>
                <a:graphic xmlns:a="http://schemas.openxmlformats.org/drawingml/2006/main">
                  <a:graphicData uri="http://schemas.microsoft.com/office/word/2010/wordprocessingGroup">
                    <wpg:wgp>
                      <wpg:cNvGrpSpPr/>
                      <wpg:grpSpPr>
                        <a:xfrm>
                          <a:off x="0" y="0"/>
                          <a:ext cx="5796000" cy="2159537"/>
                          <a:chOff x="0" y="0"/>
                          <a:chExt cx="6348654" cy="2159537"/>
                        </a:xfrm>
                      </wpg:grpSpPr>
                      <wps:wsp>
                        <wps:cNvPr id="3538" name="Shape 3538"/>
                        <wps:cNvSpPr/>
                        <wps:spPr>
                          <a:xfrm>
                            <a:off x="384226" y="1691195"/>
                            <a:ext cx="5964428" cy="0"/>
                          </a:xfrm>
                          <a:custGeom>
                            <a:avLst/>
                            <a:gdLst/>
                            <a:ahLst/>
                            <a:cxnLst/>
                            <a:rect l="0" t="0" r="0" b="0"/>
                            <a:pathLst>
                              <a:path w="5964428">
                                <a:moveTo>
                                  <a:pt x="0" y="0"/>
                                </a:moveTo>
                                <a:lnTo>
                                  <a:pt x="596442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39" name="Shape 3539"/>
                        <wps:cNvSpPr/>
                        <wps:spPr>
                          <a:xfrm>
                            <a:off x="384226" y="1424495"/>
                            <a:ext cx="5964428" cy="0"/>
                          </a:xfrm>
                          <a:custGeom>
                            <a:avLst/>
                            <a:gdLst/>
                            <a:ahLst/>
                            <a:cxnLst/>
                            <a:rect l="0" t="0" r="0" b="0"/>
                            <a:pathLst>
                              <a:path w="5964428">
                                <a:moveTo>
                                  <a:pt x="0" y="0"/>
                                </a:moveTo>
                                <a:lnTo>
                                  <a:pt x="596442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40" name="Shape 3540"/>
                        <wps:cNvSpPr/>
                        <wps:spPr>
                          <a:xfrm>
                            <a:off x="384226" y="1157796"/>
                            <a:ext cx="5964428" cy="0"/>
                          </a:xfrm>
                          <a:custGeom>
                            <a:avLst/>
                            <a:gdLst/>
                            <a:ahLst/>
                            <a:cxnLst/>
                            <a:rect l="0" t="0" r="0" b="0"/>
                            <a:pathLst>
                              <a:path w="5964428">
                                <a:moveTo>
                                  <a:pt x="0" y="0"/>
                                </a:moveTo>
                                <a:lnTo>
                                  <a:pt x="596442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41" name="Shape 3541"/>
                        <wps:cNvSpPr/>
                        <wps:spPr>
                          <a:xfrm>
                            <a:off x="384226" y="891096"/>
                            <a:ext cx="5964428" cy="0"/>
                          </a:xfrm>
                          <a:custGeom>
                            <a:avLst/>
                            <a:gdLst/>
                            <a:ahLst/>
                            <a:cxnLst/>
                            <a:rect l="0" t="0" r="0" b="0"/>
                            <a:pathLst>
                              <a:path w="5964428">
                                <a:moveTo>
                                  <a:pt x="0" y="0"/>
                                </a:moveTo>
                                <a:lnTo>
                                  <a:pt x="596442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42" name="Shape 3542"/>
                        <wps:cNvSpPr/>
                        <wps:spPr>
                          <a:xfrm>
                            <a:off x="384226" y="624396"/>
                            <a:ext cx="5964428" cy="0"/>
                          </a:xfrm>
                          <a:custGeom>
                            <a:avLst/>
                            <a:gdLst/>
                            <a:ahLst/>
                            <a:cxnLst/>
                            <a:rect l="0" t="0" r="0" b="0"/>
                            <a:pathLst>
                              <a:path w="5964428">
                                <a:moveTo>
                                  <a:pt x="0" y="0"/>
                                </a:moveTo>
                                <a:lnTo>
                                  <a:pt x="596442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43" name="Shape 3543"/>
                        <wps:cNvSpPr/>
                        <wps:spPr>
                          <a:xfrm>
                            <a:off x="384226" y="357696"/>
                            <a:ext cx="5964428" cy="0"/>
                          </a:xfrm>
                          <a:custGeom>
                            <a:avLst/>
                            <a:gdLst/>
                            <a:ahLst/>
                            <a:cxnLst/>
                            <a:rect l="0" t="0" r="0" b="0"/>
                            <a:pathLst>
                              <a:path w="5964428">
                                <a:moveTo>
                                  <a:pt x="0" y="0"/>
                                </a:moveTo>
                                <a:lnTo>
                                  <a:pt x="596442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44" name="Shape 3544"/>
                        <wps:cNvSpPr/>
                        <wps:spPr>
                          <a:xfrm>
                            <a:off x="384226" y="90107"/>
                            <a:ext cx="5964428" cy="0"/>
                          </a:xfrm>
                          <a:custGeom>
                            <a:avLst/>
                            <a:gdLst/>
                            <a:ahLst/>
                            <a:cxnLst/>
                            <a:rect l="0" t="0" r="0" b="0"/>
                            <a:pathLst>
                              <a:path w="5964428">
                                <a:moveTo>
                                  <a:pt x="0" y="0"/>
                                </a:moveTo>
                                <a:lnTo>
                                  <a:pt x="596442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45" name="Shape 3545"/>
                        <wps:cNvSpPr/>
                        <wps:spPr>
                          <a:xfrm>
                            <a:off x="384226" y="1958658"/>
                            <a:ext cx="5964428" cy="0"/>
                          </a:xfrm>
                          <a:custGeom>
                            <a:avLst/>
                            <a:gdLst/>
                            <a:ahLst/>
                            <a:cxnLst/>
                            <a:rect l="0" t="0" r="0" b="0"/>
                            <a:pathLst>
                              <a:path w="5964428">
                                <a:moveTo>
                                  <a:pt x="0" y="0"/>
                                </a:moveTo>
                                <a:lnTo>
                                  <a:pt x="5964428"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3546" name="Shape 3546"/>
                        <wps:cNvSpPr/>
                        <wps:spPr>
                          <a:xfrm>
                            <a:off x="980618" y="1096963"/>
                            <a:ext cx="4771644" cy="259461"/>
                          </a:xfrm>
                          <a:custGeom>
                            <a:avLst/>
                            <a:gdLst/>
                            <a:ahLst/>
                            <a:cxnLst/>
                            <a:rect l="0" t="0" r="0" b="0"/>
                            <a:pathLst>
                              <a:path w="4771644" h="259461">
                                <a:moveTo>
                                  <a:pt x="0" y="210185"/>
                                </a:moveTo>
                                <a:lnTo>
                                  <a:pt x="1192911" y="259461"/>
                                </a:lnTo>
                                <a:lnTo>
                                  <a:pt x="2386203" y="130937"/>
                                </a:lnTo>
                                <a:lnTo>
                                  <a:pt x="3577971" y="0"/>
                                </a:lnTo>
                                <a:lnTo>
                                  <a:pt x="4771644" y="214757"/>
                                </a:lnTo>
                              </a:path>
                            </a:pathLst>
                          </a:custGeom>
                          <a:ln w="28575" cap="rnd">
                            <a:round/>
                          </a:ln>
                        </wps:spPr>
                        <wps:style>
                          <a:lnRef idx="1">
                            <a:srgbClr val="007DC3"/>
                          </a:lnRef>
                          <a:fillRef idx="0">
                            <a:srgbClr val="000000">
                              <a:alpha val="0"/>
                            </a:srgbClr>
                          </a:fillRef>
                          <a:effectRef idx="0">
                            <a:scrgbClr r="0" g="0" b="0"/>
                          </a:effectRef>
                          <a:fontRef idx="none"/>
                        </wps:style>
                        <wps:bodyPr/>
                      </wps:wsp>
                      <wps:wsp>
                        <wps:cNvPr id="3547" name="Shape 3547"/>
                        <wps:cNvSpPr/>
                        <wps:spPr>
                          <a:xfrm>
                            <a:off x="980618" y="384366"/>
                            <a:ext cx="4771644" cy="309118"/>
                          </a:xfrm>
                          <a:custGeom>
                            <a:avLst/>
                            <a:gdLst/>
                            <a:ahLst/>
                            <a:cxnLst/>
                            <a:rect l="0" t="0" r="0" b="0"/>
                            <a:pathLst>
                              <a:path w="4771644" h="309118">
                                <a:moveTo>
                                  <a:pt x="0" y="148590"/>
                                </a:moveTo>
                                <a:lnTo>
                                  <a:pt x="1192911" y="227838"/>
                                </a:lnTo>
                                <a:lnTo>
                                  <a:pt x="2386203" y="101346"/>
                                </a:lnTo>
                                <a:lnTo>
                                  <a:pt x="3577971" y="0"/>
                                </a:lnTo>
                                <a:lnTo>
                                  <a:pt x="4771644" y="309118"/>
                                </a:lnTo>
                              </a:path>
                            </a:pathLst>
                          </a:custGeom>
                          <a:ln w="28575" cap="rnd">
                            <a:round/>
                          </a:ln>
                        </wps:spPr>
                        <wps:style>
                          <a:lnRef idx="1">
                            <a:srgbClr val="00529B"/>
                          </a:lnRef>
                          <a:fillRef idx="0">
                            <a:srgbClr val="000000">
                              <a:alpha val="0"/>
                            </a:srgbClr>
                          </a:fillRef>
                          <a:effectRef idx="0">
                            <a:scrgbClr r="0" g="0" b="0"/>
                          </a:effectRef>
                          <a:fontRef idx="none"/>
                        </wps:style>
                        <wps:bodyPr/>
                      </wps:wsp>
                      <wps:wsp>
                        <wps:cNvPr id="3548" name="Shape 3548"/>
                        <wps:cNvSpPr/>
                        <wps:spPr>
                          <a:xfrm>
                            <a:off x="980618" y="896810"/>
                            <a:ext cx="4771644" cy="105156"/>
                          </a:xfrm>
                          <a:custGeom>
                            <a:avLst/>
                            <a:gdLst/>
                            <a:ahLst/>
                            <a:cxnLst/>
                            <a:rect l="0" t="0" r="0" b="0"/>
                            <a:pathLst>
                              <a:path w="4771644" h="105156">
                                <a:moveTo>
                                  <a:pt x="0" y="88773"/>
                                </a:moveTo>
                                <a:lnTo>
                                  <a:pt x="1192911" y="84201"/>
                                </a:lnTo>
                                <a:lnTo>
                                  <a:pt x="2386203" y="0"/>
                                </a:lnTo>
                                <a:lnTo>
                                  <a:pt x="3577971" y="75057"/>
                                </a:lnTo>
                                <a:lnTo>
                                  <a:pt x="4771644" y="105156"/>
                                </a:lnTo>
                              </a:path>
                            </a:pathLst>
                          </a:custGeom>
                          <a:ln w="28575" cap="rnd">
                            <a:round/>
                          </a:ln>
                        </wps:spPr>
                        <wps:style>
                          <a:lnRef idx="1">
                            <a:srgbClr val="6600CC"/>
                          </a:lnRef>
                          <a:fillRef idx="0">
                            <a:srgbClr val="000000">
                              <a:alpha val="0"/>
                            </a:srgbClr>
                          </a:fillRef>
                          <a:effectRef idx="0">
                            <a:scrgbClr r="0" g="0" b="0"/>
                          </a:effectRef>
                          <a:fontRef idx="none"/>
                        </wps:style>
                        <wps:bodyPr/>
                      </wps:wsp>
                      <wps:wsp>
                        <wps:cNvPr id="3549" name="Shape 3549"/>
                        <wps:cNvSpPr/>
                        <wps:spPr>
                          <a:xfrm>
                            <a:off x="980618" y="975297"/>
                            <a:ext cx="4771644" cy="900049"/>
                          </a:xfrm>
                          <a:custGeom>
                            <a:avLst/>
                            <a:gdLst/>
                            <a:ahLst/>
                            <a:cxnLst/>
                            <a:rect l="0" t="0" r="0" b="0"/>
                            <a:pathLst>
                              <a:path w="4771644" h="900049">
                                <a:moveTo>
                                  <a:pt x="0" y="830199"/>
                                </a:moveTo>
                                <a:lnTo>
                                  <a:pt x="1192911" y="871346"/>
                                </a:lnTo>
                                <a:lnTo>
                                  <a:pt x="2386203" y="900049"/>
                                </a:lnTo>
                                <a:lnTo>
                                  <a:pt x="3577971" y="717423"/>
                                </a:lnTo>
                                <a:lnTo>
                                  <a:pt x="4771644" y="0"/>
                                </a:lnTo>
                              </a:path>
                            </a:pathLst>
                          </a:custGeom>
                          <a:ln w="28575" cap="rnd">
                            <a:round/>
                          </a:ln>
                        </wps:spPr>
                        <wps:style>
                          <a:lnRef idx="1">
                            <a:srgbClr val="CC3300"/>
                          </a:lnRef>
                          <a:fillRef idx="0">
                            <a:srgbClr val="000000">
                              <a:alpha val="0"/>
                            </a:srgbClr>
                          </a:fillRef>
                          <a:effectRef idx="0">
                            <a:scrgbClr r="0" g="0" b="0"/>
                          </a:effectRef>
                          <a:fontRef idx="none"/>
                        </wps:style>
                        <wps:bodyPr/>
                      </wps:wsp>
                      <wps:wsp>
                        <wps:cNvPr id="3550" name="Rectangle 3550"/>
                        <wps:cNvSpPr/>
                        <wps:spPr>
                          <a:xfrm>
                            <a:off x="222504" y="1892554"/>
                            <a:ext cx="84546" cy="169501"/>
                          </a:xfrm>
                          <a:prstGeom prst="rect">
                            <a:avLst/>
                          </a:prstGeom>
                          <a:ln>
                            <a:noFill/>
                          </a:ln>
                        </wps:spPr>
                        <wps:txbx>
                          <w:txbxContent>
                            <w:p w14:paraId="2CC1A8F7" w14:textId="77777777" w:rsidR="006A0484" w:rsidRDefault="006A0484" w:rsidP="006A0484">
                              <w:pPr>
                                <w:spacing w:after="160" w:line="259" w:lineRule="auto"/>
                              </w:pPr>
                              <w:r>
                                <w:rPr>
                                  <w:color w:val="595959"/>
                                  <w:sz w:val="18"/>
                                </w:rPr>
                                <w:t>0</w:t>
                              </w:r>
                            </w:p>
                          </w:txbxContent>
                        </wps:txbx>
                        <wps:bodyPr horzOverflow="overflow" vert="horz" lIns="0" tIns="0" rIns="0" bIns="0" rtlCol="0">
                          <a:noAutofit/>
                        </wps:bodyPr>
                      </wps:wsp>
                      <wps:wsp>
                        <wps:cNvPr id="3551" name="Rectangle 3551"/>
                        <wps:cNvSpPr/>
                        <wps:spPr>
                          <a:xfrm>
                            <a:off x="95402" y="1625600"/>
                            <a:ext cx="252679" cy="169501"/>
                          </a:xfrm>
                          <a:prstGeom prst="rect">
                            <a:avLst/>
                          </a:prstGeom>
                          <a:ln>
                            <a:noFill/>
                          </a:ln>
                        </wps:spPr>
                        <wps:txbx>
                          <w:txbxContent>
                            <w:p w14:paraId="1C7BCE7E" w14:textId="77777777" w:rsidR="006A0484" w:rsidRDefault="006A0484" w:rsidP="006A0484">
                              <w:pPr>
                                <w:spacing w:after="160" w:line="259" w:lineRule="auto"/>
                              </w:pPr>
                              <w:r>
                                <w:rPr>
                                  <w:color w:val="595959"/>
                                  <w:sz w:val="18"/>
                                </w:rPr>
                                <w:t>500</w:t>
                              </w:r>
                            </w:p>
                          </w:txbxContent>
                        </wps:txbx>
                        <wps:bodyPr horzOverflow="overflow" vert="horz" lIns="0" tIns="0" rIns="0" bIns="0" rtlCol="0">
                          <a:noAutofit/>
                        </wps:bodyPr>
                      </wps:wsp>
                      <wps:wsp>
                        <wps:cNvPr id="3552" name="Rectangle 3552"/>
                        <wps:cNvSpPr/>
                        <wps:spPr>
                          <a:xfrm>
                            <a:off x="0" y="1358900"/>
                            <a:ext cx="380223" cy="169501"/>
                          </a:xfrm>
                          <a:prstGeom prst="rect">
                            <a:avLst/>
                          </a:prstGeom>
                          <a:ln>
                            <a:noFill/>
                          </a:ln>
                        </wps:spPr>
                        <wps:txbx>
                          <w:txbxContent>
                            <w:p w14:paraId="54AD8B8B" w14:textId="77777777" w:rsidR="006A0484" w:rsidRDefault="006A0484" w:rsidP="006A0484">
                              <w:pPr>
                                <w:spacing w:after="160" w:line="259" w:lineRule="auto"/>
                              </w:pPr>
                              <w:r>
                                <w:rPr>
                                  <w:color w:val="595959"/>
                                  <w:sz w:val="18"/>
                                </w:rPr>
                                <w:t>1,000</w:t>
                              </w:r>
                            </w:p>
                          </w:txbxContent>
                        </wps:txbx>
                        <wps:bodyPr horzOverflow="overflow" vert="horz" lIns="0" tIns="0" rIns="0" bIns="0" rtlCol="0">
                          <a:noAutofit/>
                        </wps:bodyPr>
                      </wps:wsp>
                      <wps:wsp>
                        <wps:cNvPr id="3553" name="Rectangle 3553"/>
                        <wps:cNvSpPr/>
                        <wps:spPr>
                          <a:xfrm>
                            <a:off x="0" y="1091819"/>
                            <a:ext cx="380223" cy="169501"/>
                          </a:xfrm>
                          <a:prstGeom prst="rect">
                            <a:avLst/>
                          </a:prstGeom>
                          <a:ln>
                            <a:noFill/>
                          </a:ln>
                        </wps:spPr>
                        <wps:txbx>
                          <w:txbxContent>
                            <w:p w14:paraId="20CF302F" w14:textId="77777777" w:rsidR="006A0484" w:rsidRDefault="006A0484" w:rsidP="006A0484">
                              <w:pPr>
                                <w:spacing w:after="160" w:line="259" w:lineRule="auto"/>
                              </w:pPr>
                              <w:r>
                                <w:rPr>
                                  <w:color w:val="595959"/>
                                  <w:sz w:val="18"/>
                                </w:rPr>
                                <w:t>1,500</w:t>
                              </w:r>
                            </w:p>
                          </w:txbxContent>
                        </wps:txbx>
                        <wps:bodyPr horzOverflow="overflow" vert="horz" lIns="0" tIns="0" rIns="0" bIns="0" rtlCol="0">
                          <a:noAutofit/>
                        </wps:bodyPr>
                      </wps:wsp>
                      <wps:wsp>
                        <wps:cNvPr id="3554" name="Rectangle 3554"/>
                        <wps:cNvSpPr/>
                        <wps:spPr>
                          <a:xfrm>
                            <a:off x="0" y="824865"/>
                            <a:ext cx="380223" cy="169501"/>
                          </a:xfrm>
                          <a:prstGeom prst="rect">
                            <a:avLst/>
                          </a:prstGeom>
                          <a:ln>
                            <a:noFill/>
                          </a:ln>
                        </wps:spPr>
                        <wps:txbx>
                          <w:txbxContent>
                            <w:p w14:paraId="47784900" w14:textId="77777777" w:rsidR="006A0484" w:rsidRDefault="006A0484" w:rsidP="006A0484">
                              <w:pPr>
                                <w:spacing w:after="160" w:line="259" w:lineRule="auto"/>
                              </w:pPr>
                              <w:r>
                                <w:rPr>
                                  <w:color w:val="595959"/>
                                  <w:sz w:val="18"/>
                                </w:rPr>
                                <w:t>2,000</w:t>
                              </w:r>
                            </w:p>
                          </w:txbxContent>
                        </wps:txbx>
                        <wps:bodyPr horzOverflow="overflow" vert="horz" lIns="0" tIns="0" rIns="0" bIns="0" rtlCol="0">
                          <a:noAutofit/>
                        </wps:bodyPr>
                      </wps:wsp>
                      <wps:wsp>
                        <wps:cNvPr id="3555" name="Rectangle 3555"/>
                        <wps:cNvSpPr/>
                        <wps:spPr>
                          <a:xfrm>
                            <a:off x="0" y="557784"/>
                            <a:ext cx="380223" cy="169501"/>
                          </a:xfrm>
                          <a:prstGeom prst="rect">
                            <a:avLst/>
                          </a:prstGeom>
                          <a:ln>
                            <a:noFill/>
                          </a:ln>
                        </wps:spPr>
                        <wps:txbx>
                          <w:txbxContent>
                            <w:p w14:paraId="6C955B3D" w14:textId="77777777" w:rsidR="006A0484" w:rsidRDefault="006A0484" w:rsidP="006A0484">
                              <w:pPr>
                                <w:spacing w:after="160" w:line="259" w:lineRule="auto"/>
                              </w:pPr>
                              <w:r>
                                <w:rPr>
                                  <w:color w:val="595959"/>
                                  <w:sz w:val="18"/>
                                </w:rPr>
                                <w:t>2,500</w:t>
                              </w:r>
                            </w:p>
                          </w:txbxContent>
                        </wps:txbx>
                        <wps:bodyPr horzOverflow="overflow" vert="horz" lIns="0" tIns="0" rIns="0" bIns="0" rtlCol="0">
                          <a:noAutofit/>
                        </wps:bodyPr>
                      </wps:wsp>
                      <wps:wsp>
                        <wps:cNvPr id="3556" name="Rectangle 3556"/>
                        <wps:cNvSpPr/>
                        <wps:spPr>
                          <a:xfrm>
                            <a:off x="0" y="290830"/>
                            <a:ext cx="380223" cy="169501"/>
                          </a:xfrm>
                          <a:prstGeom prst="rect">
                            <a:avLst/>
                          </a:prstGeom>
                          <a:ln>
                            <a:noFill/>
                          </a:ln>
                        </wps:spPr>
                        <wps:txbx>
                          <w:txbxContent>
                            <w:p w14:paraId="38DA35FC" w14:textId="77777777" w:rsidR="006A0484" w:rsidRDefault="006A0484" w:rsidP="006A0484">
                              <w:pPr>
                                <w:spacing w:after="160" w:line="259" w:lineRule="auto"/>
                              </w:pPr>
                              <w:r>
                                <w:rPr>
                                  <w:color w:val="595959"/>
                                  <w:sz w:val="18"/>
                                </w:rPr>
                                <w:t>3,000</w:t>
                              </w:r>
                            </w:p>
                          </w:txbxContent>
                        </wps:txbx>
                        <wps:bodyPr horzOverflow="overflow" vert="horz" lIns="0" tIns="0" rIns="0" bIns="0" rtlCol="0">
                          <a:noAutofit/>
                        </wps:bodyPr>
                      </wps:wsp>
                      <wps:wsp>
                        <wps:cNvPr id="3557" name="Rectangle 3557"/>
                        <wps:cNvSpPr/>
                        <wps:spPr>
                          <a:xfrm>
                            <a:off x="0" y="23876"/>
                            <a:ext cx="380223" cy="169501"/>
                          </a:xfrm>
                          <a:prstGeom prst="rect">
                            <a:avLst/>
                          </a:prstGeom>
                          <a:ln>
                            <a:noFill/>
                          </a:ln>
                        </wps:spPr>
                        <wps:txbx>
                          <w:txbxContent>
                            <w:p w14:paraId="2655E415" w14:textId="77777777" w:rsidR="006A0484" w:rsidRDefault="006A0484" w:rsidP="006A0484">
                              <w:pPr>
                                <w:spacing w:after="160" w:line="259" w:lineRule="auto"/>
                              </w:pPr>
                              <w:r>
                                <w:rPr>
                                  <w:color w:val="595959"/>
                                  <w:sz w:val="18"/>
                                </w:rPr>
                                <w:t>3,500</w:t>
                              </w:r>
                            </w:p>
                          </w:txbxContent>
                        </wps:txbx>
                        <wps:bodyPr horzOverflow="overflow" vert="horz" lIns="0" tIns="0" rIns="0" bIns="0" rtlCol="0">
                          <a:noAutofit/>
                        </wps:bodyPr>
                      </wps:wsp>
                      <wps:wsp>
                        <wps:cNvPr id="3558" name="Rectangle 3558"/>
                        <wps:cNvSpPr/>
                        <wps:spPr>
                          <a:xfrm>
                            <a:off x="497129" y="2031874"/>
                            <a:ext cx="576304" cy="169501"/>
                          </a:xfrm>
                          <a:prstGeom prst="rect">
                            <a:avLst/>
                          </a:prstGeom>
                          <a:ln>
                            <a:noFill/>
                          </a:ln>
                        </wps:spPr>
                        <wps:txbx>
                          <w:txbxContent>
                            <w:p w14:paraId="481BC3CF" w14:textId="77777777" w:rsidR="006A0484" w:rsidRDefault="006A0484" w:rsidP="006A0484">
                              <w:pPr>
                                <w:spacing w:after="160" w:line="259" w:lineRule="auto"/>
                              </w:pPr>
                              <w:r>
                                <w:rPr>
                                  <w:color w:val="595959"/>
                                  <w:sz w:val="18"/>
                                </w:rPr>
                                <w:t>Jul 2016</w:t>
                              </w:r>
                            </w:p>
                          </w:txbxContent>
                        </wps:txbx>
                        <wps:bodyPr horzOverflow="overflow" vert="horz" lIns="0" tIns="0" rIns="0" bIns="0" rtlCol="0">
                          <a:noAutofit/>
                        </wps:bodyPr>
                      </wps:wsp>
                      <wps:wsp>
                        <wps:cNvPr id="3559" name="Rectangle 3559"/>
                        <wps:cNvSpPr/>
                        <wps:spPr>
                          <a:xfrm>
                            <a:off x="931723" y="2052101"/>
                            <a:ext cx="84523" cy="142889"/>
                          </a:xfrm>
                          <a:prstGeom prst="rect">
                            <a:avLst/>
                          </a:prstGeom>
                          <a:ln>
                            <a:noFill/>
                          </a:ln>
                        </wps:spPr>
                        <wps:txbx>
                          <w:txbxContent>
                            <w:p w14:paraId="6C33AF4B" w14:textId="77777777" w:rsidR="006A0484" w:rsidRDefault="006A0484" w:rsidP="006A0484">
                              <w:pPr>
                                <w:spacing w:after="160" w:line="259" w:lineRule="auto"/>
                              </w:pPr>
                              <w:r>
                                <w:rPr>
                                  <w:color w:val="595959"/>
                                  <w:sz w:val="18"/>
                                </w:rPr>
                                <w:t>–</w:t>
                              </w:r>
                            </w:p>
                          </w:txbxContent>
                        </wps:txbx>
                        <wps:bodyPr horzOverflow="overflow" vert="horz" lIns="0" tIns="0" rIns="0" bIns="0" rtlCol="0">
                          <a:noAutofit/>
                        </wps:bodyPr>
                      </wps:wsp>
                      <wps:wsp>
                        <wps:cNvPr id="3560" name="Rectangle 3560"/>
                        <wps:cNvSpPr/>
                        <wps:spPr>
                          <a:xfrm>
                            <a:off x="995731" y="2031874"/>
                            <a:ext cx="622845" cy="169501"/>
                          </a:xfrm>
                          <a:prstGeom prst="rect">
                            <a:avLst/>
                          </a:prstGeom>
                          <a:ln>
                            <a:noFill/>
                          </a:ln>
                        </wps:spPr>
                        <wps:txbx>
                          <w:txbxContent>
                            <w:p w14:paraId="15D8BAF2" w14:textId="77777777" w:rsidR="006A0484" w:rsidRDefault="006A0484" w:rsidP="006A0484">
                              <w:pPr>
                                <w:spacing w:after="160" w:line="259" w:lineRule="auto"/>
                              </w:pPr>
                              <w:r>
                                <w:rPr>
                                  <w:color w:val="595959"/>
                                  <w:sz w:val="18"/>
                                </w:rPr>
                                <w:t>Jun 2017</w:t>
                              </w:r>
                            </w:p>
                          </w:txbxContent>
                        </wps:txbx>
                        <wps:bodyPr horzOverflow="overflow" vert="horz" lIns="0" tIns="0" rIns="0" bIns="0" rtlCol="0">
                          <a:noAutofit/>
                        </wps:bodyPr>
                      </wps:wsp>
                      <wps:wsp>
                        <wps:cNvPr id="3561" name="Rectangle 3561"/>
                        <wps:cNvSpPr/>
                        <wps:spPr>
                          <a:xfrm>
                            <a:off x="1690421" y="2031874"/>
                            <a:ext cx="576304" cy="169501"/>
                          </a:xfrm>
                          <a:prstGeom prst="rect">
                            <a:avLst/>
                          </a:prstGeom>
                          <a:ln>
                            <a:noFill/>
                          </a:ln>
                        </wps:spPr>
                        <wps:txbx>
                          <w:txbxContent>
                            <w:p w14:paraId="3688A291" w14:textId="77777777" w:rsidR="006A0484" w:rsidRDefault="006A0484" w:rsidP="006A0484">
                              <w:pPr>
                                <w:spacing w:after="160" w:line="259" w:lineRule="auto"/>
                              </w:pPr>
                              <w:r>
                                <w:rPr>
                                  <w:color w:val="595959"/>
                                  <w:sz w:val="18"/>
                                </w:rPr>
                                <w:t>Jul 2017</w:t>
                              </w:r>
                            </w:p>
                          </w:txbxContent>
                        </wps:txbx>
                        <wps:bodyPr horzOverflow="overflow" vert="horz" lIns="0" tIns="0" rIns="0" bIns="0" rtlCol="0">
                          <a:noAutofit/>
                        </wps:bodyPr>
                      </wps:wsp>
                      <wps:wsp>
                        <wps:cNvPr id="3562" name="Rectangle 3562"/>
                        <wps:cNvSpPr/>
                        <wps:spPr>
                          <a:xfrm>
                            <a:off x="2124761" y="2052101"/>
                            <a:ext cx="84523" cy="142889"/>
                          </a:xfrm>
                          <a:prstGeom prst="rect">
                            <a:avLst/>
                          </a:prstGeom>
                          <a:ln>
                            <a:noFill/>
                          </a:ln>
                        </wps:spPr>
                        <wps:txbx>
                          <w:txbxContent>
                            <w:p w14:paraId="32D1678C" w14:textId="77777777" w:rsidR="006A0484" w:rsidRDefault="006A0484" w:rsidP="006A0484">
                              <w:pPr>
                                <w:spacing w:after="160" w:line="259" w:lineRule="auto"/>
                              </w:pPr>
                              <w:r>
                                <w:rPr>
                                  <w:color w:val="595959"/>
                                  <w:sz w:val="18"/>
                                </w:rPr>
                                <w:t>–</w:t>
                              </w:r>
                            </w:p>
                          </w:txbxContent>
                        </wps:txbx>
                        <wps:bodyPr horzOverflow="overflow" vert="horz" lIns="0" tIns="0" rIns="0" bIns="0" rtlCol="0">
                          <a:noAutofit/>
                        </wps:bodyPr>
                      </wps:wsp>
                      <wps:wsp>
                        <wps:cNvPr id="3563" name="Rectangle 3563"/>
                        <wps:cNvSpPr/>
                        <wps:spPr>
                          <a:xfrm>
                            <a:off x="2188769" y="2031874"/>
                            <a:ext cx="622845" cy="169501"/>
                          </a:xfrm>
                          <a:prstGeom prst="rect">
                            <a:avLst/>
                          </a:prstGeom>
                          <a:ln>
                            <a:noFill/>
                          </a:ln>
                        </wps:spPr>
                        <wps:txbx>
                          <w:txbxContent>
                            <w:p w14:paraId="267E3BA7" w14:textId="77777777" w:rsidR="006A0484" w:rsidRDefault="006A0484" w:rsidP="006A0484">
                              <w:pPr>
                                <w:spacing w:after="160" w:line="259" w:lineRule="auto"/>
                              </w:pPr>
                              <w:r>
                                <w:rPr>
                                  <w:color w:val="595959"/>
                                  <w:sz w:val="18"/>
                                </w:rPr>
                                <w:t>Jun 2018</w:t>
                              </w:r>
                            </w:p>
                          </w:txbxContent>
                        </wps:txbx>
                        <wps:bodyPr horzOverflow="overflow" vert="horz" lIns="0" tIns="0" rIns="0" bIns="0" rtlCol="0">
                          <a:noAutofit/>
                        </wps:bodyPr>
                      </wps:wsp>
                      <wps:wsp>
                        <wps:cNvPr id="3564" name="Rectangle 3564"/>
                        <wps:cNvSpPr/>
                        <wps:spPr>
                          <a:xfrm>
                            <a:off x="2883459" y="2031874"/>
                            <a:ext cx="576304" cy="169501"/>
                          </a:xfrm>
                          <a:prstGeom prst="rect">
                            <a:avLst/>
                          </a:prstGeom>
                          <a:ln>
                            <a:noFill/>
                          </a:ln>
                        </wps:spPr>
                        <wps:txbx>
                          <w:txbxContent>
                            <w:p w14:paraId="53C34EAF" w14:textId="77777777" w:rsidR="006A0484" w:rsidRDefault="006A0484" w:rsidP="006A0484">
                              <w:pPr>
                                <w:spacing w:after="160" w:line="259" w:lineRule="auto"/>
                              </w:pPr>
                              <w:r>
                                <w:rPr>
                                  <w:color w:val="595959"/>
                                  <w:sz w:val="18"/>
                                </w:rPr>
                                <w:t>Jul 2018</w:t>
                              </w:r>
                            </w:p>
                          </w:txbxContent>
                        </wps:txbx>
                        <wps:bodyPr horzOverflow="overflow" vert="horz" lIns="0" tIns="0" rIns="0" bIns="0" rtlCol="0">
                          <a:noAutofit/>
                        </wps:bodyPr>
                      </wps:wsp>
                      <wps:wsp>
                        <wps:cNvPr id="3565" name="Rectangle 3565"/>
                        <wps:cNvSpPr/>
                        <wps:spPr>
                          <a:xfrm>
                            <a:off x="3317799" y="2052101"/>
                            <a:ext cx="84523" cy="142889"/>
                          </a:xfrm>
                          <a:prstGeom prst="rect">
                            <a:avLst/>
                          </a:prstGeom>
                          <a:ln>
                            <a:noFill/>
                          </a:ln>
                        </wps:spPr>
                        <wps:txbx>
                          <w:txbxContent>
                            <w:p w14:paraId="06AE6153" w14:textId="77777777" w:rsidR="006A0484" w:rsidRDefault="006A0484" w:rsidP="006A0484">
                              <w:pPr>
                                <w:spacing w:after="160" w:line="259" w:lineRule="auto"/>
                              </w:pPr>
                              <w:r>
                                <w:rPr>
                                  <w:color w:val="595959"/>
                                  <w:sz w:val="18"/>
                                </w:rPr>
                                <w:t>–</w:t>
                              </w:r>
                            </w:p>
                          </w:txbxContent>
                        </wps:txbx>
                        <wps:bodyPr horzOverflow="overflow" vert="horz" lIns="0" tIns="0" rIns="0" bIns="0" rtlCol="0">
                          <a:noAutofit/>
                        </wps:bodyPr>
                      </wps:wsp>
                      <wps:wsp>
                        <wps:cNvPr id="3566" name="Rectangle 3566"/>
                        <wps:cNvSpPr/>
                        <wps:spPr>
                          <a:xfrm>
                            <a:off x="3381807" y="2031874"/>
                            <a:ext cx="622845" cy="169501"/>
                          </a:xfrm>
                          <a:prstGeom prst="rect">
                            <a:avLst/>
                          </a:prstGeom>
                          <a:ln>
                            <a:noFill/>
                          </a:ln>
                        </wps:spPr>
                        <wps:txbx>
                          <w:txbxContent>
                            <w:p w14:paraId="6AD86725" w14:textId="77777777" w:rsidR="006A0484" w:rsidRDefault="006A0484" w:rsidP="006A0484">
                              <w:pPr>
                                <w:spacing w:after="160" w:line="259" w:lineRule="auto"/>
                              </w:pPr>
                              <w:r>
                                <w:rPr>
                                  <w:color w:val="595959"/>
                                  <w:sz w:val="18"/>
                                </w:rPr>
                                <w:t>Jun 2019</w:t>
                              </w:r>
                            </w:p>
                          </w:txbxContent>
                        </wps:txbx>
                        <wps:bodyPr horzOverflow="overflow" vert="horz" lIns="0" tIns="0" rIns="0" bIns="0" rtlCol="0">
                          <a:noAutofit/>
                        </wps:bodyPr>
                      </wps:wsp>
                      <wps:wsp>
                        <wps:cNvPr id="3567" name="Rectangle 3567"/>
                        <wps:cNvSpPr/>
                        <wps:spPr>
                          <a:xfrm>
                            <a:off x="4076751" y="2031874"/>
                            <a:ext cx="576304" cy="169501"/>
                          </a:xfrm>
                          <a:prstGeom prst="rect">
                            <a:avLst/>
                          </a:prstGeom>
                          <a:ln>
                            <a:noFill/>
                          </a:ln>
                        </wps:spPr>
                        <wps:txbx>
                          <w:txbxContent>
                            <w:p w14:paraId="0AF9E6EA" w14:textId="77777777" w:rsidR="006A0484" w:rsidRDefault="006A0484" w:rsidP="006A0484">
                              <w:pPr>
                                <w:spacing w:after="160" w:line="259" w:lineRule="auto"/>
                              </w:pPr>
                              <w:r>
                                <w:rPr>
                                  <w:color w:val="595959"/>
                                  <w:sz w:val="18"/>
                                </w:rPr>
                                <w:t>Jul 2019</w:t>
                              </w:r>
                            </w:p>
                          </w:txbxContent>
                        </wps:txbx>
                        <wps:bodyPr horzOverflow="overflow" vert="horz" lIns="0" tIns="0" rIns="0" bIns="0" rtlCol="0">
                          <a:noAutofit/>
                        </wps:bodyPr>
                      </wps:wsp>
                      <wps:wsp>
                        <wps:cNvPr id="3568" name="Rectangle 3568"/>
                        <wps:cNvSpPr/>
                        <wps:spPr>
                          <a:xfrm>
                            <a:off x="4511091" y="2052101"/>
                            <a:ext cx="84523" cy="142889"/>
                          </a:xfrm>
                          <a:prstGeom prst="rect">
                            <a:avLst/>
                          </a:prstGeom>
                          <a:ln>
                            <a:noFill/>
                          </a:ln>
                        </wps:spPr>
                        <wps:txbx>
                          <w:txbxContent>
                            <w:p w14:paraId="301C44D9" w14:textId="77777777" w:rsidR="006A0484" w:rsidRDefault="006A0484" w:rsidP="006A0484">
                              <w:pPr>
                                <w:spacing w:after="160" w:line="259" w:lineRule="auto"/>
                              </w:pPr>
                              <w:r>
                                <w:rPr>
                                  <w:color w:val="595959"/>
                                  <w:sz w:val="18"/>
                                </w:rPr>
                                <w:t>–</w:t>
                              </w:r>
                            </w:p>
                          </w:txbxContent>
                        </wps:txbx>
                        <wps:bodyPr horzOverflow="overflow" vert="horz" lIns="0" tIns="0" rIns="0" bIns="0" rtlCol="0">
                          <a:noAutofit/>
                        </wps:bodyPr>
                      </wps:wsp>
                      <wps:wsp>
                        <wps:cNvPr id="3569" name="Rectangle 3569"/>
                        <wps:cNvSpPr/>
                        <wps:spPr>
                          <a:xfrm>
                            <a:off x="4575099" y="2031874"/>
                            <a:ext cx="622845" cy="169501"/>
                          </a:xfrm>
                          <a:prstGeom prst="rect">
                            <a:avLst/>
                          </a:prstGeom>
                          <a:ln>
                            <a:noFill/>
                          </a:ln>
                        </wps:spPr>
                        <wps:txbx>
                          <w:txbxContent>
                            <w:p w14:paraId="478A0842" w14:textId="77777777" w:rsidR="006A0484" w:rsidRDefault="006A0484" w:rsidP="006A0484">
                              <w:pPr>
                                <w:spacing w:after="160" w:line="259" w:lineRule="auto"/>
                              </w:pPr>
                              <w:r>
                                <w:rPr>
                                  <w:color w:val="595959"/>
                                  <w:sz w:val="18"/>
                                </w:rPr>
                                <w:t>Jun 2020</w:t>
                              </w:r>
                            </w:p>
                          </w:txbxContent>
                        </wps:txbx>
                        <wps:bodyPr horzOverflow="overflow" vert="horz" lIns="0" tIns="0" rIns="0" bIns="0" rtlCol="0">
                          <a:noAutofit/>
                        </wps:bodyPr>
                      </wps:wsp>
                      <wps:wsp>
                        <wps:cNvPr id="3570" name="Rectangle 3570"/>
                        <wps:cNvSpPr/>
                        <wps:spPr>
                          <a:xfrm>
                            <a:off x="5269662" y="2031874"/>
                            <a:ext cx="576304" cy="169501"/>
                          </a:xfrm>
                          <a:prstGeom prst="rect">
                            <a:avLst/>
                          </a:prstGeom>
                          <a:ln>
                            <a:noFill/>
                          </a:ln>
                        </wps:spPr>
                        <wps:txbx>
                          <w:txbxContent>
                            <w:p w14:paraId="156B9423" w14:textId="77777777" w:rsidR="006A0484" w:rsidRDefault="006A0484" w:rsidP="006A0484">
                              <w:pPr>
                                <w:spacing w:after="160" w:line="259" w:lineRule="auto"/>
                              </w:pPr>
                              <w:r>
                                <w:rPr>
                                  <w:color w:val="595959"/>
                                  <w:sz w:val="18"/>
                                </w:rPr>
                                <w:t>Jul 2020</w:t>
                              </w:r>
                            </w:p>
                          </w:txbxContent>
                        </wps:txbx>
                        <wps:bodyPr horzOverflow="overflow" vert="horz" lIns="0" tIns="0" rIns="0" bIns="0" rtlCol="0">
                          <a:noAutofit/>
                        </wps:bodyPr>
                      </wps:wsp>
                      <wps:wsp>
                        <wps:cNvPr id="3571" name="Rectangle 3571"/>
                        <wps:cNvSpPr/>
                        <wps:spPr>
                          <a:xfrm>
                            <a:off x="5704002" y="2052101"/>
                            <a:ext cx="84523" cy="142889"/>
                          </a:xfrm>
                          <a:prstGeom prst="rect">
                            <a:avLst/>
                          </a:prstGeom>
                          <a:ln>
                            <a:noFill/>
                          </a:ln>
                        </wps:spPr>
                        <wps:txbx>
                          <w:txbxContent>
                            <w:p w14:paraId="5B1EB31E" w14:textId="77777777" w:rsidR="006A0484" w:rsidRDefault="006A0484" w:rsidP="006A0484">
                              <w:pPr>
                                <w:spacing w:after="160" w:line="259" w:lineRule="auto"/>
                              </w:pPr>
                              <w:r>
                                <w:rPr>
                                  <w:color w:val="595959"/>
                                  <w:sz w:val="18"/>
                                </w:rPr>
                                <w:t>–</w:t>
                              </w:r>
                            </w:p>
                          </w:txbxContent>
                        </wps:txbx>
                        <wps:bodyPr horzOverflow="overflow" vert="horz" lIns="0" tIns="0" rIns="0" bIns="0" rtlCol="0">
                          <a:noAutofit/>
                        </wps:bodyPr>
                      </wps:wsp>
                      <wps:wsp>
                        <wps:cNvPr id="3572" name="Rectangle 3572"/>
                        <wps:cNvSpPr/>
                        <wps:spPr>
                          <a:xfrm>
                            <a:off x="5768010" y="2031874"/>
                            <a:ext cx="622845" cy="169501"/>
                          </a:xfrm>
                          <a:prstGeom prst="rect">
                            <a:avLst/>
                          </a:prstGeom>
                          <a:ln>
                            <a:noFill/>
                          </a:ln>
                        </wps:spPr>
                        <wps:txbx>
                          <w:txbxContent>
                            <w:p w14:paraId="43CA6CC6" w14:textId="77777777" w:rsidR="006A0484" w:rsidRDefault="006A0484" w:rsidP="006A0484">
                              <w:pPr>
                                <w:spacing w:after="160" w:line="259" w:lineRule="auto"/>
                              </w:pPr>
                              <w:r>
                                <w:rPr>
                                  <w:color w:val="595959"/>
                                  <w:sz w:val="18"/>
                                </w:rPr>
                                <w:t>Jun 2021</w:t>
                              </w:r>
                            </w:p>
                          </w:txbxContent>
                        </wps:txbx>
                        <wps:bodyPr horzOverflow="overflow" vert="horz" lIns="0" tIns="0" rIns="0" bIns="0" rtlCol="0">
                          <a:noAutofit/>
                        </wps:bodyPr>
                      </wps:wsp>
                      <pic:pic xmlns:pic="http://schemas.openxmlformats.org/drawingml/2006/picture">
                        <pic:nvPicPr>
                          <pic:cNvPr id="3582" name="Picture 3582"/>
                          <pic:cNvPicPr/>
                        </pic:nvPicPr>
                        <pic:blipFill>
                          <a:blip r:embed="rId37"/>
                          <a:stretch>
                            <a:fillRect/>
                          </a:stretch>
                        </pic:blipFill>
                        <pic:spPr>
                          <a:xfrm>
                            <a:off x="4669841" y="156527"/>
                            <a:ext cx="100774" cy="1856232"/>
                          </a:xfrm>
                          <a:prstGeom prst="rect">
                            <a:avLst/>
                          </a:prstGeom>
                        </pic:spPr>
                      </pic:pic>
                      <wps:wsp>
                        <wps:cNvPr id="3583" name="Shape 3583"/>
                        <wps:cNvSpPr/>
                        <wps:spPr>
                          <a:xfrm>
                            <a:off x="4722800" y="188913"/>
                            <a:ext cx="0" cy="1765173"/>
                          </a:xfrm>
                          <a:custGeom>
                            <a:avLst/>
                            <a:gdLst/>
                            <a:ahLst/>
                            <a:cxnLst/>
                            <a:rect l="0" t="0" r="0" b="0"/>
                            <a:pathLst>
                              <a:path h="1765173">
                                <a:moveTo>
                                  <a:pt x="0" y="1765173"/>
                                </a:moveTo>
                                <a:lnTo>
                                  <a:pt x="0" y="0"/>
                                </a:lnTo>
                              </a:path>
                            </a:pathLst>
                          </a:custGeom>
                          <a:ln w="19050" cap="flat">
                            <a:custDash>
                              <a:ds d="600000" sp="450000"/>
                            </a:custDash>
                            <a:round/>
                          </a:ln>
                        </wps:spPr>
                        <wps:style>
                          <a:lnRef idx="1">
                            <a:srgbClr val="069428"/>
                          </a:lnRef>
                          <a:fillRef idx="0">
                            <a:srgbClr val="000000">
                              <a:alpha val="0"/>
                            </a:srgbClr>
                          </a:fillRef>
                          <a:effectRef idx="0">
                            <a:scrgbClr r="0" g="0" b="0"/>
                          </a:effectRef>
                          <a:fontRef idx="none"/>
                        </wps:style>
                        <wps:bodyPr/>
                      </wps:wsp>
                      <wps:wsp>
                        <wps:cNvPr id="3584" name="Rectangle 3584"/>
                        <wps:cNvSpPr/>
                        <wps:spPr>
                          <a:xfrm>
                            <a:off x="4197401" y="0"/>
                            <a:ext cx="303405" cy="169501"/>
                          </a:xfrm>
                          <a:prstGeom prst="rect">
                            <a:avLst/>
                          </a:prstGeom>
                          <a:ln>
                            <a:noFill/>
                          </a:ln>
                        </wps:spPr>
                        <wps:txbx>
                          <w:txbxContent>
                            <w:p w14:paraId="47BBD0D4" w14:textId="77777777" w:rsidR="006A0484" w:rsidRDefault="006A0484" w:rsidP="006A0484">
                              <w:pPr>
                                <w:spacing w:after="160" w:line="259" w:lineRule="auto"/>
                              </w:pPr>
                              <w:r>
                                <w:rPr>
                                  <w:sz w:val="18"/>
                                </w:rPr>
                                <w:t xml:space="preserve">The </w:t>
                              </w:r>
                            </w:p>
                          </w:txbxContent>
                        </wps:txbx>
                        <wps:bodyPr horzOverflow="overflow" vert="horz" lIns="0" tIns="0" rIns="0" bIns="0" rtlCol="0">
                          <a:noAutofit/>
                        </wps:bodyPr>
                      </wps:wsp>
                      <wps:wsp>
                        <wps:cNvPr id="3585" name="Rectangle 3585"/>
                        <wps:cNvSpPr/>
                        <wps:spPr>
                          <a:xfrm>
                            <a:off x="4426001" y="0"/>
                            <a:ext cx="297349" cy="169501"/>
                          </a:xfrm>
                          <a:prstGeom prst="rect">
                            <a:avLst/>
                          </a:prstGeom>
                          <a:ln>
                            <a:noFill/>
                          </a:ln>
                        </wps:spPr>
                        <wps:txbx>
                          <w:txbxContent>
                            <w:p w14:paraId="0B473A3F" w14:textId="77777777" w:rsidR="006A0484" w:rsidRDefault="006A0484" w:rsidP="006A0484">
                              <w:pPr>
                                <w:spacing w:after="160" w:line="259" w:lineRule="auto"/>
                              </w:pPr>
                              <w:r>
                                <w:rPr>
                                  <w:sz w:val="18"/>
                                </w:rPr>
                                <w:t>start</w:t>
                              </w:r>
                            </w:p>
                          </w:txbxContent>
                        </wps:txbx>
                        <wps:bodyPr horzOverflow="overflow" vert="horz" lIns="0" tIns="0" rIns="0" bIns="0" rtlCol="0">
                          <a:noAutofit/>
                        </wps:bodyPr>
                      </wps:wsp>
                      <wps:wsp>
                        <wps:cNvPr id="3586" name="Rectangle 3586"/>
                        <wps:cNvSpPr/>
                        <wps:spPr>
                          <a:xfrm>
                            <a:off x="4680763" y="0"/>
                            <a:ext cx="648539" cy="169501"/>
                          </a:xfrm>
                          <a:prstGeom prst="rect">
                            <a:avLst/>
                          </a:prstGeom>
                          <a:ln>
                            <a:noFill/>
                          </a:ln>
                        </wps:spPr>
                        <wps:txbx>
                          <w:txbxContent>
                            <w:p w14:paraId="46924593" w14:textId="77777777" w:rsidR="006A0484" w:rsidRDefault="006A0484" w:rsidP="006A0484">
                              <w:pPr>
                                <w:spacing w:after="160" w:line="259" w:lineRule="auto"/>
                              </w:pPr>
                              <w:r>
                                <w:rPr>
                                  <w:sz w:val="18"/>
                                </w:rPr>
                                <w:t>of COVID</w:t>
                              </w:r>
                            </w:p>
                          </w:txbxContent>
                        </wps:txbx>
                        <wps:bodyPr horzOverflow="overflow" vert="horz" lIns="0" tIns="0" rIns="0" bIns="0" rtlCol="0">
                          <a:noAutofit/>
                        </wps:bodyPr>
                      </wps:wsp>
                      <wps:wsp>
                        <wps:cNvPr id="3587" name="Rectangle 3587"/>
                        <wps:cNvSpPr/>
                        <wps:spPr>
                          <a:xfrm>
                            <a:off x="5168443" y="0"/>
                            <a:ext cx="50624" cy="169501"/>
                          </a:xfrm>
                          <a:prstGeom prst="rect">
                            <a:avLst/>
                          </a:prstGeom>
                          <a:ln>
                            <a:noFill/>
                          </a:ln>
                        </wps:spPr>
                        <wps:txbx>
                          <w:txbxContent>
                            <w:p w14:paraId="7483E533" w14:textId="77777777" w:rsidR="006A0484" w:rsidRDefault="006A0484" w:rsidP="006A0484">
                              <w:pPr>
                                <w:spacing w:after="160" w:line="259" w:lineRule="auto"/>
                              </w:pPr>
                              <w:r>
                                <w:rPr>
                                  <w:sz w:val="18"/>
                                </w:rPr>
                                <w:t>-</w:t>
                              </w:r>
                            </w:p>
                          </w:txbxContent>
                        </wps:txbx>
                        <wps:bodyPr horzOverflow="overflow" vert="horz" lIns="0" tIns="0" rIns="0" bIns="0" rtlCol="0">
                          <a:noAutofit/>
                        </wps:bodyPr>
                      </wps:wsp>
                      <wps:wsp>
                        <wps:cNvPr id="248875" name="Rectangle 248875"/>
                        <wps:cNvSpPr/>
                        <wps:spPr>
                          <a:xfrm>
                            <a:off x="5206543" y="0"/>
                            <a:ext cx="169677" cy="169501"/>
                          </a:xfrm>
                          <a:prstGeom prst="rect">
                            <a:avLst/>
                          </a:prstGeom>
                          <a:ln>
                            <a:noFill/>
                          </a:ln>
                        </wps:spPr>
                        <wps:txbx>
                          <w:txbxContent>
                            <w:p w14:paraId="02FCDCB4" w14:textId="77777777" w:rsidR="006A0484" w:rsidRDefault="006A0484" w:rsidP="006A0484">
                              <w:pPr>
                                <w:spacing w:after="160" w:line="259" w:lineRule="auto"/>
                              </w:pPr>
                              <w:r>
                                <w:rPr>
                                  <w:sz w:val="18"/>
                                </w:rPr>
                                <w:t>19</w:t>
                              </w:r>
                            </w:p>
                          </w:txbxContent>
                        </wps:txbx>
                        <wps:bodyPr horzOverflow="overflow" vert="horz" lIns="0" tIns="0" rIns="0" bIns="0" rtlCol="0">
                          <a:noAutofit/>
                        </wps:bodyPr>
                      </wps:wsp>
                      <wps:wsp>
                        <wps:cNvPr id="248876" name="Rectangle 248876"/>
                        <wps:cNvSpPr/>
                        <wps:spPr>
                          <a:xfrm>
                            <a:off x="5334559" y="0"/>
                            <a:ext cx="42236" cy="169501"/>
                          </a:xfrm>
                          <a:prstGeom prst="rect">
                            <a:avLst/>
                          </a:prstGeom>
                          <a:ln>
                            <a:noFill/>
                          </a:ln>
                        </wps:spPr>
                        <wps:txbx>
                          <w:txbxContent>
                            <w:p w14:paraId="39AB8C94" w14:textId="77777777" w:rsidR="006A0484" w:rsidRDefault="006A0484" w:rsidP="006A0484">
                              <w:pPr>
                                <w:spacing w:after="160" w:line="259" w:lineRule="auto"/>
                              </w:pPr>
                              <w:r>
                                <w:rPr>
                                  <w:sz w:val="18"/>
                                </w:rPr>
                                <w:t xml:space="preserve"> </w:t>
                              </w:r>
                            </w:p>
                          </w:txbxContent>
                        </wps:txbx>
                        <wps:bodyPr horzOverflow="overflow" vert="horz" lIns="0" tIns="0" rIns="0" bIns="0" rtlCol="0">
                          <a:noAutofit/>
                        </wps:bodyPr>
                      </wps:wsp>
                      <wps:wsp>
                        <wps:cNvPr id="3589" name="Rectangle 3589"/>
                        <wps:cNvSpPr/>
                        <wps:spPr>
                          <a:xfrm>
                            <a:off x="4509821" y="132588"/>
                            <a:ext cx="722394" cy="169501"/>
                          </a:xfrm>
                          <a:prstGeom prst="rect">
                            <a:avLst/>
                          </a:prstGeom>
                          <a:ln>
                            <a:noFill/>
                          </a:ln>
                        </wps:spPr>
                        <wps:txbx>
                          <w:txbxContent>
                            <w:p w14:paraId="053CE389" w14:textId="77777777" w:rsidR="006A0484" w:rsidRDefault="006A0484" w:rsidP="006A0484">
                              <w:pPr>
                                <w:spacing w:after="160" w:line="259" w:lineRule="auto"/>
                              </w:pPr>
                              <w:r>
                                <w:rPr>
                                  <w:sz w:val="18"/>
                                </w:rPr>
                                <w:t xml:space="preserve">Pandemic </w:t>
                              </w:r>
                            </w:p>
                          </w:txbxContent>
                        </wps:txbx>
                        <wps:bodyPr horzOverflow="overflow" vert="horz" lIns="0" tIns="0" rIns="0" bIns="0" rtlCol="0">
                          <a:noAutofit/>
                        </wps:bodyPr>
                      </wps:wsp>
                    </wpg:wgp>
                  </a:graphicData>
                </a:graphic>
              </wp:inline>
            </w:drawing>
          </mc:Choice>
          <mc:Fallback>
            <w:pict>
              <v:group w14:anchorId="34A33541" id="Group 249100" o:spid="_x0000_s1038" style="width:456.4pt;height:170.05pt;mso-position-horizontal-relative:char;mso-position-vertical-relative:line" coordsize="63486,215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">
                <v:shape id="Shape 3538" o:spid="_x0000_s1039" style="position:absolute;left:3842;top:16911;width:59644;height:0;visibility:visible;mso-wrap-style:square;v-text-anchor:top" coordsize="596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" path="m,l5964428,e" filled="f" strokecolor="#d9d9d9">
                  <v:path arrowok="t" textboxrect="0,0,5964428,0"/>
                </v:shape>
                <v:shape id="Shape 3539" o:spid="_x0000_s1040" style="position:absolute;left:3842;top:14244;width:59644;height:0;visibility:visible;mso-wrap-style:square;v-text-anchor:top" coordsize="596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" path="m,l5964428,e" filled="f" strokecolor="#d9d9d9">
                  <v:path arrowok="t" textboxrect="0,0,5964428,0"/>
                </v:shape>
                <v:shape id="Shape 3540" o:spid="_x0000_s1041" style="position:absolute;left:3842;top:11577;width:59644;height:0;visibility:visible;mso-wrap-style:square;v-text-anchor:top" coordsize="596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" path="m,l5964428,e" filled="f" strokecolor="#d9d9d9">
                  <v:path arrowok="t" textboxrect="0,0,5964428,0"/>
                </v:shape>
                <v:shape id="Shape 3541" o:spid="_x0000_s1042" style="position:absolute;left:3842;top:8910;width:59644;height:0;visibility:visible;mso-wrap-style:square;v-text-anchor:top" coordsize="596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" path="m,l5964428,e" filled="f" strokecolor="#d9d9d9">
                  <v:path arrowok="t" textboxrect="0,0,5964428,0"/>
                </v:shape>
                <v:shape id="Shape 3542" o:spid="_x0000_s1043" style="position:absolute;left:3842;top:6243;width:59644;height:0;visibility:visible;mso-wrap-style:square;v-text-anchor:top" coordsize="596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" path="m,l5964428,e" filled="f" strokecolor="#d9d9d9">
                  <v:path arrowok="t" textboxrect="0,0,5964428,0"/>
                </v:shape>
                <v:shape id="Shape 3543" o:spid="_x0000_s1044" style="position:absolute;left:3842;top:3576;width:59644;height:0;visibility:visible;mso-wrap-style:square;v-text-anchor:top" coordsize="596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" path="m,l5964428,e" filled="f" strokecolor="#d9d9d9">
                  <v:path arrowok="t" textboxrect="0,0,5964428,0"/>
                </v:shape>
                <v:shape id="Shape 3544" o:spid="_x0000_s1045" style="position:absolute;left:3842;top:901;width:59644;height:0;visibility:visible;mso-wrap-style:square;v-text-anchor:top" coordsize="596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" path="m,l5964428,e" filled="f" strokecolor="#d9d9d9">
                  <v:path arrowok="t" textboxrect="0,0,5964428,0"/>
                </v:shape>
                <v:shape id="Shape 3545" o:spid="_x0000_s1046" style="position:absolute;left:3842;top:19586;width:59644;height:0;visibility:visible;mso-wrap-style:square;v-text-anchor:top" coordsize="59644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" path="m,l5964428,e" filled="f" strokecolor="#d9d9d9">
                  <v:path arrowok="t" textboxrect="0,0,5964428,0"/>
                </v:shape>
                <v:shape id="Shape 3546" o:spid="_x0000_s1047" style="position:absolute;left:9806;top:10969;width:47716;height:2595;visibility:visible;mso-wrap-style:square;v-text-anchor:top" coordsize="4771644,2594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" path="m,210185r1192911,49276l2386203,130937,3577971,,4771644,214757e" filled="f" strokecolor="#007dc3" strokeweight="2.25pt">
                  <v:stroke endcap="round"/>
                  <v:path arrowok="t" textboxrect="0,0,4771644,259461"/>
                </v:shape>
                <v:shape id="Shape 3547" o:spid="_x0000_s1048" style="position:absolute;left:9806;top:3843;width:47716;height:3091;visibility:visible;mso-wrap-style:square;v-text-anchor:top" coordsize="4771644,309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" path="m,148590r1192911,79248l2386203,101346,3577971,,4771644,309118e" filled="f" strokecolor="#00529b" strokeweight="2.25pt">
                  <v:stroke endcap="round"/>
                  <v:path arrowok="t" textboxrect="0,0,4771644,309118"/>
                </v:shape>
                <v:shape id="Shape 3548" o:spid="_x0000_s1049" style="position:absolute;left:9806;top:8968;width:47716;height:1051;visibility:visible;mso-wrap-style:square;v-text-anchor:top" coordsize="4771644,105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" path="m,88773l1192911,84201,2386203,,3577971,75057r1193673,30099e" filled="f" strokecolor="#60c" strokeweight="2.25pt">
                  <v:stroke endcap="round"/>
                  <v:path arrowok="t" textboxrect="0,0,4771644,105156"/>
                </v:shape>
                <v:shape id="Shape 3549" o:spid="_x0000_s1050" style="position:absolute;left:9806;top:9752;width:47716;height:9001;visibility:visible;mso-wrap-style:square;v-text-anchor:top" coordsize="4771644,900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" path="m,830199r1192911,41147l2386203,900049,3577971,717423,4771644,e" filled="f" strokecolor="#c30" strokeweight="2.25pt">
                  <v:stroke endcap="round"/>
                  <v:path arrowok="t" textboxrect="0,0,4771644,900049"/>
                </v:shape>
                <v:rect id="Rectangle 3550" o:spid="_x0000_s1051" style="position:absolute;left:2225;top:18925;width:845;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" filled="f" stroked="f">
                  <v:textbox inset="0,0,0,0">
                    <w:txbxContent>
                      <w:p w14:paraId="2CC1A8F7" w14:textId="77777777" w:rsidR="006A0484" w:rsidRDefault="006A0484" w:rsidP="006A0484">
                        <w:pPr>
                          <w:spacing w:after="160" w:line="259" w:lineRule="auto"/>
                        </w:pPr>
                        <w:r>
                          <w:rPr>
                            <w:color w:val="595959"/>
                            <w:sz w:val="18"/>
                          </w:rPr>
                          <w:t>0</w:t>
                        </w:r>
                      </w:p>
                    </w:txbxContent>
                  </v:textbox>
                </v:rect>
                <v:rect id="Rectangle 3551" o:spid="_x0000_s1052" style="position:absolute;left:954;top:16256;width:252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" filled="f" stroked="f">
                  <v:textbox inset="0,0,0,0">
                    <w:txbxContent>
                      <w:p w14:paraId="1C7BCE7E" w14:textId="77777777" w:rsidR="006A0484" w:rsidRDefault="006A0484" w:rsidP="006A0484">
                        <w:pPr>
                          <w:spacing w:after="160" w:line="259" w:lineRule="auto"/>
                        </w:pPr>
                        <w:r>
                          <w:rPr>
                            <w:color w:val="595959"/>
                            <w:sz w:val="18"/>
                          </w:rPr>
                          <w:t>500</w:t>
                        </w:r>
                      </w:p>
                    </w:txbxContent>
                  </v:textbox>
                </v:rect>
                <v:rect id="Rectangle 3552" o:spid="_x0000_s1053" style="position:absolute;top:13589;width:380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" filled="f" stroked="f">
                  <v:textbox inset="0,0,0,0">
                    <w:txbxContent>
                      <w:p w14:paraId="54AD8B8B" w14:textId="77777777" w:rsidR="006A0484" w:rsidRDefault="006A0484" w:rsidP="006A0484">
                        <w:pPr>
                          <w:spacing w:after="160" w:line="259" w:lineRule="auto"/>
                        </w:pPr>
                        <w:r>
                          <w:rPr>
                            <w:color w:val="595959"/>
                            <w:sz w:val="18"/>
                          </w:rPr>
                          <w:t>1,000</w:t>
                        </w:r>
                      </w:p>
                    </w:txbxContent>
                  </v:textbox>
                </v:rect>
                <v:rect id="Rectangle 3553" o:spid="_x0000_s1054" style="position:absolute;top:10918;width:380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" filled="f" stroked="f">
                  <v:textbox inset="0,0,0,0">
                    <w:txbxContent>
                      <w:p w14:paraId="20CF302F" w14:textId="77777777" w:rsidR="006A0484" w:rsidRDefault="006A0484" w:rsidP="006A0484">
                        <w:pPr>
                          <w:spacing w:after="160" w:line="259" w:lineRule="auto"/>
                        </w:pPr>
                        <w:r>
                          <w:rPr>
                            <w:color w:val="595959"/>
                            <w:sz w:val="18"/>
                          </w:rPr>
                          <w:t>1,500</w:t>
                        </w:r>
                      </w:p>
                    </w:txbxContent>
                  </v:textbox>
                </v:rect>
                <v:rect id="Rectangle 3554" o:spid="_x0000_s1055" style="position:absolute;top:8248;width:380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" filled="f" stroked="f">
                  <v:textbox inset="0,0,0,0">
                    <w:txbxContent>
                      <w:p w14:paraId="47784900" w14:textId="77777777" w:rsidR="006A0484" w:rsidRDefault="006A0484" w:rsidP="006A0484">
                        <w:pPr>
                          <w:spacing w:after="160" w:line="259" w:lineRule="auto"/>
                        </w:pPr>
                        <w:r>
                          <w:rPr>
                            <w:color w:val="595959"/>
                            <w:sz w:val="18"/>
                          </w:rPr>
                          <w:t>2,000</w:t>
                        </w:r>
                      </w:p>
                    </w:txbxContent>
                  </v:textbox>
                </v:rect>
                <v:rect id="Rectangle 3555" o:spid="_x0000_s1056" style="position:absolute;top:5577;width:380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" filled="f" stroked="f">
                  <v:textbox inset="0,0,0,0">
                    <w:txbxContent>
                      <w:p w14:paraId="6C955B3D" w14:textId="77777777" w:rsidR="006A0484" w:rsidRDefault="006A0484" w:rsidP="006A0484">
                        <w:pPr>
                          <w:spacing w:after="160" w:line="259" w:lineRule="auto"/>
                        </w:pPr>
                        <w:r>
                          <w:rPr>
                            <w:color w:val="595959"/>
                            <w:sz w:val="18"/>
                          </w:rPr>
                          <w:t>2,500</w:t>
                        </w:r>
                      </w:p>
                    </w:txbxContent>
                  </v:textbox>
                </v:rect>
                <v:rect id="Rectangle 3556" o:spid="_x0000_s1057" style="position:absolute;top:2908;width:380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" filled="f" stroked="f">
                  <v:textbox inset="0,0,0,0">
                    <w:txbxContent>
                      <w:p w14:paraId="38DA35FC" w14:textId="77777777" w:rsidR="006A0484" w:rsidRDefault="006A0484" w:rsidP="006A0484">
                        <w:pPr>
                          <w:spacing w:after="160" w:line="259" w:lineRule="auto"/>
                        </w:pPr>
                        <w:r>
                          <w:rPr>
                            <w:color w:val="595959"/>
                            <w:sz w:val="18"/>
                          </w:rPr>
                          <w:t>3,000</w:t>
                        </w:r>
                      </w:p>
                    </w:txbxContent>
                  </v:textbox>
                </v:rect>
                <v:rect id="Rectangle 3557" o:spid="_x0000_s1058" style="position:absolute;top:238;width:380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" filled="f" stroked="f">
                  <v:textbox inset="0,0,0,0">
                    <w:txbxContent>
                      <w:p w14:paraId="2655E415" w14:textId="77777777" w:rsidR="006A0484" w:rsidRDefault="006A0484" w:rsidP="006A0484">
                        <w:pPr>
                          <w:spacing w:after="160" w:line="259" w:lineRule="auto"/>
                        </w:pPr>
                        <w:r>
                          <w:rPr>
                            <w:color w:val="595959"/>
                            <w:sz w:val="18"/>
                          </w:rPr>
                          <w:t>3,500</w:t>
                        </w:r>
                      </w:p>
                    </w:txbxContent>
                  </v:textbox>
                </v:rect>
                <v:rect id="Rectangle 3558" o:spid="_x0000_s1059" style="position:absolute;left:4971;top:20318;width:576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" filled="f" stroked="f">
                  <v:textbox inset="0,0,0,0">
                    <w:txbxContent>
                      <w:p w14:paraId="481BC3CF" w14:textId="77777777" w:rsidR="006A0484" w:rsidRDefault="006A0484" w:rsidP="006A0484">
                        <w:pPr>
                          <w:spacing w:after="160" w:line="259" w:lineRule="auto"/>
                        </w:pPr>
                        <w:r>
                          <w:rPr>
                            <w:color w:val="595959"/>
                            <w:sz w:val="18"/>
                          </w:rPr>
                          <w:t>Jul 2016</w:t>
                        </w:r>
                      </w:p>
                    </w:txbxContent>
                  </v:textbox>
                </v:rect>
                <v:rect id="Rectangle 3559" o:spid="_x0000_s1060" style="position:absolute;left:9317;top:20521;width:845;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" filled="f" stroked="f">
                  <v:textbox inset="0,0,0,0">
                    <w:txbxContent>
                      <w:p w14:paraId="6C33AF4B" w14:textId="77777777" w:rsidR="006A0484" w:rsidRDefault="006A0484" w:rsidP="006A0484">
                        <w:pPr>
                          <w:spacing w:after="160" w:line="259" w:lineRule="auto"/>
                        </w:pPr>
                        <w:r>
                          <w:rPr>
                            <w:color w:val="595959"/>
                            <w:sz w:val="18"/>
                          </w:rPr>
                          <w:t>–</w:t>
                        </w:r>
                      </w:p>
                    </w:txbxContent>
                  </v:textbox>
                </v:rect>
                <v:rect id="Rectangle 3560" o:spid="_x0000_s1061" style="position:absolute;left:9957;top:20318;width:622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" filled="f" stroked="f">
                  <v:textbox inset="0,0,0,0">
                    <w:txbxContent>
                      <w:p w14:paraId="15D8BAF2" w14:textId="77777777" w:rsidR="006A0484" w:rsidRDefault="006A0484" w:rsidP="006A0484">
                        <w:pPr>
                          <w:spacing w:after="160" w:line="259" w:lineRule="auto"/>
                        </w:pPr>
                        <w:r>
                          <w:rPr>
                            <w:color w:val="595959"/>
                            <w:sz w:val="18"/>
                          </w:rPr>
                          <w:t>Jun 2017</w:t>
                        </w:r>
                      </w:p>
                    </w:txbxContent>
                  </v:textbox>
                </v:rect>
                <v:rect id="Rectangle 3561" o:spid="_x0000_s1062" style="position:absolute;left:16904;top:20318;width:576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" filled="f" stroked="f">
                  <v:textbox inset="0,0,0,0">
                    <w:txbxContent>
                      <w:p w14:paraId="3688A291" w14:textId="77777777" w:rsidR="006A0484" w:rsidRDefault="006A0484" w:rsidP="006A0484">
                        <w:pPr>
                          <w:spacing w:after="160" w:line="259" w:lineRule="auto"/>
                        </w:pPr>
                        <w:r>
                          <w:rPr>
                            <w:color w:val="595959"/>
                            <w:sz w:val="18"/>
                          </w:rPr>
                          <w:t>Jul 2017</w:t>
                        </w:r>
                      </w:p>
                    </w:txbxContent>
                  </v:textbox>
                </v:rect>
                <v:rect id="Rectangle 3562" o:spid="_x0000_s1063" style="position:absolute;left:21247;top:20521;width:845;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" filled="f" stroked="f">
                  <v:textbox inset="0,0,0,0">
                    <w:txbxContent>
                      <w:p w14:paraId="32D1678C" w14:textId="77777777" w:rsidR="006A0484" w:rsidRDefault="006A0484" w:rsidP="006A0484">
                        <w:pPr>
                          <w:spacing w:after="160" w:line="259" w:lineRule="auto"/>
                        </w:pPr>
                        <w:r>
                          <w:rPr>
                            <w:color w:val="595959"/>
                            <w:sz w:val="18"/>
                          </w:rPr>
                          <w:t>–</w:t>
                        </w:r>
                      </w:p>
                    </w:txbxContent>
                  </v:textbox>
                </v:rect>
                <v:rect id="Rectangle 3563" o:spid="_x0000_s1064" style="position:absolute;left:21887;top:20318;width:6229;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" filled="f" stroked="f">
                  <v:textbox inset="0,0,0,0">
                    <w:txbxContent>
                      <w:p w14:paraId="267E3BA7" w14:textId="77777777" w:rsidR="006A0484" w:rsidRDefault="006A0484" w:rsidP="006A0484">
                        <w:pPr>
                          <w:spacing w:after="160" w:line="259" w:lineRule="auto"/>
                        </w:pPr>
                        <w:r>
                          <w:rPr>
                            <w:color w:val="595959"/>
                            <w:sz w:val="18"/>
                          </w:rPr>
                          <w:t>Jun 2018</w:t>
                        </w:r>
                      </w:p>
                    </w:txbxContent>
                  </v:textbox>
                </v:rect>
                <v:rect id="Rectangle 3564" o:spid="_x0000_s1065" style="position:absolute;left:28834;top:20318;width:576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" filled="f" stroked="f">
                  <v:textbox inset="0,0,0,0">
                    <w:txbxContent>
                      <w:p w14:paraId="53C34EAF" w14:textId="77777777" w:rsidR="006A0484" w:rsidRDefault="006A0484" w:rsidP="006A0484">
                        <w:pPr>
                          <w:spacing w:after="160" w:line="259" w:lineRule="auto"/>
                        </w:pPr>
                        <w:r>
                          <w:rPr>
                            <w:color w:val="595959"/>
                            <w:sz w:val="18"/>
                          </w:rPr>
                          <w:t>Jul 2018</w:t>
                        </w:r>
                      </w:p>
                    </w:txbxContent>
                  </v:textbox>
                </v:rect>
                <v:rect id="Rectangle 3565" o:spid="_x0000_s1066" style="position:absolute;left:33177;top:20521;width:846;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" filled="f" stroked="f">
                  <v:textbox inset="0,0,0,0">
                    <w:txbxContent>
                      <w:p w14:paraId="06AE6153" w14:textId="77777777" w:rsidR="006A0484" w:rsidRDefault="006A0484" w:rsidP="006A0484">
                        <w:pPr>
                          <w:spacing w:after="160" w:line="259" w:lineRule="auto"/>
                        </w:pPr>
                        <w:r>
                          <w:rPr>
                            <w:color w:val="595959"/>
                            <w:sz w:val="18"/>
                          </w:rPr>
                          <w:t>–</w:t>
                        </w:r>
                      </w:p>
                    </w:txbxContent>
                  </v:textbox>
                </v:rect>
                <v:rect id="Rectangle 3566" o:spid="_x0000_s1067" style="position:absolute;left:33818;top:20318;width:622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" filled="f" stroked="f">
                  <v:textbox inset="0,0,0,0">
                    <w:txbxContent>
                      <w:p w14:paraId="6AD86725" w14:textId="77777777" w:rsidR="006A0484" w:rsidRDefault="006A0484" w:rsidP="006A0484">
                        <w:pPr>
                          <w:spacing w:after="160" w:line="259" w:lineRule="auto"/>
                        </w:pPr>
                        <w:r>
                          <w:rPr>
                            <w:color w:val="595959"/>
                            <w:sz w:val="18"/>
                          </w:rPr>
                          <w:t>Jun 2019</w:t>
                        </w:r>
                      </w:p>
                    </w:txbxContent>
                  </v:textbox>
                </v:rect>
                <v:rect id="Rectangle 3567" o:spid="_x0000_s1068" style="position:absolute;left:40767;top:20318;width:576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" filled="f" stroked="f">
                  <v:textbox inset="0,0,0,0">
                    <w:txbxContent>
                      <w:p w14:paraId="0AF9E6EA" w14:textId="77777777" w:rsidR="006A0484" w:rsidRDefault="006A0484" w:rsidP="006A0484">
                        <w:pPr>
                          <w:spacing w:after="160" w:line="259" w:lineRule="auto"/>
                        </w:pPr>
                        <w:r>
                          <w:rPr>
                            <w:color w:val="595959"/>
                            <w:sz w:val="18"/>
                          </w:rPr>
                          <w:t>Jul 2019</w:t>
                        </w:r>
                      </w:p>
                    </w:txbxContent>
                  </v:textbox>
                </v:rect>
                <v:rect id="Rectangle 3568" o:spid="_x0000_s1069" style="position:absolute;left:45110;top:20521;width:846;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" filled="f" stroked="f">
                  <v:textbox inset="0,0,0,0">
                    <w:txbxContent>
                      <w:p w14:paraId="301C44D9" w14:textId="77777777" w:rsidR="006A0484" w:rsidRDefault="006A0484" w:rsidP="006A0484">
                        <w:pPr>
                          <w:spacing w:after="160" w:line="259" w:lineRule="auto"/>
                        </w:pPr>
                        <w:r>
                          <w:rPr>
                            <w:color w:val="595959"/>
                            <w:sz w:val="18"/>
                          </w:rPr>
                          <w:t>–</w:t>
                        </w:r>
                      </w:p>
                    </w:txbxContent>
                  </v:textbox>
                </v:rect>
                <v:rect id="Rectangle 3569" o:spid="_x0000_s1070" style="position:absolute;left:45750;top:20318;width:6229;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" filled="f" stroked="f">
                  <v:textbox inset="0,0,0,0">
                    <w:txbxContent>
                      <w:p w14:paraId="478A0842" w14:textId="77777777" w:rsidR="006A0484" w:rsidRDefault="006A0484" w:rsidP="006A0484">
                        <w:pPr>
                          <w:spacing w:after="160" w:line="259" w:lineRule="auto"/>
                        </w:pPr>
                        <w:r>
                          <w:rPr>
                            <w:color w:val="595959"/>
                            <w:sz w:val="18"/>
                          </w:rPr>
                          <w:t>Jun 2020</w:t>
                        </w:r>
                      </w:p>
                    </w:txbxContent>
                  </v:textbox>
                </v:rect>
                <v:rect id="Rectangle 3570" o:spid="_x0000_s1071" style="position:absolute;left:52696;top:20318;width:576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" filled="f" stroked="f">
                  <v:textbox inset="0,0,0,0">
                    <w:txbxContent>
                      <w:p w14:paraId="156B9423" w14:textId="77777777" w:rsidR="006A0484" w:rsidRDefault="006A0484" w:rsidP="006A0484">
                        <w:pPr>
                          <w:spacing w:after="160" w:line="259" w:lineRule="auto"/>
                        </w:pPr>
                        <w:r>
                          <w:rPr>
                            <w:color w:val="595959"/>
                            <w:sz w:val="18"/>
                          </w:rPr>
                          <w:t>Jul 2020</w:t>
                        </w:r>
                      </w:p>
                    </w:txbxContent>
                  </v:textbox>
                </v:rect>
                <v:rect id="Rectangle 3571" o:spid="_x0000_s1072" style="position:absolute;left:57040;top:20521;width:845;height:14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" filled="f" stroked="f">
                  <v:textbox inset="0,0,0,0">
                    <w:txbxContent>
                      <w:p w14:paraId="5B1EB31E" w14:textId="77777777" w:rsidR="006A0484" w:rsidRDefault="006A0484" w:rsidP="006A0484">
                        <w:pPr>
                          <w:spacing w:after="160" w:line="259" w:lineRule="auto"/>
                        </w:pPr>
                        <w:r>
                          <w:rPr>
                            <w:color w:val="595959"/>
                            <w:sz w:val="18"/>
                          </w:rPr>
                          <w:t>–</w:t>
                        </w:r>
                      </w:p>
                    </w:txbxContent>
                  </v:textbox>
                </v:rect>
                <v:rect id="Rectangle 3572" o:spid="_x0000_s1073" style="position:absolute;left:57680;top:20318;width:6228;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" filled="f" stroked="f">
                  <v:textbox inset="0,0,0,0">
                    <w:txbxContent>
                      <w:p w14:paraId="43CA6CC6" w14:textId="77777777" w:rsidR="006A0484" w:rsidRDefault="006A0484" w:rsidP="006A0484">
                        <w:pPr>
                          <w:spacing w:after="160" w:line="259" w:lineRule="auto"/>
                        </w:pPr>
                        <w:r>
                          <w:rPr>
                            <w:color w:val="595959"/>
                            <w:sz w:val="18"/>
                          </w:rPr>
                          <w:t>Jun 2021</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582" o:spid="_x0000_s1074" type="#_x0000_t75" style="position:absolute;left:46698;top:1565;width:1008;height:18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">
                  <v:imagedata r:id="rId38" o:title=""/>
                </v:shape>
                <v:shape id="Shape 3583" o:spid="_x0000_s1075" style="position:absolute;left:47228;top:1889;width:0;height:17651;visibility:visible;mso-wrap-style:square;v-text-anchor:top" coordsize="0,1765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" path="m,1765173l,e" filled="f" strokecolor="#069428" strokeweight="1.5pt">
                  <v:path arrowok="t" textboxrect="0,0,0,1765173"/>
                </v:shape>
                <v:rect id="Rectangle 3584" o:spid="_x0000_s1076" style="position:absolute;left:41974;width:303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" filled="f" stroked="f">
                  <v:textbox inset="0,0,0,0">
                    <w:txbxContent>
                      <w:p w14:paraId="47BBD0D4" w14:textId="77777777" w:rsidR="006A0484" w:rsidRDefault="006A0484" w:rsidP="006A0484">
                        <w:pPr>
                          <w:spacing w:after="160" w:line="259" w:lineRule="auto"/>
                        </w:pPr>
                        <w:r>
                          <w:rPr>
                            <w:sz w:val="18"/>
                          </w:rPr>
                          <w:t xml:space="preserve">The </w:t>
                        </w:r>
                      </w:p>
                    </w:txbxContent>
                  </v:textbox>
                </v:rect>
                <v:rect id="Rectangle 3585" o:spid="_x0000_s1077" style="position:absolute;left:44260;width:2973;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" filled="f" stroked="f">
                  <v:textbox inset="0,0,0,0">
                    <w:txbxContent>
                      <w:p w14:paraId="0B473A3F" w14:textId="77777777" w:rsidR="006A0484" w:rsidRDefault="006A0484" w:rsidP="006A0484">
                        <w:pPr>
                          <w:spacing w:after="160" w:line="259" w:lineRule="auto"/>
                        </w:pPr>
                        <w:r>
                          <w:rPr>
                            <w:sz w:val="18"/>
                          </w:rPr>
                          <w:t>start</w:t>
                        </w:r>
                      </w:p>
                    </w:txbxContent>
                  </v:textbox>
                </v:rect>
                <v:rect id="Rectangle 3586" o:spid="_x0000_s1078" style="position:absolute;left:46807;width:648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" filled="f" stroked="f">
                  <v:textbox inset="0,0,0,0">
                    <w:txbxContent>
                      <w:p w14:paraId="46924593" w14:textId="77777777" w:rsidR="006A0484" w:rsidRDefault="006A0484" w:rsidP="006A0484">
                        <w:pPr>
                          <w:spacing w:after="160" w:line="259" w:lineRule="auto"/>
                        </w:pPr>
                        <w:r>
                          <w:rPr>
                            <w:sz w:val="18"/>
                          </w:rPr>
                          <w:t>of COVID</w:t>
                        </w:r>
                      </w:p>
                    </w:txbxContent>
                  </v:textbox>
                </v:rect>
                <v:rect id="Rectangle 3587" o:spid="_x0000_s1079" style="position:absolute;left:51684;width:506;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" filled="f" stroked="f">
                  <v:textbox inset="0,0,0,0">
                    <w:txbxContent>
                      <w:p w14:paraId="7483E533" w14:textId="77777777" w:rsidR="006A0484" w:rsidRDefault="006A0484" w:rsidP="006A0484">
                        <w:pPr>
                          <w:spacing w:after="160" w:line="259" w:lineRule="auto"/>
                        </w:pPr>
                        <w:r>
                          <w:rPr>
                            <w:sz w:val="18"/>
                          </w:rPr>
                          <w:t>-</w:t>
                        </w:r>
                      </w:p>
                    </w:txbxContent>
                  </v:textbox>
                </v:rect>
                <v:rect id="Rectangle 248875" o:spid="_x0000_s1080" style="position:absolute;left:52065;width:1697;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" filled="f" stroked="f">
                  <v:textbox inset="0,0,0,0">
                    <w:txbxContent>
                      <w:p w14:paraId="02FCDCB4" w14:textId="77777777" w:rsidR="006A0484" w:rsidRDefault="006A0484" w:rsidP="006A0484">
                        <w:pPr>
                          <w:spacing w:after="160" w:line="259" w:lineRule="auto"/>
                        </w:pPr>
                        <w:r>
                          <w:rPr>
                            <w:sz w:val="18"/>
                          </w:rPr>
                          <w:t>19</w:t>
                        </w:r>
                      </w:p>
                    </w:txbxContent>
                  </v:textbox>
                </v:rect>
                <v:rect id="Rectangle 248876" o:spid="_x0000_s1081" style="position:absolute;left:53345;width:422;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" filled="f" stroked="f">
                  <v:textbox inset="0,0,0,0">
                    <w:txbxContent>
                      <w:p w14:paraId="39AB8C94" w14:textId="77777777" w:rsidR="006A0484" w:rsidRDefault="006A0484" w:rsidP="006A0484">
                        <w:pPr>
                          <w:spacing w:after="160" w:line="259" w:lineRule="auto"/>
                        </w:pPr>
                        <w:r>
                          <w:rPr>
                            <w:sz w:val="18"/>
                          </w:rPr>
                          <w:t xml:space="preserve"> </w:t>
                        </w:r>
                      </w:p>
                    </w:txbxContent>
                  </v:textbox>
                </v:rect>
                <v:rect id="Rectangle 3589" o:spid="_x0000_s1082" style="position:absolute;left:45098;top:1325;width:7224;height:16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" filled="f" stroked="f">
                  <v:textbox inset="0,0,0,0">
                    <w:txbxContent>
                      <w:p w14:paraId="053CE389" w14:textId="77777777" w:rsidR="006A0484" w:rsidRDefault="006A0484" w:rsidP="006A0484">
                        <w:pPr>
                          <w:spacing w:after="160" w:line="259" w:lineRule="auto"/>
                        </w:pPr>
                        <w:r>
                          <w:rPr>
                            <w:sz w:val="18"/>
                          </w:rPr>
                          <w:t xml:space="preserve">Pandemic </w:t>
                        </w:r>
                      </w:p>
                    </w:txbxContent>
                  </v:textbox>
                </v:rect>
                <w10:anchorlock/>
              </v:group>
            </w:pict>
          </mc:Fallback>
        </mc:AlternateContent>
      </w:r>
    </w:p>
    <w:p w14:paraId="5E5DD3F0" w14:textId="024B91F5" w:rsidR="006A0484" w:rsidRPr="005E3844" w:rsidRDefault="006A0484" w:rsidP="0020235A">
      <w:pPr>
        <w:tabs>
          <w:tab w:val="center" w:pos="3863"/>
          <w:tab w:val="center" w:pos="6813"/>
          <w:tab w:val="center" w:pos="8997"/>
        </w:tabs>
        <w:jc w:val="center"/>
        <w:rPr>
          <w:rFonts w:ascii="Arial" w:hAnsi="Arial" w:cs="Arial"/>
          <w:sz w:val="20"/>
          <w:szCs w:val="20"/>
        </w:rPr>
      </w:pPr>
      <w:r>
        <w:rPr>
          <w:rFonts w:ascii="Calibri" w:eastAsia="Calibri" w:hAnsi="Calibri" w:cs="Calibri"/>
          <w:noProof/>
        </w:rPr>
        <mc:AlternateContent>
          <mc:Choice Requires="wpg">
            <w:drawing>
              <wp:inline distT="0" distB="0" distL="0" distR="0" wp14:anchorId="281CE1AC" wp14:editId="770A3C80">
                <wp:extent cx="243840" cy="28575"/>
                <wp:effectExtent l="0" t="0" r="0" b="0"/>
                <wp:docPr id="249102" name="Group 249102"/>
                <wp:cNvGraphicFramePr/>
                <a:graphic xmlns:a="http://schemas.openxmlformats.org/drawingml/2006/main">
                  <a:graphicData uri="http://schemas.microsoft.com/office/word/2010/wordprocessingGroup">
                    <wpg:wgp>
                      <wpg:cNvGrpSpPr/>
                      <wpg:grpSpPr>
                        <a:xfrm>
                          <a:off x="0" y="0"/>
                          <a:ext cx="243840" cy="28575"/>
                          <a:chOff x="0" y="0"/>
                          <a:chExt cx="243840" cy="28575"/>
                        </a:xfrm>
                      </wpg:grpSpPr>
                      <wps:wsp>
                        <wps:cNvPr id="3573" name="Shape 3573"/>
                        <wps:cNvSpPr/>
                        <wps:spPr>
                          <a:xfrm>
                            <a:off x="0" y="0"/>
                            <a:ext cx="243840" cy="0"/>
                          </a:xfrm>
                          <a:custGeom>
                            <a:avLst/>
                            <a:gdLst/>
                            <a:ahLst/>
                            <a:cxnLst/>
                            <a:rect l="0" t="0" r="0" b="0"/>
                            <a:pathLst>
                              <a:path w="243840">
                                <a:moveTo>
                                  <a:pt x="0" y="0"/>
                                </a:moveTo>
                                <a:lnTo>
                                  <a:pt x="243840" y="0"/>
                                </a:lnTo>
                              </a:path>
                            </a:pathLst>
                          </a:custGeom>
                          <a:ln w="28575" cap="rnd">
                            <a:round/>
                          </a:ln>
                        </wps:spPr>
                        <wps:style>
                          <a:lnRef idx="1">
                            <a:srgbClr val="007DC3"/>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25B24DE1" id="Group 249102" o:spid="_x0000_s1026" style="width:19.2pt;height:2.25pt;mso-position-horizontal-relative:char;mso-position-vertical-relative:line" coordsize="2438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">
                <v:shape id="Shape 3573" o:spid="_x0000_s1027" style="position:absolute;width:243840;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" path="m,l243840,e" filled="f" strokecolor="#007dc3" strokeweight="2.25pt">
                  <v:stroke endcap="round"/>
                  <v:path arrowok="t" textboxrect="0,0,243840,0"/>
                </v:shape>
                <w10:anchorlock/>
              </v:group>
            </w:pict>
          </mc:Fallback>
        </mc:AlternateContent>
      </w:r>
      <w:r>
        <w:rPr>
          <w:color w:val="595959"/>
          <w:sz w:val="18"/>
        </w:rPr>
        <w:t>Drug Offences</w:t>
      </w:r>
      <w:r>
        <w:rPr>
          <w:color w:val="595959"/>
          <w:sz w:val="18"/>
        </w:rPr>
        <w:tab/>
      </w:r>
      <w:r>
        <w:rPr>
          <w:rFonts w:ascii="Calibri" w:eastAsia="Calibri" w:hAnsi="Calibri" w:cs="Calibri"/>
          <w:noProof/>
        </w:rPr>
        <mc:AlternateContent>
          <mc:Choice Requires="wpg">
            <w:drawing>
              <wp:inline distT="0" distB="0" distL="0" distR="0" wp14:anchorId="5EC00378" wp14:editId="0751EDEF">
                <wp:extent cx="243840" cy="28575"/>
                <wp:effectExtent l="0" t="0" r="0" b="0"/>
                <wp:docPr id="249103" name="Group 249103"/>
                <wp:cNvGraphicFramePr/>
                <a:graphic xmlns:a="http://schemas.openxmlformats.org/drawingml/2006/main">
                  <a:graphicData uri="http://schemas.microsoft.com/office/word/2010/wordprocessingGroup">
                    <wpg:wgp>
                      <wpg:cNvGrpSpPr/>
                      <wpg:grpSpPr>
                        <a:xfrm>
                          <a:off x="0" y="0"/>
                          <a:ext cx="243840" cy="28575"/>
                          <a:chOff x="0" y="0"/>
                          <a:chExt cx="243840" cy="28575"/>
                        </a:xfrm>
                      </wpg:grpSpPr>
                      <wps:wsp>
                        <wps:cNvPr id="3575" name="Shape 3575"/>
                        <wps:cNvSpPr/>
                        <wps:spPr>
                          <a:xfrm>
                            <a:off x="0" y="0"/>
                            <a:ext cx="243840" cy="0"/>
                          </a:xfrm>
                          <a:custGeom>
                            <a:avLst/>
                            <a:gdLst/>
                            <a:ahLst/>
                            <a:cxnLst/>
                            <a:rect l="0" t="0" r="0" b="0"/>
                            <a:pathLst>
                              <a:path w="243840">
                                <a:moveTo>
                                  <a:pt x="0" y="0"/>
                                </a:moveTo>
                                <a:lnTo>
                                  <a:pt x="243840" y="0"/>
                                </a:lnTo>
                              </a:path>
                            </a:pathLst>
                          </a:custGeom>
                          <a:ln w="28575" cap="rnd">
                            <a:round/>
                          </a:ln>
                        </wps:spPr>
                        <wps:style>
                          <a:lnRef idx="1">
                            <a:srgbClr val="00529B"/>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2DD85996" id="Group 249103" o:spid="_x0000_s1026" style="width:19.2pt;height:2.25pt;mso-position-horizontal-relative:char;mso-position-vertical-relative:line" coordsize="2438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">
                <v:shape id="Shape 3575" o:spid="_x0000_s1027" style="position:absolute;width:243840;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" path="m,l243840,e" filled="f" strokecolor="#00529b" strokeweight="2.25pt">
                  <v:stroke endcap="round"/>
                  <v:path arrowok="t" textboxrect="0,0,243840,0"/>
                </v:shape>
                <w10:anchorlock/>
              </v:group>
            </w:pict>
          </mc:Fallback>
        </mc:AlternateContent>
      </w:r>
      <w:r>
        <w:rPr>
          <w:color w:val="595959"/>
          <w:sz w:val="18"/>
        </w:rPr>
        <w:t xml:space="preserve"> Public order and security offences</w:t>
      </w:r>
      <w:r>
        <w:rPr>
          <w:color w:val="595959"/>
          <w:sz w:val="18"/>
        </w:rPr>
        <w:tab/>
      </w:r>
      <w:r>
        <w:rPr>
          <w:rFonts w:ascii="Calibri" w:eastAsia="Calibri" w:hAnsi="Calibri" w:cs="Calibri"/>
          <w:noProof/>
        </w:rPr>
        <mc:AlternateContent>
          <mc:Choice Requires="wpg">
            <w:drawing>
              <wp:inline distT="0" distB="0" distL="0" distR="0" wp14:anchorId="6D21AD68" wp14:editId="400668D7">
                <wp:extent cx="243840" cy="28575"/>
                <wp:effectExtent l="0" t="0" r="0" b="0"/>
                <wp:docPr id="249104" name="Group 249104"/>
                <wp:cNvGraphicFramePr/>
                <a:graphic xmlns:a="http://schemas.openxmlformats.org/drawingml/2006/main">
                  <a:graphicData uri="http://schemas.microsoft.com/office/word/2010/wordprocessingGroup">
                    <wpg:wgp>
                      <wpg:cNvGrpSpPr/>
                      <wpg:grpSpPr>
                        <a:xfrm>
                          <a:off x="0" y="0"/>
                          <a:ext cx="243840" cy="28575"/>
                          <a:chOff x="0" y="0"/>
                          <a:chExt cx="243840" cy="28575"/>
                        </a:xfrm>
                      </wpg:grpSpPr>
                      <wps:wsp>
                        <wps:cNvPr id="3577" name="Shape 3577"/>
                        <wps:cNvSpPr/>
                        <wps:spPr>
                          <a:xfrm>
                            <a:off x="0" y="0"/>
                            <a:ext cx="243840" cy="0"/>
                          </a:xfrm>
                          <a:custGeom>
                            <a:avLst/>
                            <a:gdLst/>
                            <a:ahLst/>
                            <a:cxnLst/>
                            <a:rect l="0" t="0" r="0" b="0"/>
                            <a:pathLst>
                              <a:path w="243840">
                                <a:moveTo>
                                  <a:pt x="0" y="0"/>
                                </a:moveTo>
                                <a:lnTo>
                                  <a:pt x="243840" y="0"/>
                                </a:lnTo>
                              </a:path>
                            </a:pathLst>
                          </a:custGeom>
                          <a:ln w="28575" cap="rnd">
                            <a:round/>
                          </a:ln>
                        </wps:spPr>
                        <wps:style>
                          <a:lnRef idx="1">
                            <a:srgbClr val="6600CC"/>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59422452" id="Group 249104" o:spid="_x0000_s1026" style="width:19.2pt;height:2.25pt;mso-position-horizontal-relative:char;mso-position-vertical-relative:line" coordsize="2438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">
                <v:shape id="Shape 3577" o:spid="_x0000_s1027" style="position:absolute;width:243840;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" path="m,l243840,e" filled="f" strokecolor="#60c" strokeweight="2.25pt">
                  <v:stroke endcap="round"/>
                  <v:path arrowok="t" textboxrect="0,0,243840,0"/>
                </v:shape>
                <w10:anchorlock/>
              </v:group>
            </w:pict>
          </mc:Fallback>
        </mc:AlternateContent>
      </w:r>
      <w:r>
        <w:rPr>
          <w:color w:val="595959"/>
          <w:sz w:val="18"/>
        </w:rPr>
        <w:t xml:space="preserve"> Justice procedure offences</w:t>
      </w:r>
      <w:r>
        <w:rPr>
          <w:color w:val="595959"/>
          <w:sz w:val="18"/>
        </w:rPr>
        <w:tab/>
      </w:r>
      <w:r>
        <w:rPr>
          <w:rFonts w:ascii="Calibri" w:eastAsia="Calibri" w:hAnsi="Calibri" w:cs="Calibri"/>
          <w:noProof/>
        </w:rPr>
        <mc:AlternateContent>
          <mc:Choice Requires="wpg">
            <w:drawing>
              <wp:inline distT="0" distB="0" distL="0" distR="0" wp14:anchorId="50F0D5E6" wp14:editId="424AB192">
                <wp:extent cx="243840" cy="28575"/>
                <wp:effectExtent l="0" t="0" r="0" b="0"/>
                <wp:docPr id="249105" name="Group 249105"/>
                <wp:cNvGraphicFramePr/>
                <a:graphic xmlns:a="http://schemas.openxmlformats.org/drawingml/2006/main">
                  <a:graphicData uri="http://schemas.microsoft.com/office/word/2010/wordprocessingGroup">
                    <wpg:wgp>
                      <wpg:cNvGrpSpPr/>
                      <wpg:grpSpPr>
                        <a:xfrm>
                          <a:off x="0" y="0"/>
                          <a:ext cx="243840" cy="28575"/>
                          <a:chOff x="0" y="0"/>
                          <a:chExt cx="243840" cy="28575"/>
                        </a:xfrm>
                      </wpg:grpSpPr>
                      <wps:wsp>
                        <wps:cNvPr id="3579" name="Shape 3579"/>
                        <wps:cNvSpPr/>
                        <wps:spPr>
                          <a:xfrm>
                            <a:off x="0" y="0"/>
                            <a:ext cx="243840" cy="0"/>
                          </a:xfrm>
                          <a:custGeom>
                            <a:avLst/>
                            <a:gdLst/>
                            <a:ahLst/>
                            <a:cxnLst/>
                            <a:rect l="0" t="0" r="0" b="0"/>
                            <a:pathLst>
                              <a:path w="243840">
                                <a:moveTo>
                                  <a:pt x="0" y="0"/>
                                </a:moveTo>
                                <a:lnTo>
                                  <a:pt x="243840" y="0"/>
                                </a:lnTo>
                              </a:path>
                            </a:pathLst>
                          </a:custGeom>
                          <a:ln w="28575" cap="rnd">
                            <a:round/>
                          </a:ln>
                        </wps:spPr>
                        <wps:style>
                          <a:lnRef idx="1">
                            <a:srgbClr val="CC3300"/>
                          </a:lnRef>
                          <a:fillRef idx="0">
                            <a:srgbClr val="000000">
                              <a:alpha val="0"/>
                            </a:srgbClr>
                          </a:fillRef>
                          <a:effectRef idx="0">
                            <a:scrgbClr r="0" g="0" b="0"/>
                          </a:effectRef>
                          <a:fontRef idx="none"/>
                        </wps:style>
                        <wps:bodyPr/>
                      </wps:wsp>
                    </wpg:wgp>
                  </a:graphicData>
                </a:graphic>
              </wp:inline>
            </w:drawing>
          </mc:Choice>
          <mc:Fallback xmlns:w16cei="http://schemas.microsoft.com/office/word/2026/wordml/cei">
            <w:pict>
              <v:group w14:anchorId="107AC912" id="Group 249105" o:spid="_x0000_s1026" style="width:19.2pt;height:2.25pt;mso-position-horizontal-relative:char;mso-position-vertical-relative:line" coordsize="243840,28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">
                <v:shape id="Shape 3579" o:spid="_x0000_s1027" style="position:absolute;width:243840;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" path="m,l243840,e" filled="f" strokecolor="#c30" strokeweight="2.25pt">
                  <v:stroke endcap="round"/>
                  <v:path arrowok="t" textboxrect="0,0,243840,0"/>
                </v:shape>
                <w10:anchorlock/>
              </v:group>
            </w:pict>
          </mc:Fallback>
        </mc:AlternateContent>
      </w:r>
      <w:r>
        <w:rPr>
          <w:color w:val="595959"/>
          <w:sz w:val="18"/>
        </w:rPr>
        <w:t xml:space="preserve"> Other offences</w:t>
      </w:r>
      <w:r w:rsidR="005E3844">
        <w:rPr>
          <w:color w:val="595959"/>
          <w:sz w:val="18"/>
        </w:rPr>
        <w:t xml:space="preserve"> (including </w:t>
      </w:r>
      <w:r w:rsidR="00087105">
        <w:rPr>
          <w:sz w:val="18"/>
        </w:rPr>
        <w:t>breach of public health order offences introduced in 2020 in response to the COVID-19 pandemic)</w:t>
      </w:r>
    </w:p>
    <w:p w14:paraId="71B05A9F" w14:textId="77777777" w:rsidR="005E3844" w:rsidRPr="005E3844" w:rsidRDefault="005E3844" w:rsidP="00591749">
      <w:pPr>
        <w:pStyle w:val="ListParagraph"/>
        <w:numPr>
          <w:ilvl w:val="0"/>
          <w:numId w:val="58"/>
        </w:numPr>
        <w:spacing w:before="120" w:after="0" w:line="240" w:lineRule="auto"/>
        <w:ind w:left="357" w:hanging="357"/>
        <w:jc w:val="both"/>
        <w:rPr>
          <w:rFonts w:ascii="Arial" w:hAnsi="Arial" w:cs="Arial"/>
          <w:color w:val="000000"/>
          <w:sz w:val="20"/>
          <w:szCs w:val="20"/>
        </w:rPr>
      </w:pPr>
      <w:r w:rsidRPr="00885E49">
        <w:rPr>
          <w:rFonts w:ascii="Arial" w:hAnsi="Arial" w:cs="Arial"/>
          <w:sz w:val="20"/>
          <w:szCs w:val="20"/>
        </w:rPr>
        <w:t>Data from the Crime Statistics Agency indicates that the rate of alleged youth offender incidents in Victoria (year ending March 2021) was 17</w:t>
      </w:r>
      <w:r>
        <w:rPr>
          <w:rFonts w:ascii="Arial" w:hAnsi="Arial" w:cs="Arial"/>
          <w:sz w:val="20"/>
          <w:szCs w:val="20"/>
        </w:rPr>
        <w:t>% l</w:t>
      </w:r>
      <w:r w:rsidRPr="00885E49">
        <w:rPr>
          <w:rFonts w:ascii="Arial" w:hAnsi="Arial" w:cs="Arial"/>
          <w:sz w:val="20"/>
          <w:szCs w:val="20"/>
        </w:rPr>
        <w:t>ower than the year ending March 2012 and 12.3</w:t>
      </w:r>
      <w:r>
        <w:rPr>
          <w:rFonts w:ascii="Arial" w:hAnsi="Arial" w:cs="Arial"/>
          <w:sz w:val="20"/>
          <w:szCs w:val="20"/>
        </w:rPr>
        <w:t>%</w:t>
      </w:r>
      <w:r w:rsidRPr="00885E49">
        <w:rPr>
          <w:rFonts w:ascii="Arial" w:hAnsi="Arial" w:cs="Arial"/>
          <w:sz w:val="20"/>
          <w:szCs w:val="20"/>
        </w:rPr>
        <w:t xml:space="preserve"> lower than the year ending March 2017.</w:t>
      </w:r>
    </w:p>
    <w:p w14:paraId="530C3E39" w14:textId="3AD6CED4" w:rsidR="005E3844" w:rsidRPr="005E3844" w:rsidRDefault="005E3844" w:rsidP="00591749">
      <w:pPr>
        <w:pStyle w:val="ListParagraph"/>
        <w:numPr>
          <w:ilvl w:val="0"/>
          <w:numId w:val="58"/>
        </w:numPr>
        <w:spacing w:before="60" w:after="0" w:line="240" w:lineRule="auto"/>
        <w:ind w:left="357" w:hanging="357"/>
        <w:jc w:val="both"/>
        <w:rPr>
          <w:rFonts w:ascii="Arial" w:hAnsi="Arial" w:cs="Arial"/>
          <w:color w:val="000000"/>
          <w:sz w:val="20"/>
          <w:szCs w:val="20"/>
        </w:rPr>
      </w:pPr>
      <w:r w:rsidRPr="00885E49">
        <w:rPr>
          <w:rFonts w:ascii="Arial" w:hAnsi="Arial" w:cs="Arial"/>
          <w:sz w:val="20"/>
          <w:szCs w:val="20"/>
        </w:rPr>
        <w:t>In addition, in 2019</w:t>
      </w:r>
      <w:r>
        <w:rPr>
          <w:rFonts w:ascii="Arial" w:hAnsi="Arial" w:cs="Arial"/>
          <w:sz w:val="20"/>
          <w:szCs w:val="20"/>
        </w:rPr>
        <w:t>/</w:t>
      </w:r>
      <w:r w:rsidRPr="00885E49">
        <w:rPr>
          <w:rFonts w:ascii="Arial" w:hAnsi="Arial" w:cs="Arial"/>
          <w:sz w:val="20"/>
          <w:szCs w:val="20"/>
        </w:rPr>
        <w:t>20 the average number of young people in youth justice custody decreased by 8</w:t>
      </w:r>
      <w:r>
        <w:rPr>
          <w:rFonts w:ascii="Arial" w:hAnsi="Arial" w:cs="Arial"/>
          <w:sz w:val="20"/>
          <w:szCs w:val="20"/>
        </w:rPr>
        <w:t>%</w:t>
      </w:r>
      <w:r w:rsidRPr="00885E49">
        <w:rPr>
          <w:rFonts w:ascii="Arial" w:hAnsi="Arial" w:cs="Arial"/>
          <w:sz w:val="20"/>
          <w:szCs w:val="20"/>
        </w:rPr>
        <w:t xml:space="preserve"> compared with 2017</w:t>
      </w:r>
      <w:r>
        <w:rPr>
          <w:rFonts w:ascii="Arial" w:hAnsi="Arial" w:cs="Arial"/>
          <w:sz w:val="20"/>
          <w:szCs w:val="20"/>
        </w:rPr>
        <w:t>/</w:t>
      </w:r>
      <w:r w:rsidRPr="00885E49">
        <w:rPr>
          <w:rFonts w:ascii="Arial" w:hAnsi="Arial" w:cs="Arial"/>
          <w:sz w:val="20"/>
          <w:szCs w:val="20"/>
        </w:rPr>
        <w:t>18 and 3</w:t>
      </w:r>
      <w:r>
        <w:rPr>
          <w:rFonts w:ascii="Arial" w:hAnsi="Arial" w:cs="Arial"/>
          <w:sz w:val="20"/>
          <w:szCs w:val="20"/>
        </w:rPr>
        <w:t>%</w:t>
      </w:r>
      <w:r w:rsidRPr="00885E49">
        <w:rPr>
          <w:rFonts w:ascii="Arial" w:hAnsi="Arial" w:cs="Arial"/>
          <w:sz w:val="20"/>
          <w:szCs w:val="20"/>
        </w:rPr>
        <w:t xml:space="preserve"> compared with 2018</w:t>
      </w:r>
      <w:r>
        <w:rPr>
          <w:rFonts w:ascii="Arial" w:hAnsi="Arial" w:cs="Arial"/>
          <w:sz w:val="20"/>
          <w:szCs w:val="20"/>
        </w:rPr>
        <w:t>/</w:t>
      </w:r>
      <w:r w:rsidRPr="00885E49">
        <w:rPr>
          <w:rFonts w:ascii="Arial" w:hAnsi="Arial" w:cs="Arial"/>
          <w:sz w:val="20"/>
          <w:szCs w:val="20"/>
        </w:rPr>
        <w:t>19. The average number of young people under youth justice supervision in the community also decreased by 11</w:t>
      </w:r>
      <w:r>
        <w:rPr>
          <w:rFonts w:ascii="Arial" w:hAnsi="Arial" w:cs="Arial"/>
          <w:sz w:val="20"/>
          <w:szCs w:val="20"/>
        </w:rPr>
        <w:t>%</w:t>
      </w:r>
      <w:r w:rsidRPr="00885E49">
        <w:rPr>
          <w:rFonts w:ascii="Arial" w:hAnsi="Arial" w:cs="Arial"/>
          <w:sz w:val="20"/>
          <w:szCs w:val="20"/>
        </w:rPr>
        <w:t xml:space="preserve"> compared with 2017</w:t>
      </w:r>
      <w:r>
        <w:rPr>
          <w:rFonts w:ascii="Arial" w:hAnsi="Arial" w:cs="Arial"/>
          <w:sz w:val="20"/>
          <w:szCs w:val="20"/>
        </w:rPr>
        <w:t>/</w:t>
      </w:r>
      <w:r w:rsidRPr="00885E49">
        <w:rPr>
          <w:rFonts w:ascii="Arial" w:hAnsi="Arial" w:cs="Arial"/>
          <w:sz w:val="20"/>
          <w:szCs w:val="20"/>
        </w:rPr>
        <w:t>18 and 3</w:t>
      </w:r>
      <w:r>
        <w:rPr>
          <w:rFonts w:ascii="Arial" w:hAnsi="Arial" w:cs="Arial"/>
          <w:sz w:val="20"/>
          <w:szCs w:val="20"/>
        </w:rPr>
        <w:t>%</w:t>
      </w:r>
      <w:r w:rsidRPr="00885E49">
        <w:rPr>
          <w:rFonts w:ascii="Arial" w:hAnsi="Arial" w:cs="Arial"/>
          <w:sz w:val="20"/>
          <w:szCs w:val="20"/>
        </w:rPr>
        <w:t xml:space="preserve"> compared with 2018</w:t>
      </w:r>
      <w:r>
        <w:rPr>
          <w:rFonts w:ascii="Arial" w:hAnsi="Arial" w:cs="Arial"/>
          <w:sz w:val="20"/>
          <w:szCs w:val="20"/>
        </w:rPr>
        <w:t>/</w:t>
      </w:r>
      <w:r w:rsidRPr="00885E49">
        <w:rPr>
          <w:rFonts w:ascii="Arial" w:hAnsi="Arial" w:cs="Arial"/>
          <w:sz w:val="20"/>
          <w:szCs w:val="20"/>
        </w:rPr>
        <w:t>19.</w:t>
      </w:r>
    </w:p>
    <w:p w14:paraId="5DC974A1" w14:textId="0F7E8C4B" w:rsidR="005E3844" w:rsidRPr="005E3844" w:rsidRDefault="005E3844" w:rsidP="00591749">
      <w:pPr>
        <w:pStyle w:val="ListParagraph"/>
        <w:numPr>
          <w:ilvl w:val="0"/>
          <w:numId w:val="58"/>
        </w:numPr>
        <w:spacing w:before="60" w:after="0" w:line="240" w:lineRule="auto"/>
        <w:ind w:left="357" w:hanging="357"/>
        <w:jc w:val="both"/>
        <w:rPr>
          <w:rFonts w:ascii="Arial" w:hAnsi="Arial" w:cs="Arial"/>
          <w:color w:val="000000"/>
          <w:sz w:val="20"/>
          <w:szCs w:val="20"/>
        </w:rPr>
      </w:pPr>
      <w:r w:rsidRPr="009119B9">
        <w:rPr>
          <w:rFonts w:ascii="Arial" w:hAnsi="Arial" w:cs="Arial"/>
          <w:sz w:val="20"/>
          <w:szCs w:val="20"/>
        </w:rPr>
        <w:t>Since June 2018, there has been a gradual increase in the number of young people on remand in youth justice each year, until 2020</w:t>
      </w:r>
      <w:r>
        <w:rPr>
          <w:rFonts w:ascii="Arial" w:hAnsi="Arial" w:cs="Arial"/>
          <w:sz w:val="20"/>
          <w:szCs w:val="20"/>
        </w:rPr>
        <w:t>/</w:t>
      </w:r>
      <w:r w:rsidRPr="009119B9">
        <w:rPr>
          <w:rFonts w:ascii="Arial" w:hAnsi="Arial" w:cs="Arial"/>
          <w:sz w:val="20"/>
          <w:szCs w:val="20"/>
        </w:rPr>
        <w:t>21 when these numbers decreased. Prior to the enactment of the YJ Reform Act, there had been a decreasing trend in the annual number of children and young people on remand.</w:t>
      </w:r>
      <w:r>
        <w:rPr>
          <w:rFonts w:ascii="Arial" w:hAnsi="Arial" w:cs="Arial"/>
          <w:sz w:val="20"/>
          <w:szCs w:val="20"/>
        </w:rPr>
        <w:t xml:space="preserve">  </w:t>
      </w:r>
      <w:r w:rsidRPr="009119B9">
        <w:rPr>
          <w:rFonts w:ascii="Arial" w:hAnsi="Arial" w:cs="Arial"/>
          <w:sz w:val="20"/>
          <w:szCs w:val="20"/>
        </w:rPr>
        <w:t>Compared with the pre-reform period of 2017</w:t>
      </w:r>
      <w:r>
        <w:rPr>
          <w:rFonts w:ascii="Arial" w:hAnsi="Arial" w:cs="Arial"/>
          <w:sz w:val="20"/>
          <w:szCs w:val="20"/>
        </w:rPr>
        <w:t>/</w:t>
      </w:r>
      <w:r w:rsidRPr="009119B9">
        <w:rPr>
          <w:rFonts w:ascii="Arial" w:hAnsi="Arial" w:cs="Arial"/>
          <w:sz w:val="20"/>
          <w:szCs w:val="20"/>
        </w:rPr>
        <w:t>18, the number in 2018</w:t>
      </w:r>
      <w:r>
        <w:rPr>
          <w:rFonts w:ascii="Arial" w:hAnsi="Arial" w:cs="Arial"/>
          <w:sz w:val="20"/>
          <w:szCs w:val="20"/>
        </w:rPr>
        <w:t>/</w:t>
      </w:r>
      <w:r w:rsidRPr="009119B9">
        <w:rPr>
          <w:rFonts w:ascii="Arial" w:hAnsi="Arial" w:cs="Arial"/>
          <w:sz w:val="20"/>
          <w:szCs w:val="20"/>
        </w:rPr>
        <w:t>19 increased by 12</w:t>
      </w:r>
      <w:r>
        <w:rPr>
          <w:rFonts w:ascii="Arial" w:hAnsi="Arial" w:cs="Arial"/>
          <w:sz w:val="20"/>
          <w:szCs w:val="20"/>
        </w:rPr>
        <w:t>%</w:t>
      </w:r>
      <w:r w:rsidRPr="009119B9">
        <w:rPr>
          <w:rFonts w:ascii="Arial" w:hAnsi="Arial" w:cs="Arial"/>
          <w:sz w:val="20"/>
          <w:szCs w:val="20"/>
        </w:rPr>
        <w:t>. In 2019</w:t>
      </w:r>
      <w:r>
        <w:rPr>
          <w:rFonts w:ascii="Arial" w:hAnsi="Arial" w:cs="Arial"/>
          <w:sz w:val="20"/>
          <w:szCs w:val="20"/>
        </w:rPr>
        <w:t>/</w:t>
      </w:r>
      <w:r w:rsidRPr="009119B9">
        <w:rPr>
          <w:rFonts w:ascii="Arial" w:hAnsi="Arial" w:cs="Arial"/>
          <w:sz w:val="20"/>
          <w:szCs w:val="20"/>
        </w:rPr>
        <w:t>20, the numbers reached a peak of 612 children and young people, jumping by 20</w:t>
      </w:r>
      <w:r>
        <w:rPr>
          <w:rFonts w:ascii="Arial" w:hAnsi="Arial" w:cs="Arial"/>
          <w:sz w:val="20"/>
          <w:szCs w:val="20"/>
        </w:rPr>
        <w:t>%</w:t>
      </w:r>
      <w:r w:rsidRPr="009119B9">
        <w:rPr>
          <w:rFonts w:ascii="Arial" w:hAnsi="Arial" w:cs="Arial"/>
          <w:sz w:val="20"/>
          <w:szCs w:val="20"/>
        </w:rPr>
        <w:t xml:space="preserve"> compared with pre-reform period of 2017</w:t>
      </w:r>
      <w:r>
        <w:rPr>
          <w:rFonts w:ascii="Arial" w:hAnsi="Arial" w:cs="Arial"/>
          <w:sz w:val="20"/>
          <w:szCs w:val="20"/>
        </w:rPr>
        <w:t>/</w:t>
      </w:r>
      <w:r w:rsidRPr="009119B9">
        <w:rPr>
          <w:rFonts w:ascii="Arial" w:hAnsi="Arial" w:cs="Arial"/>
          <w:sz w:val="20"/>
          <w:szCs w:val="20"/>
        </w:rPr>
        <w:t>18.</w:t>
      </w:r>
    </w:p>
    <w:p w14:paraId="406258C3" w14:textId="6A98A2FE" w:rsidR="005E3844" w:rsidRPr="005E3844" w:rsidRDefault="005E3844" w:rsidP="00591749">
      <w:pPr>
        <w:pStyle w:val="ListParagraph"/>
        <w:numPr>
          <w:ilvl w:val="0"/>
          <w:numId w:val="58"/>
        </w:numPr>
        <w:spacing w:before="60" w:after="0" w:line="240" w:lineRule="auto"/>
        <w:ind w:left="357" w:hanging="357"/>
        <w:jc w:val="both"/>
        <w:rPr>
          <w:rFonts w:ascii="Arial" w:hAnsi="Arial" w:cs="Arial"/>
          <w:color w:val="000000"/>
          <w:sz w:val="20"/>
          <w:szCs w:val="20"/>
        </w:rPr>
      </w:pPr>
      <w:r w:rsidRPr="009119B9">
        <w:rPr>
          <w:rFonts w:ascii="Arial" w:hAnsi="Arial" w:cs="Arial"/>
          <w:sz w:val="20"/>
          <w:szCs w:val="20"/>
        </w:rPr>
        <w:t>In Victoria in 2020</w:t>
      </w:r>
      <w:r>
        <w:rPr>
          <w:rFonts w:ascii="Arial" w:hAnsi="Arial" w:cs="Arial"/>
          <w:sz w:val="20"/>
          <w:szCs w:val="20"/>
        </w:rPr>
        <w:t>/</w:t>
      </w:r>
      <w:r w:rsidRPr="009119B9">
        <w:rPr>
          <w:rFonts w:ascii="Arial" w:hAnsi="Arial" w:cs="Arial"/>
          <w:sz w:val="20"/>
          <w:szCs w:val="20"/>
        </w:rPr>
        <w:t>21, when only young people aged 10–17 are considered, about 81</w:t>
      </w:r>
      <w:r>
        <w:rPr>
          <w:rFonts w:ascii="Arial" w:hAnsi="Arial" w:cs="Arial"/>
          <w:sz w:val="20"/>
          <w:szCs w:val="20"/>
        </w:rPr>
        <w:t>%</w:t>
      </w:r>
      <w:r w:rsidRPr="009119B9">
        <w:rPr>
          <w:rFonts w:ascii="Arial" w:hAnsi="Arial" w:cs="Arial"/>
          <w:sz w:val="20"/>
          <w:szCs w:val="20"/>
        </w:rPr>
        <w:t xml:space="preserve"> of those in detention on an average day were unsentenced.</w:t>
      </w:r>
    </w:p>
    <w:p w14:paraId="7CB1DF9C" w14:textId="63EEFC0B" w:rsidR="005E3844" w:rsidRPr="005E3844" w:rsidRDefault="005E3844" w:rsidP="00591749">
      <w:pPr>
        <w:pStyle w:val="ListParagraph"/>
        <w:numPr>
          <w:ilvl w:val="0"/>
          <w:numId w:val="58"/>
        </w:numPr>
        <w:spacing w:before="60" w:after="0" w:line="240" w:lineRule="auto"/>
        <w:ind w:left="357" w:hanging="357"/>
        <w:jc w:val="both"/>
        <w:rPr>
          <w:rFonts w:ascii="Arial" w:hAnsi="Arial" w:cs="Arial"/>
          <w:color w:val="000000"/>
          <w:sz w:val="20"/>
          <w:szCs w:val="20"/>
        </w:rPr>
      </w:pPr>
      <w:r w:rsidRPr="00885E49">
        <w:rPr>
          <w:rFonts w:ascii="Arial" w:hAnsi="Arial" w:cs="Arial"/>
          <w:sz w:val="20"/>
          <w:szCs w:val="20"/>
        </w:rPr>
        <w:t>In terms of reoffending, the number of youth recidivists has been declining since 2014, and the rate of non-recidivism increased from 14</w:t>
      </w:r>
      <w:r>
        <w:rPr>
          <w:rFonts w:ascii="Arial" w:hAnsi="Arial" w:cs="Arial"/>
          <w:sz w:val="20"/>
          <w:szCs w:val="20"/>
        </w:rPr>
        <w:t>%</w:t>
      </w:r>
      <w:r w:rsidRPr="00885E49">
        <w:rPr>
          <w:rFonts w:ascii="Arial" w:hAnsi="Arial" w:cs="Arial"/>
          <w:sz w:val="20"/>
          <w:szCs w:val="20"/>
        </w:rPr>
        <w:t xml:space="preserve"> in 2014</w:t>
      </w:r>
      <w:r>
        <w:rPr>
          <w:rFonts w:ascii="Arial" w:hAnsi="Arial" w:cs="Arial"/>
          <w:sz w:val="20"/>
          <w:szCs w:val="20"/>
        </w:rPr>
        <w:t>/</w:t>
      </w:r>
      <w:r w:rsidRPr="00885E49">
        <w:rPr>
          <w:rFonts w:ascii="Arial" w:hAnsi="Arial" w:cs="Arial"/>
          <w:sz w:val="20"/>
          <w:szCs w:val="20"/>
        </w:rPr>
        <w:t>15 to 24</w:t>
      </w:r>
      <w:r>
        <w:rPr>
          <w:rFonts w:ascii="Arial" w:hAnsi="Arial" w:cs="Arial"/>
          <w:sz w:val="20"/>
          <w:szCs w:val="20"/>
        </w:rPr>
        <w:t>%</w:t>
      </w:r>
      <w:r w:rsidRPr="00885E49">
        <w:rPr>
          <w:rFonts w:ascii="Arial" w:hAnsi="Arial" w:cs="Arial"/>
          <w:sz w:val="20"/>
          <w:szCs w:val="20"/>
        </w:rPr>
        <w:t xml:space="preserve"> in 2018</w:t>
      </w:r>
      <w:r>
        <w:rPr>
          <w:rFonts w:ascii="Arial" w:hAnsi="Arial" w:cs="Arial"/>
          <w:sz w:val="20"/>
          <w:szCs w:val="20"/>
        </w:rPr>
        <w:t>/</w:t>
      </w:r>
      <w:r w:rsidRPr="00885E49">
        <w:rPr>
          <w:rFonts w:ascii="Arial" w:hAnsi="Arial" w:cs="Arial"/>
          <w:sz w:val="20"/>
          <w:szCs w:val="20"/>
        </w:rPr>
        <w:t>19.</w:t>
      </w:r>
    </w:p>
    <w:p w14:paraId="1B258398" w14:textId="77777777" w:rsidR="005E3844" w:rsidRPr="005E3844" w:rsidRDefault="005E3844" w:rsidP="005E3844">
      <w:pPr>
        <w:jc w:val="both"/>
        <w:rPr>
          <w:rFonts w:ascii="Arial" w:hAnsi="Arial" w:cs="Arial"/>
          <w:color w:val="000000"/>
          <w:sz w:val="20"/>
          <w:szCs w:val="20"/>
        </w:rPr>
      </w:pPr>
    </w:p>
    <w:p w14:paraId="2E688B59" w14:textId="42D07A6D" w:rsidR="009A304A" w:rsidRPr="00124048" w:rsidRDefault="009A304A" w:rsidP="0082671F">
      <w:pPr>
        <w:jc w:val="both"/>
        <w:rPr>
          <w:rFonts w:ascii="Arial" w:hAnsi="Arial" w:cs="Arial"/>
          <w:color w:val="000000"/>
          <w:sz w:val="20"/>
          <w:szCs w:val="20"/>
        </w:rPr>
      </w:pPr>
      <w:r>
        <w:rPr>
          <w:rFonts w:ascii="Arial" w:hAnsi="Arial" w:cs="Arial"/>
          <w:color w:val="000000"/>
          <w:sz w:val="20"/>
          <w:szCs w:val="20"/>
        </w:rPr>
        <w:t>The</w:t>
      </w:r>
      <w:r w:rsidRPr="00124048">
        <w:rPr>
          <w:rFonts w:ascii="Arial" w:hAnsi="Arial" w:cs="Arial"/>
          <w:color w:val="000000"/>
          <w:sz w:val="20"/>
          <w:szCs w:val="20"/>
        </w:rPr>
        <w:t xml:space="preserve"> </w:t>
      </w:r>
      <w:r>
        <w:rPr>
          <w:rFonts w:ascii="Arial" w:hAnsi="Arial" w:cs="Arial"/>
          <w:color w:val="000000"/>
          <w:sz w:val="20"/>
          <w:szCs w:val="20"/>
        </w:rPr>
        <w:t xml:space="preserve">May 2022 </w:t>
      </w:r>
      <w:r w:rsidRPr="00124048">
        <w:rPr>
          <w:rFonts w:ascii="Arial" w:hAnsi="Arial" w:cs="Arial"/>
          <w:color w:val="000000"/>
          <w:sz w:val="20"/>
          <w:szCs w:val="20"/>
        </w:rPr>
        <w:t xml:space="preserve">statutory review </w:t>
      </w:r>
      <w:r>
        <w:rPr>
          <w:rFonts w:ascii="Arial" w:hAnsi="Arial" w:cs="Arial"/>
          <w:color w:val="000000"/>
          <w:sz w:val="20"/>
          <w:szCs w:val="20"/>
        </w:rPr>
        <w:t>stated at pp.4-5 [citations removed]:</w:t>
      </w:r>
    </w:p>
    <w:p w14:paraId="7BB6910C" w14:textId="77777777" w:rsidR="009A304A" w:rsidRDefault="009A304A" w:rsidP="009A304A">
      <w:pPr>
        <w:spacing w:before="60"/>
        <w:ind w:left="567" w:right="567"/>
        <w:jc w:val="both"/>
        <w:rPr>
          <w:rFonts w:ascii="Arial" w:hAnsi="Arial" w:cs="Arial"/>
          <w:sz w:val="20"/>
          <w:szCs w:val="20"/>
        </w:rPr>
      </w:pPr>
      <w:r>
        <w:rPr>
          <w:rFonts w:ascii="Arial" w:hAnsi="Arial" w:cs="Arial"/>
          <w:color w:val="000000"/>
        </w:rPr>
        <w:t>“</w:t>
      </w:r>
      <w:r w:rsidRPr="00124048">
        <w:rPr>
          <w:rFonts w:ascii="Arial" w:hAnsi="Arial" w:cs="Arial"/>
          <w:sz w:val="20"/>
          <w:szCs w:val="20"/>
        </w:rPr>
        <w:t>In the year ending December 2021, Victoria had the lowest number of youth alleged offender incidents (10–17 years) in a decade, and the lowest rate per 100,000 population over the same period. There has been a steady reduction in incidents over the last ten years.</w:t>
      </w:r>
    </w:p>
    <w:p w14:paraId="25E770A6" w14:textId="39B483CB" w:rsidR="009A304A" w:rsidRDefault="009A304A" w:rsidP="009A304A">
      <w:pPr>
        <w:spacing w:before="60"/>
        <w:ind w:left="567" w:right="567"/>
        <w:jc w:val="both"/>
        <w:rPr>
          <w:rFonts w:ascii="Arial" w:hAnsi="Arial" w:cs="Arial"/>
          <w:sz w:val="20"/>
          <w:szCs w:val="20"/>
        </w:rPr>
      </w:pPr>
      <w:r w:rsidRPr="00124048">
        <w:rPr>
          <w:rFonts w:ascii="Arial" w:hAnsi="Arial" w:cs="Arial"/>
          <w:sz w:val="20"/>
          <w:szCs w:val="20"/>
        </w:rPr>
        <w:t>In 2020–21 Victoria also had: the lowest rate of total young people under youth justice supervision in Australia (7.3 per 10,000 young people aged 10–17); the lowest rate of total young people under community supervision in Australia (5.7 per 10,000 young people aged 10–17); and the lowest rate of young people in sentenced detention in Australia (0.3 per 10,000 young people aged 10–17).</w:t>
      </w:r>
      <w:r w:rsidR="00686681">
        <w:rPr>
          <w:rFonts w:ascii="Arial" w:hAnsi="Arial" w:cs="Arial"/>
          <w:sz w:val="20"/>
          <w:szCs w:val="20"/>
        </w:rPr>
        <w:t xml:space="preserve"> </w:t>
      </w:r>
      <w:r w:rsidRPr="00124048">
        <w:rPr>
          <w:rFonts w:ascii="Arial" w:hAnsi="Arial" w:cs="Arial"/>
          <w:sz w:val="20"/>
          <w:szCs w:val="20"/>
        </w:rPr>
        <w:t xml:space="preserve"> The sentenced detention rate for young people reduced by 75</w:t>
      </w:r>
      <w:r w:rsidR="00686681">
        <w:rPr>
          <w:rFonts w:ascii="Arial" w:hAnsi="Arial" w:cs="Arial"/>
          <w:sz w:val="20"/>
          <w:szCs w:val="20"/>
        </w:rPr>
        <w:t>%</w:t>
      </w:r>
      <w:r w:rsidRPr="00124048">
        <w:rPr>
          <w:rFonts w:ascii="Arial" w:hAnsi="Arial" w:cs="Arial"/>
          <w:sz w:val="20"/>
          <w:szCs w:val="20"/>
        </w:rPr>
        <w:t xml:space="preserve"> over the five years from 0.8 in 2017 to 0.2 in 2021.</w:t>
      </w:r>
    </w:p>
    <w:p w14:paraId="3AD94A60" w14:textId="77777777" w:rsidR="009A304A" w:rsidRDefault="009A304A" w:rsidP="009A304A">
      <w:pPr>
        <w:spacing w:before="60"/>
        <w:ind w:left="567" w:right="567"/>
        <w:jc w:val="both"/>
        <w:rPr>
          <w:rFonts w:ascii="Arial" w:hAnsi="Arial" w:cs="Arial"/>
          <w:sz w:val="20"/>
          <w:szCs w:val="20"/>
        </w:rPr>
      </w:pPr>
      <w:r w:rsidRPr="00124048">
        <w:rPr>
          <w:rFonts w:ascii="Arial" w:hAnsi="Arial" w:cs="Arial"/>
          <w:sz w:val="20"/>
          <w:szCs w:val="20"/>
        </w:rPr>
        <w:t>Some of the data reported by the review reflects very small numbers of people and cases. For example, on an average day in Victoria in 2020–21 there were 102.1 young people aged 10–17 in detention. Out of the total number of young people in detention on an average day, just 19.1 of those aged 10–17 had been sentenced (convicted of an offence and sentenced to youth justice custody), the remainder being young people on remand, or young adults aged 18–21 serving a ‘dual track’ sentence in youth justice. Behind these small numbers are victims, accused or sentenced young people, their families and communities.</w:t>
      </w:r>
    </w:p>
    <w:p w14:paraId="3D0715F3" w14:textId="77777777" w:rsidR="009A304A" w:rsidRDefault="009A304A" w:rsidP="009A304A">
      <w:pPr>
        <w:spacing w:before="60"/>
        <w:ind w:left="567" w:right="567"/>
        <w:jc w:val="both"/>
        <w:rPr>
          <w:rFonts w:ascii="Arial" w:hAnsi="Arial" w:cs="Arial"/>
          <w:sz w:val="20"/>
          <w:szCs w:val="20"/>
        </w:rPr>
      </w:pPr>
      <w:r w:rsidRPr="00124048">
        <w:rPr>
          <w:rFonts w:ascii="Arial" w:hAnsi="Arial" w:cs="Arial"/>
          <w:sz w:val="20"/>
          <w:szCs w:val="20"/>
        </w:rPr>
        <w:t>Experiences of remand remain challenging. In Victoria on an average day in 2020–21, 81</w:t>
      </w:r>
      <w:r>
        <w:rPr>
          <w:rFonts w:ascii="Arial" w:hAnsi="Arial" w:cs="Arial"/>
          <w:sz w:val="20"/>
          <w:szCs w:val="20"/>
        </w:rPr>
        <w:t> </w:t>
      </w:r>
      <w:r w:rsidRPr="00124048">
        <w:rPr>
          <w:rFonts w:ascii="Arial" w:hAnsi="Arial" w:cs="Arial"/>
          <w:sz w:val="20"/>
          <w:szCs w:val="20"/>
        </w:rPr>
        <w:t xml:space="preserve">per cent of young people aged 10–17 in detention were unsentenced. The high proportion of unsentenced young people in detention is a national trend, with almost three </w:t>
      </w:r>
      <w:r w:rsidRPr="00124048">
        <w:rPr>
          <w:rFonts w:ascii="Arial" w:hAnsi="Arial" w:cs="Arial"/>
          <w:sz w:val="20"/>
          <w:szCs w:val="20"/>
        </w:rPr>
        <w:lastRenderedPageBreak/>
        <w:t>in four young people aged 10 and over in detention being unsentenced on an average day in 2020–21 nationally.</w:t>
      </w:r>
    </w:p>
    <w:p w14:paraId="53E1D348" w14:textId="77777777" w:rsidR="009A304A" w:rsidRDefault="009A304A" w:rsidP="009A304A">
      <w:pPr>
        <w:spacing w:before="60"/>
        <w:ind w:left="567" w:right="567"/>
        <w:jc w:val="both"/>
        <w:rPr>
          <w:rFonts w:ascii="Arial" w:hAnsi="Arial" w:cs="Arial"/>
          <w:color w:val="000000"/>
        </w:rPr>
      </w:pPr>
      <w:r w:rsidRPr="00124048">
        <w:rPr>
          <w:rFonts w:ascii="Arial" w:hAnsi="Arial" w:cs="Arial"/>
          <w:sz w:val="20"/>
          <w:szCs w:val="20"/>
        </w:rPr>
        <w:t>Extended periods on remand are often unstable periods for a young person, and for any victim who is also waiting for an outcome. This instability can be detrimental to victim recovery and to the young person’s rehabilitation. There is further work to do to build a system that drives away from such outcomes.</w:t>
      </w:r>
      <w:r>
        <w:rPr>
          <w:rFonts w:ascii="Arial" w:hAnsi="Arial" w:cs="Arial"/>
          <w:sz w:val="20"/>
          <w:szCs w:val="20"/>
        </w:rPr>
        <w:t>”</w:t>
      </w:r>
    </w:p>
    <w:p w14:paraId="2AC67570" w14:textId="77777777" w:rsidR="009A304A" w:rsidRDefault="009A304A" w:rsidP="009A304A">
      <w:pPr>
        <w:jc w:val="both"/>
        <w:rPr>
          <w:rFonts w:ascii="Arial" w:hAnsi="Arial" w:cs="Arial"/>
          <w:sz w:val="20"/>
          <w:szCs w:val="20"/>
        </w:rPr>
      </w:pPr>
    </w:p>
    <w:p w14:paraId="00D92B9F" w14:textId="61244B27" w:rsidR="0001233F" w:rsidRPr="0001233F" w:rsidRDefault="0001233F" w:rsidP="009A304A">
      <w:pPr>
        <w:jc w:val="both"/>
        <w:rPr>
          <w:rFonts w:ascii="Arial" w:hAnsi="Arial" w:cs="Arial"/>
          <w:color w:val="000000" w:themeColor="text1"/>
          <w:sz w:val="20"/>
          <w:szCs w:val="20"/>
        </w:rPr>
      </w:pPr>
      <w:r w:rsidRPr="0001233F">
        <w:rPr>
          <w:rFonts w:ascii="Arial" w:hAnsi="Arial" w:cs="Arial"/>
          <w:color w:val="000000" w:themeColor="text1"/>
          <w:sz w:val="20"/>
          <w:szCs w:val="20"/>
        </w:rPr>
        <w:t xml:space="preserve">Statistics published by the </w:t>
      </w:r>
      <w:r w:rsidRPr="0001233F">
        <w:rPr>
          <w:rFonts w:ascii="Arial" w:hAnsi="Arial" w:cs="Arial"/>
          <w:color w:val="000000" w:themeColor="text1"/>
          <w:sz w:val="20"/>
          <w:szCs w:val="20"/>
          <w:lang w:eastAsia="en-AU"/>
        </w:rPr>
        <w:t>Australian Institute of Health and Welfare reveal that in 2022-23:</w:t>
      </w:r>
    </w:p>
    <w:p w14:paraId="513857CF" w14:textId="12FB846A" w:rsidR="0001233F" w:rsidRPr="0001233F" w:rsidRDefault="0082671F" w:rsidP="00591749">
      <w:pPr>
        <w:pStyle w:val="ListParagraph"/>
        <w:numPr>
          <w:ilvl w:val="0"/>
          <w:numId w:val="58"/>
        </w:numPr>
        <w:spacing w:before="60" w:after="0" w:line="240" w:lineRule="auto"/>
        <w:ind w:left="357" w:hanging="357"/>
        <w:jc w:val="both"/>
        <w:rPr>
          <w:rFonts w:ascii="Arial" w:hAnsi="Arial" w:cs="Arial"/>
          <w:color w:val="000000" w:themeColor="text1"/>
        </w:rPr>
      </w:pPr>
      <w:r w:rsidRPr="0001233F">
        <w:rPr>
          <w:rFonts w:ascii="Arial" w:hAnsi="Arial" w:cs="Arial"/>
          <w:color w:val="000000" w:themeColor="text1"/>
          <w:sz w:val="20"/>
          <w:szCs w:val="20"/>
          <w:lang w:eastAsia="en-AU"/>
        </w:rPr>
        <w:t>Victoria had the lowest rate of young people aged 10 to 17 under youth justice supervision on an average day (4.7 per 10,000) – a</w:t>
      </w:r>
      <w:r w:rsidR="0001233F" w:rsidRPr="0001233F">
        <w:rPr>
          <w:rFonts w:ascii="Arial" w:hAnsi="Arial" w:cs="Arial"/>
          <w:color w:val="000000" w:themeColor="text1"/>
          <w:sz w:val="20"/>
          <w:szCs w:val="20"/>
          <w:lang w:eastAsia="en-AU"/>
        </w:rPr>
        <w:t xml:space="preserve">bout </w:t>
      </w:r>
      <w:r w:rsidRPr="0001233F">
        <w:rPr>
          <w:rFonts w:ascii="Arial" w:hAnsi="Arial" w:cs="Arial"/>
          <w:color w:val="000000" w:themeColor="text1"/>
          <w:sz w:val="20"/>
          <w:szCs w:val="20"/>
          <w:lang w:eastAsia="en-AU"/>
        </w:rPr>
        <w:t>three times lower than the national rate (13.3 per 10,000).</w:t>
      </w:r>
    </w:p>
    <w:p w14:paraId="4219F41E" w14:textId="298FF171" w:rsidR="0001233F" w:rsidRPr="0001233F" w:rsidRDefault="0082671F" w:rsidP="00591749">
      <w:pPr>
        <w:pStyle w:val="ListParagraph"/>
        <w:numPr>
          <w:ilvl w:val="0"/>
          <w:numId w:val="58"/>
        </w:numPr>
        <w:spacing w:before="60" w:after="0" w:line="240" w:lineRule="auto"/>
        <w:ind w:left="357" w:hanging="357"/>
        <w:jc w:val="both"/>
        <w:rPr>
          <w:rFonts w:ascii="Arial" w:hAnsi="Arial" w:cs="Arial"/>
          <w:color w:val="000000" w:themeColor="text1"/>
        </w:rPr>
      </w:pPr>
      <w:r w:rsidRPr="0001233F">
        <w:rPr>
          <w:rFonts w:ascii="Arial" w:hAnsi="Arial" w:cs="Arial"/>
          <w:color w:val="000000" w:themeColor="text1"/>
          <w:sz w:val="20"/>
          <w:szCs w:val="20"/>
          <w:lang w:eastAsia="en-AU"/>
        </w:rPr>
        <w:t>Victoria had the lowest rate of young people aged 10 to 17 under community supervision (3.7 per 10,000) and in custody (1.1 per 10,000).</w:t>
      </w:r>
    </w:p>
    <w:p w14:paraId="1EC5B370" w14:textId="77777777" w:rsidR="0001233F" w:rsidRPr="0001233F" w:rsidRDefault="0082671F" w:rsidP="00591749">
      <w:pPr>
        <w:pStyle w:val="ListParagraph"/>
        <w:numPr>
          <w:ilvl w:val="0"/>
          <w:numId w:val="58"/>
        </w:numPr>
        <w:spacing w:before="60" w:after="0" w:line="240" w:lineRule="auto"/>
        <w:ind w:left="357" w:hanging="357"/>
        <w:jc w:val="both"/>
        <w:rPr>
          <w:rFonts w:ascii="Arial" w:hAnsi="Arial" w:cs="Arial"/>
          <w:color w:val="000000" w:themeColor="text1"/>
        </w:rPr>
      </w:pPr>
      <w:r w:rsidRPr="0001233F">
        <w:rPr>
          <w:rFonts w:ascii="Arial" w:hAnsi="Arial" w:cs="Arial"/>
          <w:color w:val="000000" w:themeColor="text1"/>
          <w:sz w:val="20"/>
          <w:szCs w:val="20"/>
          <w:lang w:eastAsia="en-AU"/>
        </w:rPr>
        <w:t>Victoria had the lowest rate of Aboriginal young people aged 10 to 17 under supervision on an average day (41.5 per 10,000) – more than three times lower than the national rate (131.9 per 10,000). </w:t>
      </w:r>
    </w:p>
    <w:p w14:paraId="25442F30" w14:textId="77777777" w:rsidR="008E702A" w:rsidRDefault="008E702A" w:rsidP="008E702A">
      <w:pPr>
        <w:ind w:left="720" w:hanging="720"/>
        <w:jc w:val="both"/>
        <w:rPr>
          <w:rFonts w:ascii="Arial" w:hAnsi="Arial" w:cs="Arial"/>
          <w:sz w:val="20"/>
          <w:szCs w:val="20"/>
        </w:rPr>
      </w:pPr>
    </w:p>
    <w:p w14:paraId="1A941C7C" w14:textId="5F8A92FF" w:rsidR="009A304A" w:rsidRDefault="009A304A" w:rsidP="009A304A">
      <w:pPr>
        <w:pStyle w:val="Heading3"/>
        <w:keepNext/>
        <w:spacing w:line="240" w:lineRule="auto"/>
        <w:rPr>
          <w:rFonts w:ascii="Arial" w:hAnsi="Arial" w:cs="Arial"/>
          <w:b/>
          <w:bCs/>
          <w:color w:val="000000"/>
          <w:sz w:val="20"/>
        </w:rPr>
      </w:pPr>
      <w:bookmarkStart w:id="363" w:name="_7.7.3_Aboriginal_and"/>
      <w:bookmarkEnd w:id="363"/>
      <w:r w:rsidRPr="00F51496">
        <w:rPr>
          <w:rFonts w:ascii="Arial" w:hAnsi="Arial" w:cs="Arial"/>
          <w:b/>
          <w:bCs/>
          <w:color w:val="000000"/>
          <w:sz w:val="20"/>
        </w:rPr>
        <w:t>7.</w:t>
      </w:r>
      <w:r>
        <w:rPr>
          <w:rFonts w:ascii="Arial" w:hAnsi="Arial" w:cs="Arial"/>
          <w:b/>
          <w:bCs/>
          <w:color w:val="000000"/>
          <w:sz w:val="20"/>
        </w:rPr>
        <w:t>7.3</w:t>
      </w:r>
      <w:r w:rsidRPr="00F51496">
        <w:rPr>
          <w:rFonts w:ascii="Arial" w:hAnsi="Arial" w:cs="Arial"/>
          <w:b/>
          <w:bCs/>
          <w:color w:val="000000"/>
          <w:sz w:val="20"/>
        </w:rPr>
        <w:tab/>
      </w:r>
      <w:bookmarkStart w:id="364" w:name="_Hlk106778461"/>
      <w:r w:rsidRPr="009A304A">
        <w:rPr>
          <w:rFonts w:ascii="Arial" w:hAnsi="Arial" w:cs="Arial"/>
          <w:b/>
          <w:bCs/>
          <w:sz w:val="20"/>
        </w:rPr>
        <w:t xml:space="preserve">Aboriginal </w:t>
      </w:r>
      <w:r w:rsidR="00BD4EDE">
        <w:rPr>
          <w:rFonts w:ascii="Arial" w:hAnsi="Arial" w:cs="Arial"/>
          <w:b/>
          <w:bCs/>
          <w:sz w:val="20"/>
        </w:rPr>
        <w:t>and</w:t>
      </w:r>
      <w:r w:rsidRPr="009A304A">
        <w:rPr>
          <w:rFonts w:ascii="Arial" w:hAnsi="Arial" w:cs="Arial"/>
          <w:b/>
          <w:bCs/>
          <w:sz w:val="20"/>
        </w:rPr>
        <w:t xml:space="preserve"> Torres Strait Islander young people—youth justice trends since 2017</w:t>
      </w:r>
      <w:bookmarkEnd w:id="364"/>
    </w:p>
    <w:p w14:paraId="55247AAC" w14:textId="63C3C294" w:rsidR="0013035F" w:rsidRPr="00124048" w:rsidRDefault="0013035F" w:rsidP="0013035F">
      <w:pPr>
        <w:spacing w:before="120"/>
        <w:jc w:val="both"/>
        <w:rPr>
          <w:rFonts w:ascii="Arial" w:hAnsi="Arial" w:cs="Arial"/>
          <w:color w:val="000000"/>
          <w:sz w:val="20"/>
          <w:szCs w:val="20"/>
        </w:rPr>
      </w:pPr>
      <w:r>
        <w:rPr>
          <w:rFonts w:ascii="Arial" w:hAnsi="Arial" w:cs="Arial"/>
          <w:color w:val="000000"/>
          <w:sz w:val="20"/>
          <w:szCs w:val="20"/>
        </w:rPr>
        <w:t>The</w:t>
      </w:r>
      <w:r w:rsidRPr="00124048">
        <w:rPr>
          <w:rFonts w:ascii="Arial" w:hAnsi="Arial" w:cs="Arial"/>
          <w:color w:val="000000"/>
          <w:sz w:val="20"/>
          <w:szCs w:val="20"/>
        </w:rPr>
        <w:t xml:space="preserve"> </w:t>
      </w:r>
      <w:r>
        <w:rPr>
          <w:rFonts w:ascii="Arial" w:hAnsi="Arial" w:cs="Arial"/>
          <w:color w:val="000000"/>
          <w:sz w:val="20"/>
          <w:szCs w:val="20"/>
        </w:rPr>
        <w:t xml:space="preserve">May 2022 </w:t>
      </w:r>
      <w:r w:rsidRPr="00124048">
        <w:rPr>
          <w:rFonts w:ascii="Arial" w:hAnsi="Arial" w:cs="Arial"/>
          <w:color w:val="000000"/>
          <w:sz w:val="20"/>
          <w:szCs w:val="20"/>
        </w:rPr>
        <w:t xml:space="preserve">statutory review </w:t>
      </w:r>
      <w:r w:rsidR="00382ADA">
        <w:rPr>
          <w:rFonts w:ascii="Arial" w:hAnsi="Arial" w:cs="Arial"/>
          <w:color w:val="000000"/>
          <w:sz w:val="20"/>
          <w:szCs w:val="20"/>
        </w:rPr>
        <w:t xml:space="preserve">was </w:t>
      </w:r>
      <w:r w:rsidR="00382ADA" w:rsidRPr="00885E49">
        <w:rPr>
          <w:rFonts w:ascii="Arial" w:hAnsi="Arial" w:cs="Arial"/>
          <w:sz w:val="20"/>
          <w:szCs w:val="20"/>
        </w:rPr>
        <w:t xml:space="preserve">required under section 492B(3)(f) of the CYFA to consider </w:t>
      </w:r>
      <w:r w:rsidR="00382ADA">
        <w:rPr>
          <w:rFonts w:ascii="Arial" w:hAnsi="Arial" w:cs="Arial"/>
          <w:sz w:val="20"/>
          <w:szCs w:val="20"/>
        </w:rPr>
        <w:t>“</w:t>
      </w:r>
      <w:r w:rsidR="00382ADA" w:rsidRPr="00885E49">
        <w:rPr>
          <w:rFonts w:ascii="Arial" w:hAnsi="Arial" w:cs="Arial"/>
          <w:sz w:val="20"/>
          <w:szCs w:val="20"/>
        </w:rPr>
        <w:t xml:space="preserve">whether the incarceration of Aboriginal or Torres Strait Islander children and young people has increased or decreased as a proportion of the total incarcerated population of young people in Victoria’ since the </w:t>
      </w:r>
      <w:r w:rsidR="00382ADA" w:rsidRPr="00382ADA">
        <w:rPr>
          <w:rFonts w:ascii="Arial" w:hAnsi="Arial" w:cs="Arial"/>
          <w:i/>
          <w:iCs/>
          <w:sz w:val="20"/>
          <w:szCs w:val="20"/>
        </w:rPr>
        <w:t>YJ Reform Act</w:t>
      </w:r>
      <w:r w:rsidR="00382ADA" w:rsidRPr="00885E49">
        <w:rPr>
          <w:rFonts w:ascii="Arial" w:hAnsi="Arial" w:cs="Arial"/>
          <w:sz w:val="20"/>
          <w:szCs w:val="20"/>
        </w:rPr>
        <w:t xml:space="preserve"> received Royal Assent on 26 September 2017. </w:t>
      </w:r>
      <w:r w:rsidR="009504AD">
        <w:rPr>
          <w:rFonts w:ascii="Arial" w:hAnsi="Arial" w:cs="Arial"/>
          <w:sz w:val="20"/>
          <w:szCs w:val="20"/>
        </w:rPr>
        <w:t xml:space="preserve"> The review </w:t>
      </w:r>
      <w:r>
        <w:rPr>
          <w:rFonts w:ascii="Arial" w:hAnsi="Arial" w:cs="Arial"/>
          <w:color w:val="000000"/>
          <w:sz w:val="20"/>
          <w:szCs w:val="20"/>
        </w:rPr>
        <w:t>stated at pp.</w:t>
      </w:r>
      <w:r w:rsidR="00BD4EDE">
        <w:rPr>
          <w:rFonts w:ascii="Arial" w:hAnsi="Arial" w:cs="Arial"/>
          <w:color w:val="000000"/>
          <w:sz w:val="20"/>
          <w:szCs w:val="20"/>
        </w:rPr>
        <w:t>20</w:t>
      </w:r>
      <w:r>
        <w:rPr>
          <w:rFonts w:ascii="Arial" w:hAnsi="Arial" w:cs="Arial"/>
          <w:color w:val="000000"/>
          <w:sz w:val="20"/>
          <w:szCs w:val="20"/>
        </w:rPr>
        <w:t>-</w:t>
      </w:r>
      <w:r w:rsidR="00BD4EDE">
        <w:rPr>
          <w:rFonts w:ascii="Arial" w:hAnsi="Arial" w:cs="Arial"/>
          <w:color w:val="000000"/>
          <w:sz w:val="20"/>
          <w:szCs w:val="20"/>
        </w:rPr>
        <w:t>22</w:t>
      </w:r>
      <w:r>
        <w:rPr>
          <w:rFonts w:ascii="Arial" w:hAnsi="Arial" w:cs="Arial"/>
          <w:color w:val="000000"/>
          <w:sz w:val="20"/>
          <w:szCs w:val="20"/>
        </w:rPr>
        <w:t xml:space="preserve"> [citations</w:t>
      </w:r>
      <w:r w:rsidR="00BD4EDE">
        <w:rPr>
          <w:rFonts w:ascii="Arial" w:hAnsi="Arial" w:cs="Arial"/>
          <w:color w:val="000000"/>
          <w:sz w:val="20"/>
          <w:szCs w:val="20"/>
        </w:rPr>
        <w:t> </w:t>
      </w:r>
      <w:r>
        <w:rPr>
          <w:rFonts w:ascii="Arial" w:hAnsi="Arial" w:cs="Arial"/>
          <w:color w:val="000000"/>
          <w:sz w:val="20"/>
          <w:szCs w:val="20"/>
        </w:rPr>
        <w:t>removed]:</w:t>
      </w:r>
    </w:p>
    <w:p w14:paraId="44EFE569" w14:textId="77777777" w:rsidR="009504AD" w:rsidRDefault="009504AD" w:rsidP="009504AD">
      <w:pPr>
        <w:spacing w:before="60"/>
        <w:ind w:left="567" w:right="567"/>
        <w:jc w:val="both"/>
        <w:rPr>
          <w:rFonts w:ascii="Arial" w:hAnsi="Arial" w:cs="Arial"/>
          <w:sz w:val="20"/>
          <w:szCs w:val="20"/>
        </w:rPr>
      </w:pPr>
      <w:r>
        <w:rPr>
          <w:rFonts w:ascii="Arial" w:hAnsi="Arial" w:cs="Arial"/>
          <w:color w:val="000000"/>
        </w:rPr>
        <w:t>“</w:t>
      </w:r>
      <w:r w:rsidR="006A0484" w:rsidRPr="00885E49">
        <w:rPr>
          <w:rFonts w:ascii="Arial" w:hAnsi="Arial" w:cs="Arial"/>
          <w:sz w:val="20"/>
          <w:szCs w:val="20"/>
        </w:rPr>
        <w:t>The number and rate of Aboriginal young people aged 10–17 under youth justice supervision in Victoria has decreased in recent years.</w:t>
      </w:r>
    </w:p>
    <w:p w14:paraId="1FD4250C" w14:textId="6ED0BBD2" w:rsidR="009504AD" w:rsidRDefault="006A0484" w:rsidP="009504AD">
      <w:pPr>
        <w:spacing w:before="60"/>
        <w:ind w:left="567" w:right="567"/>
        <w:jc w:val="both"/>
        <w:rPr>
          <w:rFonts w:ascii="Arial" w:hAnsi="Arial" w:cs="Arial"/>
          <w:sz w:val="20"/>
          <w:szCs w:val="20"/>
        </w:rPr>
      </w:pPr>
      <w:r w:rsidRPr="00885E49">
        <w:rPr>
          <w:rFonts w:ascii="Arial" w:hAnsi="Arial" w:cs="Arial"/>
          <w:sz w:val="20"/>
          <w:szCs w:val="20"/>
        </w:rPr>
        <w:t>In 2016–17 Aboriginal young people accounted for 16.9 per cent of all young people in youth detention.</w:t>
      </w:r>
      <w:r w:rsidR="009504AD">
        <w:rPr>
          <w:rFonts w:ascii="Arial" w:hAnsi="Arial" w:cs="Arial"/>
          <w:sz w:val="20"/>
          <w:szCs w:val="20"/>
        </w:rPr>
        <w:t xml:space="preserve">  </w:t>
      </w:r>
      <w:r w:rsidR="009504AD" w:rsidRPr="00885E49">
        <w:rPr>
          <w:rFonts w:ascii="Arial" w:hAnsi="Arial" w:cs="Arial"/>
          <w:sz w:val="20"/>
          <w:szCs w:val="20"/>
        </w:rPr>
        <w:t>The non-Aboriginal detention rate was 1.8 per 10,000 young people (10</w:t>
      </w:r>
      <w:r w:rsidR="009504AD">
        <w:rPr>
          <w:rFonts w:ascii="Arial" w:hAnsi="Arial" w:cs="Arial"/>
          <w:sz w:val="20"/>
          <w:szCs w:val="20"/>
        </w:rPr>
        <w:noBreakHyphen/>
      </w:r>
      <w:r w:rsidR="009504AD" w:rsidRPr="00885E49">
        <w:rPr>
          <w:rFonts w:ascii="Arial" w:hAnsi="Arial" w:cs="Arial"/>
          <w:sz w:val="20"/>
          <w:szCs w:val="20"/>
        </w:rPr>
        <w:t>17 years) in Victoria, while the Aboriginal youth detention rate was 23.2 per 10,000, 12.7 times the non-Aboriginal rate.</w:t>
      </w:r>
    </w:p>
    <w:p w14:paraId="74AC8490" w14:textId="56A9EF31" w:rsidR="009504AD" w:rsidRDefault="009504AD" w:rsidP="009504AD">
      <w:pPr>
        <w:spacing w:before="60"/>
        <w:ind w:left="567" w:right="567"/>
        <w:jc w:val="both"/>
        <w:rPr>
          <w:rFonts w:ascii="Arial" w:hAnsi="Arial" w:cs="Arial"/>
          <w:sz w:val="20"/>
          <w:szCs w:val="20"/>
        </w:rPr>
      </w:pPr>
      <w:r w:rsidRPr="00885E49">
        <w:rPr>
          <w:rFonts w:ascii="Arial" w:hAnsi="Arial" w:cs="Arial"/>
          <w:sz w:val="20"/>
          <w:szCs w:val="20"/>
        </w:rPr>
        <w:t>In 2020–21, Aboriginal young people accounted for 16 per cent of all young people in youth detention. The non-Aboriginal detention rate was 1.5 per 10,000 (10–17 years) in Victoria, while the Aboriginal youth detention rate was 9.6 per 10,000, 6.4 times the non-Aboriginal rate.</w:t>
      </w:r>
    </w:p>
    <w:p w14:paraId="67F9372F" w14:textId="177F899D" w:rsidR="006A0484" w:rsidRPr="00885E49" w:rsidRDefault="009C34F1" w:rsidP="008E702A">
      <w:pPr>
        <w:spacing w:before="60" w:after="120"/>
        <w:ind w:left="567" w:right="567"/>
        <w:jc w:val="both"/>
        <w:rPr>
          <w:rFonts w:ascii="Arial" w:hAnsi="Arial" w:cs="Arial"/>
          <w:sz w:val="20"/>
          <w:szCs w:val="20"/>
        </w:rPr>
      </w:pPr>
      <w:r>
        <w:rPr>
          <w:rFonts w:ascii="Arial" w:hAnsi="Arial" w:cs="Arial"/>
          <w:sz w:val="20"/>
          <w:szCs w:val="20"/>
        </w:rPr>
        <w:t>[The graph] be</w:t>
      </w:r>
      <w:r w:rsidRPr="00885E49">
        <w:rPr>
          <w:rFonts w:ascii="Arial" w:hAnsi="Arial" w:cs="Arial"/>
          <w:sz w:val="20"/>
          <w:szCs w:val="20"/>
        </w:rPr>
        <w:t>low shows the number of Aboriginal children and young people aged 10 to 17 under youth justice supervision on an average day from 2016–17 to 2020–21.</w:t>
      </w:r>
    </w:p>
    <w:p w14:paraId="615949B6" w14:textId="4B60B80B" w:rsidR="006A0484" w:rsidRDefault="006A0484" w:rsidP="008E702A">
      <w:pPr>
        <w:spacing w:after="5" w:line="250" w:lineRule="auto"/>
        <w:ind w:left="-6"/>
        <w:jc w:val="center"/>
      </w:pPr>
      <w:r>
        <w:rPr>
          <w:rFonts w:ascii="Arial" w:eastAsia="Arial" w:hAnsi="Arial" w:cs="Arial"/>
          <w:i/>
        </w:rPr>
        <w:t>The number of Aboriginal children and young people aged 10 to 17 under youth justice supervision on an average day</w:t>
      </w:r>
    </w:p>
    <w:p w14:paraId="396DA3FC" w14:textId="77777777" w:rsidR="006A0484" w:rsidRDefault="006A0484" w:rsidP="006A0484">
      <w:pPr>
        <w:spacing w:after="88" w:line="259" w:lineRule="auto"/>
        <w:ind w:left="-1"/>
      </w:pPr>
      <w:r>
        <w:rPr>
          <w:rFonts w:ascii="Calibri" w:eastAsia="Calibri" w:hAnsi="Calibri" w:cs="Calibri"/>
          <w:noProof/>
        </w:rPr>
        <mc:AlternateContent>
          <mc:Choice Requires="wpg">
            <w:drawing>
              <wp:inline distT="0" distB="0" distL="0" distR="0" wp14:anchorId="75BF3941" wp14:editId="26106F4D">
                <wp:extent cx="5796000" cy="2916000"/>
                <wp:effectExtent l="0" t="0" r="14605" b="36830"/>
                <wp:docPr id="247325" name="Group 247325"/>
                <wp:cNvGraphicFramePr/>
                <a:graphic xmlns:a="http://schemas.openxmlformats.org/drawingml/2006/main">
                  <a:graphicData uri="http://schemas.microsoft.com/office/word/2010/wordprocessingGroup">
                    <wpg:wgp>
                      <wpg:cNvGrpSpPr/>
                      <wpg:grpSpPr>
                        <a:xfrm>
                          <a:off x="0" y="0"/>
                          <a:ext cx="5796000" cy="2916000"/>
                          <a:chOff x="0" y="0"/>
                          <a:chExt cx="6574248" cy="3821155"/>
                        </a:xfrm>
                      </wpg:grpSpPr>
                      <wps:wsp>
                        <wps:cNvPr id="4201" name="Rectangle 4201"/>
                        <wps:cNvSpPr/>
                        <wps:spPr>
                          <a:xfrm>
                            <a:off x="6535294" y="3664823"/>
                            <a:ext cx="51809" cy="207921"/>
                          </a:xfrm>
                          <a:prstGeom prst="rect">
                            <a:avLst/>
                          </a:prstGeom>
                          <a:ln>
                            <a:noFill/>
                          </a:ln>
                        </wps:spPr>
                        <wps:txbx>
                          <w:txbxContent>
                            <w:p w14:paraId="73D52889" w14:textId="77777777" w:rsidR="006A0484" w:rsidRDefault="006A0484" w:rsidP="006A0484">
                              <w:pPr>
                                <w:spacing w:after="160" w:line="259" w:lineRule="auto"/>
                              </w:pPr>
                              <w:r>
                                <w:t xml:space="preserve"> </w:t>
                              </w:r>
                            </w:p>
                          </w:txbxContent>
                        </wps:txbx>
                        <wps:bodyPr horzOverflow="overflow" vert="horz" lIns="0" tIns="0" rIns="0" bIns="0" rtlCol="0">
                          <a:noAutofit/>
                        </wps:bodyPr>
                      </wps:wsp>
                      <wps:wsp>
                        <wps:cNvPr id="4436" name="Shape 4436"/>
                        <wps:cNvSpPr/>
                        <wps:spPr>
                          <a:xfrm>
                            <a:off x="491884" y="2536824"/>
                            <a:ext cx="6026963" cy="0"/>
                          </a:xfrm>
                          <a:custGeom>
                            <a:avLst/>
                            <a:gdLst/>
                            <a:ahLst/>
                            <a:cxnLst/>
                            <a:rect l="0" t="0" r="0" b="0"/>
                            <a:pathLst>
                              <a:path w="6026963">
                                <a:moveTo>
                                  <a:pt x="6026963" y="0"/>
                                </a:move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437" name="Shape 4437"/>
                        <wps:cNvSpPr/>
                        <wps:spPr>
                          <a:xfrm>
                            <a:off x="491884" y="2129917"/>
                            <a:ext cx="6026963" cy="0"/>
                          </a:xfrm>
                          <a:custGeom>
                            <a:avLst/>
                            <a:gdLst/>
                            <a:ahLst/>
                            <a:cxnLst/>
                            <a:rect l="0" t="0" r="0" b="0"/>
                            <a:pathLst>
                              <a:path w="6026963">
                                <a:moveTo>
                                  <a:pt x="6026963" y="0"/>
                                </a:move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438" name="Shape 4438"/>
                        <wps:cNvSpPr/>
                        <wps:spPr>
                          <a:xfrm>
                            <a:off x="491884" y="1723008"/>
                            <a:ext cx="6026963" cy="0"/>
                          </a:xfrm>
                          <a:custGeom>
                            <a:avLst/>
                            <a:gdLst/>
                            <a:ahLst/>
                            <a:cxnLst/>
                            <a:rect l="0" t="0" r="0" b="0"/>
                            <a:pathLst>
                              <a:path w="6026963">
                                <a:moveTo>
                                  <a:pt x="6026963" y="0"/>
                                </a:move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439" name="Shape 4439"/>
                        <wps:cNvSpPr/>
                        <wps:spPr>
                          <a:xfrm>
                            <a:off x="491884" y="1316100"/>
                            <a:ext cx="6026963" cy="0"/>
                          </a:xfrm>
                          <a:custGeom>
                            <a:avLst/>
                            <a:gdLst/>
                            <a:ahLst/>
                            <a:cxnLst/>
                            <a:rect l="0" t="0" r="0" b="0"/>
                            <a:pathLst>
                              <a:path w="6026963">
                                <a:moveTo>
                                  <a:pt x="6026963" y="0"/>
                                </a:move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440" name="Shape 4440"/>
                        <wps:cNvSpPr/>
                        <wps:spPr>
                          <a:xfrm>
                            <a:off x="491884" y="910717"/>
                            <a:ext cx="6026963" cy="0"/>
                          </a:xfrm>
                          <a:custGeom>
                            <a:avLst/>
                            <a:gdLst/>
                            <a:ahLst/>
                            <a:cxnLst/>
                            <a:rect l="0" t="0" r="0" b="0"/>
                            <a:pathLst>
                              <a:path w="6026963">
                                <a:moveTo>
                                  <a:pt x="6026963" y="0"/>
                                </a:move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441" name="Shape 4441"/>
                        <wps:cNvSpPr/>
                        <wps:spPr>
                          <a:xfrm>
                            <a:off x="491884" y="503808"/>
                            <a:ext cx="6026963" cy="0"/>
                          </a:xfrm>
                          <a:custGeom>
                            <a:avLst/>
                            <a:gdLst/>
                            <a:ahLst/>
                            <a:cxnLst/>
                            <a:rect l="0" t="0" r="0" b="0"/>
                            <a:pathLst>
                              <a:path w="6026963">
                                <a:moveTo>
                                  <a:pt x="6026963" y="0"/>
                                </a:move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442" name="Shape 4442"/>
                        <wps:cNvSpPr/>
                        <wps:spPr>
                          <a:xfrm>
                            <a:off x="491884" y="97282"/>
                            <a:ext cx="6026963" cy="0"/>
                          </a:xfrm>
                          <a:custGeom>
                            <a:avLst/>
                            <a:gdLst/>
                            <a:ahLst/>
                            <a:cxnLst/>
                            <a:rect l="0" t="0" r="0" b="0"/>
                            <a:pathLst>
                              <a:path w="6026963">
                                <a:moveTo>
                                  <a:pt x="6026963" y="0"/>
                                </a:move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443" name="Shape 4443"/>
                        <wps:cNvSpPr/>
                        <wps:spPr>
                          <a:xfrm>
                            <a:off x="491884" y="2942590"/>
                            <a:ext cx="6026963" cy="0"/>
                          </a:xfrm>
                          <a:custGeom>
                            <a:avLst/>
                            <a:gdLst/>
                            <a:ahLst/>
                            <a:cxnLst/>
                            <a:rect l="0" t="0" r="0" b="0"/>
                            <a:pathLst>
                              <a:path w="6026963">
                                <a:moveTo>
                                  <a:pt x="6026963" y="0"/>
                                </a:moveTo>
                                <a:lnTo>
                                  <a:pt x="0" y="0"/>
                                </a:lnTo>
                              </a:path>
                            </a:pathLst>
                          </a:custGeom>
                          <a:ln w="9525" cap="flat">
                            <a:round/>
                          </a:ln>
                        </wps:spPr>
                        <wps:style>
                          <a:lnRef idx="1">
                            <a:srgbClr val="D9D9D9"/>
                          </a:lnRef>
                          <a:fillRef idx="0">
                            <a:srgbClr val="000000">
                              <a:alpha val="0"/>
                            </a:srgbClr>
                          </a:fillRef>
                          <a:effectRef idx="0">
                            <a:scrgbClr r="0" g="0" b="0"/>
                          </a:effectRef>
                          <a:fontRef idx="none"/>
                        </wps:style>
                        <wps:bodyPr/>
                      </wps:wsp>
                      <wps:wsp>
                        <wps:cNvPr id="4444" name="Shape 4444"/>
                        <wps:cNvSpPr/>
                        <wps:spPr>
                          <a:xfrm>
                            <a:off x="1094613" y="503808"/>
                            <a:ext cx="4822190" cy="1016127"/>
                          </a:xfrm>
                          <a:custGeom>
                            <a:avLst/>
                            <a:gdLst/>
                            <a:ahLst/>
                            <a:cxnLst/>
                            <a:rect l="0" t="0" r="0" b="0"/>
                            <a:pathLst>
                              <a:path w="4822190" h="1016127">
                                <a:moveTo>
                                  <a:pt x="0" y="0"/>
                                </a:moveTo>
                                <a:lnTo>
                                  <a:pt x="1205738" y="284988"/>
                                </a:lnTo>
                                <a:lnTo>
                                  <a:pt x="2411222" y="426720"/>
                                </a:lnTo>
                                <a:lnTo>
                                  <a:pt x="3616706" y="792480"/>
                                </a:lnTo>
                                <a:lnTo>
                                  <a:pt x="4822190" y="1016127"/>
                                </a:lnTo>
                              </a:path>
                            </a:pathLst>
                          </a:custGeom>
                          <a:ln w="28575" cap="rnd">
                            <a:round/>
                          </a:ln>
                        </wps:spPr>
                        <wps:style>
                          <a:lnRef idx="1">
                            <a:srgbClr val="70AD47"/>
                          </a:lnRef>
                          <a:fillRef idx="0">
                            <a:srgbClr val="000000">
                              <a:alpha val="0"/>
                            </a:srgbClr>
                          </a:fillRef>
                          <a:effectRef idx="0">
                            <a:scrgbClr r="0" g="0" b="0"/>
                          </a:effectRef>
                          <a:fontRef idx="none"/>
                        </wps:style>
                        <wps:bodyPr/>
                      </wps:wsp>
                      <wps:wsp>
                        <wps:cNvPr id="4445" name="Shape 4445"/>
                        <wps:cNvSpPr/>
                        <wps:spPr>
                          <a:xfrm>
                            <a:off x="1094613" y="910335"/>
                            <a:ext cx="4822190" cy="823087"/>
                          </a:xfrm>
                          <a:custGeom>
                            <a:avLst/>
                            <a:gdLst/>
                            <a:ahLst/>
                            <a:cxnLst/>
                            <a:rect l="0" t="0" r="0" b="0"/>
                            <a:pathLst>
                              <a:path w="4822190" h="823087">
                                <a:moveTo>
                                  <a:pt x="0" y="0"/>
                                </a:moveTo>
                                <a:lnTo>
                                  <a:pt x="1205738" y="244222"/>
                                </a:lnTo>
                                <a:lnTo>
                                  <a:pt x="2411222" y="385953"/>
                                </a:lnTo>
                                <a:lnTo>
                                  <a:pt x="3616706" y="710565"/>
                                </a:lnTo>
                                <a:lnTo>
                                  <a:pt x="4822190" y="823087"/>
                                </a:lnTo>
                              </a:path>
                            </a:pathLst>
                          </a:custGeom>
                          <a:ln w="28575" cap="rnd">
                            <a:round/>
                          </a:ln>
                        </wps:spPr>
                        <wps:style>
                          <a:lnRef idx="1">
                            <a:srgbClr val="5B9BD5"/>
                          </a:lnRef>
                          <a:fillRef idx="0">
                            <a:srgbClr val="000000">
                              <a:alpha val="0"/>
                            </a:srgbClr>
                          </a:fillRef>
                          <a:effectRef idx="0">
                            <a:scrgbClr r="0" g="0" b="0"/>
                          </a:effectRef>
                          <a:fontRef idx="none"/>
                        </wps:style>
                        <wps:bodyPr/>
                      </wps:wsp>
                      <wps:wsp>
                        <wps:cNvPr id="4446" name="Shape 4446"/>
                        <wps:cNvSpPr/>
                        <wps:spPr>
                          <a:xfrm>
                            <a:off x="1094613" y="2536190"/>
                            <a:ext cx="4822190" cy="193040"/>
                          </a:xfrm>
                          <a:custGeom>
                            <a:avLst/>
                            <a:gdLst/>
                            <a:ahLst/>
                            <a:cxnLst/>
                            <a:rect l="0" t="0" r="0" b="0"/>
                            <a:pathLst>
                              <a:path w="4822190" h="193040">
                                <a:moveTo>
                                  <a:pt x="0" y="0"/>
                                </a:moveTo>
                                <a:lnTo>
                                  <a:pt x="1205738" y="40259"/>
                                </a:lnTo>
                                <a:lnTo>
                                  <a:pt x="2411222" y="40259"/>
                                </a:lnTo>
                                <a:lnTo>
                                  <a:pt x="3616706" y="81407"/>
                                </a:lnTo>
                                <a:lnTo>
                                  <a:pt x="4822190" y="193040"/>
                                </a:lnTo>
                              </a:path>
                            </a:pathLst>
                          </a:custGeom>
                          <a:ln w="28575" cap="rnd">
                            <a:round/>
                          </a:ln>
                        </wps:spPr>
                        <wps:style>
                          <a:lnRef idx="1">
                            <a:srgbClr val="A5A5A5"/>
                          </a:lnRef>
                          <a:fillRef idx="0">
                            <a:srgbClr val="000000">
                              <a:alpha val="0"/>
                            </a:srgbClr>
                          </a:fillRef>
                          <a:effectRef idx="0">
                            <a:scrgbClr r="0" g="0" b="0"/>
                          </a:effectRef>
                          <a:fontRef idx="none"/>
                        </wps:style>
                        <wps:bodyPr/>
                      </wps:wsp>
                      <wps:wsp>
                        <wps:cNvPr id="4447" name="Rectangle 4447"/>
                        <wps:cNvSpPr/>
                        <wps:spPr>
                          <a:xfrm>
                            <a:off x="922909" y="505586"/>
                            <a:ext cx="231120" cy="154840"/>
                          </a:xfrm>
                          <a:prstGeom prst="rect">
                            <a:avLst/>
                          </a:prstGeom>
                          <a:ln>
                            <a:noFill/>
                          </a:ln>
                        </wps:spPr>
                        <wps:txbx>
                          <w:txbxContent>
                            <w:p w14:paraId="5380F812" w14:textId="77777777" w:rsidR="006A0484" w:rsidRDefault="006A0484" w:rsidP="006A0484">
                              <w:pPr>
                                <w:spacing w:after="160" w:line="259" w:lineRule="auto"/>
                              </w:pPr>
                              <w:r>
                                <w:rPr>
                                  <w:rFonts w:ascii="Calibri" w:eastAsia="Calibri" w:hAnsi="Calibri" w:cs="Calibri"/>
                                  <w:color w:val="404040"/>
                                  <w:sz w:val="18"/>
                                </w:rPr>
                                <w:t>120</w:t>
                              </w:r>
                            </w:p>
                          </w:txbxContent>
                        </wps:txbx>
                        <wps:bodyPr horzOverflow="overflow" vert="horz" lIns="0" tIns="0" rIns="0" bIns="0" rtlCol="0">
                          <a:noAutofit/>
                        </wps:bodyPr>
                      </wps:wsp>
                      <wps:wsp>
                        <wps:cNvPr id="4448" name="Rectangle 4448"/>
                        <wps:cNvSpPr/>
                        <wps:spPr>
                          <a:xfrm>
                            <a:off x="2166493" y="858265"/>
                            <a:ext cx="231120" cy="154840"/>
                          </a:xfrm>
                          <a:prstGeom prst="rect">
                            <a:avLst/>
                          </a:prstGeom>
                          <a:ln>
                            <a:noFill/>
                          </a:ln>
                        </wps:spPr>
                        <wps:txbx>
                          <w:txbxContent>
                            <w:p w14:paraId="15B99E63" w14:textId="77777777" w:rsidR="006A0484" w:rsidRDefault="006A0484" w:rsidP="006A0484">
                              <w:pPr>
                                <w:spacing w:after="160" w:line="259" w:lineRule="auto"/>
                              </w:pPr>
                              <w:r>
                                <w:rPr>
                                  <w:rFonts w:ascii="Calibri" w:eastAsia="Calibri" w:hAnsi="Calibri" w:cs="Calibri"/>
                                  <w:color w:val="404040"/>
                                  <w:sz w:val="18"/>
                                </w:rPr>
                                <w:t>106</w:t>
                              </w:r>
                            </w:p>
                          </w:txbxContent>
                        </wps:txbx>
                        <wps:bodyPr horzOverflow="overflow" vert="horz" lIns="0" tIns="0" rIns="0" bIns="0" rtlCol="0">
                          <a:noAutofit/>
                        </wps:bodyPr>
                      </wps:wsp>
                      <wps:wsp>
                        <wps:cNvPr id="4449" name="Rectangle 4449"/>
                        <wps:cNvSpPr/>
                        <wps:spPr>
                          <a:xfrm>
                            <a:off x="3420237" y="1010284"/>
                            <a:ext cx="154096" cy="154840"/>
                          </a:xfrm>
                          <a:prstGeom prst="rect">
                            <a:avLst/>
                          </a:prstGeom>
                          <a:ln>
                            <a:noFill/>
                          </a:ln>
                        </wps:spPr>
                        <wps:txbx>
                          <w:txbxContent>
                            <w:p w14:paraId="0CFDF942" w14:textId="77777777" w:rsidR="006A0484" w:rsidRDefault="006A0484" w:rsidP="006A0484">
                              <w:pPr>
                                <w:spacing w:after="160" w:line="259" w:lineRule="auto"/>
                              </w:pPr>
                              <w:r>
                                <w:rPr>
                                  <w:rFonts w:ascii="Calibri" w:eastAsia="Calibri" w:hAnsi="Calibri" w:cs="Calibri"/>
                                  <w:color w:val="404040"/>
                                  <w:sz w:val="18"/>
                                </w:rPr>
                                <w:t>99</w:t>
                              </w:r>
                            </w:p>
                          </w:txbxContent>
                        </wps:txbx>
                        <wps:bodyPr horzOverflow="overflow" vert="horz" lIns="0" tIns="0" rIns="0" bIns="0" rtlCol="0">
                          <a:noAutofit/>
                        </wps:bodyPr>
                      </wps:wsp>
                      <wps:wsp>
                        <wps:cNvPr id="4450" name="Rectangle 4450"/>
                        <wps:cNvSpPr/>
                        <wps:spPr>
                          <a:xfrm>
                            <a:off x="4625975" y="1327657"/>
                            <a:ext cx="154096" cy="154840"/>
                          </a:xfrm>
                          <a:prstGeom prst="rect">
                            <a:avLst/>
                          </a:prstGeom>
                          <a:ln>
                            <a:noFill/>
                          </a:ln>
                        </wps:spPr>
                        <wps:txbx>
                          <w:txbxContent>
                            <w:p w14:paraId="065022C9" w14:textId="77777777" w:rsidR="006A0484" w:rsidRDefault="006A0484" w:rsidP="006A0484">
                              <w:pPr>
                                <w:spacing w:after="160" w:line="259" w:lineRule="auto"/>
                              </w:pPr>
                              <w:r>
                                <w:rPr>
                                  <w:rFonts w:ascii="Calibri" w:eastAsia="Calibri" w:hAnsi="Calibri" w:cs="Calibri"/>
                                  <w:color w:val="404040"/>
                                  <w:sz w:val="18"/>
                                </w:rPr>
                                <w:t>81</w:t>
                              </w:r>
                            </w:p>
                          </w:txbxContent>
                        </wps:txbx>
                        <wps:bodyPr horzOverflow="overflow" vert="horz" lIns="0" tIns="0" rIns="0" bIns="0" rtlCol="0">
                          <a:noAutofit/>
                        </wps:bodyPr>
                      </wps:wsp>
                      <wps:wsp>
                        <wps:cNvPr id="4451" name="Rectangle 4451"/>
                        <wps:cNvSpPr/>
                        <wps:spPr>
                          <a:xfrm>
                            <a:off x="5841238" y="1560830"/>
                            <a:ext cx="154096" cy="154840"/>
                          </a:xfrm>
                          <a:prstGeom prst="rect">
                            <a:avLst/>
                          </a:prstGeom>
                          <a:ln>
                            <a:noFill/>
                          </a:ln>
                        </wps:spPr>
                        <wps:txbx>
                          <w:txbxContent>
                            <w:p w14:paraId="4B532946" w14:textId="77777777" w:rsidR="006A0484" w:rsidRDefault="006A0484" w:rsidP="006A0484">
                              <w:pPr>
                                <w:spacing w:after="160" w:line="259" w:lineRule="auto"/>
                              </w:pPr>
                              <w:r>
                                <w:rPr>
                                  <w:rFonts w:ascii="Calibri" w:eastAsia="Calibri" w:hAnsi="Calibri" w:cs="Calibri"/>
                                  <w:color w:val="404040"/>
                                  <w:sz w:val="18"/>
                                </w:rPr>
                                <w:t>70</w:t>
                              </w:r>
                            </w:p>
                          </w:txbxContent>
                        </wps:txbx>
                        <wps:bodyPr horzOverflow="overflow" vert="horz" lIns="0" tIns="0" rIns="0" bIns="0" rtlCol="0">
                          <a:noAutofit/>
                        </wps:bodyPr>
                      </wps:wsp>
                      <wps:wsp>
                        <wps:cNvPr id="4452" name="Rectangle 4452"/>
                        <wps:cNvSpPr/>
                        <wps:spPr>
                          <a:xfrm>
                            <a:off x="856869" y="863345"/>
                            <a:ext cx="231120" cy="154840"/>
                          </a:xfrm>
                          <a:prstGeom prst="rect">
                            <a:avLst/>
                          </a:prstGeom>
                          <a:ln>
                            <a:noFill/>
                          </a:ln>
                        </wps:spPr>
                        <wps:txbx>
                          <w:txbxContent>
                            <w:p w14:paraId="50633B5E" w14:textId="77777777" w:rsidR="006A0484" w:rsidRDefault="006A0484" w:rsidP="006A0484">
                              <w:pPr>
                                <w:spacing w:after="160" w:line="259" w:lineRule="auto"/>
                              </w:pPr>
                              <w:r>
                                <w:rPr>
                                  <w:rFonts w:ascii="Calibri" w:eastAsia="Calibri" w:hAnsi="Calibri" w:cs="Calibri"/>
                                  <w:color w:val="404040"/>
                                  <w:sz w:val="18"/>
                                </w:rPr>
                                <w:t>100</w:t>
                              </w:r>
                            </w:p>
                          </w:txbxContent>
                        </wps:txbx>
                        <wps:bodyPr horzOverflow="overflow" vert="horz" lIns="0" tIns="0" rIns="0" bIns="0" rtlCol="0">
                          <a:noAutofit/>
                        </wps:bodyPr>
                      </wps:wsp>
                      <wps:wsp>
                        <wps:cNvPr id="4453" name="Rectangle 4453"/>
                        <wps:cNvSpPr/>
                        <wps:spPr>
                          <a:xfrm>
                            <a:off x="2214372" y="1214500"/>
                            <a:ext cx="154097" cy="154840"/>
                          </a:xfrm>
                          <a:prstGeom prst="rect">
                            <a:avLst/>
                          </a:prstGeom>
                          <a:ln>
                            <a:noFill/>
                          </a:ln>
                        </wps:spPr>
                        <wps:txbx>
                          <w:txbxContent>
                            <w:p w14:paraId="09E9764B" w14:textId="77777777" w:rsidR="006A0484" w:rsidRDefault="006A0484" w:rsidP="006A0484">
                              <w:pPr>
                                <w:spacing w:after="160" w:line="259" w:lineRule="auto"/>
                              </w:pPr>
                              <w:r>
                                <w:rPr>
                                  <w:rFonts w:ascii="Calibri" w:eastAsia="Calibri" w:hAnsi="Calibri" w:cs="Calibri"/>
                                  <w:color w:val="404040"/>
                                  <w:sz w:val="18"/>
                                </w:rPr>
                                <w:t>88</w:t>
                              </w:r>
                            </w:p>
                          </w:txbxContent>
                        </wps:txbx>
                        <wps:bodyPr horzOverflow="overflow" vert="horz" lIns="0" tIns="0" rIns="0" bIns="0" rtlCol="0">
                          <a:noAutofit/>
                        </wps:bodyPr>
                      </wps:wsp>
                      <wps:wsp>
                        <wps:cNvPr id="4454" name="Rectangle 4454"/>
                        <wps:cNvSpPr/>
                        <wps:spPr>
                          <a:xfrm>
                            <a:off x="3420237" y="1327657"/>
                            <a:ext cx="154096" cy="154840"/>
                          </a:xfrm>
                          <a:prstGeom prst="rect">
                            <a:avLst/>
                          </a:prstGeom>
                          <a:ln>
                            <a:noFill/>
                          </a:ln>
                        </wps:spPr>
                        <wps:txbx>
                          <w:txbxContent>
                            <w:p w14:paraId="5C6BD95C" w14:textId="77777777" w:rsidR="006A0484" w:rsidRDefault="006A0484" w:rsidP="006A0484">
                              <w:pPr>
                                <w:spacing w:after="160" w:line="259" w:lineRule="auto"/>
                              </w:pPr>
                              <w:r>
                                <w:rPr>
                                  <w:rFonts w:ascii="Calibri" w:eastAsia="Calibri" w:hAnsi="Calibri" w:cs="Calibri"/>
                                  <w:color w:val="404040"/>
                                  <w:sz w:val="18"/>
                                </w:rPr>
                                <w:t>81</w:t>
                              </w:r>
                            </w:p>
                          </w:txbxContent>
                        </wps:txbx>
                        <wps:bodyPr horzOverflow="overflow" vert="horz" lIns="0" tIns="0" rIns="0" bIns="0" rtlCol="0">
                          <a:noAutofit/>
                        </wps:bodyPr>
                      </wps:wsp>
                      <wps:wsp>
                        <wps:cNvPr id="4455" name="Rectangle 4455"/>
                        <wps:cNvSpPr/>
                        <wps:spPr>
                          <a:xfrm>
                            <a:off x="4625975" y="1652777"/>
                            <a:ext cx="154096" cy="154840"/>
                          </a:xfrm>
                          <a:prstGeom prst="rect">
                            <a:avLst/>
                          </a:prstGeom>
                          <a:ln>
                            <a:noFill/>
                          </a:ln>
                        </wps:spPr>
                        <wps:txbx>
                          <w:txbxContent>
                            <w:p w14:paraId="307E8E84" w14:textId="77777777" w:rsidR="006A0484" w:rsidRDefault="006A0484" w:rsidP="006A0484">
                              <w:pPr>
                                <w:spacing w:after="160" w:line="259" w:lineRule="auto"/>
                              </w:pPr>
                              <w:r>
                                <w:rPr>
                                  <w:rFonts w:ascii="Calibri" w:eastAsia="Calibri" w:hAnsi="Calibri" w:cs="Calibri"/>
                                  <w:color w:val="404040"/>
                                  <w:sz w:val="18"/>
                                </w:rPr>
                                <w:t>65</w:t>
                              </w:r>
                            </w:p>
                          </w:txbxContent>
                        </wps:txbx>
                        <wps:bodyPr horzOverflow="overflow" vert="horz" lIns="0" tIns="0" rIns="0" bIns="0" rtlCol="0">
                          <a:noAutofit/>
                        </wps:bodyPr>
                      </wps:wsp>
                      <wps:wsp>
                        <wps:cNvPr id="4456" name="Rectangle 4456"/>
                        <wps:cNvSpPr/>
                        <wps:spPr>
                          <a:xfrm>
                            <a:off x="5772658" y="1788795"/>
                            <a:ext cx="269530" cy="154840"/>
                          </a:xfrm>
                          <a:prstGeom prst="rect">
                            <a:avLst/>
                          </a:prstGeom>
                          <a:ln>
                            <a:noFill/>
                          </a:ln>
                        </wps:spPr>
                        <wps:txbx>
                          <w:txbxContent>
                            <w:p w14:paraId="022E2D9B" w14:textId="77777777" w:rsidR="006A0484" w:rsidRDefault="006A0484" w:rsidP="006A0484">
                              <w:pPr>
                                <w:spacing w:after="160" w:line="259" w:lineRule="auto"/>
                              </w:pPr>
                              <w:r>
                                <w:rPr>
                                  <w:rFonts w:ascii="Calibri" w:eastAsia="Calibri" w:hAnsi="Calibri" w:cs="Calibri"/>
                                  <w:color w:val="404040"/>
                                  <w:sz w:val="18"/>
                                </w:rPr>
                                <w:t>59.5</w:t>
                              </w:r>
                            </w:p>
                          </w:txbxContent>
                        </wps:txbx>
                        <wps:bodyPr horzOverflow="overflow" vert="horz" lIns="0" tIns="0" rIns="0" bIns="0" rtlCol="0">
                          <a:noAutofit/>
                        </wps:bodyPr>
                      </wps:wsp>
                      <wps:wsp>
                        <wps:cNvPr id="4457" name="Rectangle 4457"/>
                        <wps:cNvSpPr/>
                        <wps:spPr>
                          <a:xfrm>
                            <a:off x="894969" y="2489454"/>
                            <a:ext cx="154097" cy="154840"/>
                          </a:xfrm>
                          <a:prstGeom prst="rect">
                            <a:avLst/>
                          </a:prstGeom>
                          <a:ln>
                            <a:noFill/>
                          </a:ln>
                        </wps:spPr>
                        <wps:txbx>
                          <w:txbxContent>
                            <w:p w14:paraId="40984A02" w14:textId="77777777" w:rsidR="006A0484" w:rsidRDefault="006A0484" w:rsidP="006A0484">
                              <w:pPr>
                                <w:spacing w:after="160" w:line="259" w:lineRule="auto"/>
                              </w:pPr>
                              <w:r>
                                <w:rPr>
                                  <w:rFonts w:ascii="Calibri" w:eastAsia="Calibri" w:hAnsi="Calibri" w:cs="Calibri"/>
                                  <w:color w:val="404040"/>
                                  <w:sz w:val="18"/>
                                </w:rPr>
                                <w:t>20</w:t>
                              </w:r>
                            </w:p>
                          </w:txbxContent>
                        </wps:txbx>
                        <wps:bodyPr horzOverflow="overflow" vert="horz" lIns="0" tIns="0" rIns="0" bIns="0" rtlCol="0">
                          <a:noAutofit/>
                        </wps:bodyPr>
                      </wps:wsp>
                      <wps:wsp>
                        <wps:cNvPr id="4458" name="Rectangle 4458"/>
                        <wps:cNvSpPr/>
                        <wps:spPr>
                          <a:xfrm>
                            <a:off x="2223897" y="2647060"/>
                            <a:ext cx="154097" cy="154840"/>
                          </a:xfrm>
                          <a:prstGeom prst="rect">
                            <a:avLst/>
                          </a:prstGeom>
                          <a:ln>
                            <a:noFill/>
                          </a:ln>
                        </wps:spPr>
                        <wps:txbx>
                          <w:txbxContent>
                            <w:p w14:paraId="2D5BF922" w14:textId="77777777" w:rsidR="006A0484" w:rsidRDefault="006A0484" w:rsidP="006A0484">
                              <w:pPr>
                                <w:spacing w:after="160" w:line="259" w:lineRule="auto"/>
                              </w:pPr>
                              <w:r>
                                <w:rPr>
                                  <w:rFonts w:ascii="Calibri" w:eastAsia="Calibri" w:hAnsi="Calibri" w:cs="Calibri"/>
                                  <w:color w:val="404040"/>
                                  <w:sz w:val="18"/>
                                </w:rPr>
                                <w:t>18</w:t>
                              </w:r>
                            </w:p>
                          </w:txbxContent>
                        </wps:txbx>
                        <wps:bodyPr horzOverflow="overflow" vert="horz" lIns="0" tIns="0" rIns="0" bIns="0" rtlCol="0">
                          <a:noAutofit/>
                        </wps:bodyPr>
                      </wps:wsp>
                      <wps:wsp>
                        <wps:cNvPr id="4459" name="Rectangle 4459"/>
                        <wps:cNvSpPr/>
                        <wps:spPr>
                          <a:xfrm>
                            <a:off x="3410712" y="2656840"/>
                            <a:ext cx="154096" cy="154840"/>
                          </a:xfrm>
                          <a:prstGeom prst="rect">
                            <a:avLst/>
                          </a:prstGeom>
                          <a:ln>
                            <a:noFill/>
                          </a:ln>
                        </wps:spPr>
                        <wps:txbx>
                          <w:txbxContent>
                            <w:p w14:paraId="3C7165FE" w14:textId="77777777" w:rsidR="006A0484" w:rsidRDefault="006A0484" w:rsidP="006A0484">
                              <w:pPr>
                                <w:spacing w:after="160" w:line="259" w:lineRule="auto"/>
                              </w:pPr>
                              <w:r>
                                <w:rPr>
                                  <w:rFonts w:ascii="Calibri" w:eastAsia="Calibri" w:hAnsi="Calibri" w:cs="Calibri"/>
                                  <w:color w:val="404040"/>
                                  <w:sz w:val="18"/>
                                </w:rPr>
                                <w:t>18</w:t>
                              </w:r>
                            </w:p>
                          </w:txbxContent>
                        </wps:txbx>
                        <wps:bodyPr horzOverflow="overflow" vert="horz" lIns="0" tIns="0" rIns="0" bIns="0" rtlCol="0">
                          <a:noAutofit/>
                        </wps:bodyPr>
                      </wps:wsp>
                      <wps:wsp>
                        <wps:cNvPr id="4460" name="Rectangle 4460"/>
                        <wps:cNvSpPr/>
                        <wps:spPr>
                          <a:xfrm>
                            <a:off x="4606799" y="2707131"/>
                            <a:ext cx="154097" cy="154840"/>
                          </a:xfrm>
                          <a:prstGeom prst="rect">
                            <a:avLst/>
                          </a:prstGeom>
                          <a:ln>
                            <a:noFill/>
                          </a:ln>
                        </wps:spPr>
                        <wps:txbx>
                          <w:txbxContent>
                            <w:p w14:paraId="6562968A" w14:textId="77777777" w:rsidR="006A0484" w:rsidRDefault="006A0484" w:rsidP="006A0484">
                              <w:pPr>
                                <w:spacing w:after="160" w:line="259" w:lineRule="auto"/>
                              </w:pPr>
                              <w:r>
                                <w:rPr>
                                  <w:rFonts w:ascii="Calibri" w:eastAsia="Calibri" w:hAnsi="Calibri" w:cs="Calibri"/>
                                  <w:color w:val="404040"/>
                                  <w:sz w:val="18"/>
                                </w:rPr>
                                <w:t>16</w:t>
                              </w:r>
                            </w:p>
                          </w:txbxContent>
                        </wps:txbx>
                        <wps:bodyPr horzOverflow="overflow" vert="horz" lIns="0" tIns="0" rIns="0" bIns="0" rtlCol="0">
                          <a:noAutofit/>
                        </wps:bodyPr>
                      </wps:wsp>
                      <wps:wsp>
                        <wps:cNvPr id="4461" name="Rectangle 4461"/>
                        <wps:cNvSpPr/>
                        <wps:spPr>
                          <a:xfrm>
                            <a:off x="5844540" y="2780029"/>
                            <a:ext cx="269530" cy="154840"/>
                          </a:xfrm>
                          <a:prstGeom prst="rect">
                            <a:avLst/>
                          </a:prstGeom>
                          <a:ln>
                            <a:noFill/>
                          </a:ln>
                        </wps:spPr>
                        <wps:txbx>
                          <w:txbxContent>
                            <w:p w14:paraId="12362119" w14:textId="77777777" w:rsidR="006A0484" w:rsidRDefault="006A0484" w:rsidP="006A0484">
                              <w:pPr>
                                <w:spacing w:after="160" w:line="259" w:lineRule="auto"/>
                              </w:pPr>
                              <w:r>
                                <w:rPr>
                                  <w:rFonts w:ascii="Calibri" w:eastAsia="Calibri" w:hAnsi="Calibri" w:cs="Calibri"/>
                                  <w:color w:val="404040"/>
                                  <w:sz w:val="18"/>
                                </w:rPr>
                                <w:t>10.5</w:t>
                              </w:r>
                            </w:p>
                          </w:txbxContent>
                        </wps:txbx>
                        <wps:bodyPr horzOverflow="overflow" vert="horz" lIns="0" tIns="0" rIns="0" bIns="0" rtlCol="0">
                          <a:noAutofit/>
                        </wps:bodyPr>
                      </wps:wsp>
                      <wps:wsp>
                        <wps:cNvPr id="4462" name="Rectangle 4462"/>
                        <wps:cNvSpPr/>
                        <wps:spPr>
                          <a:xfrm>
                            <a:off x="327990" y="2889757"/>
                            <a:ext cx="77074" cy="154840"/>
                          </a:xfrm>
                          <a:prstGeom prst="rect">
                            <a:avLst/>
                          </a:prstGeom>
                          <a:ln>
                            <a:noFill/>
                          </a:ln>
                        </wps:spPr>
                        <wps:txbx>
                          <w:txbxContent>
                            <w:p w14:paraId="41A08450" w14:textId="77777777" w:rsidR="006A0484" w:rsidRDefault="006A0484" w:rsidP="006A0484">
                              <w:pPr>
                                <w:spacing w:after="160" w:line="259" w:lineRule="auto"/>
                              </w:pPr>
                              <w:r>
                                <w:rPr>
                                  <w:rFonts w:ascii="Calibri" w:eastAsia="Calibri" w:hAnsi="Calibri" w:cs="Calibri"/>
                                  <w:color w:val="595959"/>
                                  <w:sz w:val="18"/>
                                </w:rPr>
                                <w:t>0</w:t>
                              </w:r>
                            </w:p>
                          </w:txbxContent>
                        </wps:txbx>
                        <wps:bodyPr horzOverflow="overflow" vert="horz" lIns="0" tIns="0" rIns="0" bIns="0" rtlCol="0">
                          <a:noAutofit/>
                        </wps:bodyPr>
                      </wps:wsp>
                      <wps:wsp>
                        <wps:cNvPr id="4463" name="Rectangle 4463"/>
                        <wps:cNvSpPr/>
                        <wps:spPr>
                          <a:xfrm>
                            <a:off x="270078" y="2483104"/>
                            <a:ext cx="154097" cy="154840"/>
                          </a:xfrm>
                          <a:prstGeom prst="rect">
                            <a:avLst/>
                          </a:prstGeom>
                          <a:ln>
                            <a:noFill/>
                          </a:ln>
                        </wps:spPr>
                        <wps:txbx>
                          <w:txbxContent>
                            <w:p w14:paraId="4600CECC" w14:textId="77777777" w:rsidR="006A0484" w:rsidRDefault="006A0484" w:rsidP="006A0484">
                              <w:pPr>
                                <w:spacing w:after="160" w:line="259" w:lineRule="auto"/>
                              </w:pPr>
                              <w:r>
                                <w:rPr>
                                  <w:rFonts w:ascii="Calibri" w:eastAsia="Calibri" w:hAnsi="Calibri" w:cs="Calibri"/>
                                  <w:color w:val="595959"/>
                                  <w:sz w:val="18"/>
                                </w:rPr>
                                <w:t>20</w:t>
                              </w:r>
                            </w:p>
                          </w:txbxContent>
                        </wps:txbx>
                        <wps:bodyPr horzOverflow="overflow" vert="horz" lIns="0" tIns="0" rIns="0" bIns="0" rtlCol="0">
                          <a:noAutofit/>
                        </wps:bodyPr>
                      </wps:wsp>
                      <wps:wsp>
                        <wps:cNvPr id="4464" name="Rectangle 4464"/>
                        <wps:cNvSpPr/>
                        <wps:spPr>
                          <a:xfrm>
                            <a:off x="270078" y="2076449"/>
                            <a:ext cx="154097" cy="154840"/>
                          </a:xfrm>
                          <a:prstGeom prst="rect">
                            <a:avLst/>
                          </a:prstGeom>
                          <a:ln>
                            <a:noFill/>
                          </a:ln>
                        </wps:spPr>
                        <wps:txbx>
                          <w:txbxContent>
                            <w:p w14:paraId="280A4ADE" w14:textId="77777777" w:rsidR="006A0484" w:rsidRDefault="006A0484" w:rsidP="006A0484">
                              <w:pPr>
                                <w:spacing w:after="160" w:line="259" w:lineRule="auto"/>
                              </w:pPr>
                              <w:r>
                                <w:rPr>
                                  <w:rFonts w:ascii="Calibri" w:eastAsia="Calibri" w:hAnsi="Calibri" w:cs="Calibri"/>
                                  <w:color w:val="595959"/>
                                  <w:sz w:val="18"/>
                                </w:rPr>
                                <w:t>40</w:t>
                              </w:r>
                            </w:p>
                          </w:txbxContent>
                        </wps:txbx>
                        <wps:bodyPr horzOverflow="overflow" vert="horz" lIns="0" tIns="0" rIns="0" bIns="0" rtlCol="0">
                          <a:noAutofit/>
                        </wps:bodyPr>
                      </wps:wsp>
                      <wps:wsp>
                        <wps:cNvPr id="4465" name="Rectangle 4465"/>
                        <wps:cNvSpPr/>
                        <wps:spPr>
                          <a:xfrm>
                            <a:off x="270078" y="1670176"/>
                            <a:ext cx="154097" cy="154840"/>
                          </a:xfrm>
                          <a:prstGeom prst="rect">
                            <a:avLst/>
                          </a:prstGeom>
                          <a:ln>
                            <a:noFill/>
                          </a:ln>
                        </wps:spPr>
                        <wps:txbx>
                          <w:txbxContent>
                            <w:p w14:paraId="2DE6E990" w14:textId="77777777" w:rsidR="006A0484" w:rsidRDefault="006A0484" w:rsidP="006A0484">
                              <w:pPr>
                                <w:spacing w:after="160" w:line="259" w:lineRule="auto"/>
                              </w:pPr>
                              <w:r>
                                <w:rPr>
                                  <w:rFonts w:ascii="Calibri" w:eastAsia="Calibri" w:hAnsi="Calibri" w:cs="Calibri"/>
                                  <w:color w:val="595959"/>
                                  <w:sz w:val="18"/>
                                </w:rPr>
                                <w:t>60</w:t>
                              </w:r>
                            </w:p>
                          </w:txbxContent>
                        </wps:txbx>
                        <wps:bodyPr horzOverflow="overflow" vert="horz" lIns="0" tIns="0" rIns="0" bIns="0" rtlCol="0">
                          <a:noAutofit/>
                        </wps:bodyPr>
                      </wps:wsp>
                      <wps:wsp>
                        <wps:cNvPr id="4466" name="Rectangle 4466"/>
                        <wps:cNvSpPr/>
                        <wps:spPr>
                          <a:xfrm>
                            <a:off x="270078" y="1263649"/>
                            <a:ext cx="154097" cy="154840"/>
                          </a:xfrm>
                          <a:prstGeom prst="rect">
                            <a:avLst/>
                          </a:prstGeom>
                          <a:ln>
                            <a:noFill/>
                          </a:ln>
                        </wps:spPr>
                        <wps:txbx>
                          <w:txbxContent>
                            <w:p w14:paraId="0E9AF4A9" w14:textId="77777777" w:rsidR="006A0484" w:rsidRDefault="006A0484" w:rsidP="006A0484">
                              <w:pPr>
                                <w:spacing w:after="160" w:line="259" w:lineRule="auto"/>
                              </w:pPr>
                              <w:r>
                                <w:rPr>
                                  <w:rFonts w:ascii="Calibri" w:eastAsia="Calibri" w:hAnsi="Calibri" w:cs="Calibri"/>
                                  <w:color w:val="595959"/>
                                  <w:sz w:val="18"/>
                                </w:rPr>
                                <w:t>80</w:t>
                              </w:r>
                            </w:p>
                          </w:txbxContent>
                        </wps:txbx>
                        <wps:bodyPr horzOverflow="overflow" vert="horz" lIns="0" tIns="0" rIns="0" bIns="0" rtlCol="0">
                          <a:noAutofit/>
                        </wps:bodyPr>
                      </wps:wsp>
                      <wps:wsp>
                        <wps:cNvPr id="4467" name="Rectangle 4467"/>
                        <wps:cNvSpPr/>
                        <wps:spPr>
                          <a:xfrm>
                            <a:off x="212166" y="856995"/>
                            <a:ext cx="231120" cy="154840"/>
                          </a:xfrm>
                          <a:prstGeom prst="rect">
                            <a:avLst/>
                          </a:prstGeom>
                          <a:ln>
                            <a:noFill/>
                          </a:ln>
                        </wps:spPr>
                        <wps:txbx>
                          <w:txbxContent>
                            <w:p w14:paraId="69A8A579" w14:textId="77777777" w:rsidR="006A0484" w:rsidRDefault="006A0484" w:rsidP="006A0484">
                              <w:pPr>
                                <w:spacing w:after="160" w:line="259" w:lineRule="auto"/>
                              </w:pPr>
                              <w:r>
                                <w:rPr>
                                  <w:rFonts w:ascii="Calibri" w:eastAsia="Calibri" w:hAnsi="Calibri" w:cs="Calibri"/>
                                  <w:color w:val="595959"/>
                                  <w:sz w:val="18"/>
                                </w:rPr>
                                <w:t>100</w:t>
                              </w:r>
                            </w:p>
                          </w:txbxContent>
                        </wps:txbx>
                        <wps:bodyPr horzOverflow="overflow" vert="horz" lIns="0" tIns="0" rIns="0" bIns="0" rtlCol="0">
                          <a:noAutofit/>
                        </wps:bodyPr>
                      </wps:wsp>
                      <wps:wsp>
                        <wps:cNvPr id="4468" name="Rectangle 4468"/>
                        <wps:cNvSpPr/>
                        <wps:spPr>
                          <a:xfrm>
                            <a:off x="212166" y="450342"/>
                            <a:ext cx="231120" cy="154840"/>
                          </a:xfrm>
                          <a:prstGeom prst="rect">
                            <a:avLst/>
                          </a:prstGeom>
                          <a:ln>
                            <a:noFill/>
                          </a:ln>
                        </wps:spPr>
                        <wps:txbx>
                          <w:txbxContent>
                            <w:p w14:paraId="05E10800" w14:textId="77777777" w:rsidR="006A0484" w:rsidRDefault="006A0484" w:rsidP="006A0484">
                              <w:pPr>
                                <w:spacing w:after="160" w:line="259" w:lineRule="auto"/>
                              </w:pPr>
                              <w:r>
                                <w:rPr>
                                  <w:rFonts w:ascii="Calibri" w:eastAsia="Calibri" w:hAnsi="Calibri" w:cs="Calibri"/>
                                  <w:color w:val="595959"/>
                                  <w:sz w:val="18"/>
                                </w:rPr>
                                <w:t>120</w:t>
                              </w:r>
                            </w:p>
                          </w:txbxContent>
                        </wps:txbx>
                        <wps:bodyPr horzOverflow="overflow" vert="horz" lIns="0" tIns="0" rIns="0" bIns="0" rtlCol="0">
                          <a:noAutofit/>
                        </wps:bodyPr>
                      </wps:wsp>
                      <wps:wsp>
                        <wps:cNvPr id="4469" name="Rectangle 4469"/>
                        <wps:cNvSpPr/>
                        <wps:spPr>
                          <a:xfrm>
                            <a:off x="212166" y="44069"/>
                            <a:ext cx="231120" cy="154840"/>
                          </a:xfrm>
                          <a:prstGeom prst="rect">
                            <a:avLst/>
                          </a:prstGeom>
                          <a:ln>
                            <a:noFill/>
                          </a:ln>
                        </wps:spPr>
                        <wps:txbx>
                          <w:txbxContent>
                            <w:p w14:paraId="24FC90D7" w14:textId="77777777" w:rsidR="006A0484" w:rsidRDefault="006A0484" w:rsidP="006A0484">
                              <w:pPr>
                                <w:spacing w:after="160" w:line="259" w:lineRule="auto"/>
                              </w:pPr>
                              <w:r>
                                <w:rPr>
                                  <w:rFonts w:ascii="Calibri" w:eastAsia="Calibri" w:hAnsi="Calibri" w:cs="Calibri"/>
                                  <w:color w:val="595959"/>
                                  <w:sz w:val="18"/>
                                </w:rPr>
                                <w:t>140</w:t>
                              </w:r>
                            </w:p>
                          </w:txbxContent>
                        </wps:txbx>
                        <wps:bodyPr horzOverflow="overflow" vert="horz" lIns="0" tIns="0" rIns="0" bIns="0" rtlCol="0">
                          <a:noAutofit/>
                        </wps:bodyPr>
                      </wps:wsp>
                      <wps:wsp>
                        <wps:cNvPr id="4470" name="Rectangle 4470"/>
                        <wps:cNvSpPr/>
                        <wps:spPr>
                          <a:xfrm>
                            <a:off x="893064" y="3038474"/>
                            <a:ext cx="308143" cy="154840"/>
                          </a:xfrm>
                          <a:prstGeom prst="rect">
                            <a:avLst/>
                          </a:prstGeom>
                          <a:ln>
                            <a:noFill/>
                          </a:ln>
                        </wps:spPr>
                        <wps:txbx>
                          <w:txbxContent>
                            <w:p w14:paraId="084D3B5C" w14:textId="77777777" w:rsidR="006A0484" w:rsidRDefault="006A0484" w:rsidP="006A0484">
                              <w:pPr>
                                <w:spacing w:after="160" w:line="259" w:lineRule="auto"/>
                              </w:pPr>
                              <w:r>
                                <w:rPr>
                                  <w:rFonts w:ascii="Calibri" w:eastAsia="Calibri" w:hAnsi="Calibri" w:cs="Calibri"/>
                                  <w:color w:val="595959"/>
                                  <w:sz w:val="18"/>
                                </w:rPr>
                                <w:t>2016</w:t>
                              </w:r>
                            </w:p>
                          </w:txbxContent>
                        </wps:txbx>
                        <wps:bodyPr horzOverflow="overflow" vert="horz" lIns="0" tIns="0" rIns="0" bIns="0" rtlCol="0">
                          <a:noAutofit/>
                        </wps:bodyPr>
                      </wps:wsp>
                      <wps:wsp>
                        <wps:cNvPr id="4471" name="Rectangle 4471"/>
                        <wps:cNvSpPr/>
                        <wps:spPr>
                          <a:xfrm>
                            <a:off x="1124712" y="3038474"/>
                            <a:ext cx="75705" cy="154840"/>
                          </a:xfrm>
                          <a:prstGeom prst="rect">
                            <a:avLst/>
                          </a:prstGeom>
                          <a:ln>
                            <a:noFill/>
                          </a:ln>
                        </wps:spPr>
                        <wps:txbx>
                          <w:txbxContent>
                            <w:p w14:paraId="15EAF531" w14:textId="77777777" w:rsidR="006A0484" w:rsidRDefault="006A0484" w:rsidP="006A0484">
                              <w:pPr>
                                <w:spacing w:after="160" w:line="259" w:lineRule="auto"/>
                              </w:pPr>
                              <w:r>
                                <w:rPr>
                                  <w:rFonts w:ascii="Calibri" w:eastAsia="Calibri" w:hAnsi="Calibri" w:cs="Calibri"/>
                                  <w:color w:val="595959"/>
                                  <w:sz w:val="18"/>
                                </w:rPr>
                                <w:t>–</w:t>
                              </w:r>
                            </w:p>
                          </w:txbxContent>
                        </wps:txbx>
                        <wps:bodyPr horzOverflow="overflow" vert="horz" lIns="0" tIns="0" rIns="0" bIns="0" rtlCol="0">
                          <a:noAutofit/>
                        </wps:bodyPr>
                      </wps:wsp>
                      <wps:wsp>
                        <wps:cNvPr id="4472" name="Rectangle 4472"/>
                        <wps:cNvSpPr/>
                        <wps:spPr>
                          <a:xfrm>
                            <a:off x="1181100" y="3038474"/>
                            <a:ext cx="154097" cy="154840"/>
                          </a:xfrm>
                          <a:prstGeom prst="rect">
                            <a:avLst/>
                          </a:prstGeom>
                          <a:ln>
                            <a:noFill/>
                          </a:ln>
                        </wps:spPr>
                        <wps:txbx>
                          <w:txbxContent>
                            <w:p w14:paraId="71CD1830" w14:textId="77777777" w:rsidR="006A0484" w:rsidRDefault="006A0484" w:rsidP="006A0484">
                              <w:pPr>
                                <w:spacing w:after="160" w:line="259" w:lineRule="auto"/>
                              </w:pPr>
                              <w:r>
                                <w:rPr>
                                  <w:rFonts w:ascii="Calibri" w:eastAsia="Calibri" w:hAnsi="Calibri" w:cs="Calibri"/>
                                  <w:color w:val="595959"/>
                                  <w:sz w:val="18"/>
                                </w:rPr>
                                <w:t>17</w:t>
                              </w:r>
                            </w:p>
                          </w:txbxContent>
                        </wps:txbx>
                        <wps:bodyPr horzOverflow="overflow" vert="horz" lIns="0" tIns="0" rIns="0" bIns="0" rtlCol="0">
                          <a:noAutofit/>
                        </wps:bodyPr>
                      </wps:wsp>
                      <wps:wsp>
                        <wps:cNvPr id="4473" name="Rectangle 4473"/>
                        <wps:cNvSpPr/>
                        <wps:spPr>
                          <a:xfrm>
                            <a:off x="2098929" y="3038474"/>
                            <a:ext cx="308142" cy="154840"/>
                          </a:xfrm>
                          <a:prstGeom prst="rect">
                            <a:avLst/>
                          </a:prstGeom>
                          <a:ln>
                            <a:noFill/>
                          </a:ln>
                        </wps:spPr>
                        <wps:txbx>
                          <w:txbxContent>
                            <w:p w14:paraId="6425DCE6" w14:textId="77777777" w:rsidR="006A0484" w:rsidRDefault="006A0484" w:rsidP="006A0484">
                              <w:pPr>
                                <w:spacing w:after="160" w:line="259" w:lineRule="auto"/>
                              </w:pPr>
                              <w:r>
                                <w:rPr>
                                  <w:rFonts w:ascii="Calibri" w:eastAsia="Calibri" w:hAnsi="Calibri" w:cs="Calibri"/>
                                  <w:color w:val="595959"/>
                                  <w:sz w:val="18"/>
                                </w:rPr>
                                <w:t>2017</w:t>
                              </w:r>
                            </w:p>
                          </w:txbxContent>
                        </wps:txbx>
                        <wps:bodyPr horzOverflow="overflow" vert="horz" lIns="0" tIns="0" rIns="0" bIns="0" rtlCol="0">
                          <a:noAutofit/>
                        </wps:bodyPr>
                      </wps:wsp>
                      <wps:wsp>
                        <wps:cNvPr id="4474" name="Rectangle 4474"/>
                        <wps:cNvSpPr/>
                        <wps:spPr>
                          <a:xfrm>
                            <a:off x="2330577" y="3038474"/>
                            <a:ext cx="75705" cy="154840"/>
                          </a:xfrm>
                          <a:prstGeom prst="rect">
                            <a:avLst/>
                          </a:prstGeom>
                          <a:ln>
                            <a:noFill/>
                          </a:ln>
                        </wps:spPr>
                        <wps:txbx>
                          <w:txbxContent>
                            <w:p w14:paraId="1B986050" w14:textId="77777777" w:rsidR="006A0484" w:rsidRDefault="006A0484" w:rsidP="006A0484">
                              <w:pPr>
                                <w:spacing w:after="160" w:line="259" w:lineRule="auto"/>
                              </w:pPr>
                              <w:r>
                                <w:rPr>
                                  <w:rFonts w:ascii="Calibri" w:eastAsia="Calibri" w:hAnsi="Calibri" w:cs="Calibri"/>
                                  <w:color w:val="595959"/>
                                  <w:sz w:val="18"/>
                                </w:rPr>
                                <w:t>–</w:t>
                              </w:r>
                            </w:p>
                          </w:txbxContent>
                        </wps:txbx>
                        <wps:bodyPr horzOverflow="overflow" vert="horz" lIns="0" tIns="0" rIns="0" bIns="0" rtlCol="0">
                          <a:noAutofit/>
                        </wps:bodyPr>
                      </wps:wsp>
                      <wps:wsp>
                        <wps:cNvPr id="4475" name="Rectangle 4475"/>
                        <wps:cNvSpPr/>
                        <wps:spPr>
                          <a:xfrm>
                            <a:off x="2386965" y="3038474"/>
                            <a:ext cx="154097" cy="154840"/>
                          </a:xfrm>
                          <a:prstGeom prst="rect">
                            <a:avLst/>
                          </a:prstGeom>
                          <a:ln>
                            <a:noFill/>
                          </a:ln>
                        </wps:spPr>
                        <wps:txbx>
                          <w:txbxContent>
                            <w:p w14:paraId="3FB3A119" w14:textId="77777777" w:rsidR="006A0484" w:rsidRDefault="006A0484" w:rsidP="006A0484">
                              <w:pPr>
                                <w:spacing w:after="160" w:line="259" w:lineRule="auto"/>
                              </w:pPr>
                              <w:r>
                                <w:rPr>
                                  <w:rFonts w:ascii="Calibri" w:eastAsia="Calibri" w:hAnsi="Calibri" w:cs="Calibri"/>
                                  <w:color w:val="595959"/>
                                  <w:sz w:val="18"/>
                                </w:rPr>
                                <w:t>18</w:t>
                              </w:r>
                            </w:p>
                          </w:txbxContent>
                        </wps:txbx>
                        <wps:bodyPr horzOverflow="overflow" vert="horz" lIns="0" tIns="0" rIns="0" bIns="0" rtlCol="0">
                          <a:noAutofit/>
                        </wps:bodyPr>
                      </wps:wsp>
                      <wps:wsp>
                        <wps:cNvPr id="4476" name="Rectangle 4476"/>
                        <wps:cNvSpPr/>
                        <wps:spPr>
                          <a:xfrm>
                            <a:off x="3304667" y="3038474"/>
                            <a:ext cx="308143" cy="154840"/>
                          </a:xfrm>
                          <a:prstGeom prst="rect">
                            <a:avLst/>
                          </a:prstGeom>
                          <a:ln>
                            <a:noFill/>
                          </a:ln>
                        </wps:spPr>
                        <wps:txbx>
                          <w:txbxContent>
                            <w:p w14:paraId="69381339" w14:textId="77777777" w:rsidR="006A0484" w:rsidRDefault="006A0484" w:rsidP="006A0484">
                              <w:pPr>
                                <w:spacing w:after="160" w:line="259" w:lineRule="auto"/>
                              </w:pPr>
                              <w:r>
                                <w:rPr>
                                  <w:rFonts w:ascii="Calibri" w:eastAsia="Calibri" w:hAnsi="Calibri" w:cs="Calibri"/>
                                  <w:color w:val="595959"/>
                                  <w:sz w:val="18"/>
                                </w:rPr>
                                <w:t>2018</w:t>
                              </w:r>
                            </w:p>
                          </w:txbxContent>
                        </wps:txbx>
                        <wps:bodyPr horzOverflow="overflow" vert="horz" lIns="0" tIns="0" rIns="0" bIns="0" rtlCol="0">
                          <a:noAutofit/>
                        </wps:bodyPr>
                      </wps:wsp>
                      <wps:wsp>
                        <wps:cNvPr id="4477" name="Rectangle 4477"/>
                        <wps:cNvSpPr/>
                        <wps:spPr>
                          <a:xfrm>
                            <a:off x="3536315" y="3038474"/>
                            <a:ext cx="75705" cy="154840"/>
                          </a:xfrm>
                          <a:prstGeom prst="rect">
                            <a:avLst/>
                          </a:prstGeom>
                          <a:ln>
                            <a:noFill/>
                          </a:ln>
                        </wps:spPr>
                        <wps:txbx>
                          <w:txbxContent>
                            <w:p w14:paraId="27465510" w14:textId="77777777" w:rsidR="006A0484" w:rsidRDefault="006A0484" w:rsidP="006A0484">
                              <w:pPr>
                                <w:spacing w:after="160" w:line="259" w:lineRule="auto"/>
                              </w:pPr>
                              <w:r>
                                <w:rPr>
                                  <w:rFonts w:ascii="Calibri" w:eastAsia="Calibri" w:hAnsi="Calibri" w:cs="Calibri"/>
                                  <w:color w:val="595959"/>
                                  <w:sz w:val="18"/>
                                </w:rPr>
                                <w:t>–</w:t>
                              </w:r>
                            </w:p>
                          </w:txbxContent>
                        </wps:txbx>
                        <wps:bodyPr horzOverflow="overflow" vert="horz" lIns="0" tIns="0" rIns="0" bIns="0" rtlCol="0">
                          <a:noAutofit/>
                        </wps:bodyPr>
                      </wps:wsp>
                      <wps:wsp>
                        <wps:cNvPr id="4478" name="Rectangle 4478"/>
                        <wps:cNvSpPr/>
                        <wps:spPr>
                          <a:xfrm>
                            <a:off x="3592703" y="3038474"/>
                            <a:ext cx="154096" cy="154840"/>
                          </a:xfrm>
                          <a:prstGeom prst="rect">
                            <a:avLst/>
                          </a:prstGeom>
                          <a:ln>
                            <a:noFill/>
                          </a:ln>
                        </wps:spPr>
                        <wps:txbx>
                          <w:txbxContent>
                            <w:p w14:paraId="503A1B1B" w14:textId="77777777" w:rsidR="006A0484" w:rsidRDefault="006A0484" w:rsidP="006A0484">
                              <w:pPr>
                                <w:spacing w:after="160" w:line="259" w:lineRule="auto"/>
                              </w:pPr>
                              <w:r>
                                <w:rPr>
                                  <w:rFonts w:ascii="Calibri" w:eastAsia="Calibri" w:hAnsi="Calibri" w:cs="Calibri"/>
                                  <w:color w:val="595959"/>
                                  <w:sz w:val="18"/>
                                </w:rPr>
                                <w:t>19</w:t>
                              </w:r>
                            </w:p>
                          </w:txbxContent>
                        </wps:txbx>
                        <wps:bodyPr horzOverflow="overflow" vert="horz" lIns="0" tIns="0" rIns="0" bIns="0" rtlCol="0">
                          <a:noAutofit/>
                        </wps:bodyPr>
                      </wps:wsp>
                      <wps:wsp>
                        <wps:cNvPr id="4479" name="Rectangle 4479"/>
                        <wps:cNvSpPr/>
                        <wps:spPr>
                          <a:xfrm>
                            <a:off x="4510151" y="3038474"/>
                            <a:ext cx="308143" cy="154840"/>
                          </a:xfrm>
                          <a:prstGeom prst="rect">
                            <a:avLst/>
                          </a:prstGeom>
                          <a:ln>
                            <a:noFill/>
                          </a:ln>
                        </wps:spPr>
                        <wps:txbx>
                          <w:txbxContent>
                            <w:p w14:paraId="602EC1E9" w14:textId="77777777" w:rsidR="006A0484" w:rsidRDefault="006A0484" w:rsidP="006A0484">
                              <w:pPr>
                                <w:spacing w:after="160" w:line="259" w:lineRule="auto"/>
                              </w:pPr>
                              <w:r>
                                <w:rPr>
                                  <w:rFonts w:ascii="Calibri" w:eastAsia="Calibri" w:hAnsi="Calibri" w:cs="Calibri"/>
                                  <w:color w:val="595959"/>
                                  <w:sz w:val="18"/>
                                </w:rPr>
                                <w:t>2019</w:t>
                              </w:r>
                            </w:p>
                          </w:txbxContent>
                        </wps:txbx>
                        <wps:bodyPr horzOverflow="overflow" vert="horz" lIns="0" tIns="0" rIns="0" bIns="0" rtlCol="0">
                          <a:noAutofit/>
                        </wps:bodyPr>
                      </wps:wsp>
                      <wps:wsp>
                        <wps:cNvPr id="4480" name="Rectangle 4480"/>
                        <wps:cNvSpPr/>
                        <wps:spPr>
                          <a:xfrm>
                            <a:off x="4742053" y="3038474"/>
                            <a:ext cx="75705" cy="154840"/>
                          </a:xfrm>
                          <a:prstGeom prst="rect">
                            <a:avLst/>
                          </a:prstGeom>
                          <a:ln>
                            <a:noFill/>
                          </a:ln>
                        </wps:spPr>
                        <wps:txbx>
                          <w:txbxContent>
                            <w:p w14:paraId="7CD1DF15" w14:textId="77777777" w:rsidR="006A0484" w:rsidRDefault="006A0484" w:rsidP="006A0484">
                              <w:pPr>
                                <w:spacing w:after="160" w:line="259" w:lineRule="auto"/>
                              </w:pPr>
                              <w:r>
                                <w:rPr>
                                  <w:rFonts w:ascii="Calibri" w:eastAsia="Calibri" w:hAnsi="Calibri" w:cs="Calibri"/>
                                  <w:color w:val="595959"/>
                                  <w:sz w:val="18"/>
                                </w:rPr>
                                <w:t>–</w:t>
                              </w:r>
                            </w:p>
                          </w:txbxContent>
                        </wps:txbx>
                        <wps:bodyPr horzOverflow="overflow" vert="horz" lIns="0" tIns="0" rIns="0" bIns="0" rtlCol="0">
                          <a:noAutofit/>
                        </wps:bodyPr>
                      </wps:wsp>
                      <wps:wsp>
                        <wps:cNvPr id="4481" name="Rectangle 4481"/>
                        <wps:cNvSpPr/>
                        <wps:spPr>
                          <a:xfrm>
                            <a:off x="4798441" y="3038474"/>
                            <a:ext cx="154096" cy="154840"/>
                          </a:xfrm>
                          <a:prstGeom prst="rect">
                            <a:avLst/>
                          </a:prstGeom>
                          <a:ln>
                            <a:noFill/>
                          </a:ln>
                        </wps:spPr>
                        <wps:txbx>
                          <w:txbxContent>
                            <w:p w14:paraId="1A6827DC" w14:textId="77777777" w:rsidR="006A0484" w:rsidRDefault="006A0484" w:rsidP="006A0484">
                              <w:pPr>
                                <w:spacing w:after="160" w:line="259" w:lineRule="auto"/>
                              </w:pPr>
                              <w:r>
                                <w:rPr>
                                  <w:rFonts w:ascii="Calibri" w:eastAsia="Calibri" w:hAnsi="Calibri" w:cs="Calibri"/>
                                  <w:color w:val="595959"/>
                                  <w:sz w:val="18"/>
                                </w:rPr>
                                <w:t>20</w:t>
                              </w:r>
                            </w:p>
                          </w:txbxContent>
                        </wps:txbx>
                        <wps:bodyPr horzOverflow="overflow" vert="horz" lIns="0" tIns="0" rIns="0" bIns="0" rtlCol="0">
                          <a:noAutofit/>
                        </wps:bodyPr>
                      </wps:wsp>
                      <wps:wsp>
                        <wps:cNvPr id="4482" name="Rectangle 4482"/>
                        <wps:cNvSpPr/>
                        <wps:spPr>
                          <a:xfrm>
                            <a:off x="5715889" y="3038474"/>
                            <a:ext cx="308143" cy="154840"/>
                          </a:xfrm>
                          <a:prstGeom prst="rect">
                            <a:avLst/>
                          </a:prstGeom>
                          <a:ln>
                            <a:noFill/>
                          </a:ln>
                        </wps:spPr>
                        <wps:txbx>
                          <w:txbxContent>
                            <w:p w14:paraId="28CDE6E2" w14:textId="77777777" w:rsidR="006A0484" w:rsidRDefault="006A0484" w:rsidP="006A0484">
                              <w:pPr>
                                <w:spacing w:after="160" w:line="259" w:lineRule="auto"/>
                              </w:pPr>
                              <w:r>
                                <w:rPr>
                                  <w:rFonts w:ascii="Calibri" w:eastAsia="Calibri" w:hAnsi="Calibri" w:cs="Calibri"/>
                                  <w:color w:val="595959"/>
                                  <w:sz w:val="18"/>
                                </w:rPr>
                                <w:t>2020</w:t>
                              </w:r>
                            </w:p>
                          </w:txbxContent>
                        </wps:txbx>
                        <wps:bodyPr horzOverflow="overflow" vert="horz" lIns="0" tIns="0" rIns="0" bIns="0" rtlCol="0">
                          <a:noAutofit/>
                        </wps:bodyPr>
                      </wps:wsp>
                      <wps:wsp>
                        <wps:cNvPr id="4483" name="Rectangle 4483"/>
                        <wps:cNvSpPr/>
                        <wps:spPr>
                          <a:xfrm>
                            <a:off x="5947919" y="3038474"/>
                            <a:ext cx="75705" cy="154840"/>
                          </a:xfrm>
                          <a:prstGeom prst="rect">
                            <a:avLst/>
                          </a:prstGeom>
                          <a:ln>
                            <a:noFill/>
                          </a:ln>
                        </wps:spPr>
                        <wps:txbx>
                          <w:txbxContent>
                            <w:p w14:paraId="7E1F3C45" w14:textId="77777777" w:rsidR="006A0484" w:rsidRDefault="006A0484" w:rsidP="006A0484">
                              <w:pPr>
                                <w:spacing w:after="160" w:line="259" w:lineRule="auto"/>
                              </w:pPr>
                              <w:r>
                                <w:rPr>
                                  <w:rFonts w:ascii="Calibri" w:eastAsia="Calibri" w:hAnsi="Calibri" w:cs="Calibri"/>
                                  <w:color w:val="595959"/>
                                  <w:sz w:val="18"/>
                                </w:rPr>
                                <w:t>–</w:t>
                              </w:r>
                            </w:p>
                          </w:txbxContent>
                        </wps:txbx>
                        <wps:bodyPr horzOverflow="overflow" vert="horz" lIns="0" tIns="0" rIns="0" bIns="0" rtlCol="0">
                          <a:noAutofit/>
                        </wps:bodyPr>
                      </wps:wsp>
                      <wps:wsp>
                        <wps:cNvPr id="4484" name="Rectangle 4484"/>
                        <wps:cNvSpPr/>
                        <wps:spPr>
                          <a:xfrm>
                            <a:off x="6004307" y="3038474"/>
                            <a:ext cx="154096" cy="154840"/>
                          </a:xfrm>
                          <a:prstGeom prst="rect">
                            <a:avLst/>
                          </a:prstGeom>
                          <a:ln>
                            <a:noFill/>
                          </a:ln>
                        </wps:spPr>
                        <wps:txbx>
                          <w:txbxContent>
                            <w:p w14:paraId="0F5830E9" w14:textId="77777777" w:rsidR="006A0484" w:rsidRDefault="006A0484" w:rsidP="006A0484">
                              <w:pPr>
                                <w:spacing w:after="160" w:line="259" w:lineRule="auto"/>
                              </w:pPr>
                              <w:r>
                                <w:rPr>
                                  <w:rFonts w:ascii="Calibri" w:eastAsia="Calibri" w:hAnsi="Calibri" w:cs="Calibri"/>
                                  <w:color w:val="595959"/>
                                  <w:sz w:val="18"/>
                                </w:rPr>
                                <w:t>21</w:t>
                              </w:r>
                            </w:p>
                          </w:txbxContent>
                        </wps:txbx>
                        <wps:bodyPr horzOverflow="overflow" vert="horz" lIns="0" tIns="0" rIns="0" bIns="0" rtlCol="0">
                          <a:noAutofit/>
                        </wps:bodyPr>
                      </wps:wsp>
                      <wps:wsp>
                        <wps:cNvPr id="4485" name="Shape 4485"/>
                        <wps:cNvSpPr/>
                        <wps:spPr>
                          <a:xfrm>
                            <a:off x="1875536" y="3446272"/>
                            <a:ext cx="243840" cy="0"/>
                          </a:xfrm>
                          <a:custGeom>
                            <a:avLst/>
                            <a:gdLst/>
                            <a:ahLst/>
                            <a:cxnLst/>
                            <a:rect l="0" t="0" r="0" b="0"/>
                            <a:pathLst>
                              <a:path w="243840">
                                <a:moveTo>
                                  <a:pt x="0" y="0"/>
                                </a:moveTo>
                                <a:lnTo>
                                  <a:pt x="243840" y="0"/>
                                </a:lnTo>
                              </a:path>
                            </a:pathLst>
                          </a:custGeom>
                          <a:ln w="28575" cap="rnd">
                            <a:round/>
                          </a:ln>
                        </wps:spPr>
                        <wps:style>
                          <a:lnRef idx="1">
                            <a:srgbClr val="70AD47"/>
                          </a:lnRef>
                          <a:fillRef idx="0">
                            <a:srgbClr val="000000">
                              <a:alpha val="0"/>
                            </a:srgbClr>
                          </a:fillRef>
                          <a:effectRef idx="0">
                            <a:scrgbClr r="0" g="0" b="0"/>
                          </a:effectRef>
                          <a:fontRef idx="none"/>
                        </wps:style>
                        <wps:bodyPr/>
                      </wps:wsp>
                      <wps:wsp>
                        <wps:cNvPr id="4486" name="Rectangle 4486"/>
                        <wps:cNvSpPr/>
                        <wps:spPr>
                          <a:xfrm>
                            <a:off x="2145538" y="3393185"/>
                            <a:ext cx="440247" cy="154840"/>
                          </a:xfrm>
                          <a:prstGeom prst="rect">
                            <a:avLst/>
                          </a:prstGeom>
                          <a:ln>
                            <a:noFill/>
                          </a:ln>
                        </wps:spPr>
                        <wps:txbx>
                          <w:txbxContent>
                            <w:p w14:paraId="45590847" w14:textId="77777777" w:rsidR="006A0484" w:rsidRDefault="006A0484" w:rsidP="006A0484">
                              <w:pPr>
                                <w:spacing w:after="160" w:line="259" w:lineRule="auto"/>
                              </w:pPr>
                              <w:r>
                                <w:rPr>
                                  <w:rFonts w:ascii="Calibri" w:eastAsia="Calibri" w:hAnsi="Calibri" w:cs="Calibri"/>
                                  <w:color w:val="595959"/>
                                  <w:sz w:val="18"/>
                                </w:rPr>
                                <w:t>Overall</w:t>
                              </w:r>
                            </w:p>
                          </w:txbxContent>
                        </wps:txbx>
                        <wps:bodyPr horzOverflow="overflow" vert="horz" lIns="0" tIns="0" rIns="0" bIns="0" rtlCol="0">
                          <a:noAutofit/>
                        </wps:bodyPr>
                      </wps:wsp>
                      <wps:wsp>
                        <wps:cNvPr id="4487" name="Shape 4487"/>
                        <wps:cNvSpPr/>
                        <wps:spPr>
                          <a:xfrm>
                            <a:off x="2782824" y="3446272"/>
                            <a:ext cx="243840" cy="0"/>
                          </a:xfrm>
                          <a:custGeom>
                            <a:avLst/>
                            <a:gdLst/>
                            <a:ahLst/>
                            <a:cxnLst/>
                            <a:rect l="0" t="0" r="0" b="0"/>
                            <a:pathLst>
                              <a:path w="243840">
                                <a:moveTo>
                                  <a:pt x="0" y="0"/>
                                </a:moveTo>
                                <a:lnTo>
                                  <a:pt x="243840" y="0"/>
                                </a:lnTo>
                              </a:path>
                            </a:pathLst>
                          </a:custGeom>
                          <a:ln w="28575" cap="rnd">
                            <a:round/>
                          </a:ln>
                        </wps:spPr>
                        <wps:style>
                          <a:lnRef idx="1">
                            <a:srgbClr val="5B9BD5"/>
                          </a:lnRef>
                          <a:fillRef idx="0">
                            <a:srgbClr val="000000">
                              <a:alpha val="0"/>
                            </a:srgbClr>
                          </a:fillRef>
                          <a:effectRef idx="0">
                            <a:scrgbClr r="0" g="0" b="0"/>
                          </a:effectRef>
                          <a:fontRef idx="none"/>
                        </wps:style>
                        <wps:bodyPr/>
                      </wps:wsp>
                      <wps:wsp>
                        <wps:cNvPr id="4488" name="Rectangle 4488"/>
                        <wps:cNvSpPr/>
                        <wps:spPr>
                          <a:xfrm>
                            <a:off x="3052953" y="3393185"/>
                            <a:ext cx="1135278" cy="154840"/>
                          </a:xfrm>
                          <a:prstGeom prst="rect">
                            <a:avLst/>
                          </a:prstGeom>
                          <a:ln>
                            <a:noFill/>
                          </a:ln>
                        </wps:spPr>
                        <wps:txbx>
                          <w:txbxContent>
                            <w:p w14:paraId="039F5706" w14:textId="77777777" w:rsidR="006A0484" w:rsidRDefault="006A0484" w:rsidP="006A0484">
                              <w:pPr>
                                <w:spacing w:after="160" w:line="259" w:lineRule="auto"/>
                              </w:pPr>
                              <w:r>
                                <w:rPr>
                                  <w:rFonts w:ascii="Calibri" w:eastAsia="Calibri" w:hAnsi="Calibri" w:cs="Calibri"/>
                                  <w:color w:val="595959"/>
                                  <w:sz w:val="18"/>
                                </w:rPr>
                                <w:t>Community-Based</w:t>
                              </w:r>
                            </w:p>
                          </w:txbxContent>
                        </wps:txbx>
                        <wps:bodyPr horzOverflow="overflow" vert="horz" lIns="0" tIns="0" rIns="0" bIns="0" rtlCol="0">
                          <a:noAutofit/>
                        </wps:bodyPr>
                      </wps:wsp>
                      <wps:wsp>
                        <wps:cNvPr id="4489" name="Shape 4489"/>
                        <wps:cNvSpPr/>
                        <wps:spPr>
                          <a:xfrm>
                            <a:off x="4212590" y="3446272"/>
                            <a:ext cx="243840" cy="0"/>
                          </a:xfrm>
                          <a:custGeom>
                            <a:avLst/>
                            <a:gdLst/>
                            <a:ahLst/>
                            <a:cxnLst/>
                            <a:rect l="0" t="0" r="0" b="0"/>
                            <a:pathLst>
                              <a:path w="243840">
                                <a:moveTo>
                                  <a:pt x="0" y="0"/>
                                </a:moveTo>
                                <a:lnTo>
                                  <a:pt x="243840" y="0"/>
                                </a:lnTo>
                              </a:path>
                            </a:pathLst>
                          </a:custGeom>
                          <a:ln w="28575" cap="rnd">
                            <a:round/>
                          </a:ln>
                        </wps:spPr>
                        <wps:style>
                          <a:lnRef idx="1">
                            <a:srgbClr val="A5A5A5"/>
                          </a:lnRef>
                          <a:fillRef idx="0">
                            <a:srgbClr val="000000">
                              <a:alpha val="0"/>
                            </a:srgbClr>
                          </a:fillRef>
                          <a:effectRef idx="0">
                            <a:scrgbClr r="0" g="0" b="0"/>
                          </a:effectRef>
                          <a:fontRef idx="none"/>
                        </wps:style>
                        <wps:bodyPr/>
                      </wps:wsp>
                      <wps:wsp>
                        <wps:cNvPr id="4490" name="Rectangle 4490"/>
                        <wps:cNvSpPr/>
                        <wps:spPr>
                          <a:xfrm>
                            <a:off x="4482974" y="3393185"/>
                            <a:ext cx="500143" cy="154840"/>
                          </a:xfrm>
                          <a:prstGeom prst="rect">
                            <a:avLst/>
                          </a:prstGeom>
                          <a:ln>
                            <a:noFill/>
                          </a:ln>
                        </wps:spPr>
                        <wps:txbx>
                          <w:txbxContent>
                            <w:p w14:paraId="12DA42BF" w14:textId="77777777" w:rsidR="006A0484" w:rsidRDefault="006A0484" w:rsidP="006A0484">
                              <w:pPr>
                                <w:spacing w:after="160" w:line="259" w:lineRule="auto"/>
                              </w:pPr>
                              <w:r>
                                <w:rPr>
                                  <w:rFonts w:ascii="Calibri" w:eastAsia="Calibri" w:hAnsi="Calibri" w:cs="Calibri"/>
                                  <w:color w:val="595959"/>
                                  <w:sz w:val="18"/>
                                </w:rPr>
                                <w:t>Custody</w:t>
                              </w:r>
                            </w:p>
                          </w:txbxContent>
                        </wps:txbx>
                        <wps:bodyPr horzOverflow="overflow" vert="horz" lIns="0" tIns="0" rIns="0" bIns="0" rtlCol="0">
                          <a:noAutofit/>
                        </wps:bodyPr>
                      </wps:wsp>
                      <wps:wsp>
                        <wps:cNvPr id="4491" name="Shape 4491"/>
                        <wps:cNvSpPr/>
                        <wps:spPr>
                          <a:xfrm>
                            <a:off x="0" y="0"/>
                            <a:ext cx="6519545" cy="3782060"/>
                          </a:xfrm>
                          <a:custGeom>
                            <a:avLst/>
                            <a:gdLst/>
                            <a:ahLst/>
                            <a:cxnLst/>
                            <a:rect l="0" t="0" r="0" b="0"/>
                            <a:pathLst>
                              <a:path w="6519545" h="3782060">
                                <a:moveTo>
                                  <a:pt x="0" y="3782060"/>
                                </a:moveTo>
                                <a:lnTo>
                                  <a:pt x="6519545" y="3782060"/>
                                </a:lnTo>
                                <a:lnTo>
                                  <a:pt x="6519545" y="0"/>
                                </a:lnTo>
                                <a:lnTo>
                                  <a:pt x="0" y="0"/>
                                </a:lnTo>
                                <a:close/>
                              </a:path>
                            </a:pathLst>
                          </a:custGeom>
                          <a:ln w="9525" cap="flat">
                            <a:round/>
                          </a:ln>
                        </wps:spPr>
                        <wps:style>
                          <a:lnRef idx="1">
                            <a:srgbClr val="D9D9D9"/>
                          </a:lnRef>
                          <a:fillRef idx="0">
                            <a:srgbClr val="000000">
                              <a:alpha val="0"/>
                            </a:srgbClr>
                          </a:fillRef>
                          <a:effectRef idx="0">
                            <a:scrgbClr r="0" g="0" b="0"/>
                          </a:effectRef>
                          <a:fontRef idx="none"/>
                        </wps:style>
                        <wps:bodyPr/>
                      </wps:wsp>
                    </wpg:wgp>
                  </a:graphicData>
                </a:graphic>
              </wp:inline>
            </w:drawing>
          </mc:Choice>
          <mc:Fallback>
            <w:pict>
              <v:group w14:anchorId="75BF3941" id="Group 247325" o:spid="_x0000_s1083" style="width:456.4pt;height:229.6pt;mso-position-horizontal-relative:char;mso-position-vertical-relative:line" coordsize="65742,382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">
                <v:rect id="Rectangle 4201" o:spid="_x0000_s1084" style="position:absolute;left:65352;top:36648;width:519;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" filled="f" stroked="f">
                  <v:textbox inset="0,0,0,0">
                    <w:txbxContent>
                      <w:p w14:paraId="73D52889" w14:textId="77777777" w:rsidR="006A0484" w:rsidRDefault="006A0484" w:rsidP="006A0484">
                        <w:pPr>
                          <w:spacing w:after="160" w:line="259" w:lineRule="auto"/>
                        </w:pPr>
                        <w:r>
                          <w:t xml:space="preserve"> </w:t>
                        </w:r>
                      </w:p>
                    </w:txbxContent>
                  </v:textbox>
                </v:rect>
                <v:shape id="Shape 4436" o:spid="_x0000_s1085" style="position:absolute;left:4918;top:25368;width:60270;height:0;visibility:visible;mso-wrap-style:square;v-text-anchor:top" coordsize="6026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" path="m6026963,l,e" filled="f" strokecolor="#d9d9d9">
                  <v:path arrowok="t" textboxrect="0,0,6026963,0"/>
                </v:shape>
                <v:shape id="Shape 4437" o:spid="_x0000_s1086" style="position:absolute;left:4918;top:21299;width:60270;height:0;visibility:visible;mso-wrap-style:square;v-text-anchor:top" coordsize="6026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" path="m6026963,l,e" filled="f" strokecolor="#d9d9d9">
                  <v:path arrowok="t" textboxrect="0,0,6026963,0"/>
                </v:shape>
                <v:shape id="Shape 4438" o:spid="_x0000_s1087" style="position:absolute;left:4918;top:17230;width:60270;height:0;visibility:visible;mso-wrap-style:square;v-text-anchor:top" coordsize="6026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" path="m6026963,l,e" filled="f" strokecolor="#d9d9d9">
                  <v:path arrowok="t" textboxrect="0,0,6026963,0"/>
                </v:shape>
                <v:shape id="Shape 4439" o:spid="_x0000_s1088" style="position:absolute;left:4918;top:13161;width:60270;height:0;visibility:visible;mso-wrap-style:square;v-text-anchor:top" coordsize="6026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" path="m6026963,l,e" filled="f" strokecolor="#d9d9d9">
                  <v:path arrowok="t" textboxrect="0,0,6026963,0"/>
                </v:shape>
                <v:shape id="Shape 4440" o:spid="_x0000_s1089" style="position:absolute;left:4918;top:9107;width:60270;height:0;visibility:visible;mso-wrap-style:square;v-text-anchor:top" coordsize="6026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" path="m6026963,l,e" filled="f" strokecolor="#d9d9d9">
                  <v:path arrowok="t" textboxrect="0,0,6026963,0"/>
                </v:shape>
                <v:shape id="Shape 4441" o:spid="_x0000_s1090" style="position:absolute;left:4918;top:5038;width:60270;height:0;visibility:visible;mso-wrap-style:square;v-text-anchor:top" coordsize="6026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" path="m6026963,l,e" filled="f" strokecolor="#d9d9d9">
                  <v:path arrowok="t" textboxrect="0,0,6026963,0"/>
                </v:shape>
                <v:shape id="Shape 4442" o:spid="_x0000_s1091" style="position:absolute;left:4918;top:972;width:60270;height:0;visibility:visible;mso-wrap-style:square;v-text-anchor:top" coordsize="6026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" path="m6026963,l,e" filled="f" strokecolor="#d9d9d9">
                  <v:path arrowok="t" textboxrect="0,0,6026963,0"/>
                </v:shape>
                <v:shape id="Shape 4443" o:spid="_x0000_s1092" style="position:absolute;left:4918;top:29425;width:60270;height:0;visibility:visible;mso-wrap-style:square;v-text-anchor:top" coordsize="60269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" path="m6026963,l,e" filled="f" strokecolor="#d9d9d9">
                  <v:path arrowok="t" textboxrect="0,0,6026963,0"/>
                </v:shape>
                <v:shape id="Shape 4444" o:spid="_x0000_s1093" style="position:absolute;left:10946;top:5038;width:48222;height:10161;visibility:visible;mso-wrap-style:square;v-text-anchor:top" coordsize="4822190,10161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" path="m,l1205738,284988,2411222,426720,3616706,792480r1205484,223647e" filled="f" strokecolor="#70ad47" strokeweight="2.25pt">
                  <v:stroke endcap="round"/>
                  <v:path arrowok="t" textboxrect="0,0,4822190,1016127"/>
                </v:shape>
                <v:shape id="Shape 4445" o:spid="_x0000_s1094" style="position:absolute;left:10946;top:9103;width:48222;height:8231;visibility:visible;mso-wrap-style:square;v-text-anchor:top" coordsize="4822190,8230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" path="m,l1205738,244222,2411222,385953,3616706,710565,4822190,823087e" filled="f" strokecolor="#5b9bd5" strokeweight="2.25pt">
                  <v:stroke endcap="round"/>
                  <v:path arrowok="t" textboxrect="0,0,4822190,823087"/>
                </v:shape>
                <v:shape id="Shape 4446" o:spid="_x0000_s1095" style="position:absolute;left:10946;top:25361;width:48222;height:1931;visibility:visible;mso-wrap-style:square;v-text-anchor:top" coordsize="4822190,193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" path="m,l1205738,40259r1205484,l3616706,81407,4822190,193040e" filled="f" strokecolor="#a5a5a5" strokeweight="2.25pt">
                  <v:stroke endcap="round"/>
                  <v:path arrowok="t" textboxrect="0,0,4822190,193040"/>
                </v:shape>
                <v:rect id="Rectangle 4447" o:spid="_x0000_s1096" style="position:absolute;left:9229;top:5055;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" filled="f" stroked="f">
                  <v:textbox inset="0,0,0,0">
                    <w:txbxContent>
                      <w:p w14:paraId="5380F812" w14:textId="77777777" w:rsidR="006A0484" w:rsidRDefault="006A0484" w:rsidP="006A0484">
                        <w:pPr>
                          <w:spacing w:after="160" w:line="259" w:lineRule="auto"/>
                        </w:pPr>
                        <w:r>
                          <w:rPr>
                            <w:rFonts w:ascii="Calibri" w:eastAsia="Calibri" w:hAnsi="Calibri" w:cs="Calibri"/>
                            <w:color w:val="404040"/>
                            <w:sz w:val="18"/>
                          </w:rPr>
                          <w:t>120</w:t>
                        </w:r>
                      </w:p>
                    </w:txbxContent>
                  </v:textbox>
                </v:rect>
                <v:rect id="Rectangle 4448" o:spid="_x0000_s1097" style="position:absolute;left:21664;top:8582;width:231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" filled="f" stroked="f">
                  <v:textbox inset="0,0,0,0">
                    <w:txbxContent>
                      <w:p w14:paraId="15B99E63" w14:textId="77777777" w:rsidR="006A0484" w:rsidRDefault="006A0484" w:rsidP="006A0484">
                        <w:pPr>
                          <w:spacing w:after="160" w:line="259" w:lineRule="auto"/>
                        </w:pPr>
                        <w:r>
                          <w:rPr>
                            <w:rFonts w:ascii="Calibri" w:eastAsia="Calibri" w:hAnsi="Calibri" w:cs="Calibri"/>
                            <w:color w:val="404040"/>
                            <w:sz w:val="18"/>
                          </w:rPr>
                          <w:t>106</w:t>
                        </w:r>
                      </w:p>
                    </w:txbxContent>
                  </v:textbox>
                </v:rect>
                <v:rect id="Rectangle 4449" o:spid="_x0000_s1098" style="position:absolute;left:34202;top:10102;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" filled="f" stroked="f">
                  <v:textbox inset="0,0,0,0">
                    <w:txbxContent>
                      <w:p w14:paraId="0CFDF942" w14:textId="77777777" w:rsidR="006A0484" w:rsidRDefault="006A0484" w:rsidP="006A0484">
                        <w:pPr>
                          <w:spacing w:after="160" w:line="259" w:lineRule="auto"/>
                        </w:pPr>
                        <w:r>
                          <w:rPr>
                            <w:rFonts w:ascii="Calibri" w:eastAsia="Calibri" w:hAnsi="Calibri" w:cs="Calibri"/>
                            <w:color w:val="404040"/>
                            <w:sz w:val="18"/>
                          </w:rPr>
                          <w:t>99</w:t>
                        </w:r>
                      </w:p>
                    </w:txbxContent>
                  </v:textbox>
                </v:rect>
                <v:rect id="Rectangle 4450" o:spid="_x0000_s1099" style="position:absolute;left:46259;top:13276;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" filled="f" stroked="f">
                  <v:textbox inset="0,0,0,0">
                    <w:txbxContent>
                      <w:p w14:paraId="065022C9" w14:textId="77777777" w:rsidR="006A0484" w:rsidRDefault="006A0484" w:rsidP="006A0484">
                        <w:pPr>
                          <w:spacing w:after="160" w:line="259" w:lineRule="auto"/>
                        </w:pPr>
                        <w:r>
                          <w:rPr>
                            <w:rFonts w:ascii="Calibri" w:eastAsia="Calibri" w:hAnsi="Calibri" w:cs="Calibri"/>
                            <w:color w:val="404040"/>
                            <w:sz w:val="18"/>
                          </w:rPr>
                          <w:t>81</w:t>
                        </w:r>
                      </w:p>
                    </w:txbxContent>
                  </v:textbox>
                </v:rect>
                <v:rect id="Rectangle 4451" o:spid="_x0000_s1100" style="position:absolute;left:58412;top:15608;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" filled="f" stroked="f">
                  <v:textbox inset="0,0,0,0">
                    <w:txbxContent>
                      <w:p w14:paraId="4B532946" w14:textId="77777777" w:rsidR="006A0484" w:rsidRDefault="006A0484" w:rsidP="006A0484">
                        <w:pPr>
                          <w:spacing w:after="160" w:line="259" w:lineRule="auto"/>
                        </w:pPr>
                        <w:r>
                          <w:rPr>
                            <w:rFonts w:ascii="Calibri" w:eastAsia="Calibri" w:hAnsi="Calibri" w:cs="Calibri"/>
                            <w:color w:val="404040"/>
                            <w:sz w:val="18"/>
                          </w:rPr>
                          <w:t>70</w:t>
                        </w:r>
                      </w:p>
                    </w:txbxContent>
                  </v:textbox>
                </v:rect>
                <v:rect id="Rectangle 4452" o:spid="_x0000_s1101" style="position:absolute;left:8568;top:8633;width:23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" filled="f" stroked="f">
                  <v:textbox inset="0,0,0,0">
                    <w:txbxContent>
                      <w:p w14:paraId="50633B5E" w14:textId="77777777" w:rsidR="006A0484" w:rsidRDefault="006A0484" w:rsidP="006A0484">
                        <w:pPr>
                          <w:spacing w:after="160" w:line="259" w:lineRule="auto"/>
                        </w:pPr>
                        <w:r>
                          <w:rPr>
                            <w:rFonts w:ascii="Calibri" w:eastAsia="Calibri" w:hAnsi="Calibri" w:cs="Calibri"/>
                            <w:color w:val="404040"/>
                            <w:sz w:val="18"/>
                          </w:rPr>
                          <w:t>100</w:t>
                        </w:r>
                      </w:p>
                    </w:txbxContent>
                  </v:textbox>
                </v:rect>
                <v:rect id="Rectangle 4453" o:spid="_x0000_s1102" style="position:absolute;left:22143;top:12145;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" filled="f" stroked="f">
                  <v:textbox inset="0,0,0,0">
                    <w:txbxContent>
                      <w:p w14:paraId="09E9764B" w14:textId="77777777" w:rsidR="006A0484" w:rsidRDefault="006A0484" w:rsidP="006A0484">
                        <w:pPr>
                          <w:spacing w:after="160" w:line="259" w:lineRule="auto"/>
                        </w:pPr>
                        <w:r>
                          <w:rPr>
                            <w:rFonts w:ascii="Calibri" w:eastAsia="Calibri" w:hAnsi="Calibri" w:cs="Calibri"/>
                            <w:color w:val="404040"/>
                            <w:sz w:val="18"/>
                          </w:rPr>
                          <w:t>88</w:t>
                        </w:r>
                      </w:p>
                    </w:txbxContent>
                  </v:textbox>
                </v:rect>
                <v:rect id="Rectangle 4454" o:spid="_x0000_s1103" style="position:absolute;left:34202;top:13276;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" filled="f" stroked="f">
                  <v:textbox inset="0,0,0,0">
                    <w:txbxContent>
                      <w:p w14:paraId="5C6BD95C" w14:textId="77777777" w:rsidR="006A0484" w:rsidRDefault="006A0484" w:rsidP="006A0484">
                        <w:pPr>
                          <w:spacing w:after="160" w:line="259" w:lineRule="auto"/>
                        </w:pPr>
                        <w:r>
                          <w:rPr>
                            <w:rFonts w:ascii="Calibri" w:eastAsia="Calibri" w:hAnsi="Calibri" w:cs="Calibri"/>
                            <w:color w:val="404040"/>
                            <w:sz w:val="18"/>
                          </w:rPr>
                          <w:t>81</w:t>
                        </w:r>
                      </w:p>
                    </w:txbxContent>
                  </v:textbox>
                </v:rect>
                <v:rect id="Rectangle 4455" o:spid="_x0000_s1104" style="position:absolute;left:46259;top:16527;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" filled="f" stroked="f">
                  <v:textbox inset="0,0,0,0">
                    <w:txbxContent>
                      <w:p w14:paraId="307E8E84" w14:textId="77777777" w:rsidR="006A0484" w:rsidRDefault="006A0484" w:rsidP="006A0484">
                        <w:pPr>
                          <w:spacing w:after="160" w:line="259" w:lineRule="auto"/>
                        </w:pPr>
                        <w:r>
                          <w:rPr>
                            <w:rFonts w:ascii="Calibri" w:eastAsia="Calibri" w:hAnsi="Calibri" w:cs="Calibri"/>
                            <w:color w:val="404040"/>
                            <w:sz w:val="18"/>
                          </w:rPr>
                          <w:t>65</w:t>
                        </w:r>
                      </w:p>
                    </w:txbxContent>
                  </v:textbox>
                </v:rect>
                <v:rect id="Rectangle 4456" o:spid="_x0000_s1105" style="position:absolute;left:57726;top:17887;width:2695;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" filled="f" stroked="f">
                  <v:textbox inset="0,0,0,0">
                    <w:txbxContent>
                      <w:p w14:paraId="022E2D9B" w14:textId="77777777" w:rsidR="006A0484" w:rsidRDefault="006A0484" w:rsidP="006A0484">
                        <w:pPr>
                          <w:spacing w:after="160" w:line="259" w:lineRule="auto"/>
                        </w:pPr>
                        <w:r>
                          <w:rPr>
                            <w:rFonts w:ascii="Calibri" w:eastAsia="Calibri" w:hAnsi="Calibri" w:cs="Calibri"/>
                            <w:color w:val="404040"/>
                            <w:sz w:val="18"/>
                          </w:rPr>
                          <w:t>59.5</w:t>
                        </w:r>
                      </w:p>
                    </w:txbxContent>
                  </v:textbox>
                </v:rect>
                <v:rect id="Rectangle 4457" o:spid="_x0000_s1106" style="position:absolute;left:8949;top:24894;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" filled="f" stroked="f">
                  <v:textbox inset="0,0,0,0">
                    <w:txbxContent>
                      <w:p w14:paraId="40984A02" w14:textId="77777777" w:rsidR="006A0484" w:rsidRDefault="006A0484" w:rsidP="006A0484">
                        <w:pPr>
                          <w:spacing w:after="160" w:line="259" w:lineRule="auto"/>
                        </w:pPr>
                        <w:r>
                          <w:rPr>
                            <w:rFonts w:ascii="Calibri" w:eastAsia="Calibri" w:hAnsi="Calibri" w:cs="Calibri"/>
                            <w:color w:val="404040"/>
                            <w:sz w:val="18"/>
                          </w:rPr>
                          <w:t>20</w:t>
                        </w:r>
                      </w:p>
                    </w:txbxContent>
                  </v:textbox>
                </v:rect>
                <v:rect id="Rectangle 4458" o:spid="_x0000_s1107" style="position:absolute;left:22238;top:26470;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" filled="f" stroked="f">
                  <v:textbox inset="0,0,0,0">
                    <w:txbxContent>
                      <w:p w14:paraId="2D5BF922" w14:textId="77777777" w:rsidR="006A0484" w:rsidRDefault="006A0484" w:rsidP="006A0484">
                        <w:pPr>
                          <w:spacing w:after="160" w:line="259" w:lineRule="auto"/>
                        </w:pPr>
                        <w:r>
                          <w:rPr>
                            <w:rFonts w:ascii="Calibri" w:eastAsia="Calibri" w:hAnsi="Calibri" w:cs="Calibri"/>
                            <w:color w:val="404040"/>
                            <w:sz w:val="18"/>
                          </w:rPr>
                          <w:t>18</w:t>
                        </w:r>
                      </w:p>
                    </w:txbxContent>
                  </v:textbox>
                </v:rect>
                <v:rect id="Rectangle 4459" o:spid="_x0000_s1108" style="position:absolute;left:34107;top:26568;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" filled="f" stroked="f">
                  <v:textbox inset="0,0,0,0">
                    <w:txbxContent>
                      <w:p w14:paraId="3C7165FE" w14:textId="77777777" w:rsidR="006A0484" w:rsidRDefault="006A0484" w:rsidP="006A0484">
                        <w:pPr>
                          <w:spacing w:after="160" w:line="259" w:lineRule="auto"/>
                        </w:pPr>
                        <w:r>
                          <w:rPr>
                            <w:rFonts w:ascii="Calibri" w:eastAsia="Calibri" w:hAnsi="Calibri" w:cs="Calibri"/>
                            <w:color w:val="404040"/>
                            <w:sz w:val="18"/>
                          </w:rPr>
                          <w:t>18</w:t>
                        </w:r>
                      </w:p>
                    </w:txbxContent>
                  </v:textbox>
                </v:rect>
                <v:rect id="Rectangle 4460" o:spid="_x0000_s1109" style="position:absolute;left:46067;top:27071;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" filled="f" stroked="f">
                  <v:textbox inset="0,0,0,0">
                    <w:txbxContent>
                      <w:p w14:paraId="6562968A" w14:textId="77777777" w:rsidR="006A0484" w:rsidRDefault="006A0484" w:rsidP="006A0484">
                        <w:pPr>
                          <w:spacing w:after="160" w:line="259" w:lineRule="auto"/>
                        </w:pPr>
                        <w:r>
                          <w:rPr>
                            <w:rFonts w:ascii="Calibri" w:eastAsia="Calibri" w:hAnsi="Calibri" w:cs="Calibri"/>
                            <w:color w:val="404040"/>
                            <w:sz w:val="18"/>
                          </w:rPr>
                          <w:t>16</w:t>
                        </w:r>
                      </w:p>
                    </w:txbxContent>
                  </v:textbox>
                </v:rect>
                <v:rect id="Rectangle 4461" o:spid="_x0000_s1110" style="position:absolute;left:58445;top:27800;width:2695;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" filled="f" stroked="f">
                  <v:textbox inset="0,0,0,0">
                    <w:txbxContent>
                      <w:p w14:paraId="12362119" w14:textId="77777777" w:rsidR="006A0484" w:rsidRDefault="006A0484" w:rsidP="006A0484">
                        <w:pPr>
                          <w:spacing w:after="160" w:line="259" w:lineRule="auto"/>
                        </w:pPr>
                        <w:r>
                          <w:rPr>
                            <w:rFonts w:ascii="Calibri" w:eastAsia="Calibri" w:hAnsi="Calibri" w:cs="Calibri"/>
                            <w:color w:val="404040"/>
                            <w:sz w:val="18"/>
                          </w:rPr>
                          <w:t>10.5</w:t>
                        </w:r>
                      </w:p>
                    </w:txbxContent>
                  </v:textbox>
                </v:rect>
                <v:rect id="Rectangle 4462" o:spid="_x0000_s1111" style="position:absolute;left:3279;top:28897;width:77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" filled="f" stroked="f">
                  <v:textbox inset="0,0,0,0">
                    <w:txbxContent>
                      <w:p w14:paraId="41A08450" w14:textId="77777777" w:rsidR="006A0484" w:rsidRDefault="006A0484" w:rsidP="006A0484">
                        <w:pPr>
                          <w:spacing w:after="160" w:line="259" w:lineRule="auto"/>
                        </w:pPr>
                        <w:r>
                          <w:rPr>
                            <w:rFonts w:ascii="Calibri" w:eastAsia="Calibri" w:hAnsi="Calibri" w:cs="Calibri"/>
                            <w:color w:val="595959"/>
                            <w:sz w:val="18"/>
                          </w:rPr>
                          <w:t>0</w:t>
                        </w:r>
                      </w:p>
                    </w:txbxContent>
                  </v:textbox>
                </v:rect>
                <v:rect id="Rectangle 4463" o:spid="_x0000_s1112" style="position:absolute;left:2700;top:24831;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" filled="f" stroked="f">
                  <v:textbox inset="0,0,0,0">
                    <w:txbxContent>
                      <w:p w14:paraId="4600CECC" w14:textId="77777777" w:rsidR="006A0484" w:rsidRDefault="006A0484" w:rsidP="006A0484">
                        <w:pPr>
                          <w:spacing w:after="160" w:line="259" w:lineRule="auto"/>
                        </w:pPr>
                        <w:r>
                          <w:rPr>
                            <w:rFonts w:ascii="Calibri" w:eastAsia="Calibri" w:hAnsi="Calibri" w:cs="Calibri"/>
                            <w:color w:val="595959"/>
                            <w:sz w:val="18"/>
                          </w:rPr>
                          <w:t>20</w:t>
                        </w:r>
                      </w:p>
                    </w:txbxContent>
                  </v:textbox>
                </v:rect>
                <v:rect id="Rectangle 4464" o:spid="_x0000_s1113" style="position:absolute;left:2700;top:20764;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" filled="f" stroked="f">
                  <v:textbox inset="0,0,0,0">
                    <w:txbxContent>
                      <w:p w14:paraId="280A4ADE" w14:textId="77777777" w:rsidR="006A0484" w:rsidRDefault="006A0484" w:rsidP="006A0484">
                        <w:pPr>
                          <w:spacing w:after="160" w:line="259" w:lineRule="auto"/>
                        </w:pPr>
                        <w:r>
                          <w:rPr>
                            <w:rFonts w:ascii="Calibri" w:eastAsia="Calibri" w:hAnsi="Calibri" w:cs="Calibri"/>
                            <w:color w:val="595959"/>
                            <w:sz w:val="18"/>
                          </w:rPr>
                          <w:t>40</w:t>
                        </w:r>
                      </w:p>
                    </w:txbxContent>
                  </v:textbox>
                </v:rect>
                <v:rect id="Rectangle 4465" o:spid="_x0000_s1114" style="position:absolute;left:2700;top:16701;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" filled="f" stroked="f">
                  <v:textbox inset="0,0,0,0">
                    <w:txbxContent>
                      <w:p w14:paraId="2DE6E990" w14:textId="77777777" w:rsidR="006A0484" w:rsidRDefault="006A0484" w:rsidP="006A0484">
                        <w:pPr>
                          <w:spacing w:after="160" w:line="259" w:lineRule="auto"/>
                        </w:pPr>
                        <w:r>
                          <w:rPr>
                            <w:rFonts w:ascii="Calibri" w:eastAsia="Calibri" w:hAnsi="Calibri" w:cs="Calibri"/>
                            <w:color w:val="595959"/>
                            <w:sz w:val="18"/>
                          </w:rPr>
                          <w:t>60</w:t>
                        </w:r>
                      </w:p>
                    </w:txbxContent>
                  </v:textbox>
                </v:rect>
                <v:rect id="Rectangle 4466" o:spid="_x0000_s1115" style="position:absolute;left:2700;top:12636;width:154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" filled="f" stroked="f">
                  <v:textbox inset="0,0,0,0">
                    <w:txbxContent>
                      <w:p w14:paraId="0E9AF4A9" w14:textId="77777777" w:rsidR="006A0484" w:rsidRDefault="006A0484" w:rsidP="006A0484">
                        <w:pPr>
                          <w:spacing w:after="160" w:line="259" w:lineRule="auto"/>
                        </w:pPr>
                        <w:r>
                          <w:rPr>
                            <w:rFonts w:ascii="Calibri" w:eastAsia="Calibri" w:hAnsi="Calibri" w:cs="Calibri"/>
                            <w:color w:val="595959"/>
                            <w:sz w:val="18"/>
                          </w:rPr>
                          <w:t>80</w:t>
                        </w:r>
                      </w:p>
                    </w:txbxContent>
                  </v:textbox>
                </v:rect>
                <v:rect id="Rectangle 4467" o:spid="_x0000_s1116" style="position:absolute;left:2121;top:8569;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Px3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w+HoE/7ehCcg5y8AAAD//wMAUEsBAi0AFAAGAAgAAAAhANvh9svuAAAAhQEAABMAAAAAAAAA&#10;AAAAAAAAAAAAAFtDb250ZW50X1R5cGVzXS54bWxQSwECLQAUAAYACAAAACEAWvQsW78AAAAVAQAA&#10;CwAAAAAAAAAAAAAAAAAfAQAAX3JlbHMvLnJlbHNQSwECLQAUAAYACAAAACEAa6z8d8YAAADdAAAA&#10;DwAAAAAAAAAAAAAAAAAHAgAAZHJzL2Rvd25yZXYueG1sUEsFBgAAAAADAAMAtwAAAPoCAAAAAA==&#10;" filled="f" stroked="f">
                  <v:textbox inset="0,0,0,0">
                    <w:txbxContent>
                      <w:p w14:paraId="69A8A579" w14:textId="77777777" w:rsidR="006A0484" w:rsidRDefault="006A0484" w:rsidP="006A0484">
                        <w:pPr>
                          <w:spacing w:after="160" w:line="259" w:lineRule="auto"/>
                        </w:pPr>
                        <w:r>
                          <w:rPr>
                            <w:rFonts w:ascii="Calibri" w:eastAsia="Calibri" w:hAnsi="Calibri" w:cs="Calibri"/>
                            <w:color w:val="595959"/>
                            <w:sz w:val="18"/>
                          </w:rPr>
                          <w:t>100</w:t>
                        </w:r>
                      </w:p>
                    </w:txbxContent>
                  </v:textbox>
                </v:rect>
                <v:rect id="Rectangle 4468" o:spid="_x0000_s1117" style="position:absolute;left:2121;top:4503;width:2311;height:15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" filled="f" stroked="f">
                  <v:textbox inset="0,0,0,0">
                    <w:txbxContent>
                      <w:p w14:paraId="05E10800" w14:textId="77777777" w:rsidR="006A0484" w:rsidRDefault="006A0484" w:rsidP="006A0484">
                        <w:pPr>
                          <w:spacing w:after="160" w:line="259" w:lineRule="auto"/>
                        </w:pPr>
                        <w:r>
                          <w:rPr>
                            <w:rFonts w:ascii="Calibri" w:eastAsia="Calibri" w:hAnsi="Calibri" w:cs="Calibri"/>
                            <w:color w:val="595959"/>
                            <w:sz w:val="18"/>
                          </w:rPr>
                          <w:t>120</w:t>
                        </w:r>
                      </w:p>
                    </w:txbxContent>
                  </v:textbox>
                </v:rect>
                <v:rect id="Rectangle 4469" o:spid="_x0000_s1118" style="position:absolute;left:2121;top:440;width:231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" filled="f" stroked="f">
                  <v:textbox inset="0,0,0,0">
                    <w:txbxContent>
                      <w:p w14:paraId="24FC90D7" w14:textId="77777777" w:rsidR="006A0484" w:rsidRDefault="006A0484" w:rsidP="006A0484">
                        <w:pPr>
                          <w:spacing w:after="160" w:line="259" w:lineRule="auto"/>
                        </w:pPr>
                        <w:r>
                          <w:rPr>
                            <w:rFonts w:ascii="Calibri" w:eastAsia="Calibri" w:hAnsi="Calibri" w:cs="Calibri"/>
                            <w:color w:val="595959"/>
                            <w:sz w:val="18"/>
                          </w:rPr>
                          <w:t>140</w:t>
                        </w:r>
                      </w:p>
                    </w:txbxContent>
                  </v:textbox>
                </v:rect>
                <v:rect id="Rectangle 4470" o:spid="_x0000_s1119" style="position:absolute;left:8930;top:30384;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" filled="f" stroked="f">
                  <v:textbox inset="0,0,0,0">
                    <w:txbxContent>
                      <w:p w14:paraId="084D3B5C" w14:textId="77777777" w:rsidR="006A0484" w:rsidRDefault="006A0484" w:rsidP="006A0484">
                        <w:pPr>
                          <w:spacing w:after="160" w:line="259" w:lineRule="auto"/>
                        </w:pPr>
                        <w:r>
                          <w:rPr>
                            <w:rFonts w:ascii="Calibri" w:eastAsia="Calibri" w:hAnsi="Calibri" w:cs="Calibri"/>
                            <w:color w:val="595959"/>
                            <w:sz w:val="18"/>
                          </w:rPr>
                          <w:t>2016</w:t>
                        </w:r>
                      </w:p>
                    </w:txbxContent>
                  </v:textbox>
                </v:rect>
                <v:rect id="Rectangle 4471" o:spid="_x0000_s1120" style="position:absolute;left:11247;top:30384;width: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" filled="f" stroked="f">
                  <v:textbox inset="0,0,0,0">
                    <w:txbxContent>
                      <w:p w14:paraId="15EAF531" w14:textId="77777777" w:rsidR="006A0484" w:rsidRDefault="006A0484" w:rsidP="006A0484">
                        <w:pPr>
                          <w:spacing w:after="160" w:line="259" w:lineRule="auto"/>
                        </w:pPr>
                        <w:r>
                          <w:rPr>
                            <w:rFonts w:ascii="Calibri" w:eastAsia="Calibri" w:hAnsi="Calibri" w:cs="Calibri"/>
                            <w:color w:val="595959"/>
                            <w:sz w:val="18"/>
                          </w:rPr>
                          <w:t>–</w:t>
                        </w:r>
                      </w:p>
                    </w:txbxContent>
                  </v:textbox>
                </v:rect>
                <v:rect id="Rectangle 4472" o:spid="_x0000_s1121" style="position:absolute;left:11811;top:30384;width:154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" filled="f" stroked="f">
                  <v:textbox inset="0,0,0,0">
                    <w:txbxContent>
                      <w:p w14:paraId="71CD1830" w14:textId="77777777" w:rsidR="006A0484" w:rsidRDefault="006A0484" w:rsidP="006A0484">
                        <w:pPr>
                          <w:spacing w:after="160" w:line="259" w:lineRule="auto"/>
                        </w:pPr>
                        <w:r>
                          <w:rPr>
                            <w:rFonts w:ascii="Calibri" w:eastAsia="Calibri" w:hAnsi="Calibri" w:cs="Calibri"/>
                            <w:color w:val="595959"/>
                            <w:sz w:val="18"/>
                          </w:rPr>
                          <w:t>17</w:t>
                        </w:r>
                      </w:p>
                    </w:txbxContent>
                  </v:textbox>
                </v:rect>
                <v:rect id="Rectangle 4473" o:spid="_x0000_s1122" style="position:absolute;left:20989;top:30384;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" filled="f" stroked="f">
                  <v:textbox inset="0,0,0,0">
                    <w:txbxContent>
                      <w:p w14:paraId="6425DCE6" w14:textId="77777777" w:rsidR="006A0484" w:rsidRDefault="006A0484" w:rsidP="006A0484">
                        <w:pPr>
                          <w:spacing w:after="160" w:line="259" w:lineRule="auto"/>
                        </w:pPr>
                        <w:r>
                          <w:rPr>
                            <w:rFonts w:ascii="Calibri" w:eastAsia="Calibri" w:hAnsi="Calibri" w:cs="Calibri"/>
                            <w:color w:val="595959"/>
                            <w:sz w:val="18"/>
                          </w:rPr>
                          <w:t>2017</w:t>
                        </w:r>
                      </w:p>
                    </w:txbxContent>
                  </v:textbox>
                </v:rect>
                <v:rect id="Rectangle 4474" o:spid="_x0000_s1123" style="position:absolute;left:23305;top:30384;width: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" filled="f" stroked="f">
                  <v:textbox inset="0,0,0,0">
                    <w:txbxContent>
                      <w:p w14:paraId="1B986050" w14:textId="77777777" w:rsidR="006A0484" w:rsidRDefault="006A0484" w:rsidP="006A0484">
                        <w:pPr>
                          <w:spacing w:after="160" w:line="259" w:lineRule="auto"/>
                        </w:pPr>
                        <w:r>
                          <w:rPr>
                            <w:rFonts w:ascii="Calibri" w:eastAsia="Calibri" w:hAnsi="Calibri" w:cs="Calibri"/>
                            <w:color w:val="595959"/>
                            <w:sz w:val="18"/>
                          </w:rPr>
                          <w:t>–</w:t>
                        </w:r>
                      </w:p>
                    </w:txbxContent>
                  </v:textbox>
                </v:rect>
                <v:rect id="Rectangle 4475" o:spid="_x0000_s1124" style="position:absolute;left:23869;top:30384;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" filled="f" stroked="f">
                  <v:textbox inset="0,0,0,0">
                    <w:txbxContent>
                      <w:p w14:paraId="3FB3A119" w14:textId="77777777" w:rsidR="006A0484" w:rsidRDefault="006A0484" w:rsidP="006A0484">
                        <w:pPr>
                          <w:spacing w:after="160" w:line="259" w:lineRule="auto"/>
                        </w:pPr>
                        <w:r>
                          <w:rPr>
                            <w:rFonts w:ascii="Calibri" w:eastAsia="Calibri" w:hAnsi="Calibri" w:cs="Calibri"/>
                            <w:color w:val="595959"/>
                            <w:sz w:val="18"/>
                          </w:rPr>
                          <w:t>18</w:t>
                        </w:r>
                      </w:p>
                    </w:txbxContent>
                  </v:textbox>
                </v:rect>
                <v:rect id="Rectangle 4476" o:spid="_x0000_s1125" style="position:absolute;left:33046;top:30384;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" filled="f" stroked="f">
                  <v:textbox inset="0,0,0,0">
                    <w:txbxContent>
                      <w:p w14:paraId="69381339" w14:textId="77777777" w:rsidR="006A0484" w:rsidRDefault="006A0484" w:rsidP="006A0484">
                        <w:pPr>
                          <w:spacing w:after="160" w:line="259" w:lineRule="auto"/>
                        </w:pPr>
                        <w:r>
                          <w:rPr>
                            <w:rFonts w:ascii="Calibri" w:eastAsia="Calibri" w:hAnsi="Calibri" w:cs="Calibri"/>
                            <w:color w:val="595959"/>
                            <w:sz w:val="18"/>
                          </w:rPr>
                          <w:t>2018</w:t>
                        </w:r>
                      </w:p>
                    </w:txbxContent>
                  </v:textbox>
                </v:rect>
                <v:rect id="Rectangle 4477" o:spid="_x0000_s1126" style="position:absolute;left:35363;top:30384;width: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" filled="f" stroked="f">
                  <v:textbox inset="0,0,0,0">
                    <w:txbxContent>
                      <w:p w14:paraId="27465510" w14:textId="77777777" w:rsidR="006A0484" w:rsidRDefault="006A0484" w:rsidP="006A0484">
                        <w:pPr>
                          <w:spacing w:after="160" w:line="259" w:lineRule="auto"/>
                        </w:pPr>
                        <w:r>
                          <w:rPr>
                            <w:rFonts w:ascii="Calibri" w:eastAsia="Calibri" w:hAnsi="Calibri" w:cs="Calibri"/>
                            <w:color w:val="595959"/>
                            <w:sz w:val="18"/>
                          </w:rPr>
                          <w:t>–</w:t>
                        </w:r>
                      </w:p>
                    </w:txbxContent>
                  </v:textbox>
                </v:rect>
                <v:rect id="Rectangle 4478" o:spid="_x0000_s1127" style="position:absolute;left:35927;top:30384;width:1540;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" filled="f" stroked="f">
                  <v:textbox inset="0,0,0,0">
                    <w:txbxContent>
                      <w:p w14:paraId="503A1B1B" w14:textId="77777777" w:rsidR="006A0484" w:rsidRDefault="006A0484" w:rsidP="006A0484">
                        <w:pPr>
                          <w:spacing w:after="160" w:line="259" w:lineRule="auto"/>
                        </w:pPr>
                        <w:r>
                          <w:rPr>
                            <w:rFonts w:ascii="Calibri" w:eastAsia="Calibri" w:hAnsi="Calibri" w:cs="Calibri"/>
                            <w:color w:val="595959"/>
                            <w:sz w:val="18"/>
                          </w:rPr>
                          <w:t>19</w:t>
                        </w:r>
                      </w:p>
                    </w:txbxContent>
                  </v:textbox>
                </v:rect>
                <v:rect id="Rectangle 4479" o:spid="_x0000_s1128" style="position:absolute;left:45101;top:30384;width:308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" filled="f" stroked="f">
                  <v:textbox inset="0,0,0,0">
                    <w:txbxContent>
                      <w:p w14:paraId="602EC1E9" w14:textId="77777777" w:rsidR="006A0484" w:rsidRDefault="006A0484" w:rsidP="006A0484">
                        <w:pPr>
                          <w:spacing w:after="160" w:line="259" w:lineRule="auto"/>
                        </w:pPr>
                        <w:r>
                          <w:rPr>
                            <w:rFonts w:ascii="Calibri" w:eastAsia="Calibri" w:hAnsi="Calibri" w:cs="Calibri"/>
                            <w:color w:val="595959"/>
                            <w:sz w:val="18"/>
                          </w:rPr>
                          <w:t>2019</w:t>
                        </w:r>
                      </w:p>
                    </w:txbxContent>
                  </v:textbox>
                </v:rect>
                <v:rect id="Rectangle 4480" o:spid="_x0000_s1129" style="position:absolute;left:47420;top:30384;width: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" filled="f" stroked="f">
                  <v:textbox inset="0,0,0,0">
                    <w:txbxContent>
                      <w:p w14:paraId="7CD1DF15" w14:textId="77777777" w:rsidR="006A0484" w:rsidRDefault="006A0484" w:rsidP="006A0484">
                        <w:pPr>
                          <w:spacing w:after="160" w:line="259" w:lineRule="auto"/>
                        </w:pPr>
                        <w:r>
                          <w:rPr>
                            <w:rFonts w:ascii="Calibri" w:eastAsia="Calibri" w:hAnsi="Calibri" w:cs="Calibri"/>
                            <w:color w:val="595959"/>
                            <w:sz w:val="18"/>
                          </w:rPr>
                          <w:t>–</w:t>
                        </w:r>
                      </w:p>
                    </w:txbxContent>
                  </v:textbox>
                </v:rect>
                <v:rect id="Rectangle 4481" o:spid="_x0000_s1130" style="position:absolute;left:47984;top:30384;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" filled="f" stroked="f">
                  <v:textbox inset="0,0,0,0">
                    <w:txbxContent>
                      <w:p w14:paraId="1A6827DC" w14:textId="77777777" w:rsidR="006A0484" w:rsidRDefault="006A0484" w:rsidP="006A0484">
                        <w:pPr>
                          <w:spacing w:after="160" w:line="259" w:lineRule="auto"/>
                        </w:pPr>
                        <w:r>
                          <w:rPr>
                            <w:rFonts w:ascii="Calibri" w:eastAsia="Calibri" w:hAnsi="Calibri" w:cs="Calibri"/>
                            <w:color w:val="595959"/>
                            <w:sz w:val="18"/>
                          </w:rPr>
                          <w:t>20</w:t>
                        </w:r>
                      </w:p>
                    </w:txbxContent>
                  </v:textbox>
                </v:rect>
                <v:rect id="Rectangle 4482" o:spid="_x0000_s1131" style="position:absolute;left:57158;top:30384;width:308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" filled="f" stroked="f">
                  <v:textbox inset="0,0,0,0">
                    <w:txbxContent>
                      <w:p w14:paraId="28CDE6E2" w14:textId="77777777" w:rsidR="006A0484" w:rsidRDefault="006A0484" w:rsidP="006A0484">
                        <w:pPr>
                          <w:spacing w:after="160" w:line="259" w:lineRule="auto"/>
                        </w:pPr>
                        <w:r>
                          <w:rPr>
                            <w:rFonts w:ascii="Calibri" w:eastAsia="Calibri" w:hAnsi="Calibri" w:cs="Calibri"/>
                            <w:color w:val="595959"/>
                            <w:sz w:val="18"/>
                          </w:rPr>
                          <w:t>2020</w:t>
                        </w:r>
                      </w:p>
                    </w:txbxContent>
                  </v:textbox>
                </v:rect>
                <v:rect id="Rectangle 4483" o:spid="_x0000_s1132" style="position:absolute;left:59479;top:30384;width:757;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" filled="f" stroked="f">
                  <v:textbox inset="0,0,0,0">
                    <w:txbxContent>
                      <w:p w14:paraId="7E1F3C45" w14:textId="77777777" w:rsidR="006A0484" w:rsidRDefault="006A0484" w:rsidP="006A0484">
                        <w:pPr>
                          <w:spacing w:after="160" w:line="259" w:lineRule="auto"/>
                        </w:pPr>
                        <w:r>
                          <w:rPr>
                            <w:rFonts w:ascii="Calibri" w:eastAsia="Calibri" w:hAnsi="Calibri" w:cs="Calibri"/>
                            <w:color w:val="595959"/>
                            <w:sz w:val="18"/>
                          </w:rPr>
                          <w:t>–</w:t>
                        </w:r>
                      </w:p>
                    </w:txbxContent>
                  </v:textbox>
                </v:rect>
                <v:rect id="Rectangle 4484" o:spid="_x0000_s1133" style="position:absolute;left:60043;top:30384;width:1541;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" filled="f" stroked="f">
                  <v:textbox inset="0,0,0,0">
                    <w:txbxContent>
                      <w:p w14:paraId="0F5830E9" w14:textId="77777777" w:rsidR="006A0484" w:rsidRDefault="006A0484" w:rsidP="006A0484">
                        <w:pPr>
                          <w:spacing w:after="160" w:line="259" w:lineRule="auto"/>
                        </w:pPr>
                        <w:r>
                          <w:rPr>
                            <w:rFonts w:ascii="Calibri" w:eastAsia="Calibri" w:hAnsi="Calibri" w:cs="Calibri"/>
                            <w:color w:val="595959"/>
                            <w:sz w:val="18"/>
                          </w:rPr>
                          <w:t>21</w:t>
                        </w:r>
                      </w:p>
                    </w:txbxContent>
                  </v:textbox>
                </v:rect>
                <v:shape id="Shape 4485" o:spid="_x0000_s1134" style="position:absolute;left:18755;top:34462;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" path="m,l243840,e" filled="f" strokecolor="#70ad47" strokeweight="2.25pt">
                  <v:stroke endcap="round"/>
                  <v:path arrowok="t" textboxrect="0,0,243840,0"/>
                </v:shape>
                <v:rect id="Rectangle 4486" o:spid="_x0000_s1135" style="position:absolute;left:21455;top:33931;width:440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" filled="f" stroked="f">
                  <v:textbox inset="0,0,0,0">
                    <w:txbxContent>
                      <w:p w14:paraId="45590847" w14:textId="77777777" w:rsidR="006A0484" w:rsidRDefault="006A0484" w:rsidP="006A0484">
                        <w:pPr>
                          <w:spacing w:after="160" w:line="259" w:lineRule="auto"/>
                        </w:pPr>
                        <w:r>
                          <w:rPr>
                            <w:rFonts w:ascii="Calibri" w:eastAsia="Calibri" w:hAnsi="Calibri" w:cs="Calibri"/>
                            <w:color w:val="595959"/>
                            <w:sz w:val="18"/>
                          </w:rPr>
                          <w:t>Overall</w:t>
                        </w:r>
                      </w:p>
                    </w:txbxContent>
                  </v:textbox>
                </v:rect>
                <v:shape id="Shape 4487" o:spid="_x0000_s1136" style="position:absolute;left:27828;top:34462;width:2438;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" path="m,l243840,e" filled="f" strokecolor="#5b9bd5" strokeweight="2.25pt">
                  <v:stroke endcap="round"/>
                  <v:path arrowok="t" textboxrect="0,0,243840,0"/>
                </v:shape>
                <v:rect id="Rectangle 4488" o:spid="_x0000_s1137" style="position:absolute;left:30529;top:33931;width:11353;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" filled="f" stroked="f">
                  <v:textbox inset="0,0,0,0">
                    <w:txbxContent>
                      <w:p w14:paraId="039F5706" w14:textId="77777777" w:rsidR="006A0484" w:rsidRDefault="006A0484" w:rsidP="006A0484">
                        <w:pPr>
                          <w:spacing w:after="160" w:line="259" w:lineRule="auto"/>
                        </w:pPr>
                        <w:r>
                          <w:rPr>
                            <w:rFonts w:ascii="Calibri" w:eastAsia="Calibri" w:hAnsi="Calibri" w:cs="Calibri"/>
                            <w:color w:val="595959"/>
                            <w:sz w:val="18"/>
                          </w:rPr>
                          <w:t>Community-Based</w:t>
                        </w:r>
                      </w:p>
                    </w:txbxContent>
                  </v:textbox>
                </v:rect>
                <v:shape id="Shape 4489" o:spid="_x0000_s1138" style="position:absolute;left:42125;top:34462;width:2439;height:0;visibility:visible;mso-wrap-style:square;v-text-anchor:top" coordsize="243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" path="m,l243840,e" filled="f" strokecolor="#a5a5a5" strokeweight="2.25pt">
                  <v:stroke endcap="round"/>
                  <v:path arrowok="t" textboxrect="0,0,243840,0"/>
                </v:shape>
                <v:rect id="Rectangle 4490" o:spid="_x0000_s1139" style="position:absolute;left:44829;top:33931;width:5002;height:15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" filled="f" stroked="f">
                  <v:textbox inset="0,0,0,0">
                    <w:txbxContent>
                      <w:p w14:paraId="12DA42BF" w14:textId="77777777" w:rsidR="006A0484" w:rsidRDefault="006A0484" w:rsidP="006A0484">
                        <w:pPr>
                          <w:spacing w:after="160" w:line="259" w:lineRule="auto"/>
                        </w:pPr>
                        <w:r>
                          <w:rPr>
                            <w:rFonts w:ascii="Calibri" w:eastAsia="Calibri" w:hAnsi="Calibri" w:cs="Calibri"/>
                            <w:color w:val="595959"/>
                            <w:sz w:val="18"/>
                          </w:rPr>
                          <w:t>Custody</w:t>
                        </w:r>
                      </w:p>
                    </w:txbxContent>
                  </v:textbox>
                </v:rect>
                <v:shape id="Shape 4491" o:spid="_x0000_s1140" style="position:absolute;width:65195;height:37820;visibility:visible;mso-wrap-style:square;v-text-anchor:top" coordsize="6519545,37820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" path="m,3782060r6519545,l6519545,,,,,3782060xe" filled="f" strokecolor="#d9d9d9">
                  <v:path arrowok="t" textboxrect="0,0,6519545,3782060"/>
                </v:shape>
                <w10:anchorlock/>
              </v:group>
            </w:pict>
          </mc:Fallback>
        </mc:AlternateContent>
      </w:r>
    </w:p>
    <w:p w14:paraId="3E38BE5B" w14:textId="27746564" w:rsidR="006A0484" w:rsidRDefault="006A0484" w:rsidP="009C34F1">
      <w:pPr>
        <w:spacing w:line="263" w:lineRule="auto"/>
        <w:ind w:left="-5" w:right="17"/>
        <w:jc w:val="center"/>
      </w:pPr>
      <w:r>
        <w:rPr>
          <w:sz w:val="18"/>
        </w:rPr>
        <w:t>Source: (Historical tables 2016-17 to 2019-20): AIHW, (2021), Youth Justice in Australia 2019-20</w:t>
      </w:r>
    </w:p>
    <w:p w14:paraId="48EFCDE0" w14:textId="1205E46D" w:rsidR="007025E9" w:rsidRDefault="007025E9" w:rsidP="008E702A">
      <w:pPr>
        <w:pStyle w:val="Heading3"/>
        <w:spacing w:line="240" w:lineRule="auto"/>
        <w:rPr>
          <w:rFonts w:ascii="Arial" w:hAnsi="Arial" w:cs="Arial"/>
          <w:sz w:val="18"/>
        </w:rPr>
      </w:pPr>
    </w:p>
    <w:p w14:paraId="3853833D" w14:textId="77777777" w:rsidR="008E702A" w:rsidRDefault="008E702A" w:rsidP="008E702A">
      <w:pPr>
        <w:spacing w:before="60"/>
        <w:ind w:left="567" w:right="567"/>
        <w:jc w:val="both"/>
        <w:rPr>
          <w:rFonts w:ascii="Arial" w:hAnsi="Arial" w:cs="Arial"/>
          <w:sz w:val="20"/>
          <w:szCs w:val="20"/>
        </w:rPr>
      </w:pPr>
      <w:r w:rsidRPr="00885E49">
        <w:rPr>
          <w:rFonts w:ascii="Arial" w:hAnsi="Arial" w:cs="Arial"/>
          <w:sz w:val="20"/>
          <w:szCs w:val="20"/>
        </w:rPr>
        <w:lastRenderedPageBreak/>
        <w:t>From 2016–17 to 2019–20 the rate of Aboriginal young people aged 10–17 under youth justice supervision on an average day compared to non-Aboriginal young people (rate of over-representation) reduced by 28 per cent. The rate per 10,000 population of Aboriginal children and young people aged 10– 17 under youth justice supervision on an average day reduced by 36 per cent.</w:t>
      </w:r>
      <w:r>
        <w:rPr>
          <w:rFonts w:ascii="Arial" w:hAnsi="Arial" w:cs="Arial"/>
          <w:sz w:val="20"/>
          <w:szCs w:val="20"/>
        </w:rPr>
        <w:t xml:space="preserve">  </w:t>
      </w:r>
      <w:r w:rsidRPr="00885E49">
        <w:rPr>
          <w:rFonts w:ascii="Arial" w:hAnsi="Arial" w:cs="Arial"/>
          <w:sz w:val="20"/>
          <w:szCs w:val="20"/>
        </w:rPr>
        <w:t>Nevertheless, the over-representation of Aboriginal children and young people in youth justice remains concerning. On an average day in 2019–20, Aboriginal children and young people aged 10–17 were:</w:t>
      </w:r>
    </w:p>
    <w:p w14:paraId="76DE9A3E" w14:textId="77777777" w:rsidR="008E702A" w:rsidRDefault="008E702A" w:rsidP="008E702A">
      <w:pPr>
        <w:numPr>
          <w:ilvl w:val="0"/>
          <w:numId w:val="57"/>
        </w:numPr>
        <w:ind w:left="924" w:right="567" w:hanging="357"/>
        <w:jc w:val="both"/>
        <w:rPr>
          <w:rFonts w:ascii="Arial" w:hAnsi="Arial" w:cs="Arial"/>
          <w:sz w:val="20"/>
          <w:szCs w:val="20"/>
        </w:rPr>
      </w:pPr>
      <w:r w:rsidRPr="00885E49">
        <w:rPr>
          <w:rFonts w:ascii="Arial" w:hAnsi="Arial" w:cs="Arial"/>
          <w:sz w:val="20"/>
          <w:szCs w:val="20"/>
        </w:rPr>
        <w:t>10 times more likely than their non-Aboriginal counterparts to be under youth justice supervision</w:t>
      </w:r>
      <w:r>
        <w:rPr>
          <w:rFonts w:ascii="Arial" w:hAnsi="Arial" w:cs="Arial"/>
          <w:sz w:val="20"/>
          <w:szCs w:val="20"/>
        </w:rPr>
        <w:t>;</w:t>
      </w:r>
    </w:p>
    <w:p w14:paraId="54D0299E" w14:textId="77777777" w:rsidR="008E702A" w:rsidRDefault="008E702A" w:rsidP="008E702A">
      <w:pPr>
        <w:numPr>
          <w:ilvl w:val="0"/>
          <w:numId w:val="57"/>
        </w:numPr>
        <w:ind w:left="924" w:hanging="357"/>
        <w:jc w:val="both"/>
        <w:rPr>
          <w:rFonts w:ascii="Arial" w:hAnsi="Arial" w:cs="Arial"/>
          <w:sz w:val="20"/>
          <w:szCs w:val="20"/>
        </w:rPr>
      </w:pPr>
      <w:r w:rsidRPr="00CE1EC8">
        <w:rPr>
          <w:rFonts w:ascii="Arial" w:hAnsi="Arial" w:cs="Arial"/>
          <w:sz w:val="20"/>
          <w:szCs w:val="20"/>
        </w:rPr>
        <w:t>9 times more likely than their non-Aboriginal counterparts to be in youth justice detention</w:t>
      </w:r>
      <w:r>
        <w:rPr>
          <w:rFonts w:ascii="Arial" w:hAnsi="Arial" w:cs="Arial"/>
          <w:sz w:val="20"/>
          <w:szCs w:val="20"/>
        </w:rPr>
        <w:t>;</w:t>
      </w:r>
    </w:p>
    <w:p w14:paraId="50D97E38" w14:textId="77777777" w:rsidR="008E702A" w:rsidRPr="00CE1EC8" w:rsidRDefault="008E702A" w:rsidP="008E702A">
      <w:pPr>
        <w:numPr>
          <w:ilvl w:val="0"/>
          <w:numId w:val="57"/>
        </w:numPr>
        <w:ind w:left="924" w:hanging="357"/>
        <w:jc w:val="both"/>
        <w:rPr>
          <w:rFonts w:ascii="Arial" w:hAnsi="Arial" w:cs="Arial"/>
          <w:sz w:val="20"/>
          <w:szCs w:val="20"/>
        </w:rPr>
      </w:pPr>
      <w:r w:rsidRPr="00885E49">
        <w:rPr>
          <w:rFonts w:ascii="Arial" w:hAnsi="Arial" w:cs="Arial"/>
          <w:sz w:val="20"/>
          <w:szCs w:val="20"/>
        </w:rPr>
        <w:t>10 times more likely than they non-Aboriginal counterparts to be under youth justice community</w:t>
      </w:r>
      <w:r>
        <w:rPr>
          <w:rFonts w:ascii="Arial" w:hAnsi="Arial" w:cs="Arial"/>
          <w:sz w:val="20"/>
          <w:szCs w:val="20"/>
        </w:rPr>
        <w:t xml:space="preserve"> </w:t>
      </w:r>
      <w:r w:rsidRPr="00885E49">
        <w:rPr>
          <w:rFonts w:ascii="Arial" w:hAnsi="Arial" w:cs="Arial"/>
          <w:sz w:val="20"/>
          <w:szCs w:val="20"/>
        </w:rPr>
        <w:t>based supervision.</w:t>
      </w:r>
      <w:r>
        <w:rPr>
          <w:rFonts w:ascii="Arial" w:hAnsi="Arial" w:cs="Arial"/>
          <w:sz w:val="20"/>
          <w:szCs w:val="20"/>
        </w:rPr>
        <w:t>”</w:t>
      </w:r>
    </w:p>
    <w:p w14:paraId="42CC12CB" w14:textId="77777777" w:rsidR="008E702A" w:rsidRPr="00885E49" w:rsidRDefault="008E702A" w:rsidP="008E702A">
      <w:pPr>
        <w:jc w:val="both"/>
        <w:rPr>
          <w:rFonts w:ascii="Arial" w:hAnsi="Arial" w:cs="Arial"/>
          <w:sz w:val="20"/>
          <w:szCs w:val="20"/>
        </w:rPr>
      </w:pPr>
    </w:p>
    <w:p w14:paraId="1B63ED86" w14:textId="77777777" w:rsidR="007E165E" w:rsidRPr="00124048" w:rsidRDefault="007025E9" w:rsidP="007E165E">
      <w:pPr>
        <w:jc w:val="both"/>
        <w:rPr>
          <w:rFonts w:ascii="Arial" w:hAnsi="Arial" w:cs="Arial"/>
          <w:color w:val="000000"/>
          <w:sz w:val="20"/>
          <w:szCs w:val="20"/>
        </w:rPr>
      </w:pPr>
      <w:r w:rsidRPr="007025E9">
        <w:rPr>
          <w:rFonts w:ascii="Arial" w:hAnsi="Arial" w:cs="Arial"/>
          <w:sz w:val="20"/>
        </w:rPr>
        <w:t>Th</w:t>
      </w:r>
      <w:r w:rsidR="00FE50A0">
        <w:rPr>
          <w:rFonts w:ascii="Arial" w:hAnsi="Arial" w:cs="Arial"/>
          <w:sz w:val="20"/>
        </w:rPr>
        <w:t xml:space="preserve">is </w:t>
      </w:r>
      <w:r w:rsidRPr="007025E9">
        <w:rPr>
          <w:rFonts w:ascii="Arial" w:hAnsi="Arial" w:cs="Arial"/>
          <w:sz w:val="20"/>
        </w:rPr>
        <w:t>chart in the Yoorrook Justice Commission second interim report</w:t>
      </w:r>
      <w:r w:rsidR="00E876A9">
        <w:rPr>
          <w:rFonts w:ascii="Arial" w:hAnsi="Arial" w:cs="Arial"/>
          <w:sz w:val="20"/>
        </w:rPr>
        <w:t xml:space="preserve"> tabled on 04/09/2023</w:t>
      </w:r>
      <w:r w:rsidRPr="007025E9">
        <w:rPr>
          <w:rFonts w:ascii="Arial" w:hAnsi="Arial" w:cs="Arial"/>
          <w:sz w:val="20"/>
        </w:rPr>
        <w:t xml:space="preserve"> – </w:t>
      </w:r>
      <w:hyperlink r:id="rId39" w:history="1">
        <w:r w:rsidRPr="007025E9">
          <w:rPr>
            <w:rStyle w:val="Hyperlink"/>
            <w:rFonts w:ascii="Arial" w:hAnsi="Arial" w:cs="Arial"/>
            <w:sz w:val="20"/>
          </w:rPr>
          <w:t>Report into Victoria’s Child Protection and Criminal Justice Systems</w:t>
        </w:r>
      </w:hyperlink>
      <w:r w:rsidRPr="007025E9">
        <w:rPr>
          <w:rFonts w:ascii="Arial" w:hAnsi="Arial" w:cs="Arial"/>
          <w:sz w:val="20"/>
        </w:rPr>
        <w:t xml:space="preserve"> – details some comparative statistics in relation to First Peoples </w:t>
      </w:r>
      <w:r>
        <w:rPr>
          <w:rFonts w:ascii="Arial" w:hAnsi="Arial" w:cs="Arial"/>
          <w:sz w:val="20"/>
        </w:rPr>
        <w:t xml:space="preserve">(both adults and </w:t>
      </w:r>
      <w:r w:rsidRPr="007025E9">
        <w:rPr>
          <w:rFonts w:ascii="Arial" w:hAnsi="Arial" w:cs="Arial"/>
          <w:sz w:val="20"/>
        </w:rPr>
        <w:t>children</w:t>
      </w:r>
      <w:r>
        <w:rPr>
          <w:rFonts w:ascii="Arial" w:hAnsi="Arial" w:cs="Arial"/>
          <w:sz w:val="20"/>
        </w:rPr>
        <w:t>)</w:t>
      </w:r>
      <w:r w:rsidRPr="007025E9">
        <w:rPr>
          <w:rFonts w:ascii="Arial" w:hAnsi="Arial" w:cs="Arial"/>
          <w:sz w:val="20"/>
        </w:rPr>
        <w:t xml:space="preserve"> in the Victorian </w:t>
      </w:r>
      <w:r>
        <w:rPr>
          <w:rFonts w:ascii="Arial" w:hAnsi="Arial" w:cs="Arial"/>
          <w:sz w:val="20"/>
        </w:rPr>
        <w:t>criminal justice</w:t>
      </w:r>
      <w:r w:rsidRPr="007025E9">
        <w:rPr>
          <w:rFonts w:ascii="Arial" w:hAnsi="Arial" w:cs="Arial"/>
          <w:sz w:val="20"/>
        </w:rPr>
        <w:t xml:space="preserve"> system.</w:t>
      </w:r>
    </w:p>
    <w:p w14:paraId="1E6F7AEF" w14:textId="774E4F41" w:rsidR="007025E9" w:rsidRDefault="007025E9" w:rsidP="007025E9">
      <w:pPr>
        <w:pStyle w:val="Heading3"/>
        <w:spacing w:line="240" w:lineRule="auto"/>
        <w:rPr>
          <w:rFonts w:ascii="Arial" w:hAnsi="Arial" w:cs="Arial"/>
          <w:sz w:val="18"/>
        </w:rPr>
      </w:pPr>
    </w:p>
    <w:p w14:paraId="0755858D" w14:textId="15004D37" w:rsidR="008E702A" w:rsidRDefault="008E702A" w:rsidP="008E702A">
      <w:pPr>
        <w:pStyle w:val="Heading3"/>
        <w:spacing w:line="240" w:lineRule="auto"/>
        <w:jc w:val="center"/>
        <w:rPr>
          <w:rFonts w:ascii="Arial" w:hAnsi="Arial" w:cs="Arial"/>
          <w:sz w:val="18"/>
        </w:rPr>
      </w:pPr>
      <w:r w:rsidRPr="00CC2DC7">
        <w:rPr>
          <w:noProof/>
          <w:bdr w:val="single" w:sz="8" w:space="0" w:color="auto"/>
        </w:rPr>
        <w:drawing>
          <wp:inline distT="0" distB="0" distL="0" distR="0" wp14:anchorId="479EF3BF" wp14:editId="296E2F69">
            <wp:extent cx="4068000" cy="4580560"/>
            <wp:effectExtent l="19050" t="19050" r="27940" b="10795"/>
            <wp:docPr id="30940" name="Picture 30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0" name="Picture 30940"/>
                    <pic:cNvPicPr/>
                  </pic:nvPicPr>
                  <pic:blipFill rotWithShape="1">
                    <a:blip r:embed="rId40" cstate="print">
                      <a:extLst>
                        <a:ext uri="{28A0092B-C50C-407E-A947-70E740481C1C}">
                          <a14:useLocalDpi xmlns:a14="http://schemas.microsoft.com/office/drawing/2010/main" val="0"/>
                        </a:ext>
                      </a:extLst>
                    </a:blip>
                    <a:srcRect l="8740" t="8192" r="9019" b="26021"/>
                    <a:stretch/>
                  </pic:blipFill>
                  <pic:spPr bwMode="auto">
                    <a:xfrm>
                      <a:off x="0" y="0"/>
                      <a:ext cx="4068000" cy="4580560"/>
                    </a:xfrm>
                    <a:prstGeom prst="rect">
                      <a:avLst/>
                    </a:prstGeom>
                    <a:ln w="12700">
                      <a:solidFill>
                        <a:schemeClr val="tx1"/>
                      </a:solidFill>
                    </a:ln>
                    <a:extLst>
                      <a:ext uri="{53640926-AAD7-44D8-BBD7-CCE9431645EC}">
                        <a14:shadowObscured xmlns:a14="http://schemas.microsoft.com/office/drawing/2010/main"/>
                      </a:ext>
                    </a:extLst>
                  </pic:spPr>
                </pic:pic>
              </a:graphicData>
            </a:graphic>
          </wp:inline>
        </w:drawing>
      </w:r>
    </w:p>
    <w:p w14:paraId="16FEBE1C" w14:textId="77777777" w:rsidR="008E702A" w:rsidRDefault="008E702A" w:rsidP="008E702A">
      <w:pPr>
        <w:ind w:left="720" w:hanging="720"/>
        <w:jc w:val="both"/>
        <w:rPr>
          <w:rFonts w:ascii="Arial" w:hAnsi="Arial" w:cs="Arial"/>
          <w:sz w:val="20"/>
          <w:szCs w:val="20"/>
        </w:rPr>
      </w:pPr>
      <w:bookmarkStart w:id="365" w:name="_7.7.3_Youth_offending"/>
      <w:bookmarkStart w:id="366" w:name="_7.7.3_Offending_by"/>
      <w:bookmarkEnd w:id="365"/>
      <w:bookmarkEnd w:id="366"/>
    </w:p>
    <w:p w14:paraId="45CFEAAC" w14:textId="77777777" w:rsidR="008E702A" w:rsidRPr="000510E3" w:rsidRDefault="008E702A" w:rsidP="008E702A">
      <w:pPr>
        <w:ind w:left="720" w:hanging="720"/>
        <w:jc w:val="center"/>
        <w:rPr>
          <w:rFonts w:ascii="Arial" w:hAnsi="Arial" w:cs="Arial"/>
          <w:b/>
          <w:bCs/>
        </w:rPr>
      </w:pPr>
      <w:r w:rsidRPr="000510E3">
        <w:rPr>
          <w:rFonts w:ascii="Arial" w:hAnsi="Arial" w:cs="Arial"/>
          <w:b/>
          <w:bCs/>
        </w:rPr>
        <w:t>THE REST OF THIS PAGE IS BLANK</w:t>
      </w:r>
    </w:p>
    <w:p w14:paraId="546AB2A8" w14:textId="77777777" w:rsidR="008E702A" w:rsidRDefault="008E702A" w:rsidP="008E702A">
      <w:pPr>
        <w:rPr>
          <w:rFonts w:ascii="Arial" w:hAnsi="Arial" w:cs="Arial"/>
          <w:sz w:val="20"/>
          <w:szCs w:val="20"/>
        </w:rPr>
      </w:pPr>
    </w:p>
    <w:p w14:paraId="1C54BFA2" w14:textId="77777777" w:rsidR="008E702A" w:rsidRDefault="008E702A" w:rsidP="008E702A">
      <w:pPr>
        <w:rPr>
          <w:rFonts w:ascii="Arial" w:hAnsi="Arial" w:cs="Arial"/>
          <w:sz w:val="20"/>
          <w:szCs w:val="20"/>
        </w:rPr>
      </w:pPr>
      <w:r>
        <w:rPr>
          <w:rFonts w:ascii="Arial" w:hAnsi="Arial" w:cs="Arial"/>
          <w:sz w:val="20"/>
          <w:szCs w:val="20"/>
        </w:rPr>
        <w:br w:type="page"/>
      </w:r>
    </w:p>
    <w:p w14:paraId="0170F8D8" w14:textId="0993410A" w:rsidR="00A950FE" w:rsidRPr="00F51496" w:rsidRDefault="00A97C7D" w:rsidP="001245BC">
      <w:pPr>
        <w:pStyle w:val="Heading3"/>
        <w:keepNext/>
        <w:spacing w:line="240" w:lineRule="auto"/>
        <w:rPr>
          <w:rFonts w:ascii="Arial" w:hAnsi="Arial" w:cs="Arial"/>
          <w:b/>
          <w:bCs/>
          <w:color w:val="000000"/>
          <w:sz w:val="20"/>
        </w:rPr>
      </w:pPr>
      <w:r w:rsidRPr="00F51496">
        <w:rPr>
          <w:rFonts w:ascii="Arial" w:hAnsi="Arial" w:cs="Arial"/>
          <w:b/>
          <w:bCs/>
          <w:color w:val="000000"/>
          <w:sz w:val="20"/>
        </w:rPr>
        <w:lastRenderedPageBreak/>
        <w:t>7.</w:t>
      </w:r>
      <w:r>
        <w:rPr>
          <w:rFonts w:ascii="Arial" w:hAnsi="Arial" w:cs="Arial"/>
          <w:b/>
          <w:bCs/>
          <w:color w:val="000000"/>
          <w:sz w:val="20"/>
        </w:rPr>
        <w:t>7.</w:t>
      </w:r>
      <w:r w:rsidR="009A304A">
        <w:rPr>
          <w:rFonts w:ascii="Arial" w:hAnsi="Arial" w:cs="Arial"/>
          <w:b/>
          <w:bCs/>
          <w:color w:val="000000"/>
          <w:sz w:val="20"/>
        </w:rPr>
        <w:t>4</w:t>
      </w:r>
      <w:r w:rsidRPr="00F51496">
        <w:rPr>
          <w:rFonts w:ascii="Arial" w:hAnsi="Arial" w:cs="Arial"/>
          <w:b/>
          <w:bCs/>
          <w:color w:val="000000"/>
          <w:sz w:val="20"/>
        </w:rPr>
        <w:tab/>
      </w:r>
      <w:r w:rsidR="00B615A9">
        <w:rPr>
          <w:rFonts w:ascii="Arial" w:hAnsi="Arial" w:cs="Arial"/>
          <w:b/>
          <w:bCs/>
          <w:color w:val="000000"/>
          <w:sz w:val="20"/>
        </w:rPr>
        <w:t xml:space="preserve">Criminal Division statistics involving </w:t>
      </w:r>
      <w:r>
        <w:rPr>
          <w:rFonts w:ascii="Arial" w:hAnsi="Arial" w:cs="Arial"/>
          <w:b/>
          <w:bCs/>
          <w:color w:val="000000"/>
          <w:sz w:val="20"/>
        </w:rPr>
        <w:t>children aged 10-13 inclusive</w:t>
      </w:r>
    </w:p>
    <w:p w14:paraId="078DE921" w14:textId="7A757606" w:rsidR="001245BC" w:rsidRDefault="001245BC" w:rsidP="001245BC">
      <w:pPr>
        <w:spacing w:before="120" w:after="120"/>
        <w:jc w:val="both"/>
        <w:rPr>
          <w:rFonts w:ascii="Arial" w:hAnsi="Arial" w:cs="Arial"/>
          <w:sz w:val="20"/>
          <w:szCs w:val="20"/>
        </w:rPr>
      </w:pPr>
      <w:r w:rsidRPr="001245BC">
        <w:rPr>
          <w:rFonts w:ascii="Arial" w:hAnsi="Arial" w:cs="Arial"/>
          <w:noProof/>
          <w:sz w:val="20"/>
          <w:szCs w:val="20"/>
        </w:rPr>
        <mc:AlternateContent>
          <mc:Choice Requires="wps">
            <w:drawing>
              <wp:inline distT="0" distB="0" distL="0" distR="0" wp14:anchorId="073DC031" wp14:editId="6702BC97">
                <wp:extent cx="5706000" cy="1404620"/>
                <wp:effectExtent l="0" t="0" r="28575" b="1651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6000" cy="1404620"/>
                        </a:xfrm>
                        <a:prstGeom prst="rect">
                          <a:avLst/>
                        </a:prstGeom>
                        <a:solidFill>
                          <a:srgbClr val="DDDDDD"/>
                        </a:solidFill>
                        <a:ln w="9525">
                          <a:solidFill>
                            <a:srgbClr val="000000"/>
                          </a:solidFill>
                          <a:miter lim="800000"/>
                          <a:headEnd/>
                          <a:tailEnd/>
                        </a:ln>
                      </wps:spPr>
                      <wps:txbx>
                        <w:txbxContent>
                          <w:p w14:paraId="0C59281C" w14:textId="45ECCA47" w:rsidR="001245BC" w:rsidRPr="001245BC" w:rsidRDefault="00A25FD9" w:rsidP="00A25FD9">
                            <w:pPr>
                              <w:spacing w:after="60"/>
                              <w:jc w:val="both"/>
                              <w:rPr>
                                <w:rFonts w:ascii="Arial" w:hAnsi="Arial" w:cs="Arial"/>
                                <w:b/>
                                <w:bCs/>
                                <w:sz w:val="20"/>
                                <w:szCs w:val="20"/>
                              </w:rPr>
                            </w:pPr>
                            <w:r w:rsidRPr="00A25FD9">
                              <w:rPr>
                                <w:rFonts w:ascii="Arial" w:hAnsi="Arial" w:cs="Arial"/>
                                <w:b/>
                                <w:bCs/>
                                <w:sz w:val="20"/>
                                <w:szCs w:val="20"/>
                                <w:u w:val="single"/>
                              </w:rPr>
                              <w:t>NOTE</w:t>
                            </w:r>
                            <w:r>
                              <w:rPr>
                                <w:rFonts w:ascii="Arial" w:hAnsi="Arial" w:cs="Arial"/>
                                <w:b/>
                                <w:bCs/>
                                <w:sz w:val="20"/>
                                <w:szCs w:val="20"/>
                              </w:rPr>
                              <w:t>: Each entry in t</w:t>
                            </w:r>
                            <w:r w:rsidR="001245BC" w:rsidRPr="001245BC">
                              <w:rPr>
                                <w:rFonts w:ascii="Arial" w:hAnsi="Arial" w:cs="Arial"/>
                                <w:b/>
                                <w:bCs/>
                                <w:sz w:val="20"/>
                                <w:szCs w:val="20"/>
                              </w:rPr>
                              <w:t xml:space="preserve">he </w:t>
                            </w:r>
                            <w:r w:rsidR="001245BC">
                              <w:rPr>
                                <w:rFonts w:ascii="Arial" w:hAnsi="Arial" w:cs="Arial"/>
                                <w:b/>
                                <w:bCs/>
                                <w:sz w:val="20"/>
                                <w:szCs w:val="20"/>
                              </w:rPr>
                              <w:t xml:space="preserve">two </w:t>
                            </w:r>
                            <w:r w:rsidR="001245BC" w:rsidRPr="001245BC">
                              <w:rPr>
                                <w:rFonts w:ascii="Arial" w:hAnsi="Arial" w:cs="Arial"/>
                                <w:b/>
                                <w:bCs/>
                                <w:sz w:val="20"/>
                                <w:szCs w:val="20"/>
                              </w:rPr>
                              <w:t>tables below which are headed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0"/>
                              <w:gridCol w:w="3087"/>
                              <w:gridCol w:w="3141"/>
                            </w:tblGrid>
                            <w:tr w:rsidR="001245BC" w:rsidRPr="000F4023" w14:paraId="5AF6DB40" w14:textId="77777777" w:rsidTr="0083681F">
                              <w:trPr>
                                <w:jc w:val="center"/>
                              </w:trPr>
                              <w:tc>
                                <w:tcPr>
                                  <w:tcW w:w="2494" w:type="dxa"/>
                                  <w:tcBorders>
                                    <w:top w:val="single" w:sz="8" w:space="0" w:color="auto"/>
                                    <w:left w:val="single" w:sz="8" w:space="0" w:color="auto"/>
                                    <w:right w:val="nil"/>
                                  </w:tcBorders>
                                  <w:shd w:val="clear" w:color="auto" w:fill="000000"/>
                                </w:tcPr>
                                <w:p w14:paraId="5364839A" w14:textId="77777777" w:rsidR="001245BC" w:rsidRPr="00EA0CF2" w:rsidRDefault="001245BC" w:rsidP="001245BC">
                                  <w:pPr>
                                    <w:jc w:val="center"/>
                                    <w:rPr>
                                      <w:b/>
                                      <w:bCs/>
                                      <w:sz w:val="20"/>
                                      <w:szCs w:val="20"/>
                                    </w:rPr>
                                  </w:pPr>
                                  <w:r w:rsidRPr="00EA0CF2">
                                    <w:rPr>
                                      <w:b/>
                                      <w:bCs/>
                                      <w:sz w:val="20"/>
                                      <w:szCs w:val="20"/>
                                    </w:rPr>
                                    <w:t>FINANCIAL YEAR</w:t>
                                  </w:r>
                                </w:p>
                              </w:tc>
                              <w:tc>
                                <w:tcPr>
                                  <w:tcW w:w="3176" w:type="dxa"/>
                                  <w:tcBorders>
                                    <w:top w:val="single" w:sz="8" w:space="0" w:color="auto"/>
                                    <w:left w:val="nil"/>
                                    <w:right w:val="nil"/>
                                  </w:tcBorders>
                                  <w:shd w:val="clear" w:color="auto" w:fill="000000"/>
                                </w:tcPr>
                                <w:p w14:paraId="52198515" w14:textId="77777777" w:rsidR="001245BC" w:rsidRPr="00EA0CF2" w:rsidRDefault="001245BC" w:rsidP="001245BC">
                                  <w:pPr>
                                    <w:jc w:val="center"/>
                                    <w:rPr>
                                      <w:b/>
                                      <w:bCs/>
                                      <w:sz w:val="20"/>
                                      <w:szCs w:val="20"/>
                                    </w:rPr>
                                  </w:pPr>
                                  <w:r w:rsidRPr="00EA0CF2">
                                    <w:rPr>
                                      <w:b/>
                                      <w:bCs/>
                                      <w:sz w:val="20"/>
                                      <w:szCs w:val="20"/>
                                    </w:rPr>
                                    <w:t>2018/19 (Age at date of offence)</w:t>
                                  </w:r>
                                </w:p>
                              </w:tc>
                              <w:tc>
                                <w:tcPr>
                                  <w:tcW w:w="3232" w:type="dxa"/>
                                  <w:tcBorders>
                                    <w:top w:val="single" w:sz="8" w:space="0" w:color="auto"/>
                                    <w:left w:val="nil"/>
                                    <w:right w:val="single" w:sz="8" w:space="0" w:color="auto"/>
                                  </w:tcBorders>
                                  <w:shd w:val="clear" w:color="auto" w:fill="000000"/>
                                </w:tcPr>
                                <w:p w14:paraId="3813642D" w14:textId="77777777" w:rsidR="001245BC" w:rsidRPr="00EA0CF2" w:rsidRDefault="001245BC" w:rsidP="001245BC">
                                  <w:pPr>
                                    <w:jc w:val="center"/>
                                    <w:rPr>
                                      <w:b/>
                                      <w:bCs/>
                                      <w:sz w:val="20"/>
                                      <w:szCs w:val="20"/>
                                    </w:rPr>
                                  </w:pPr>
                                  <w:r w:rsidRPr="00EA0CF2">
                                    <w:rPr>
                                      <w:b/>
                                      <w:bCs/>
                                      <w:sz w:val="20"/>
                                      <w:szCs w:val="20"/>
                                    </w:rPr>
                                    <w:t>2017/18 (Age at date of offence)</w:t>
                                  </w:r>
                                </w:p>
                              </w:tc>
                            </w:tr>
                            <w:tr w:rsidR="001245BC" w:rsidRPr="000F4023" w14:paraId="00F4507F" w14:textId="77777777" w:rsidTr="0083681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4" w:type="dxa"/>
                                  <w:tcBorders>
                                    <w:top w:val="single" w:sz="8" w:space="0" w:color="auto"/>
                                    <w:left w:val="single" w:sz="8" w:space="0" w:color="auto"/>
                                    <w:bottom w:val="single" w:sz="4" w:space="0" w:color="auto"/>
                                    <w:right w:val="nil"/>
                                  </w:tcBorders>
                                  <w:shd w:val="clear" w:color="auto" w:fill="000000"/>
                                </w:tcPr>
                                <w:p w14:paraId="4B461C56" w14:textId="77777777" w:rsidR="001245BC" w:rsidRPr="000F4023" w:rsidRDefault="001245BC" w:rsidP="001245BC">
                                  <w:pPr>
                                    <w:jc w:val="center"/>
                                    <w:rPr>
                                      <w:b/>
                                      <w:bCs/>
                                      <w:sz w:val="20"/>
                                      <w:szCs w:val="20"/>
                                    </w:rPr>
                                  </w:pPr>
                                  <w:r w:rsidRPr="000F4023">
                                    <w:rPr>
                                      <w:b/>
                                      <w:bCs/>
                                      <w:sz w:val="20"/>
                                      <w:szCs w:val="20"/>
                                    </w:rPr>
                                    <w:t>FINANCIAL YEAR</w:t>
                                  </w:r>
                                </w:p>
                              </w:tc>
                              <w:tc>
                                <w:tcPr>
                                  <w:tcW w:w="3176" w:type="dxa"/>
                                  <w:tcBorders>
                                    <w:top w:val="single" w:sz="8" w:space="0" w:color="auto"/>
                                    <w:left w:val="nil"/>
                                    <w:bottom w:val="single" w:sz="4" w:space="0" w:color="auto"/>
                                    <w:right w:val="nil"/>
                                  </w:tcBorders>
                                  <w:shd w:val="clear" w:color="auto" w:fill="000000"/>
                                </w:tcPr>
                                <w:p w14:paraId="5BB9F345" w14:textId="77777777" w:rsidR="001245BC" w:rsidRPr="000F4023" w:rsidRDefault="001245BC" w:rsidP="001245BC">
                                  <w:pPr>
                                    <w:jc w:val="center"/>
                                    <w:rPr>
                                      <w:b/>
                                      <w:bCs/>
                                      <w:sz w:val="20"/>
                                      <w:szCs w:val="20"/>
                                    </w:rPr>
                                  </w:pPr>
                                  <w:r>
                                    <w:rPr>
                                      <w:b/>
                                      <w:bCs/>
                                      <w:sz w:val="20"/>
                                      <w:szCs w:val="20"/>
                                    </w:rPr>
                                    <w:t>2020/21 (Age at date of offence)</w:t>
                                  </w:r>
                                </w:p>
                              </w:tc>
                              <w:tc>
                                <w:tcPr>
                                  <w:tcW w:w="3232" w:type="dxa"/>
                                  <w:tcBorders>
                                    <w:top w:val="single" w:sz="8" w:space="0" w:color="auto"/>
                                    <w:left w:val="nil"/>
                                    <w:bottom w:val="single" w:sz="4" w:space="0" w:color="auto"/>
                                    <w:right w:val="single" w:sz="8" w:space="0" w:color="auto"/>
                                  </w:tcBorders>
                                  <w:shd w:val="clear" w:color="auto" w:fill="000000"/>
                                </w:tcPr>
                                <w:p w14:paraId="07B68AB7" w14:textId="77777777" w:rsidR="001245BC" w:rsidRPr="000F4023" w:rsidRDefault="001245BC" w:rsidP="001245BC">
                                  <w:pPr>
                                    <w:jc w:val="center"/>
                                    <w:rPr>
                                      <w:b/>
                                      <w:bCs/>
                                      <w:sz w:val="20"/>
                                      <w:szCs w:val="20"/>
                                    </w:rPr>
                                  </w:pPr>
                                  <w:r>
                                    <w:rPr>
                                      <w:b/>
                                      <w:bCs/>
                                      <w:sz w:val="20"/>
                                      <w:szCs w:val="20"/>
                                    </w:rPr>
                                    <w:t>2019/20 (Age at date of offence)</w:t>
                                  </w:r>
                                </w:p>
                              </w:tc>
                            </w:tr>
                          </w:tbl>
                          <w:p w14:paraId="05F9BEE4" w14:textId="7CE96890" w:rsidR="001A612F" w:rsidRPr="001A612F" w:rsidRDefault="001245BC" w:rsidP="001D6BBC">
                            <w:pPr>
                              <w:spacing w:before="60"/>
                              <w:jc w:val="both"/>
                              <w:rPr>
                                <w:rFonts w:ascii="Arial" w:hAnsi="Arial" w:cs="Arial"/>
                                <w:b/>
                                <w:bCs/>
                                <w:sz w:val="20"/>
                                <w:szCs w:val="20"/>
                              </w:rPr>
                            </w:pPr>
                            <w:r>
                              <w:rPr>
                                <w:rFonts w:ascii="Arial" w:hAnsi="Arial" w:cs="Arial"/>
                                <w:b/>
                                <w:bCs/>
                                <w:sz w:val="20"/>
                                <w:szCs w:val="20"/>
                              </w:rPr>
                              <w:t>relate</w:t>
                            </w:r>
                            <w:r w:rsidR="00A25FD9">
                              <w:rPr>
                                <w:rFonts w:ascii="Arial" w:hAnsi="Arial" w:cs="Arial"/>
                                <w:b/>
                                <w:bCs/>
                                <w:sz w:val="20"/>
                                <w:szCs w:val="20"/>
                              </w:rPr>
                              <w:t>s</w:t>
                            </w:r>
                            <w:r>
                              <w:rPr>
                                <w:rFonts w:ascii="Arial" w:hAnsi="Arial" w:cs="Arial"/>
                                <w:b/>
                                <w:bCs/>
                                <w:sz w:val="20"/>
                                <w:szCs w:val="20"/>
                              </w:rPr>
                              <w:t xml:space="preserve"> to the order made in </w:t>
                            </w:r>
                            <w:r w:rsidR="00A25FD9">
                              <w:rPr>
                                <w:rFonts w:ascii="Arial" w:hAnsi="Arial" w:cs="Arial"/>
                                <w:b/>
                                <w:bCs/>
                                <w:sz w:val="20"/>
                                <w:szCs w:val="20"/>
                              </w:rPr>
                              <w:t xml:space="preserve">a particular </w:t>
                            </w:r>
                            <w:r w:rsidRPr="001245BC">
                              <w:rPr>
                                <w:rFonts w:ascii="Arial" w:hAnsi="Arial" w:cs="Arial"/>
                                <w:b/>
                                <w:bCs/>
                                <w:sz w:val="20"/>
                                <w:szCs w:val="20"/>
                                <w:u w:val="single"/>
                              </w:rPr>
                              <w:t>case</w:t>
                            </w:r>
                            <w:r>
                              <w:rPr>
                                <w:rFonts w:ascii="Arial" w:hAnsi="Arial" w:cs="Arial"/>
                                <w:b/>
                                <w:bCs/>
                                <w:sz w:val="20"/>
                                <w:szCs w:val="20"/>
                              </w:rPr>
                              <w:t xml:space="preserve"> involving </w:t>
                            </w:r>
                            <w:r w:rsidR="00A25FD9">
                              <w:rPr>
                                <w:rFonts w:ascii="Arial" w:hAnsi="Arial" w:cs="Arial"/>
                                <w:b/>
                                <w:bCs/>
                                <w:sz w:val="20"/>
                                <w:szCs w:val="20"/>
                              </w:rPr>
                              <w:t xml:space="preserve">a </w:t>
                            </w:r>
                            <w:r>
                              <w:rPr>
                                <w:rFonts w:ascii="Arial" w:hAnsi="Arial" w:cs="Arial"/>
                                <w:b/>
                                <w:bCs/>
                                <w:sz w:val="20"/>
                                <w:szCs w:val="20"/>
                              </w:rPr>
                              <w:t xml:space="preserve">child aged 10-13 at the date of the offence.  Some cases </w:t>
                            </w:r>
                            <w:r w:rsidR="005139C7">
                              <w:rPr>
                                <w:rFonts w:ascii="Arial" w:hAnsi="Arial" w:cs="Arial"/>
                                <w:b/>
                                <w:bCs/>
                                <w:sz w:val="20"/>
                                <w:szCs w:val="20"/>
                              </w:rPr>
                              <w:t>consist of</w:t>
                            </w:r>
                            <w:r>
                              <w:rPr>
                                <w:rFonts w:ascii="Arial" w:hAnsi="Arial" w:cs="Arial"/>
                                <w:b/>
                                <w:bCs/>
                                <w:sz w:val="20"/>
                                <w:szCs w:val="20"/>
                              </w:rPr>
                              <w:t xml:space="preserve"> a single offence.  Some cases </w:t>
                            </w:r>
                            <w:r w:rsidR="005139C7">
                              <w:rPr>
                                <w:rFonts w:ascii="Arial" w:hAnsi="Arial" w:cs="Arial"/>
                                <w:b/>
                                <w:bCs/>
                                <w:sz w:val="20"/>
                                <w:szCs w:val="20"/>
                              </w:rPr>
                              <w:t>consist of</w:t>
                            </w:r>
                            <w:r>
                              <w:rPr>
                                <w:rFonts w:ascii="Arial" w:hAnsi="Arial" w:cs="Arial"/>
                                <w:b/>
                                <w:bCs/>
                                <w:sz w:val="20"/>
                                <w:szCs w:val="20"/>
                              </w:rPr>
                              <w:t xml:space="preserve"> multiple offences.  Further, </w:t>
                            </w:r>
                            <w:r w:rsidR="000020F9">
                              <w:rPr>
                                <w:rFonts w:ascii="Arial" w:hAnsi="Arial" w:cs="Arial"/>
                                <w:b/>
                                <w:bCs/>
                                <w:sz w:val="20"/>
                                <w:szCs w:val="20"/>
                              </w:rPr>
                              <w:t xml:space="preserve">the writer understands that </w:t>
                            </w:r>
                            <w:r w:rsidR="00A25FD9">
                              <w:rPr>
                                <w:rFonts w:ascii="Arial" w:hAnsi="Arial" w:cs="Arial"/>
                                <w:b/>
                                <w:bCs/>
                                <w:sz w:val="20"/>
                                <w:szCs w:val="20"/>
                              </w:rPr>
                              <w:t xml:space="preserve">a number of the children whose cases are represented in the tables have </w:t>
                            </w:r>
                            <w:r w:rsidR="001A612F">
                              <w:rPr>
                                <w:rFonts w:ascii="Arial" w:hAnsi="Arial" w:cs="Arial"/>
                                <w:b/>
                                <w:bCs/>
                                <w:sz w:val="20"/>
                                <w:szCs w:val="20"/>
                              </w:rPr>
                              <w:t>been involved in</w:t>
                            </w:r>
                            <w:r w:rsidR="00A25FD9">
                              <w:rPr>
                                <w:rFonts w:ascii="Arial" w:hAnsi="Arial" w:cs="Arial"/>
                                <w:b/>
                                <w:bCs/>
                                <w:sz w:val="20"/>
                                <w:szCs w:val="20"/>
                              </w:rPr>
                              <w:t xml:space="preserve"> more than one </w:t>
                            </w:r>
                            <w:r w:rsidR="00A25FD9" w:rsidRPr="009F092D">
                              <w:rPr>
                                <w:rFonts w:ascii="Arial" w:hAnsi="Arial" w:cs="Arial"/>
                                <w:b/>
                                <w:bCs/>
                                <w:sz w:val="20"/>
                                <w:szCs w:val="20"/>
                                <w:u w:val="single"/>
                              </w:rPr>
                              <w:t>case</w:t>
                            </w:r>
                            <w:r w:rsidR="00A25FD9">
                              <w:rPr>
                                <w:rFonts w:ascii="Arial" w:hAnsi="Arial" w:cs="Arial"/>
                                <w:b/>
                                <w:bCs/>
                                <w:sz w:val="20"/>
                                <w:szCs w:val="20"/>
                              </w:rPr>
                              <w:t xml:space="preserve"> in </w:t>
                            </w:r>
                            <w:r w:rsidR="00EA384F">
                              <w:rPr>
                                <w:rFonts w:ascii="Arial" w:hAnsi="Arial" w:cs="Arial"/>
                                <w:b/>
                                <w:bCs/>
                                <w:sz w:val="20"/>
                                <w:szCs w:val="20"/>
                              </w:rPr>
                              <w:t xml:space="preserve">the Criminal Division in </w:t>
                            </w:r>
                            <w:r w:rsidR="00A25FD9">
                              <w:rPr>
                                <w:rFonts w:ascii="Arial" w:hAnsi="Arial" w:cs="Arial"/>
                                <w:b/>
                                <w:bCs/>
                                <w:sz w:val="20"/>
                                <w:szCs w:val="20"/>
                              </w:rPr>
                              <w:t>a particular year.  Accordingly, the</w:t>
                            </w:r>
                            <w:r w:rsidR="001A612F">
                              <w:rPr>
                                <w:rFonts w:ascii="Arial" w:hAnsi="Arial" w:cs="Arial"/>
                                <w:b/>
                                <w:bCs/>
                                <w:sz w:val="20"/>
                                <w:szCs w:val="20"/>
                              </w:rPr>
                              <w:t>se two</w:t>
                            </w:r>
                            <w:r w:rsidR="00A25FD9">
                              <w:rPr>
                                <w:rFonts w:ascii="Arial" w:hAnsi="Arial" w:cs="Arial"/>
                                <w:b/>
                                <w:bCs/>
                                <w:sz w:val="20"/>
                                <w:szCs w:val="20"/>
                              </w:rPr>
                              <w:t xml:space="preserve"> tables over-represent the numbers of </w:t>
                            </w:r>
                            <w:r w:rsidR="006A0B49">
                              <w:rPr>
                                <w:rFonts w:ascii="Arial" w:hAnsi="Arial" w:cs="Arial"/>
                                <w:b/>
                                <w:bCs/>
                                <w:sz w:val="20"/>
                                <w:szCs w:val="20"/>
                              </w:rPr>
                              <w:t xml:space="preserve">individual </w:t>
                            </w:r>
                            <w:r w:rsidR="00A25FD9">
                              <w:rPr>
                                <w:rFonts w:ascii="Arial" w:hAnsi="Arial" w:cs="Arial"/>
                                <w:b/>
                                <w:bCs/>
                                <w:sz w:val="20"/>
                                <w:szCs w:val="20"/>
                              </w:rPr>
                              <w:t xml:space="preserve">children aged 10-13 who were involved in criminal offending.  </w:t>
                            </w:r>
                            <w:r w:rsidR="001D6BBC">
                              <w:rPr>
                                <w:rFonts w:ascii="Arial" w:hAnsi="Arial" w:cs="Arial"/>
                                <w:b/>
                                <w:bCs/>
                                <w:sz w:val="20"/>
                                <w:szCs w:val="20"/>
                              </w:rPr>
                              <w:t>However, t</w:t>
                            </w:r>
                            <w:r w:rsidR="00A25FD9">
                              <w:rPr>
                                <w:rFonts w:ascii="Arial" w:hAnsi="Arial" w:cs="Arial"/>
                                <w:b/>
                                <w:bCs/>
                                <w:sz w:val="20"/>
                                <w:szCs w:val="20"/>
                              </w:rPr>
                              <w:t xml:space="preserve">he writer does not have access to statistics </w:t>
                            </w:r>
                            <w:r w:rsidR="00A719A8">
                              <w:rPr>
                                <w:rFonts w:ascii="Arial" w:hAnsi="Arial" w:cs="Arial"/>
                                <w:b/>
                                <w:bCs/>
                                <w:sz w:val="20"/>
                                <w:szCs w:val="20"/>
                              </w:rPr>
                              <w:t xml:space="preserve">which would enable this over-representation to be </w:t>
                            </w:r>
                            <w:r w:rsidR="001A612F">
                              <w:rPr>
                                <w:rFonts w:ascii="Arial" w:hAnsi="Arial" w:cs="Arial"/>
                                <w:b/>
                                <w:bCs/>
                                <w:sz w:val="20"/>
                                <w:szCs w:val="20"/>
                              </w:rPr>
                              <w:t xml:space="preserve">accurately </w:t>
                            </w:r>
                            <w:r w:rsidR="00A719A8">
                              <w:rPr>
                                <w:rFonts w:ascii="Arial" w:hAnsi="Arial" w:cs="Arial"/>
                                <w:b/>
                                <w:bCs/>
                                <w:sz w:val="20"/>
                                <w:szCs w:val="20"/>
                              </w:rPr>
                              <w:t>quantified</w:t>
                            </w:r>
                            <w:r w:rsidR="001D6BBC">
                              <w:rPr>
                                <w:rFonts w:ascii="Arial" w:hAnsi="Arial" w:cs="Arial"/>
                                <w:b/>
                                <w:bCs/>
                                <w:sz w:val="20"/>
                                <w:szCs w:val="20"/>
                              </w:rPr>
                              <w:t>.</w:t>
                            </w:r>
                          </w:p>
                        </w:txbxContent>
                      </wps:txbx>
                      <wps:bodyPr rot="0" vert="horz" wrap="square" lIns="91440" tIns="45720" rIns="91440" bIns="45720" anchor="t" anchorCtr="0">
                        <a:spAutoFit/>
                      </wps:bodyPr>
                    </wps:wsp>
                  </a:graphicData>
                </a:graphic>
              </wp:inline>
            </w:drawing>
          </mc:Choice>
          <mc:Fallback>
            <w:pict>
              <v:shapetype w14:anchorId="073DC031" id="_x0000_t202" coordsize="21600,21600" o:spt="202" path="m,l,21600r21600,l21600,xe">
                <v:stroke joinstyle="miter"/>
                <v:path gradientshapeok="t" o:connecttype="rect"/>
              </v:shapetype>
              <v:shape id="Text Box 2" o:spid="_x0000_s1141" type="#_x0000_t202" style="width:449.3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" fillcolor="#ddd">
                <v:textbox style="mso-fit-shape-to-text:t">
                  <w:txbxContent>
                    <w:p w14:paraId="0C59281C" w14:textId="45ECCA47" w:rsidR="001245BC" w:rsidRPr="001245BC" w:rsidRDefault="00A25FD9" w:rsidP="00A25FD9">
                      <w:pPr>
                        <w:spacing w:after="60"/>
                        <w:jc w:val="both"/>
                        <w:rPr>
                          <w:rFonts w:ascii="Arial" w:hAnsi="Arial" w:cs="Arial"/>
                          <w:b/>
                          <w:bCs/>
                          <w:sz w:val="20"/>
                          <w:szCs w:val="20"/>
                        </w:rPr>
                      </w:pPr>
                      <w:r w:rsidRPr="00A25FD9">
                        <w:rPr>
                          <w:rFonts w:ascii="Arial" w:hAnsi="Arial" w:cs="Arial"/>
                          <w:b/>
                          <w:bCs/>
                          <w:sz w:val="20"/>
                          <w:szCs w:val="20"/>
                          <w:u w:val="single"/>
                        </w:rPr>
                        <w:t>NOTE</w:t>
                      </w:r>
                      <w:r>
                        <w:rPr>
                          <w:rFonts w:ascii="Arial" w:hAnsi="Arial" w:cs="Arial"/>
                          <w:b/>
                          <w:bCs/>
                          <w:sz w:val="20"/>
                          <w:szCs w:val="20"/>
                        </w:rPr>
                        <w:t>: Each entry in t</w:t>
                      </w:r>
                      <w:r w:rsidR="001245BC" w:rsidRPr="001245BC">
                        <w:rPr>
                          <w:rFonts w:ascii="Arial" w:hAnsi="Arial" w:cs="Arial"/>
                          <w:b/>
                          <w:bCs/>
                          <w:sz w:val="20"/>
                          <w:szCs w:val="20"/>
                        </w:rPr>
                        <w:t xml:space="preserve">he </w:t>
                      </w:r>
                      <w:r w:rsidR="001245BC">
                        <w:rPr>
                          <w:rFonts w:ascii="Arial" w:hAnsi="Arial" w:cs="Arial"/>
                          <w:b/>
                          <w:bCs/>
                          <w:sz w:val="20"/>
                          <w:szCs w:val="20"/>
                        </w:rPr>
                        <w:t xml:space="preserve">two </w:t>
                      </w:r>
                      <w:r w:rsidR="001245BC" w:rsidRPr="001245BC">
                        <w:rPr>
                          <w:rFonts w:ascii="Arial" w:hAnsi="Arial" w:cs="Arial"/>
                          <w:b/>
                          <w:bCs/>
                          <w:sz w:val="20"/>
                          <w:szCs w:val="20"/>
                        </w:rPr>
                        <w:t>tables below which are headed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0"/>
                        <w:gridCol w:w="3087"/>
                        <w:gridCol w:w="3141"/>
                      </w:tblGrid>
                      <w:tr w:rsidR="001245BC" w:rsidRPr="000F4023" w14:paraId="5AF6DB40" w14:textId="77777777" w:rsidTr="0083681F">
                        <w:trPr>
                          <w:jc w:val="center"/>
                        </w:trPr>
                        <w:tc>
                          <w:tcPr>
                            <w:tcW w:w="2494" w:type="dxa"/>
                            <w:tcBorders>
                              <w:top w:val="single" w:sz="8" w:space="0" w:color="auto"/>
                              <w:left w:val="single" w:sz="8" w:space="0" w:color="auto"/>
                              <w:right w:val="nil"/>
                            </w:tcBorders>
                            <w:shd w:val="clear" w:color="auto" w:fill="000000"/>
                          </w:tcPr>
                          <w:p w14:paraId="5364839A" w14:textId="77777777" w:rsidR="001245BC" w:rsidRPr="00EA0CF2" w:rsidRDefault="001245BC" w:rsidP="001245BC">
                            <w:pPr>
                              <w:jc w:val="center"/>
                              <w:rPr>
                                <w:b/>
                                <w:bCs/>
                                <w:sz w:val="20"/>
                                <w:szCs w:val="20"/>
                              </w:rPr>
                            </w:pPr>
                            <w:r w:rsidRPr="00EA0CF2">
                              <w:rPr>
                                <w:b/>
                                <w:bCs/>
                                <w:sz w:val="20"/>
                                <w:szCs w:val="20"/>
                              </w:rPr>
                              <w:t>FINANCIAL YEAR</w:t>
                            </w:r>
                          </w:p>
                        </w:tc>
                        <w:tc>
                          <w:tcPr>
                            <w:tcW w:w="3176" w:type="dxa"/>
                            <w:tcBorders>
                              <w:top w:val="single" w:sz="8" w:space="0" w:color="auto"/>
                              <w:left w:val="nil"/>
                              <w:right w:val="nil"/>
                            </w:tcBorders>
                            <w:shd w:val="clear" w:color="auto" w:fill="000000"/>
                          </w:tcPr>
                          <w:p w14:paraId="52198515" w14:textId="77777777" w:rsidR="001245BC" w:rsidRPr="00EA0CF2" w:rsidRDefault="001245BC" w:rsidP="001245BC">
                            <w:pPr>
                              <w:jc w:val="center"/>
                              <w:rPr>
                                <w:b/>
                                <w:bCs/>
                                <w:sz w:val="20"/>
                                <w:szCs w:val="20"/>
                              </w:rPr>
                            </w:pPr>
                            <w:r w:rsidRPr="00EA0CF2">
                              <w:rPr>
                                <w:b/>
                                <w:bCs/>
                                <w:sz w:val="20"/>
                                <w:szCs w:val="20"/>
                              </w:rPr>
                              <w:t>2018/19 (Age at date of offence)</w:t>
                            </w:r>
                          </w:p>
                        </w:tc>
                        <w:tc>
                          <w:tcPr>
                            <w:tcW w:w="3232" w:type="dxa"/>
                            <w:tcBorders>
                              <w:top w:val="single" w:sz="8" w:space="0" w:color="auto"/>
                              <w:left w:val="nil"/>
                              <w:right w:val="single" w:sz="8" w:space="0" w:color="auto"/>
                            </w:tcBorders>
                            <w:shd w:val="clear" w:color="auto" w:fill="000000"/>
                          </w:tcPr>
                          <w:p w14:paraId="3813642D" w14:textId="77777777" w:rsidR="001245BC" w:rsidRPr="00EA0CF2" w:rsidRDefault="001245BC" w:rsidP="001245BC">
                            <w:pPr>
                              <w:jc w:val="center"/>
                              <w:rPr>
                                <w:b/>
                                <w:bCs/>
                                <w:sz w:val="20"/>
                                <w:szCs w:val="20"/>
                              </w:rPr>
                            </w:pPr>
                            <w:r w:rsidRPr="00EA0CF2">
                              <w:rPr>
                                <w:b/>
                                <w:bCs/>
                                <w:sz w:val="20"/>
                                <w:szCs w:val="20"/>
                              </w:rPr>
                              <w:t>2017/18 (Age at date of offence)</w:t>
                            </w:r>
                          </w:p>
                        </w:tc>
                      </w:tr>
                      <w:tr w:rsidR="001245BC" w:rsidRPr="000F4023" w14:paraId="00F4507F" w14:textId="77777777" w:rsidTr="0083681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494" w:type="dxa"/>
                            <w:tcBorders>
                              <w:top w:val="single" w:sz="8" w:space="0" w:color="auto"/>
                              <w:left w:val="single" w:sz="8" w:space="0" w:color="auto"/>
                              <w:bottom w:val="single" w:sz="4" w:space="0" w:color="auto"/>
                              <w:right w:val="nil"/>
                            </w:tcBorders>
                            <w:shd w:val="clear" w:color="auto" w:fill="000000"/>
                          </w:tcPr>
                          <w:p w14:paraId="4B461C56" w14:textId="77777777" w:rsidR="001245BC" w:rsidRPr="000F4023" w:rsidRDefault="001245BC" w:rsidP="001245BC">
                            <w:pPr>
                              <w:jc w:val="center"/>
                              <w:rPr>
                                <w:b/>
                                <w:bCs/>
                                <w:sz w:val="20"/>
                                <w:szCs w:val="20"/>
                              </w:rPr>
                            </w:pPr>
                            <w:r w:rsidRPr="000F4023">
                              <w:rPr>
                                <w:b/>
                                <w:bCs/>
                                <w:sz w:val="20"/>
                                <w:szCs w:val="20"/>
                              </w:rPr>
                              <w:t>FINANCIAL YEAR</w:t>
                            </w:r>
                          </w:p>
                        </w:tc>
                        <w:tc>
                          <w:tcPr>
                            <w:tcW w:w="3176" w:type="dxa"/>
                            <w:tcBorders>
                              <w:top w:val="single" w:sz="8" w:space="0" w:color="auto"/>
                              <w:left w:val="nil"/>
                              <w:bottom w:val="single" w:sz="4" w:space="0" w:color="auto"/>
                              <w:right w:val="nil"/>
                            </w:tcBorders>
                            <w:shd w:val="clear" w:color="auto" w:fill="000000"/>
                          </w:tcPr>
                          <w:p w14:paraId="5BB9F345" w14:textId="77777777" w:rsidR="001245BC" w:rsidRPr="000F4023" w:rsidRDefault="001245BC" w:rsidP="001245BC">
                            <w:pPr>
                              <w:jc w:val="center"/>
                              <w:rPr>
                                <w:b/>
                                <w:bCs/>
                                <w:sz w:val="20"/>
                                <w:szCs w:val="20"/>
                              </w:rPr>
                            </w:pPr>
                            <w:r>
                              <w:rPr>
                                <w:b/>
                                <w:bCs/>
                                <w:sz w:val="20"/>
                                <w:szCs w:val="20"/>
                              </w:rPr>
                              <w:t>2020/21 (Age at date of offence)</w:t>
                            </w:r>
                          </w:p>
                        </w:tc>
                        <w:tc>
                          <w:tcPr>
                            <w:tcW w:w="3232" w:type="dxa"/>
                            <w:tcBorders>
                              <w:top w:val="single" w:sz="8" w:space="0" w:color="auto"/>
                              <w:left w:val="nil"/>
                              <w:bottom w:val="single" w:sz="4" w:space="0" w:color="auto"/>
                              <w:right w:val="single" w:sz="8" w:space="0" w:color="auto"/>
                            </w:tcBorders>
                            <w:shd w:val="clear" w:color="auto" w:fill="000000"/>
                          </w:tcPr>
                          <w:p w14:paraId="07B68AB7" w14:textId="77777777" w:rsidR="001245BC" w:rsidRPr="000F4023" w:rsidRDefault="001245BC" w:rsidP="001245BC">
                            <w:pPr>
                              <w:jc w:val="center"/>
                              <w:rPr>
                                <w:b/>
                                <w:bCs/>
                                <w:sz w:val="20"/>
                                <w:szCs w:val="20"/>
                              </w:rPr>
                            </w:pPr>
                            <w:r>
                              <w:rPr>
                                <w:b/>
                                <w:bCs/>
                                <w:sz w:val="20"/>
                                <w:szCs w:val="20"/>
                              </w:rPr>
                              <w:t>2019/20 (Age at date of offence)</w:t>
                            </w:r>
                          </w:p>
                        </w:tc>
                      </w:tr>
                    </w:tbl>
                    <w:p w14:paraId="05F9BEE4" w14:textId="7CE96890" w:rsidR="001A612F" w:rsidRPr="001A612F" w:rsidRDefault="001245BC" w:rsidP="001D6BBC">
                      <w:pPr>
                        <w:spacing w:before="60"/>
                        <w:jc w:val="both"/>
                        <w:rPr>
                          <w:rFonts w:ascii="Arial" w:hAnsi="Arial" w:cs="Arial"/>
                          <w:b/>
                          <w:bCs/>
                          <w:sz w:val="20"/>
                          <w:szCs w:val="20"/>
                        </w:rPr>
                      </w:pPr>
                      <w:r>
                        <w:rPr>
                          <w:rFonts w:ascii="Arial" w:hAnsi="Arial" w:cs="Arial"/>
                          <w:b/>
                          <w:bCs/>
                          <w:sz w:val="20"/>
                          <w:szCs w:val="20"/>
                        </w:rPr>
                        <w:t>relate</w:t>
                      </w:r>
                      <w:r w:rsidR="00A25FD9">
                        <w:rPr>
                          <w:rFonts w:ascii="Arial" w:hAnsi="Arial" w:cs="Arial"/>
                          <w:b/>
                          <w:bCs/>
                          <w:sz w:val="20"/>
                          <w:szCs w:val="20"/>
                        </w:rPr>
                        <w:t>s</w:t>
                      </w:r>
                      <w:r>
                        <w:rPr>
                          <w:rFonts w:ascii="Arial" w:hAnsi="Arial" w:cs="Arial"/>
                          <w:b/>
                          <w:bCs/>
                          <w:sz w:val="20"/>
                          <w:szCs w:val="20"/>
                        </w:rPr>
                        <w:t xml:space="preserve"> to the order made in </w:t>
                      </w:r>
                      <w:r w:rsidR="00A25FD9">
                        <w:rPr>
                          <w:rFonts w:ascii="Arial" w:hAnsi="Arial" w:cs="Arial"/>
                          <w:b/>
                          <w:bCs/>
                          <w:sz w:val="20"/>
                          <w:szCs w:val="20"/>
                        </w:rPr>
                        <w:t xml:space="preserve">a particular </w:t>
                      </w:r>
                      <w:r w:rsidRPr="001245BC">
                        <w:rPr>
                          <w:rFonts w:ascii="Arial" w:hAnsi="Arial" w:cs="Arial"/>
                          <w:b/>
                          <w:bCs/>
                          <w:sz w:val="20"/>
                          <w:szCs w:val="20"/>
                          <w:u w:val="single"/>
                        </w:rPr>
                        <w:t>case</w:t>
                      </w:r>
                      <w:r>
                        <w:rPr>
                          <w:rFonts w:ascii="Arial" w:hAnsi="Arial" w:cs="Arial"/>
                          <w:b/>
                          <w:bCs/>
                          <w:sz w:val="20"/>
                          <w:szCs w:val="20"/>
                        </w:rPr>
                        <w:t xml:space="preserve"> involving </w:t>
                      </w:r>
                      <w:r w:rsidR="00A25FD9">
                        <w:rPr>
                          <w:rFonts w:ascii="Arial" w:hAnsi="Arial" w:cs="Arial"/>
                          <w:b/>
                          <w:bCs/>
                          <w:sz w:val="20"/>
                          <w:szCs w:val="20"/>
                        </w:rPr>
                        <w:t xml:space="preserve">a </w:t>
                      </w:r>
                      <w:r>
                        <w:rPr>
                          <w:rFonts w:ascii="Arial" w:hAnsi="Arial" w:cs="Arial"/>
                          <w:b/>
                          <w:bCs/>
                          <w:sz w:val="20"/>
                          <w:szCs w:val="20"/>
                        </w:rPr>
                        <w:t xml:space="preserve">child aged 10-13 at the date of the offence.  Some cases </w:t>
                      </w:r>
                      <w:r w:rsidR="005139C7">
                        <w:rPr>
                          <w:rFonts w:ascii="Arial" w:hAnsi="Arial" w:cs="Arial"/>
                          <w:b/>
                          <w:bCs/>
                          <w:sz w:val="20"/>
                          <w:szCs w:val="20"/>
                        </w:rPr>
                        <w:t>consist of</w:t>
                      </w:r>
                      <w:r>
                        <w:rPr>
                          <w:rFonts w:ascii="Arial" w:hAnsi="Arial" w:cs="Arial"/>
                          <w:b/>
                          <w:bCs/>
                          <w:sz w:val="20"/>
                          <w:szCs w:val="20"/>
                        </w:rPr>
                        <w:t xml:space="preserve"> a single offence.  Some cases </w:t>
                      </w:r>
                      <w:r w:rsidR="005139C7">
                        <w:rPr>
                          <w:rFonts w:ascii="Arial" w:hAnsi="Arial" w:cs="Arial"/>
                          <w:b/>
                          <w:bCs/>
                          <w:sz w:val="20"/>
                          <w:szCs w:val="20"/>
                        </w:rPr>
                        <w:t>consist of</w:t>
                      </w:r>
                      <w:r>
                        <w:rPr>
                          <w:rFonts w:ascii="Arial" w:hAnsi="Arial" w:cs="Arial"/>
                          <w:b/>
                          <w:bCs/>
                          <w:sz w:val="20"/>
                          <w:szCs w:val="20"/>
                        </w:rPr>
                        <w:t xml:space="preserve"> multiple offences.  Further, </w:t>
                      </w:r>
                      <w:r w:rsidR="000020F9">
                        <w:rPr>
                          <w:rFonts w:ascii="Arial" w:hAnsi="Arial" w:cs="Arial"/>
                          <w:b/>
                          <w:bCs/>
                          <w:sz w:val="20"/>
                          <w:szCs w:val="20"/>
                        </w:rPr>
                        <w:t xml:space="preserve">the writer understands that </w:t>
                      </w:r>
                      <w:r w:rsidR="00A25FD9">
                        <w:rPr>
                          <w:rFonts w:ascii="Arial" w:hAnsi="Arial" w:cs="Arial"/>
                          <w:b/>
                          <w:bCs/>
                          <w:sz w:val="20"/>
                          <w:szCs w:val="20"/>
                        </w:rPr>
                        <w:t xml:space="preserve">a number of the children whose cases are represented in the tables have </w:t>
                      </w:r>
                      <w:r w:rsidR="001A612F">
                        <w:rPr>
                          <w:rFonts w:ascii="Arial" w:hAnsi="Arial" w:cs="Arial"/>
                          <w:b/>
                          <w:bCs/>
                          <w:sz w:val="20"/>
                          <w:szCs w:val="20"/>
                        </w:rPr>
                        <w:t>been involved in</w:t>
                      </w:r>
                      <w:r w:rsidR="00A25FD9">
                        <w:rPr>
                          <w:rFonts w:ascii="Arial" w:hAnsi="Arial" w:cs="Arial"/>
                          <w:b/>
                          <w:bCs/>
                          <w:sz w:val="20"/>
                          <w:szCs w:val="20"/>
                        </w:rPr>
                        <w:t xml:space="preserve"> more than one </w:t>
                      </w:r>
                      <w:r w:rsidR="00A25FD9" w:rsidRPr="009F092D">
                        <w:rPr>
                          <w:rFonts w:ascii="Arial" w:hAnsi="Arial" w:cs="Arial"/>
                          <w:b/>
                          <w:bCs/>
                          <w:sz w:val="20"/>
                          <w:szCs w:val="20"/>
                          <w:u w:val="single"/>
                        </w:rPr>
                        <w:t>case</w:t>
                      </w:r>
                      <w:r w:rsidR="00A25FD9">
                        <w:rPr>
                          <w:rFonts w:ascii="Arial" w:hAnsi="Arial" w:cs="Arial"/>
                          <w:b/>
                          <w:bCs/>
                          <w:sz w:val="20"/>
                          <w:szCs w:val="20"/>
                        </w:rPr>
                        <w:t xml:space="preserve"> in </w:t>
                      </w:r>
                      <w:r w:rsidR="00EA384F">
                        <w:rPr>
                          <w:rFonts w:ascii="Arial" w:hAnsi="Arial" w:cs="Arial"/>
                          <w:b/>
                          <w:bCs/>
                          <w:sz w:val="20"/>
                          <w:szCs w:val="20"/>
                        </w:rPr>
                        <w:t xml:space="preserve">the Criminal Division in </w:t>
                      </w:r>
                      <w:r w:rsidR="00A25FD9">
                        <w:rPr>
                          <w:rFonts w:ascii="Arial" w:hAnsi="Arial" w:cs="Arial"/>
                          <w:b/>
                          <w:bCs/>
                          <w:sz w:val="20"/>
                          <w:szCs w:val="20"/>
                        </w:rPr>
                        <w:t>a particular year.  Accordingly, the</w:t>
                      </w:r>
                      <w:r w:rsidR="001A612F">
                        <w:rPr>
                          <w:rFonts w:ascii="Arial" w:hAnsi="Arial" w:cs="Arial"/>
                          <w:b/>
                          <w:bCs/>
                          <w:sz w:val="20"/>
                          <w:szCs w:val="20"/>
                        </w:rPr>
                        <w:t>se two</w:t>
                      </w:r>
                      <w:r w:rsidR="00A25FD9">
                        <w:rPr>
                          <w:rFonts w:ascii="Arial" w:hAnsi="Arial" w:cs="Arial"/>
                          <w:b/>
                          <w:bCs/>
                          <w:sz w:val="20"/>
                          <w:szCs w:val="20"/>
                        </w:rPr>
                        <w:t xml:space="preserve"> tables over-represent the numbers of </w:t>
                      </w:r>
                      <w:r w:rsidR="006A0B49">
                        <w:rPr>
                          <w:rFonts w:ascii="Arial" w:hAnsi="Arial" w:cs="Arial"/>
                          <w:b/>
                          <w:bCs/>
                          <w:sz w:val="20"/>
                          <w:szCs w:val="20"/>
                        </w:rPr>
                        <w:t xml:space="preserve">individual </w:t>
                      </w:r>
                      <w:r w:rsidR="00A25FD9">
                        <w:rPr>
                          <w:rFonts w:ascii="Arial" w:hAnsi="Arial" w:cs="Arial"/>
                          <w:b/>
                          <w:bCs/>
                          <w:sz w:val="20"/>
                          <w:szCs w:val="20"/>
                        </w:rPr>
                        <w:t xml:space="preserve">children aged 10-13 who were involved in criminal offending.  </w:t>
                      </w:r>
                      <w:r w:rsidR="001D6BBC">
                        <w:rPr>
                          <w:rFonts w:ascii="Arial" w:hAnsi="Arial" w:cs="Arial"/>
                          <w:b/>
                          <w:bCs/>
                          <w:sz w:val="20"/>
                          <w:szCs w:val="20"/>
                        </w:rPr>
                        <w:t>However, t</w:t>
                      </w:r>
                      <w:r w:rsidR="00A25FD9">
                        <w:rPr>
                          <w:rFonts w:ascii="Arial" w:hAnsi="Arial" w:cs="Arial"/>
                          <w:b/>
                          <w:bCs/>
                          <w:sz w:val="20"/>
                          <w:szCs w:val="20"/>
                        </w:rPr>
                        <w:t xml:space="preserve">he writer does not have access to statistics </w:t>
                      </w:r>
                      <w:r w:rsidR="00A719A8">
                        <w:rPr>
                          <w:rFonts w:ascii="Arial" w:hAnsi="Arial" w:cs="Arial"/>
                          <w:b/>
                          <w:bCs/>
                          <w:sz w:val="20"/>
                          <w:szCs w:val="20"/>
                        </w:rPr>
                        <w:t xml:space="preserve">which would enable this over-representation to be </w:t>
                      </w:r>
                      <w:r w:rsidR="001A612F">
                        <w:rPr>
                          <w:rFonts w:ascii="Arial" w:hAnsi="Arial" w:cs="Arial"/>
                          <w:b/>
                          <w:bCs/>
                          <w:sz w:val="20"/>
                          <w:szCs w:val="20"/>
                        </w:rPr>
                        <w:t xml:space="preserve">accurately </w:t>
                      </w:r>
                      <w:r w:rsidR="00A719A8">
                        <w:rPr>
                          <w:rFonts w:ascii="Arial" w:hAnsi="Arial" w:cs="Arial"/>
                          <w:b/>
                          <w:bCs/>
                          <w:sz w:val="20"/>
                          <w:szCs w:val="20"/>
                        </w:rPr>
                        <w:t>quantified</w:t>
                      </w:r>
                      <w:r w:rsidR="001D6BBC">
                        <w:rPr>
                          <w:rFonts w:ascii="Arial" w:hAnsi="Arial" w:cs="Arial"/>
                          <w:b/>
                          <w:bCs/>
                          <w:sz w:val="20"/>
                          <w:szCs w:val="20"/>
                        </w:rPr>
                        <w:t>.</w:t>
                      </w:r>
                    </w:p>
                  </w:txbxContent>
                </v:textbox>
                <w10:anchorlock/>
              </v:shape>
            </w:pict>
          </mc:Fallback>
        </mc:AlternateContent>
      </w:r>
    </w:p>
    <w:p w14:paraId="66072B11" w14:textId="28618DCC" w:rsidR="006B1DE9" w:rsidRPr="006B1DE9" w:rsidRDefault="006B1DE9" w:rsidP="007679AD">
      <w:pPr>
        <w:spacing w:after="120"/>
        <w:jc w:val="both"/>
        <w:rPr>
          <w:rFonts w:ascii="Arial" w:hAnsi="Arial" w:cs="Arial"/>
          <w:sz w:val="20"/>
          <w:szCs w:val="20"/>
        </w:rPr>
      </w:pPr>
      <w:r w:rsidRPr="006B1DE9">
        <w:rPr>
          <w:rFonts w:ascii="Arial" w:hAnsi="Arial" w:cs="Arial"/>
          <w:sz w:val="20"/>
          <w:szCs w:val="20"/>
        </w:rPr>
        <w:t>In both 2017</w:t>
      </w:r>
      <w:r>
        <w:rPr>
          <w:rFonts w:ascii="Arial" w:hAnsi="Arial" w:cs="Arial"/>
          <w:sz w:val="20"/>
          <w:szCs w:val="20"/>
        </w:rPr>
        <w:t>/</w:t>
      </w:r>
      <w:r w:rsidRPr="006B1DE9">
        <w:rPr>
          <w:rFonts w:ascii="Arial" w:hAnsi="Arial" w:cs="Arial"/>
          <w:sz w:val="20"/>
          <w:szCs w:val="20"/>
        </w:rPr>
        <w:t>18 &amp; 2018</w:t>
      </w:r>
      <w:r>
        <w:rPr>
          <w:rFonts w:ascii="Arial" w:hAnsi="Arial" w:cs="Arial"/>
          <w:sz w:val="20"/>
          <w:szCs w:val="20"/>
        </w:rPr>
        <w:t>/</w:t>
      </w:r>
      <w:r w:rsidRPr="006B1DE9">
        <w:rPr>
          <w:rFonts w:ascii="Arial" w:hAnsi="Arial" w:cs="Arial"/>
          <w:sz w:val="20"/>
          <w:szCs w:val="20"/>
        </w:rPr>
        <w:t xml:space="preserve">19 very few children charged with offending between the ages of 10-12 were placed on CCV sentencing orders.  In both years the vast majority of the </w:t>
      </w:r>
      <w:r w:rsidR="00AB1B33">
        <w:rPr>
          <w:rFonts w:ascii="Arial" w:hAnsi="Arial" w:cs="Arial"/>
          <w:sz w:val="20"/>
          <w:szCs w:val="20"/>
        </w:rPr>
        <w:t>cases involving</w:t>
      </w:r>
      <w:r w:rsidRPr="006B1DE9">
        <w:rPr>
          <w:rFonts w:ascii="Arial" w:hAnsi="Arial" w:cs="Arial"/>
          <w:sz w:val="20"/>
          <w:szCs w:val="20"/>
        </w:rPr>
        <w:t xml:space="preserve"> 10</w:t>
      </w:r>
      <w:r w:rsidRPr="006B1DE9">
        <w:rPr>
          <w:rFonts w:ascii="Arial" w:hAnsi="Arial" w:cs="Arial"/>
          <w:sz w:val="20"/>
          <w:szCs w:val="20"/>
        </w:rPr>
        <w:noBreakHyphen/>
        <w:t xml:space="preserve">12-year old children and the majority of the </w:t>
      </w:r>
      <w:r w:rsidR="00AB1B33">
        <w:rPr>
          <w:rFonts w:ascii="Arial" w:hAnsi="Arial" w:cs="Arial"/>
          <w:sz w:val="20"/>
          <w:szCs w:val="20"/>
        </w:rPr>
        <w:t>cases involving</w:t>
      </w:r>
      <w:r w:rsidRPr="006B1DE9">
        <w:rPr>
          <w:rFonts w:ascii="Arial" w:hAnsi="Arial" w:cs="Arial"/>
          <w:sz w:val="20"/>
          <w:szCs w:val="20"/>
        </w:rPr>
        <w:t xml:space="preserve"> adolescents who allegedly offended at age 13 were struck out</w:t>
      </w:r>
      <w:r w:rsidR="00462FD0">
        <w:rPr>
          <w:rFonts w:ascii="Arial" w:hAnsi="Arial" w:cs="Arial"/>
          <w:sz w:val="20"/>
          <w:szCs w:val="20"/>
        </w:rPr>
        <w:t>, not proven</w:t>
      </w:r>
      <w:r w:rsidRPr="006B1DE9">
        <w:rPr>
          <w:rFonts w:ascii="Arial" w:hAnsi="Arial" w:cs="Arial"/>
          <w:sz w:val="20"/>
          <w:szCs w:val="20"/>
        </w:rPr>
        <w:t xml:space="preserve"> or were adjourned for participation in a diversion program or a ROPES program.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794"/>
        <w:gridCol w:w="794"/>
        <w:gridCol w:w="794"/>
        <w:gridCol w:w="794"/>
        <w:gridCol w:w="850"/>
        <w:gridCol w:w="794"/>
        <w:gridCol w:w="794"/>
        <w:gridCol w:w="794"/>
      </w:tblGrid>
      <w:tr w:rsidR="006B1DE9" w:rsidRPr="000F4023" w14:paraId="00CFD314" w14:textId="77777777" w:rsidTr="00EA0CF2">
        <w:trPr>
          <w:jc w:val="center"/>
        </w:trPr>
        <w:tc>
          <w:tcPr>
            <w:tcW w:w="2494" w:type="dxa"/>
            <w:tcBorders>
              <w:top w:val="single" w:sz="8" w:space="0" w:color="auto"/>
              <w:left w:val="single" w:sz="8" w:space="0" w:color="auto"/>
              <w:right w:val="nil"/>
            </w:tcBorders>
            <w:shd w:val="clear" w:color="auto" w:fill="000000"/>
          </w:tcPr>
          <w:p w14:paraId="3C0C18A6" w14:textId="77777777" w:rsidR="006B1DE9" w:rsidRPr="00EA0CF2" w:rsidRDefault="006B1DE9" w:rsidP="00EA0CF2">
            <w:pPr>
              <w:jc w:val="center"/>
              <w:rPr>
                <w:b/>
                <w:bCs/>
                <w:sz w:val="20"/>
                <w:szCs w:val="20"/>
              </w:rPr>
            </w:pPr>
            <w:r w:rsidRPr="00EA0CF2">
              <w:rPr>
                <w:b/>
                <w:bCs/>
                <w:sz w:val="20"/>
                <w:szCs w:val="20"/>
              </w:rPr>
              <w:t>FINANCIAL YEAR</w:t>
            </w:r>
          </w:p>
        </w:tc>
        <w:tc>
          <w:tcPr>
            <w:tcW w:w="3176" w:type="dxa"/>
            <w:gridSpan w:val="4"/>
            <w:tcBorders>
              <w:top w:val="single" w:sz="8" w:space="0" w:color="auto"/>
              <w:left w:val="nil"/>
              <w:right w:val="nil"/>
            </w:tcBorders>
            <w:shd w:val="clear" w:color="auto" w:fill="000000"/>
          </w:tcPr>
          <w:p w14:paraId="371A65B5" w14:textId="77777777" w:rsidR="006B1DE9" w:rsidRPr="00EA0CF2" w:rsidRDefault="006B1DE9" w:rsidP="00EA0CF2">
            <w:pPr>
              <w:jc w:val="center"/>
              <w:rPr>
                <w:b/>
                <w:bCs/>
                <w:sz w:val="20"/>
                <w:szCs w:val="20"/>
              </w:rPr>
            </w:pPr>
            <w:r w:rsidRPr="00EA0CF2">
              <w:rPr>
                <w:b/>
                <w:bCs/>
                <w:sz w:val="20"/>
                <w:szCs w:val="20"/>
              </w:rPr>
              <w:t>2018</w:t>
            </w:r>
            <w:r w:rsidR="001D1E4B" w:rsidRPr="00EA0CF2">
              <w:rPr>
                <w:b/>
                <w:bCs/>
                <w:sz w:val="20"/>
                <w:szCs w:val="20"/>
              </w:rPr>
              <w:t>/</w:t>
            </w:r>
            <w:r w:rsidRPr="00EA0CF2">
              <w:rPr>
                <w:b/>
                <w:bCs/>
                <w:sz w:val="20"/>
                <w:szCs w:val="20"/>
              </w:rPr>
              <w:t>19 (Age at date of offence)</w:t>
            </w:r>
          </w:p>
        </w:tc>
        <w:tc>
          <w:tcPr>
            <w:tcW w:w="3232" w:type="dxa"/>
            <w:gridSpan w:val="4"/>
            <w:tcBorders>
              <w:top w:val="single" w:sz="8" w:space="0" w:color="auto"/>
              <w:left w:val="nil"/>
              <w:right w:val="single" w:sz="8" w:space="0" w:color="auto"/>
            </w:tcBorders>
            <w:shd w:val="clear" w:color="auto" w:fill="000000"/>
          </w:tcPr>
          <w:p w14:paraId="0ABC9C96" w14:textId="77777777" w:rsidR="006B1DE9" w:rsidRPr="00EA0CF2" w:rsidRDefault="006B1DE9" w:rsidP="00EA0CF2">
            <w:pPr>
              <w:jc w:val="center"/>
              <w:rPr>
                <w:b/>
                <w:bCs/>
                <w:sz w:val="20"/>
                <w:szCs w:val="20"/>
              </w:rPr>
            </w:pPr>
            <w:r w:rsidRPr="00EA0CF2">
              <w:rPr>
                <w:b/>
                <w:bCs/>
                <w:sz w:val="20"/>
                <w:szCs w:val="20"/>
              </w:rPr>
              <w:t>2017</w:t>
            </w:r>
            <w:r w:rsidR="001D1E4B" w:rsidRPr="00EA0CF2">
              <w:rPr>
                <w:b/>
                <w:bCs/>
                <w:sz w:val="20"/>
                <w:szCs w:val="20"/>
              </w:rPr>
              <w:t>/</w:t>
            </w:r>
            <w:r w:rsidRPr="00EA0CF2">
              <w:rPr>
                <w:b/>
                <w:bCs/>
                <w:sz w:val="20"/>
                <w:szCs w:val="20"/>
              </w:rPr>
              <w:t>18 (Age at date of offence)</w:t>
            </w:r>
          </w:p>
        </w:tc>
      </w:tr>
      <w:tr w:rsidR="006B1DE9" w14:paraId="76F47639" w14:textId="77777777" w:rsidTr="00EA0CF2">
        <w:trPr>
          <w:jc w:val="center"/>
        </w:trPr>
        <w:tc>
          <w:tcPr>
            <w:tcW w:w="2494" w:type="dxa"/>
            <w:tcBorders>
              <w:top w:val="single" w:sz="8" w:space="0" w:color="auto"/>
              <w:left w:val="single" w:sz="8" w:space="0" w:color="auto"/>
              <w:bottom w:val="single" w:sz="8" w:space="0" w:color="auto"/>
              <w:right w:val="single" w:sz="8" w:space="0" w:color="auto"/>
            </w:tcBorders>
            <w:shd w:val="clear" w:color="auto" w:fill="DDDDDD"/>
          </w:tcPr>
          <w:p w14:paraId="3FE15CAA" w14:textId="77777777" w:rsidR="006B1DE9" w:rsidRPr="00EA0CF2" w:rsidRDefault="006B1DE9" w:rsidP="00EA0CF2">
            <w:pPr>
              <w:jc w:val="center"/>
              <w:rPr>
                <w:sz w:val="20"/>
                <w:szCs w:val="20"/>
              </w:rPr>
            </w:pPr>
            <w:r w:rsidRPr="00EA0CF2">
              <w:rPr>
                <w:b/>
                <w:bCs/>
                <w:sz w:val="20"/>
                <w:szCs w:val="20"/>
              </w:rPr>
              <w:t xml:space="preserve">ORDER </w:t>
            </w:r>
            <w:r w:rsidRPr="00EA0CF2">
              <w:rPr>
                <w:b/>
                <w:bCs/>
                <w:sz w:val="20"/>
                <w:szCs w:val="20"/>
              </w:rPr>
              <w:sym w:font="Wingdings" w:char="F0EA"/>
            </w:r>
            <w:r w:rsidRPr="00EA0CF2">
              <w:rPr>
                <w:b/>
                <w:bCs/>
                <w:sz w:val="20"/>
                <w:szCs w:val="20"/>
              </w:rPr>
              <w:t xml:space="preserve">    AGE</w:t>
            </w:r>
            <w:r w:rsidRPr="00EA0CF2">
              <w:rPr>
                <w:b/>
                <w:bCs/>
                <w:sz w:val="20"/>
                <w:szCs w:val="20"/>
              </w:rPr>
              <w:sym w:font="Wingdings" w:char="F0E8"/>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43ACBAA7" w14:textId="77777777" w:rsidR="006B1DE9" w:rsidRPr="00EA0CF2" w:rsidRDefault="006B1DE9" w:rsidP="00EA0CF2">
            <w:pPr>
              <w:jc w:val="center"/>
              <w:rPr>
                <w:b/>
                <w:bCs/>
                <w:sz w:val="20"/>
                <w:szCs w:val="20"/>
              </w:rPr>
            </w:pPr>
            <w:r w:rsidRPr="00EA0CF2">
              <w:rPr>
                <w:b/>
                <w:bCs/>
                <w:sz w:val="20"/>
                <w:szCs w:val="20"/>
              </w:rPr>
              <w:t>10</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54817641" w14:textId="77777777" w:rsidR="006B1DE9" w:rsidRPr="00EA0CF2" w:rsidRDefault="006B1DE9" w:rsidP="00EA0CF2">
            <w:pPr>
              <w:jc w:val="center"/>
              <w:rPr>
                <w:b/>
                <w:bCs/>
                <w:sz w:val="20"/>
                <w:szCs w:val="20"/>
              </w:rPr>
            </w:pPr>
            <w:r w:rsidRPr="00EA0CF2">
              <w:rPr>
                <w:b/>
                <w:bCs/>
                <w:sz w:val="20"/>
                <w:szCs w:val="20"/>
              </w:rPr>
              <w:t>11</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05A27070" w14:textId="77777777" w:rsidR="006B1DE9" w:rsidRPr="00EA0CF2" w:rsidRDefault="006B1DE9" w:rsidP="00EA0CF2">
            <w:pPr>
              <w:jc w:val="center"/>
              <w:rPr>
                <w:b/>
                <w:bCs/>
                <w:sz w:val="20"/>
                <w:szCs w:val="20"/>
              </w:rPr>
            </w:pPr>
            <w:r w:rsidRPr="00EA0CF2">
              <w:rPr>
                <w:b/>
                <w:bCs/>
                <w:sz w:val="20"/>
                <w:szCs w:val="20"/>
              </w:rPr>
              <w:t>12</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43C01D7A" w14:textId="77777777" w:rsidR="006B1DE9" w:rsidRPr="00EA0CF2" w:rsidRDefault="006B1DE9" w:rsidP="00EA0CF2">
            <w:pPr>
              <w:jc w:val="center"/>
              <w:rPr>
                <w:b/>
                <w:bCs/>
                <w:sz w:val="20"/>
                <w:szCs w:val="20"/>
              </w:rPr>
            </w:pPr>
            <w:r w:rsidRPr="00EA0CF2">
              <w:rPr>
                <w:b/>
                <w:bCs/>
                <w:sz w:val="20"/>
                <w:szCs w:val="20"/>
              </w:rPr>
              <w:t>13</w:t>
            </w:r>
          </w:p>
        </w:tc>
        <w:tc>
          <w:tcPr>
            <w:tcW w:w="850" w:type="dxa"/>
            <w:tcBorders>
              <w:top w:val="single" w:sz="8" w:space="0" w:color="auto"/>
              <w:left w:val="single" w:sz="8" w:space="0" w:color="auto"/>
              <w:bottom w:val="single" w:sz="8" w:space="0" w:color="auto"/>
              <w:right w:val="single" w:sz="8" w:space="0" w:color="auto"/>
            </w:tcBorders>
            <w:shd w:val="clear" w:color="auto" w:fill="DDDDDD"/>
          </w:tcPr>
          <w:p w14:paraId="3C37B247" w14:textId="77777777" w:rsidR="006B1DE9" w:rsidRPr="00EA0CF2" w:rsidRDefault="006B1DE9" w:rsidP="00EA0CF2">
            <w:pPr>
              <w:jc w:val="center"/>
              <w:rPr>
                <w:b/>
                <w:bCs/>
                <w:sz w:val="20"/>
                <w:szCs w:val="20"/>
              </w:rPr>
            </w:pPr>
            <w:r w:rsidRPr="00EA0CF2">
              <w:rPr>
                <w:b/>
                <w:bCs/>
                <w:sz w:val="20"/>
                <w:szCs w:val="20"/>
              </w:rPr>
              <w:t>10</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3FBF2948" w14:textId="77777777" w:rsidR="006B1DE9" w:rsidRPr="00EA0CF2" w:rsidRDefault="006B1DE9" w:rsidP="00EA0CF2">
            <w:pPr>
              <w:jc w:val="center"/>
              <w:rPr>
                <w:b/>
                <w:bCs/>
                <w:sz w:val="20"/>
                <w:szCs w:val="20"/>
              </w:rPr>
            </w:pPr>
            <w:r w:rsidRPr="00EA0CF2">
              <w:rPr>
                <w:b/>
                <w:bCs/>
                <w:sz w:val="20"/>
                <w:szCs w:val="20"/>
              </w:rPr>
              <w:t>11</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239F80AE" w14:textId="77777777" w:rsidR="006B1DE9" w:rsidRPr="00EA0CF2" w:rsidRDefault="006B1DE9" w:rsidP="00EA0CF2">
            <w:pPr>
              <w:jc w:val="center"/>
              <w:rPr>
                <w:b/>
                <w:bCs/>
                <w:sz w:val="20"/>
                <w:szCs w:val="20"/>
              </w:rPr>
            </w:pPr>
            <w:r w:rsidRPr="00EA0CF2">
              <w:rPr>
                <w:b/>
                <w:bCs/>
                <w:sz w:val="20"/>
                <w:szCs w:val="20"/>
              </w:rPr>
              <w:t>12</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39185EAA" w14:textId="77777777" w:rsidR="006B1DE9" w:rsidRPr="00EA0CF2" w:rsidRDefault="006B1DE9" w:rsidP="00EA0CF2">
            <w:pPr>
              <w:jc w:val="center"/>
              <w:rPr>
                <w:b/>
                <w:bCs/>
                <w:sz w:val="20"/>
                <w:szCs w:val="20"/>
              </w:rPr>
            </w:pPr>
            <w:r w:rsidRPr="00EA0CF2">
              <w:rPr>
                <w:b/>
                <w:bCs/>
                <w:sz w:val="20"/>
                <w:szCs w:val="20"/>
              </w:rPr>
              <w:t>13</w:t>
            </w:r>
          </w:p>
        </w:tc>
      </w:tr>
      <w:tr w:rsidR="006B1DE9" w14:paraId="44E9E905" w14:textId="77777777" w:rsidTr="00EA0CF2">
        <w:trPr>
          <w:jc w:val="center"/>
        </w:trPr>
        <w:tc>
          <w:tcPr>
            <w:tcW w:w="2494" w:type="dxa"/>
            <w:tcBorders>
              <w:left w:val="single" w:sz="8" w:space="0" w:color="auto"/>
            </w:tcBorders>
            <w:shd w:val="clear" w:color="auto" w:fill="DDDDDD"/>
          </w:tcPr>
          <w:p w14:paraId="1B685A13" w14:textId="77777777" w:rsidR="006B1DE9" w:rsidRPr="00EA0CF2" w:rsidRDefault="006B1DE9" w:rsidP="00EA0CF2">
            <w:pPr>
              <w:jc w:val="center"/>
              <w:rPr>
                <w:sz w:val="20"/>
                <w:szCs w:val="20"/>
              </w:rPr>
            </w:pPr>
            <w:r w:rsidRPr="00EA0CF2">
              <w:rPr>
                <w:sz w:val="20"/>
                <w:szCs w:val="20"/>
              </w:rPr>
              <w:t>Not proven</w:t>
            </w:r>
          </w:p>
        </w:tc>
        <w:tc>
          <w:tcPr>
            <w:tcW w:w="794" w:type="dxa"/>
          </w:tcPr>
          <w:p w14:paraId="0D545E00" w14:textId="77777777" w:rsidR="006B1DE9" w:rsidRPr="00EA0CF2" w:rsidRDefault="006B1DE9" w:rsidP="00EA0CF2">
            <w:pPr>
              <w:jc w:val="center"/>
              <w:rPr>
                <w:sz w:val="20"/>
                <w:szCs w:val="20"/>
              </w:rPr>
            </w:pPr>
            <w:r w:rsidRPr="00EA0CF2">
              <w:rPr>
                <w:sz w:val="20"/>
                <w:szCs w:val="20"/>
              </w:rPr>
              <w:t>1</w:t>
            </w:r>
          </w:p>
        </w:tc>
        <w:tc>
          <w:tcPr>
            <w:tcW w:w="794" w:type="dxa"/>
          </w:tcPr>
          <w:p w14:paraId="78A6EA55" w14:textId="77777777" w:rsidR="006B1DE9" w:rsidRPr="00EA0CF2" w:rsidRDefault="006B1DE9" w:rsidP="00EA0CF2">
            <w:pPr>
              <w:jc w:val="center"/>
              <w:rPr>
                <w:sz w:val="20"/>
                <w:szCs w:val="20"/>
              </w:rPr>
            </w:pPr>
            <w:r w:rsidRPr="00EA0CF2">
              <w:rPr>
                <w:sz w:val="20"/>
                <w:szCs w:val="20"/>
              </w:rPr>
              <w:t>0</w:t>
            </w:r>
          </w:p>
        </w:tc>
        <w:tc>
          <w:tcPr>
            <w:tcW w:w="794" w:type="dxa"/>
          </w:tcPr>
          <w:p w14:paraId="3678B1E5" w14:textId="77777777" w:rsidR="006B1DE9" w:rsidRPr="00EA0CF2" w:rsidRDefault="006B1DE9" w:rsidP="00EA0CF2">
            <w:pPr>
              <w:jc w:val="center"/>
              <w:rPr>
                <w:sz w:val="20"/>
                <w:szCs w:val="20"/>
              </w:rPr>
            </w:pPr>
            <w:r w:rsidRPr="00EA0CF2">
              <w:rPr>
                <w:sz w:val="20"/>
                <w:szCs w:val="20"/>
              </w:rPr>
              <w:t>0</w:t>
            </w:r>
          </w:p>
        </w:tc>
        <w:tc>
          <w:tcPr>
            <w:tcW w:w="794" w:type="dxa"/>
            <w:tcBorders>
              <w:right w:val="single" w:sz="8" w:space="0" w:color="auto"/>
            </w:tcBorders>
          </w:tcPr>
          <w:p w14:paraId="4F4D7123" w14:textId="77777777" w:rsidR="006B1DE9" w:rsidRPr="00EA0CF2" w:rsidRDefault="006B1DE9" w:rsidP="00EA0CF2">
            <w:pPr>
              <w:jc w:val="center"/>
              <w:rPr>
                <w:sz w:val="20"/>
                <w:szCs w:val="20"/>
              </w:rPr>
            </w:pPr>
            <w:r w:rsidRPr="00EA0CF2">
              <w:rPr>
                <w:sz w:val="20"/>
                <w:szCs w:val="20"/>
              </w:rPr>
              <w:t>6</w:t>
            </w:r>
          </w:p>
        </w:tc>
        <w:tc>
          <w:tcPr>
            <w:tcW w:w="850" w:type="dxa"/>
            <w:tcBorders>
              <w:left w:val="single" w:sz="8" w:space="0" w:color="auto"/>
            </w:tcBorders>
            <w:shd w:val="clear" w:color="auto" w:fill="DDDDDD"/>
          </w:tcPr>
          <w:p w14:paraId="68FA2879" w14:textId="77777777" w:rsidR="006B1DE9" w:rsidRPr="00EA0CF2" w:rsidRDefault="006B1DE9" w:rsidP="00EA0CF2">
            <w:pPr>
              <w:jc w:val="center"/>
              <w:rPr>
                <w:sz w:val="20"/>
                <w:szCs w:val="20"/>
              </w:rPr>
            </w:pPr>
            <w:r w:rsidRPr="00EA0CF2">
              <w:rPr>
                <w:sz w:val="20"/>
                <w:szCs w:val="20"/>
              </w:rPr>
              <w:t>1</w:t>
            </w:r>
          </w:p>
        </w:tc>
        <w:tc>
          <w:tcPr>
            <w:tcW w:w="794" w:type="dxa"/>
            <w:shd w:val="clear" w:color="auto" w:fill="DDDDDD"/>
          </w:tcPr>
          <w:p w14:paraId="5FEFA536" w14:textId="77777777" w:rsidR="006B1DE9" w:rsidRPr="00EA0CF2" w:rsidRDefault="006B1DE9" w:rsidP="00EA0CF2">
            <w:pPr>
              <w:jc w:val="center"/>
              <w:rPr>
                <w:sz w:val="20"/>
                <w:szCs w:val="20"/>
              </w:rPr>
            </w:pPr>
            <w:r w:rsidRPr="00EA0CF2">
              <w:rPr>
                <w:sz w:val="20"/>
                <w:szCs w:val="20"/>
              </w:rPr>
              <w:t>2</w:t>
            </w:r>
          </w:p>
        </w:tc>
        <w:tc>
          <w:tcPr>
            <w:tcW w:w="794" w:type="dxa"/>
            <w:shd w:val="clear" w:color="auto" w:fill="DDDDDD"/>
          </w:tcPr>
          <w:p w14:paraId="07A2011B" w14:textId="77777777" w:rsidR="006B1DE9" w:rsidRPr="00EA0CF2" w:rsidRDefault="006B1DE9" w:rsidP="00EA0CF2">
            <w:pPr>
              <w:jc w:val="center"/>
              <w:rPr>
                <w:sz w:val="20"/>
                <w:szCs w:val="20"/>
              </w:rPr>
            </w:pPr>
            <w:r w:rsidRPr="00EA0CF2">
              <w:rPr>
                <w:sz w:val="20"/>
                <w:szCs w:val="20"/>
              </w:rPr>
              <w:t>9</w:t>
            </w:r>
          </w:p>
        </w:tc>
        <w:tc>
          <w:tcPr>
            <w:tcW w:w="794" w:type="dxa"/>
            <w:tcBorders>
              <w:right w:val="single" w:sz="8" w:space="0" w:color="auto"/>
            </w:tcBorders>
            <w:shd w:val="clear" w:color="auto" w:fill="DDDDDD"/>
          </w:tcPr>
          <w:p w14:paraId="6D111F47" w14:textId="77777777" w:rsidR="006B1DE9" w:rsidRPr="00EA0CF2" w:rsidRDefault="006B1DE9" w:rsidP="00EA0CF2">
            <w:pPr>
              <w:jc w:val="center"/>
              <w:rPr>
                <w:sz w:val="20"/>
                <w:szCs w:val="20"/>
              </w:rPr>
            </w:pPr>
            <w:r w:rsidRPr="00EA0CF2">
              <w:rPr>
                <w:sz w:val="20"/>
                <w:szCs w:val="20"/>
              </w:rPr>
              <w:t>14</w:t>
            </w:r>
          </w:p>
        </w:tc>
      </w:tr>
      <w:tr w:rsidR="006B1DE9" w14:paraId="7A9D398C" w14:textId="77777777" w:rsidTr="00EA0CF2">
        <w:trPr>
          <w:jc w:val="center"/>
        </w:trPr>
        <w:tc>
          <w:tcPr>
            <w:tcW w:w="2494" w:type="dxa"/>
            <w:tcBorders>
              <w:left w:val="single" w:sz="8" w:space="0" w:color="auto"/>
              <w:bottom w:val="single" w:sz="4" w:space="0" w:color="auto"/>
            </w:tcBorders>
            <w:shd w:val="clear" w:color="auto" w:fill="DDDDDD"/>
          </w:tcPr>
          <w:p w14:paraId="5C9D32F7" w14:textId="77777777" w:rsidR="006B1DE9" w:rsidRPr="00EA0CF2" w:rsidRDefault="006B1DE9" w:rsidP="00EA0CF2">
            <w:pPr>
              <w:jc w:val="center"/>
              <w:rPr>
                <w:sz w:val="20"/>
                <w:szCs w:val="20"/>
              </w:rPr>
            </w:pPr>
            <w:r w:rsidRPr="00EA0CF2">
              <w:rPr>
                <w:sz w:val="20"/>
                <w:szCs w:val="20"/>
              </w:rPr>
              <w:t>Struck out</w:t>
            </w:r>
          </w:p>
        </w:tc>
        <w:tc>
          <w:tcPr>
            <w:tcW w:w="794" w:type="dxa"/>
            <w:tcBorders>
              <w:bottom w:val="single" w:sz="4" w:space="0" w:color="auto"/>
            </w:tcBorders>
          </w:tcPr>
          <w:p w14:paraId="15B918E1" w14:textId="77777777" w:rsidR="006B1DE9" w:rsidRPr="00EA0CF2" w:rsidRDefault="006B1DE9" w:rsidP="00EA0CF2">
            <w:pPr>
              <w:jc w:val="center"/>
              <w:rPr>
                <w:sz w:val="20"/>
                <w:szCs w:val="20"/>
              </w:rPr>
            </w:pPr>
            <w:r w:rsidRPr="00EA0CF2">
              <w:rPr>
                <w:sz w:val="20"/>
                <w:szCs w:val="20"/>
              </w:rPr>
              <w:t>37</w:t>
            </w:r>
          </w:p>
        </w:tc>
        <w:tc>
          <w:tcPr>
            <w:tcW w:w="794" w:type="dxa"/>
            <w:tcBorders>
              <w:bottom w:val="single" w:sz="4" w:space="0" w:color="auto"/>
            </w:tcBorders>
          </w:tcPr>
          <w:p w14:paraId="78FC3FD5" w14:textId="77777777" w:rsidR="006B1DE9" w:rsidRPr="00EA0CF2" w:rsidRDefault="006B1DE9" w:rsidP="00EA0CF2">
            <w:pPr>
              <w:jc w:val="center"/>
              <w:rPr>
                <w:sz w:val="20"/>
                <w:szCs w:val="20"/>
              </w:rPr>
            </w:pPr>
            <w:r w:rsidRPr="00EA0CF2">
              <w:rPr>
                <w:sz w:val="20"/>
                <w:szCs w:val="20"/>
              </w:rPr>
              <w:t>86</w:t>
            </w:r>
          </w:p>
        </w:tc>
        <w:tc>
          <w:tcPr>
            <w:tcW w:w="794" w:type="dxa"/>
            <w:tcBorders>
              <w:bottom w:val="single" w:sz="4" w:space="0" w:color="auto"/>
            </w:tcBorders>
          </w:tcPr>
          <w:p w14:paraId="0029D541" w14:textId="77777777" w:rsidR="006B1DE9" w:rsidRPr="00EA0CF2" w:rsidRDefault="006B1DE9" w:rsidP="00EA0CF2">
            <w:pPr>
              <w:jc w:val="center"/>
              <w:rPr>
                <w:sz w:val="20"/>
                <w:szCs w:val="20"/>
              </w:rPr>
            </w:pPr>
            <w:r w:rsidRPr="00EA0CF2">
              <w:rPr>
                <w:sz w:val="20"/>
                <w:szCs w:val="20"/>
              </w:rPr>
              <w:t>189</w:t>
            </w:r>
          </w:p>
        </w:tc>
        <w:tc>
          <w:tcPr>
            <w:tcW w:w="794" w:type="dxa"/>
            <w:tcBorders>
              <w:bottom w:val="single" w:sz="4" w:space="0" w:color="auto"/>
              <w:right w:val="single" w:sz="8" w:space="0" w:color="auto"/>
            </w:tcBorders>
          </w:tcPr>
          <w:p w14:paraId="5FE6D04A" w14:textId="77777777" w:rsidR="006B1DE9" w:rsidRPr="00EA0CF2" w:rsidRDefault="006B1DE9" w:rsidP="00EA0CF2">
            <w:pPr>
              <w:jc w:val="center"/>
              <w:rPr>
                <w:sz w:val="20"/>
                <w:szCs w:val="20"/>
              </w:rPr>
            </w:pPr>
            <w:r w:rsidRPr="00EA0CF2">
              <w:rPr>
                <w:sz w:val="20"/>
                <w:szCs w:val="20"/>
              </w:rPr>
              <w:t>445</w:t>
            </w:r>
          </w:p>
        </w:tc>
        <w:tc>
          <w:tcPr>
            <w:tcW w:w="850" w:type="dxa"/>
            <w:tcBorders>
              <w:left w:val="single" w:sz="8" w:space="0" w:color="auto"/>
              <w:bottom w:val="single" w:sz="4" w:space="0" w:color="auto"/>
            </w:tcBorders>
            <w:shd w:val="clear" w:color="auto" w:fill="DDDDDD"/>
          </w:tcPr>
          <w:p w14:paraId="34D19122" w14:textId="77777777" w:rsidR="006B1DE9" w:rsidRPr="00EA0CF2" w:rsidRDefault="006B1DE9" w:rsidP="00EA0CF2">
            <w:pPr>
              <w:jc w:val="center"/>
              <w:rPr>
                <w:sz w:val="20"/>
                <w:szCs w:val="20"/>
              </w:rPr>
            </w:pPr>
            <w:r w:rsidRPr="00EA0CF2">
              <w:rPr>
                <w:sz w:val="20"/>
                <w:szCs w:val="20"/>
              </w:rPr>
              <w:t>42</w:t>
            </w:r>
          </w:p>
        </w:tc>
        <w:tc>
          <w:tcPr>
            <w:tcW w:w="794" w:type="dxa"/>
            <w:tcBorders>
              <w:bottom w:val="single" w:sz="4" w:space="0" w:color="auto"/>
            </w:tcBorders>
            <w:shd w:val="clear" w:color="auto" w:fill="DDDDDD"/>
          </w:tcPr>
          <w:p w14:paraId="66B99CF1" w14:textId="77777777" w:rsidR="006B1DE9" w:rsidRPr="00EA0CF2" w:rsidRDefault="006B1DE9" w:rsidP="00EA0CF2">
            <w:pPr>
              <w:jc w:val="center"/>
              <w:rPr>
                <w:sz w:val="20"/>
                <w:szCs w:val="20"/>
              </w:rPr>
            </w:pPr>
            <w:r w:rsidRPr="00EA0CF2">
              <w:rPr>
                <w:sz w:val="20"/>
                <w:szCs w:val="20"/>
              </w:rPr>
              <w:t>27</w:t>
            </w:r>
          </w:p>
        </w:tc>
        <w:tc>
          <w:tcPr>
            <w:tcW w:w="794" w:type="dxa"/>
            <w:tcBorders>
              <w:bottom w:val="single" w:sz="4" w:space="0" w:color="auto"/>
            </w:tcBorders>
            <w:shd w:val="clear" w:color="auto" w:fill="DDDDDD"/>
          </w:tcPr>
          <w:p w14:paraId="79C6B059" w14:textId="77777777" w:rsidR="006B1DE9" w:rsidRPr="00EA0CF2" w:rsidRDefault="006B1DE9" w:rsidP="00EA0CF2">
            <w:pPr>
              <w:jc w:val="center"/>
              <w:rPr>
                <w:sz w:val="20"/>
                <w:szCs w:val="20"/>
              </w:rPr>
            </w:pPr>
            <w:r w:rsidRPr="00EA0CF2">
              <w:rPr>
                <w:sz w:val="20"/>
                <w:szCs w:val="20"/>
              </w:rPr>
              <w:t>143</w:t>
            </w:r>
          </w:p>
        </w:tc>
        <w:tc>
          <w:tcPr>
            <w:tcW w:w="794" w:type="dxa"/>
            <w:tcBorders>
              <w:bottom w:val="single" w:sz="4" w:space="0" w:color="auto"/>
              <w:right w:val="single" w:sz="8" w:space="0" w:color="auto"/>
            </w:tcBorders>
            <w:shd w:val="clear" w:color="auto" w:fill="DDDDDD"/>
          </w:tcPr>
          <w:p w14:paraId="56684EA0" w14:textId="77777777" w:rsidR="006B1DE9" w:rsidRPr="00EA0CF2" w:rsidRDefault="006B1DE9" w:rsidP="00EA0CF2">
            <w:pPr>
              <w:jc w:val="center"/>
              <w:rPr>
                <w:sz w:val="20"/>
                <w:szCs w:val="20"/>
              </w:rPr>
            </w:pPr>
            <w:r w:rsidRPr="00EA0CF2">
              <w:rPr>
                <w:sz w:val="20"/>
                <w:szCs w:val="20"/>
              </w:rPr>
              <w:t>274</w:t>
            </w:r>
          </w:p>
        </w:tc>
      </w:tr>
      <w:tr w:rsidR="006B1DE9" w14:paraId="2718BFF1" w14:textId="77777777" w:rsidTr="00EA0CF2">
        <w:trPr>
          <w:jc w:val="center"/>
        </w:trPr>
        <w:tc>
          <w:tcPr>
            <w:tcW w:w="2494" w:type="dxa"/>
            <w:tcBorders>
              <w:left w:val="single" w:sz="8" w:space="0" w:color="auto"/>
            </w:tcBorders>
            <w:shd w:val="clear" w:color="auto" w:fill="DDDDDD"/>
          </w:tcPr>
          <w:p w14:paraId="7CB59F80" w14:textId="77777777" w:rsidR="006B1DE9" w:rsidRPr="00EA0CF2" w:rsidRDefault="006B1DE9" w:rsidP="00EA0CF2">
            <w:pPr>
              <w:jc w:val="center"/>
              <w:rPr>
                <w:sz w:val="20"/>
                <w:szCs w:val="20"/>
              </w:rPr>
            </w:pPr>
            <w:r w:rsidRPr="00EA0CF2">
              <w:rPr>
                <w:sz w:val="20"/>
                <w:szCs w:val="20"/>
              </w:rPr>
              <w:t>Diversion program</w:t>
            </w:r>
          </w:p>
        </w:tc>
        <w:tc>
          <w:tcPr>
            <w:tcW w:w="794" w:type="dxa"/>
          </w:tcPr>
          <w:p w14:paraId="5EB4E437" w14:textId="77777777" w:rsidR="006B1DE9" w:rsidRPr="00EA0CF2" w:rsidRDefault="006B1DE9" w:rsidP="00EA0CF2">
            <w:pPr>
              <w:jc w:val="center"/>
              <w:rPr>
                <w:sz w:val="20"/>
                <w:szCs w:val="20"/>
              </w:rPr>
            </w:pPr>
            <w:r w:rsidRPr="00EA0CF2">
              <w:rPr>
                <w:sz w:val="20"/>
                <w:szCs w:val="20"/>
              </w:rPr>
              <w:t>3</w:t>
            </w:r>
          </w:p>
        </w:tc>
        <w:tc>
          <w:tcPr>
            <w:tcW w:w="794" w:type="dxa"/>
          </w:tcPr>
          <w:p w14:paraId="5CA3EF6A" w14:textId="77777777" w:rsidR="006B1DE9" w:rsidRPr="00EA0CF2" w:rsidRDefault="006B1DE9" w:rsidP="00EA0CF2">
            <w:pPr>
              <w:jc w:val="center"/>
              <w:rPr>
                <w:sz w:val="20"/>
                <w:szCs w:val="20"/>
              </w:rPr>
            </w:pPr>
            <w:r w:rsidRPr="00EA0CF2">
              <w:rPr>
                <w:sz w:val="20"/>
                <w:szCs w:val="20"/>
              </w:rPr>
              <w:t>9</w:t>
            </w:r>
          </w:p>
        </w:tc>
        <w:tc>
          <w:tcPr>
            <w:tcW w:w="794" w:type="dxa"/>
          </w:tcPr>
          <w:p w14:paraId="1824A2C2" w14:textId="77777777" w:rsidR="006B1DE9" w:rsidRPr="00EA0CF2" w:rsidRDefault="006B1DE9" w:rsidP="00EA0CF2">
            <w:pPr>
              <w:jc w:val="center"/>
              <w:rPr>
                <w:sz w:val="20"/>
                <w:szCs w:val="20"/>
              </w:rPr>
            </w:pPr>
            <w:r w:rsidRPr="00EA0CF2">
              <w:rPr>
                <w:sz w:val="20"/>
                <w:szCs w:val="20"/>
              </w:rPr>
              <w:t>17</w:t>
            </w:r>
          </w:p>
        </w:tc>
        <w:tc>
          <w:tcPr>
            <w:tcW w:w="794" w:type="dxa"/>
            <w:tcBorders>
              <w:right w:val="single" w:sz="8" w:space="0" w:color="auto"/>
            </w:tcBorders>
          </w:tcPr>
          <w:p w14:paraId="50849982" w14:textId="77777777" w:rsidR="006B1DE9" w:rsidRPr="00EA0CF2" w:rsidRDefault="006B1DE9" w:rsidP="00EA0CF2">
            <w:pPr>
              <w:jc w:val="center"/>
              <w:rPr>
                <w:sz w:val="20"/>
                <w:szCs w:val="20"/>
              </w:rPr>
            </w:pPr>
            <w:r w:rsidRPr="00EA0CF2">
              <w:rPr>
                <w:sz w:val="20"/>
                <w:szCs w:val="20"/>
              </w:rPr>
              <w:t>107</w:t>
            </w:r>
          </w:p>
        </w:tc>
        <w:tc>
          <w:tcPr>
            <w:tcW w:w="850" w:type="dxa"/>
            <w:tcBorders>
              <w:left w:val="single" w:sz="8" w:space="0" w:color="auto"/>
            </w:tcBorders>
            <w:shd w:val="clear" w:color="auto" w:fill="DDDDDD"/>
          </w:tcPr>
          <w:p w14:paraId="0A01F070" w14:textId="77777777" w:rsidR="006B1DE9" w:rsidRPr="00EA0CF2" w:rsidRDefault="006B1DE9" w:rsidP="00EA0CF2">
            <w:pPr>
              <w:jc w:val="center"/>
              <w:rPr>
                <w:sz w:val="20"/>
                <w:szCs w:val="20"/>
              </w:rPr>
            </w:pPr>
            <w:r w:rsidRPr="00EA0CF2">
              <w:rPr>
                <w:sz w:val="20"/>
                <w:szCs w:val="20"/>
              </w:rPr>
              <w:t>3</w:t>
            </w:r>
          </w:p>
        </w:tc>
        <w:tc>
          <w:tcPr>
            <w:tcW w:w="794" w:type="dxa"/>
            <w:shd w:val="clear" w:color="auto" w:fill="DDDDDD"/>
          </w:tcPr>
          <w:p w14:paraId="0771B4DC" w14:textId="77777777" w:rsidR="006B1DE9" w:rsidRPr="00EA0CF2" w:rsidRDefault="006B1DE9" w:rsidP="00EA0CF2">
            <w:pPr>
              <w:jc w:val="center"/>
              <w:rPr>
                <w:sz w:val="20"/>
                <w:szCs w:val="20"/>
              </w:rPr>
            </w:pPr>
            <w:r w:rsidRPr="00EA0CF2">
              <w:rPr>
                <w:sz w:val="20"/>
                <w:szCs w:val="20"/>
              </w:rPr>
              <w:t>9</w:t>
            </w:r>
          </w:p>
        </w:tc>
        <w:tc>
          <w:tcPr>
            <w:tcW w:w="794" w:type="dxa"/>
            <w:shd w:val="clear" w:color="auto" w:fill="DDDDDD"/>
          </w:tcPr>
          <w:p w14:paraId="303409EE" w14:textId="77777777" w:rsidR="006B1DE9" w:rsidRPr="00EA0CF2" w:rsidRDefault="006B1DE9" w:rsidP="00EA0CF2">
            <w:pPr>
              <w:jc w:val="center"/>
              <w:rPr>
                <w:sz w:val="20"/>
                <w:szCs w:val="20"/>
              </w:rPr>
            </w:pPr>
            <w:r w:rsidRPr="00EA0CF2">
              <w:rPr>
                <w:sz w:val="20"/>
                <w:szCs w:val="20"/>
              </w:rPr>
              <w:t>26</w:t>
            </w:r>
          </w:p>
        </w:tc>
        <w:tc>
          <w:tcPr>
            <w:tcW w:w="794" w:type="dxa"/>
            <w:tcBorders>
              <w:right w:val="single" w:sz="8" w:space="0" w:color="auto"/>
            </w:tcBorders>
            <w:shd w:val="clear" w:color="auto" w:fill="DDDDDD"/>
          </w:tcPr>
          <w:p w14:paraId="576DB72B" w14:textId="77777777" w:rsidR="006B1DE9" w:rsidRPr="00EA0CF2" w:rsidRDefault="006B1DE9" w:rsidP="00EA0CF2">
            <w:pPr>
              <w:jc w:val="center"/>
              <w:rPr>
                <w:sz w:val="20"/>
                <w:szCs w:val="20"/>
              </w:rPr>
            </w:pPr>
            <w:r w:rsidRPr="00EA0CF2">
              <w:rPr>
                <w:sz w:val="20"/>
                <w:szCs w:val="20"/>
              </w:rPr>
              <w:t>138</w:t>
            </w:r>
          </w:p>
        </w:tc>
      </w:tr>
      <w:tr w:rsidR="006B1DE9" w14:paraId="5CFDBD40" w14:textId="77777777" w:rsidTr="00EA0CF2">
        <w:trPr>
          <w:jc w:val="center"/>
        </w:trPr>
        <w:tc>
          <w:tcPr>
            <w:tcW w:w="2494" w:type="dxa"/>
            <w:tcBorders>
              <w:left w:val="single" w:sz="8" w:space="0" w:color="auto"/>
              <w:bottom w:val="single" w:sz="8" w:space="0" w:color="auto"/>
            </w:tcBorders>
            <w:shd w:val="clear" w:color="auto" w:fill="DDDDDD"/>
          </w:tcPr>
          <w:p w14:paraId="7B8859C9" w14:textId="77777777" w:rsidR="006B1DE9" w:rsidRPr="00EA0CF2" w:rsidRDefault="006B1DE9" w:rsidP="00EA0CF2">
            <w:pPr>
              <w:jc w:val="center"/>
              <w:rPr>
                <w:sz w:val="20"/>
                <w:szCs w:val="20"/>
              </w:rPr>
            </w:pPr>
            <w:r w:rsidRPr="00EA0CF2">
              <w:rPr>
                <w:sz w:val="20"/>
                <w:szCs w:val="20"/>
              </w:rPr>
              <w:t>ROPES program</w:t>
            </w:r>
          </w:p>
        </w:tc>
        <w:tc>
          <w:tcPr>
            <w:tcW w:w="794" w:type="dxa"/>
            <w:tcBorders>
              <w:bottom w:val="single" w:sz="8" w:space="0" w:color="auto"/>
            </w:tcBorders>
          </w:tcPr>
          <w:p w14:paraId="38E98109"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8" w:space="0" w:color="auto"/>
            </w:tcBorders>
          </w:tcPr>
          <w:p w14:paraId="71080A69"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8" w:space="0" w:color="auto"/>
            </w:tcBorders>
          </w:tcPr>
          <w:p w14:paraId="5C845DAC" w14:textId="77777777" w:rsidR="006B1DE9" w:rsidRPr="00EA0CF2" w:rsidRDefault="006B1DE9" w:rsidP="00EA0CF2">
            <w:pPr>
              <w:jc w:val="center"/>
              <w:rPr>
                <w:sz w:val="20"/>
                <w:szCs w:val="20"/>
              </w:rPr>
            </w:pPr>
            <w:r w:rsidRPr="00EA0CF2">
              <w:rPr>
                <w:sz w:val="20"/>
                <w:szCs w:val="20"/>
              </w:rPr>
              <w:t>3</w:t>
            </w:r>
          </w:p>
        </w:tc>
        <w:tc>
          <w:tcPr>
            <w:tcW w:w="794" w:type="dxa"/>
            <w:tcBorders>
              <w:bottom w:val="single" w:sz="8" w:space="0" w:color="auto"/>
              <w:right w:val="single" w:sz="8" w:space="0" w:color="auto"/>
            </w:tcBorders>
          </w:tcPr>
          <w:p w14:paraId="5D0A6F51" w14:textId="77777777" w:rsidR="006B1DE9" w:rsidRPr="00EA0CF2" w:rsidRDefault="006B1DE9" w:rsidP="00EA0CF2">
            <w:pPr>
              <w:jc w:val="center"/>
              <w:rPr>
                <w:sz w:val="20"/>
                <w:szCs w:val="20"/>
              </w:rPr>
            </w:pPr>
            <w:r w:rsidRPr="00EA0CF2">
              <w:rPr>
                <w:sz w:val="20"/>
                <w:szCs w:val="20"/>
              </w:rPr>
              <w:t>30</w:t>
            </w:r>
          </w:p>
        </w:tc>
        <w:tc>
          <w:tcPr>
            <w:tcW w:w="850" w:type="dxa"/>
            <w:tcBorders>
              <w:left w:val="single" w:sz="8" w:space="0" w:color="auto"/>
              <w:bottom w:val="single" w:sz="8" w:space="0" w:color="auto"/>
            </w:tcBorders>
            <w:shd w:val="clear" w:color="auto" w:fill="DDDDDD"/>
          </w:tcPr>
          <w:p w14:paraId="745D5C7A"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8" w:space="0" w:color="auto"/>
            </w:tcBorders>
            <w:shd w:val="clear" w:color="auto" w:fill="DDDDDD"/>
          </w:tcPr>
          <w:p w14:paraId="3CB19D4C"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8" w:space="0" w:color="auto"/>
            </w:tcBorders>
            <w:shd w:val="clear" w:color="auto" w:fill="DDDDDD"/>
          </w:tcPr>
          <w:p w14:paraId="04EC3285" w14:textId="77777777" w:rsidR="006B1DE9" w:rsidRPr="00EA0CF2" w:rsidRDefault="006B1DE9" w:rsidP="00EA0CF2">
            <w:pPr>
              <w:jc w:val="center"/>
              <w:rPr>
                <w:sz w:val="20"/>
                <w:szCs w:val="20"/>
              </w:rPr>
            </w:pPr>
            <w:r w:rsidRPr="00EA0CF2">
              <w:rPr>
                <w:sz w:val="20"/>
                <w:szCs w:val="20"/>
              </w:rPr>
              <w:t>5</w:t>
            </w:r>
          </w:p>
        </w:tc>
        <w:tc>
          <w:tcPr>
            <w:tcW w:w="794" w:type="dxa"/>
            <w:tcBorders>
              <w:bottom w:val="single" w:sz="8" w:space="0" w:color="auto"/>
              <w:right w:val="single" w:sz="8" w:space="0" w:color="auto"/>
            </w:tcBorders>
            <w:shd w:val="clear" w:color="auto" w:fill="DDDDDD"/>
          </w:tcPr>
          <w:p w14:paraId="745ADDD9" w14:textId="77777777" w:rsidR="006B1DE9" w:rsidRPr="00EA0CF2" w:rsidRDefault="006B1DE9" w:rsidP="00EA0CF2">
            <w:pPr>
              <w:jc w:val="center"/>
              <w:rPr>
                <w:sz w:val="20"/>
                <w:szCs w:val="20"/>
              </w:rPr>
            </w:pPr>
            <w:r w:rsidRPr="00EA0CF2">
              <w:rPr>
                <w:sz w:val="20"/>
                <w:szCs w:val="20"/>
              </w:rPr>
              <w:t>32</w:t>
            </w:r>
          </w:p>
        </w:tc>
      </w:tr>
      <w:tr w:rsidR="006B1DE9" w14:paraId="0D361A00" w14:textId="77777777" w:rsidTr="00EA0CF2">
        <w:trPr>
          <w:jc w:val="center"/>
        </w:trPr>
        <w:tc>
          <w:tcPr>
            <w:tcW w:w="2494" w:type="dxa"/>
            <w:tcBorders>
              <w:top w:val="single" w:sz="8" w:space="0" w:color="auto"/>
              <w:left w:val="single" w:sz="8" w:space="0" w:color="auto"/>
            </w:tcBorders>
            <w:shd w:val="clear" w:color="auto" w:fill="DDDDDD"/>
          </w:tcPr>
          <w:p w14:paraId="0D521DFD" w14:textId="77777777" w:rsidR="006B1DE9" w:rsidRPr="00EA0CF2" w:rsidRDefault="006B1DE9" w:rsidP="00EA0CF2">
            <w:pPr>
              <w:jc w:val="center"/>
              <w:rPr>
                <w:sz w:val="20"/>
                <w:szCs w:val="20"/>
              </w:rPr>
            </w:pPr>
            <w:r w:rsidRPr="00EA0CF2">
              <w:rPr>
                <w:color w:val="FF0000"/>
                <w:sz w:val="20"/>
                <w:szCs w:val="20"/>
              </w:rPr>
              <w:t>Proved and dismissed</w:t>
            </w:r>
          </w:p>
        </w:tc>
        <w:tc>
          <w:tcPr>
            <w:tcW w:w="794" w:type="dxa"/>
            <w:tcBorders>
              <w:top w:val="single" w:sz="8" w:space="0" w:color="auto"/>
            </w:tcBorders>
          </w:tcPr>
          <w:p w14:paraId="22552F4E" w14:textId="77777777" w:rsidR="006B1DE9" w:rsidRPr="00EA0CF2" w:rsidRDefault="006B1DE9" w:rsidP="00EA0CF2">
            <w:pPr>
              <w:jc w:val="center"/>
              <w:rPr>
                <w:sz w:val="20"/>
                <w:szCs w:val="20"/>
              </w:rPr>
            </w:pPr>
            <w:r w:rsidRPr="00EA0CF2">
              <w:rPr>
                <w:sz w:val="20"/>
                <w:szCs w:val="20"/>
              </w:rPr>
              <w:t>0</w:t>
            </w:r>
          </w:p>
        </w:tc>
        <w:tc>
          <w:tcPr>
            <w:tcW w:w="794" w:type="dxa"/>
            <w:tcBorders>
              <w:top w:val="single" w:sz="8" w:space="0" w:color="auto"/>
            </w:tcBorders>
          </w:tcPr>
          <w:p w14:paraId="3904863F" w14:textId="77777777" w:rsidR="006B1DE9" w:rsidRPr="00EA0CF2" w:rsidRDefault="006B1DE9" w:rsidP="00EA0CF2">
            <w:pPr>
              <w:jc w:val="center"/>
              <w:rPr>
                <w:sz w:val="20"/>
                <w:szCs w:val="20"/>
              </w:rPr>
            </w:pPr>
            <w:r w:rsidRPr="00EA0CF2">
              <w:rPr>
                <w:sz w:val="20"/>
                <w:szCs w:val="20"/>
              </w:rPr>
              <w:t>0</w:t>
            </w:r>
          </w:p>
        </w:tc>
        <w:tc>
          <w:tcPr>
            <w:tcW w:w="794" w:type="dxa"/>
            <w:tcBorders>
              <w:top w:val="single" w:sz="8" w:space="0" w:color="auto"/>
            </w:tcBorders>
          </w:tcPr>
          <w:p w14:paraId="7D9F0097" w14:textId="77777777" w:rsidR="006B1DE9" w:rsidRPr="00EA0CF2" w:rsidRDefault="006B1DE9" w:rsidP="00EA0CF2">
            <w:pPr>
              <w:jc w:val="center"/>
              <w:rPr>
                <w:sz w:val="20"/>
                <w:szCs w:val="20"/>
              </w:rPr>
            </w:pPr>
            <w:r w:rsidRPr="00EA0CF2">
              <w:rPr>
                <w:sz w:val="20"/>
                <w:szCs w:val="20"/>
              </w:rPr>
              <w:t>0</w:t>
            </w:r>
          </w:p>
        </w:tc>
        <w:tc>
          <w:tcPr>
            <w:tcW w:w="794" w:type="dxa"/>
            <w:tcBorders>
              <w:top w:val="single" w:sz="8" w:space="0" w:color="auto"/>
              <w:right w:val="single" w:sz="8" w:space="0" w:color="auto"/>
            </w:tcBorders>
          </w:tcPr>
          <w:p w14:paraId="57E69BA9" w14:textId="77777777" w:rsidR="006B1DE9" w:rsidRPr="00EA0CF2" w:rsidRDefault="006B1DE9" w:rsidP="00EA0CF2">
            <w:pPr>
              <w:jc w:val="center"/>
              <w:rPr>
                <w:sz w:val="20"/>
                <w:szCs w:val="20"/>
              </w:rPr>
            </w:pPr>
            <w:r w:rsidRPr="00EA0CF2">
              <w:rPr>
                <w:sz w:val="20"/>
                <w:szCs w:val="20"/>
              </w:rPr>
              <w:t>0</w:t>
            </w:r>
          </w:p>
        </w:tc>
        <w:tc>
          <w:tcPr>
            <w:tcW w:w="850" w:type="dxa"/>
            <w:tcBorders>
              <w:top w:val="single" w:sz="8" w:space="0" w:color="auto"/>
              <w:left w:val="single" w:sz="8" w:space="0" w:color="auto"/>
            </w:tcBorders>
            <w:shd w:val="clear" w:color="auto" w:fill="DDDDDD"/>
          </w:tcPr>
          <w:p w14:paraId="44EE9782" w14:textId="77777777" w:rsidR="006B1DE9" w:rsidRPr="00EA0CF2" w:rsidRDefault="006B1DE9" w:rsidP="00EA0CF2">
            <w:pPr>
              <w:jc w:val="center"/>
              <w:rPr>
                <w:sz w:val="20"/>
                <w:szCs w:val="20"/>
              </w:rPr>
            </w:pPr>
            <w:r w:rsidRPr="00EA0CF2">
              <w:rPr>
                <w:color w:val="FF0000"/>
                <w:sz w:val="20"/>
                <w:szCs w:val="20"/>
              </w:rPr>
              <w:t>1</w:t>
            </w:r>
          </w:p>
        </w:tc>
        <w:tc>
          <w:tcPr>
            <w:tcW w:w="794" w:type="dxa"/>
            <w:tcBorders>
              <w:top w:val="single" w:sz="8" w:space="0" w:color="auto"/>
            </w:tcBorders>
            <w:shd w:val="clear" w:color="auto" w:fill="DDDDDD"/>
          </w:tcPr>
          <w:p w14:paraId="10372C66" w14:textId="77777777" w:rsidR="006B1DE9" w:rsidRPr="00EA0CF2" w:rsidRDefault="006B1DE9" w:rsidP="00EA0CF2">
            <w:pPr>
              <w:jc w:val="center"/>
              <w:rPr>
                <w:sz w:val="20"/>
                <w:szCs w:val="20"/>
              </w:rPr>
            </w:pPr>
            <w:r w:rsidRPr="00EA0CF2">
              <w:rPr>
                <w:sz w:val="20"/>
                <w:szCs w:val="20"/>
              </w:rPr>
              <w:t>0</w:t>
            </w:r>
          </w:p>
        </w:tc>
        <w:tc>
          <w:tcPr>
            <w:tcW w:w="794" w:type="dxa"/>
            <w:tcBorders>
              <w:top w:val="single" w:sz="8" w:space="0" w:color="auto"/>
            </w:tcBorders>
            <w:shd w:val="clear" w:color="auto" w:fill="DDDDDD"/>
          </w:tcPr>
          <w:p w14:paraId="2FAEF430" w14:textId="77777777" w:rsidR="006B1DE9" w:rsidRPr="00EA0CF2" w:rsidRDefault="006B1DE9" w:rsidP="00EA0CF2">
            <w:pPr>
              <w:jc w:val="center"/>
              <w:rPr>
                <w:sz w:val="20"/>
                <w:szCs w:val="20"/>
              </w:rPr>
            </w:pPr>
            <w:r w:rsidRPr="00EA0CF2">
              <w:rPr>
                <w:color w:val="FF0000"/>
                <w:sz w:val="20"/>
                <w:szCs w:val="20"/>
              </w:rPr>
              <w:t>1</w:t>
            </w:r>
          </w:p>
        </w:tc>
        <w:tc>
          <w:tcPr>
            <w:tcW w:w="794" w:type="dxa"/>
            <w:tcBorders>
              <w:top w:val="single" w:sz="8" w:space="0" w:color="auto"/>
              <w:right w:val="single" w:sz="8" w:space="0" w:color="auto"/>
            </w:tcBorders>
            <w:shd w:val="clear" w:color="auto" w:fill="DDDDDD"/>
          </w:tcPr>
          <w:p w14:paraId="65DA9294" w14:textId="77777777" w:rsidR="006B1DE9" w:rsidRPr="00EA0CF2" w:rsidRDefault="006B1DE9" w:rsidP="00EA0CF2">
            <w:pPr>
              <w:jc w:val="center"/>
              <w:rPr>
                <w:sz w:val="20"/>
                <w:szCs w:val="20"/>
              </w:rPr>
            </w:pPr>
            <w:r w:rsidRPr="00EA0CF2">
              <w:rPr>
                <w:color w:val="FF0000"/>
                <w:sz w:val="20"/>
                <w:szCs w:val="20"/>
              </w:rPr>
              <w:t>7</w:t>
            </w:r>
          </w:p>
        </w:tc>
      </w:tr>
      <w:tr w:rsidR="006B1DE9" w14:paraId="4D154205" w14:textId="77777777" w:rsidTr="00EA0CF2">
        <w:trPr>
          <w:jc w:val="center"/>
        </w:trPr>
        <w:tc>
          <w:tcPr>
            <w:tcW w:w="2494" w:type="dxa"/>
            <w:tcBorders>
              <w:left w:val="single" w:sz="8" w:space="0" w:color="auto"/>
              <w:bottom w:val="single" w:sz="4" w:space="0" w:color="auto"/>
            </w:tcBorders>
            <w:shd w:val="clear" w:color="auto" w:fill="DDDDDD"/>
          </w:tcPr>
          <w:p w14:paraId="6F902A7E" w14:textId="77777777" w:rsidR="006B1DE9" w:rsidRPr="00EA0CF2" w:rsidRDefault="006B1DE9" w:rsidP="00EA0CF2">
            <w:pPr>
              <w:jc w:val="center"/>
              <w:rPr>
                <w:sz w:val="20"/>
                <w:szCs w:val="20"/>
              </w:rPr>
            </w:pPr>
            <w:r w:rsidRPr="00EA0CF2">
              <w:rPr>
                <w:color w:val="FF0000"/>
                <w:sz w:val="20"/>
                <w:szCs w:val="20"/>
              </w:rPr>
              <w:t>Undertaking</w:t>
            </w:r>
          </w:p>
        </w:tc>
        <w:tc>
          <w:tcPr>
            <w:tcW w:w="794" w:type="dxa"/>
            <w:tcBorders>
              <w:bottom w:val="single" w:sz="4" w:space="0" w:color="auto"/>
            </w:tcBorders>
          </w:tcPr>
          <w:p w14:paraId="08BB2255"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tcPr>
          <w:p w14:paraId="0E20C26A" w14:textId="77777777" w:rsidR="006B1DE9" w:rsidRPr="00EA0CF2" w:rsidRDefault="006B1DE9" w:rsidP="00EA0CF2">
            <w:pPr>
              <w:jc w:val="center"/>
              <w:rPr>
                <w:sz w:val="20"/>
                <w:szCs w:val="20"/>
              </w:rPr>
            </w:pPr>
            <w:r w:rsidRPr="00EA0CF2">
              <w:rPr>
                <w:color w:val="FF0000"/>
                <w:sz w:val="20"/>
                <w:szCs w:val="20"/>
              </w:rPr>
              <w:t>1</w:t>
            </w:r>
          </w:p>
        </w:tc>
        <w:tc>
          <w:tcPr>
            <w:tcW w:w="794" w:type="dxa"/>
            <w:tcBorders>
              <w:bottom w:val="single" w:sz="4" w:space="0" w:color="auto"/>
            </w:tcBorders>
          </w:tcPr>
          <w:p w14:paraId="19CF2471" w14:textId="77777777" w:rsidR="006B1DE9" w:rsidRPr="00EA0CF2" w:rsidRDefault="006B1DE9" w:rsidP="00EA0CF2">
            <w:pPr>
              <w:jc w:val="center"/>
              <w:rPr>
                <w:sz w:val="20"/>
                <w:szCs w:val="20"/>
              </w:rPr>
            </w:pPr>
            <w:r w:rsidRPr="00EA0CF2">
              <w:rPr>
                <w:color w:val="FF0000"/>
                <w:sz w:val="20"/>
                <w:szCs w:val="20"/>
              </w:rPr>
              <w:t>2</w:t>
            </w:r>
          </w:p>
        </w:tc>
        <w:tc>
          <w:tcPr>
            <w:tcW w:w="794" w:type="dxa"/>
            <w:tcBorders>
              <w:bottom w:val="single" w:sz="4" w:space="0" w:color="auto"/>
              <w:right w:val="single" w:sz="8" w:space="0" w:color="auto"/>
            </w:tcBorders>
          </w:tcPr>
          <w:p w14:paraId="3AB5C4EA" w14:textId="77777777" w:rsidR="006B1DE9" w:rsidRPr="00EA0CF2" w:rsidRDefault="006B1DE9" w:rsidP="00EA0CF2">
            <w:pPr>
              <w:jc w:val="center"/>
              <w:rPr>
                <w:sz w:val="20"/>
                <w:szCs w:val="20"/>
              </w:rPr>
            </w:pPr>
            <w:r w:rsidRPr="00EA0CF2">
              <w:rPr>
                <w:color w:val="FF0000"/>
                <w:sz w:val="20"/>
                <w:szCs w:val="20"/>
              </w:rPr>
              <w:t>10</w:t>
            </w:r>
          </w:p>
        </w:tc>
        <w:tc>
          <w:tcPr>
            <w:tcW w:w="850" w:type="dxa"/>
            <w:tcBorders>
              <w:left w:val="single" w:sz="8" w:space="0" w:color="auto"/>
              <w:bottom w:val="single" w:sz="4" w:space="0" w:color="auto"/>
            </w:tcBorders>
            <w:shd w:val="clear" w:color="auto" w:fill="DDDDDD"/>
          </w:tcPr>
          <w:p w14:paraId="6A5011E2"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shd w:val="clear" w:color="auto" w:fill="DDDDDD"/>
          </w:tcPr>
          <w:p w14:paraId="1CCAF2E1"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shd w:val="clear" w:color="auto" w:fill="DDDDDD"/>
          </w:tcPr>
          <w:p w14:paraId="30D46B2B" w14:textId="77777777" w:rsidR="006B1DE9" w:rsidRPr="00EA0CF2" w:rsidRDefault="006B1DE9" w:rsidP="00EA0CF2">
            <w:pPr>
              <w:jc w:val="center"/>
              <w:rPr>
                <w:sz w:val="20"/>
                <w:szCs w:val="20"/>
              </w:rPr>
            </w:pPr>
            <w:r w:rsidRPr="00EA0CF2">
              <w:rPr>
                <w:color w:val="FF0000"/>
                <w:sz w:val="20"/>
                <w:szCs w:val="20"/>
              </w:rPr>
              <w:t>2</w:t>
            </w:r>
          </w:p>
        </w:tc>
        <w:tc>
          <w:tcPr>
            <w:tcW w:w="794" w:type="dxa"/>
            <w:tcBorders>
              <w:bottom w:val="single" w:sz="4" w:space="0" w:color="auto"/>
              <w:right w:val="single" w:sz="8" w:space="0" w:color="auto"/>
            </w:tcBorders>
            <w:shd w:val="clear" w:color="auto" w:fill="DDDDDD"/>
          </w:tcPr>
          <w:p w14:paraId="60202AC2" w14:textId="77777777" w:rsidR="006B1DE9" w:rsidRPr="00EA0CF2" w:rsidRDefault="006B1DE9" w:rsidP="00EA0CF2">
            <w:pPr>
              <w:jc w:val="center"/>
              <w:rPr>
                <w:sz w:val="20"/>
                <w:szCs w:val="20"/>
              </w:rPr>
            </w:pPr>
            <w:r w:rsidRPr="00EA0CF2">
              <w:rPr>
                <w:color w:val="FF0000"/>
                <w:sz w:val="20"/>
                <w:szCs w:val="20"/>
              </w:rPr>
              <w:t>7</w:t>
            </w:r>
          </w:p>
        </w:tc>
      </w:tr>
      <w:tr w:rsidR="006B1DE9" w14:paraId="4A7BEC70" w14:textId="77777777" w:rsidTr="00EA0CF2">
        <w:trPr>
          <w:jc w:val="center"/>
        </w:trPr>
        <w:tc>
          <w:tcPr>
            <w:tcW w:w="2494" w:type="dxa"/>
            <w:tcBorders>
              <w:left w:val="single" w:sz="8" w:space="0" w:color="auto"/>
            </w:tcBorders>
            <w:shd w:val="clear" w:color="auto" w:fill="DDDDDD"/>
          </w:tcPr>
          <w:p w14:paraId="4392A916" w14:textId="77777777" w:rsidR="006B1DE9" w:rsidRPr="00EA0CF2" w:rsidRDefault="006B1DE9" w:rsidP="00EA0CF2">
            <w:pPr>
              <w:jc w:val="center"/>
              <w:rPr>
                <w:sz w:val="20"/>
                <w:szCs w:val="20"/>
              </w:rPr>
            </w:pPr>
            <w:r w:rsidRPr="00EA0CF2">
              <w:rPr>
                <w:color w:val="FF0000"/>
                <w:sz w:val="20"/>
                <w:szCs w:val="20"/>
              </w:rPr>
              <w:t>Good behaviour bond</w:t>
            </w:r>
          </w:p>
        </w:tc>
        <w:tc>
          <w:tcPr>
            <w:tcW w:w="794" w:type="dxa"/>
          </w:tcPr>
          <w:p w14:paraId="6C6D80B7" w14:textId="77777777" w:rsidR="006B1DE9" w:rsidRPr="00EA0CF2" w:rsidRDefault="006B1DE9" w:rsidP="00EA0CF2">
            <w:pPr>
              <w:jc w:val="center"/>
              <w:rPr>
                <w:sz w:val="20"/>
                <w:szCs w:val="20"/>
              </w:rPr>
            </w:pPr>
            <w:r w:rsidRPr="00EA0CF2">
              <w:rPr>
                <w:sz w:val="20"/>
                <w:szCs w:val="20"/>
              </w:rPr>
              <w:t>0</w:t>
            </w:r>
          </w:p>
        </w:tc>
        <w:tc>
          <w:tcPr>
            <w:tcW w:w="794" w:type="dxa"/>
          </w:tcPr>
          <w:p w14:paraId="3FEFD083" w14:textId="77777777" w:rsidR="006B1DE9" w:rsidRPr="00EA0CF2" w:rsidRDefault="006B1DE9" w:rsidP="00EA0CF2">
            <w:pPr>
              <w:jc w:val="center"/>
              <w:rPr>
                <w:sz w:val="20"/>
                <w:szCs w:val="20"/>
              </w:rPr>
            </w:pPr>
            <w:r w:rsidRPr="00EA0CF2">
              <w:rPr>
                <w:sz w:val="20"/>
                <w:szCs w:val="20"/>
              </w:rPr>
              <w:t>0</w:t>
            </w:r>
          </w:p>
        </w:tc>
        <w:tc>
          <w:tcPr>
            <w:tcW w:w="794" w:type="dxa"/>
          </w:tcPr>
          <w:p w14:paraId="6E1EF7F2" w14:textId="77777777" w:rsidR="006B1DE9" w:rsidRPr="00EA0CF2" w:rsidRDefault="006B1DE9" w:rsidP="00EA0CF2">
            <w:pPr>
              <w:jc w:val="center"/>
              <w:rPr>
                <w:sz w:val="20"/>
                <w:szCs w:val="20"/>
              </w:rPr>
            </w:pPr>
            <w:r w:rsidRPr="00EA0CF2">
              <w:rPr>
                <w:color w:val="FF0000"/>
                <w:sz w:val="20"/>
                <w:szCs w:val="20"/>
              </w:rPr>
              <w:t>9</w:t>
            </w:r>
          </w:p>
        </w:tc>
        <w:tc>
          <w:tcPr>
            <w:tcW w:w="794" w:type="dxa"/>
            <w:tcBorders>
              <w:right w:val="single" w:sz="8" w:space="0" w:color="auto"/>
            </w:tcBorders>
          </w:tcPr>
          <w:p w14:paraId="351AEE42" w14:textId="77777777" w:rsidR="006B1DE9" w:rsidRPr="00EA0CF2" w:rsidRDefault="006B1DE9" w:rsidP="00EA0CF2">
            <w:pPr>
              <w:jc w:val="center"/>
              <w:rPr>
                <w:sz w:val="20"/>
                <w:szCs w:val="20"/>
              </w:rPr>
            </w:pPr>
            <w:r w:rsidRPr="00EA0CF2">
              <w:rPr>
                <w:color w:val="FF0000"/>
                <w:sz w:val="20"/>
                <w:szCs w:val="20"/>
              </w:rPr>
              <w:t>33</w:t>
            </w:r>
          </w:p>
        </w:tc>
        <w:tc>
          <w:tcPr>
            <w:tcW w:w="850" w:type="dxa"/>
            <w:tcBorders>
              <w:left w:val="single" w:sz="8" w:space="0" w:color="auto"/>
            </w:tcBorders>
            <w:shd w:val="clear" w:color="auto" w:fill="DDDDDD"/>
          </w:tcPr>
          <w:p w14:paraId="653330D1" w14:textId="77777777" w:rsidR="006B1DE9" w:rsidRPr="00EA0CF2" w:rsidRDefault="006B1DE9" w:rsidP="00EA0CF2">
            <w:pPr>
              <w:jc w:val="center"/>
              <w:rPr>
                <w:sz w:val="20"/>
                <w:szCs w:val="20"/>
              </w:rPr>
            </w:pPr>
            <w:r w:rsidRPr="00EA0CF2">
              <w:rPr>
                <w:sz w:val="20"/>
                <w:szCs w:val="20"/>
              </w:rPr>
              <w:t>0</w:t>
            </w:r>
          </w:p>
        </w:tc>
        <w:tc>
          <w:tcPr>
            <w:tcW w:w="794" w:type="dxa"/>
            <w:shd w:val="clear" w:color="auto" w:fill="DDDDDD"/>
          </w:tcPr>
          <w:p w14:paraId="77E4AFC4" w14:textId="77777777" w:rsidR="006B1DE9" w:rsidRPr="00EA0CF2" w:rsidRDefault="006B1DE9" w:rsidP="00EA0CF2">
            <w:pPr>
              <w:jc w:val="center"/>
              <w:rPr>
                <w:sz w:val="20"/>
                <w:szCs w:val="20"/>
              </w:rPr>
            </w:pPr>
            <w:r w:rsidRPr="00EA0CF2">
              <w:rPr>
                <w:color w:val="FF0000"/>
                <w:sz w:val="20"/>
                <w:szCs w:val="20"/>
              </w:rPr>
              <w:t>2</w:t>
            </w:r>
          </w:p>
        </w:tc>
        <w:tc>
          <w:tcPr>
            <w:tcW w:w="794" w:type="dxa"/>
            <w:shd w:val="clear" w:color="auto" w:fill="DDDDDD"/>
          </w:tcPr>
          <w:p w14:paraId="1B37FD59" w14:textId="77777777" w:rsidR="006B1DE9" w:rsidRPr="00EA0CF2" w:rsidRDefault="006B1DE9" w:rsidP="00EA0CF2">
            <w:pPr>
              <w:jc w:val="center"/>
              <w:rPr>
                <w:sz w:val="20"/>
                <w:szCs w:val="20"/>
              </w:rPr>
            </w:pPr>
            <w:r w:rsidRPr="00EA0CF2">
              <w:rPr>
                <w:color w:val="FF0000"/>
                <w:sz w:val="20"/>
                <w:szCs w:val="20"/>
              </w:rPr>
              <w:t>8</w:t>
            </w:r>
          </w:p>
        </w:tc>
        <w:tc>
          <w:tcPr>
            <w:tcW w:w="794" w:type="dxa"/>
            <w:tcBorders>
              <w:right w:val="single" w:sz="8" w:space="0" w:color="auto"/>
            </w:tcBorders>
            <w:shd w:val="clear" w:color="auto" w:fill="DDDDDD"/>
          </w:tcPr>
          <w:p w14:paraId="4DFEFEA5" w14:textId="77777777" w:rsidR="006B1DE9" w:rsidRPr="00EA0CF2" w:rsidRDefault="006B1DE9" w:rsidP="00EA0CF2">
            <w:pPr>
              <w:jc w:val="center"/>
              <w:rPr>
                <w:sz w:val="20"/>
                <w:szCs w:val="20"/>
              </w:rPr>
            </w:pPr>
            <w:r w:rsidRPr="00EA0CF2">
              <w:rPr>
                <w:color w:val="FF0000"/>
                <w:sz w:val="20"/>
                <w:szCs w:val="20"/>
              </w:rPr>
              <w:t>45</w:t>
            </w:r>
          </w:p>
        </w:tc>
      </w:tr>
      <w:tr w:rsidR="006B1DE9" w14:paraId="6772A8CD" w14:textId="77777777" w:rsidTr="00EA0CF2">
        <w:trPr>
          <w:jc w:val="center"/>
        </w:trPr>
        <w:tc>
          <w:tcPr>
            <w:tcW w:w="2494" w:type="dxa"/>
            <w:tcBorders>
              <w:left w:val="single" w:sz="8" w:space="0" w:color="auto"/>
            </w:tcBorders>
            <w:shd w:val="clear" w:color="auto" w:fill="DDDDDD"/>
          </w:tcPr>
          <w:p w14:paraId="0F2A5F21" w14:textId="77777777" w:rsidR="006B1DE9" w:rsidRPr="00EA0CF2" w:rsidRDefault="006B1DE9" w:rsidP="00EA0CF2">
            <w:pPr>
              <w:jc w:val="center"/>
              <w:rPr>
                <w:sz w:val="20"/>
                <w:szCs w:val="20"/>
              </w:rPr>
            </w:pPr>
            <w:r w:rsidRPr="00EA0CF2">
              <w:rPr>
                <w:color w:val="FF0000"/>
                <w:sz w:val="20"/>
                <w:szCs w:val="20"/>
              </w:rPr>
              <w:t>Fine</w:t>
            </w:r>
          </w:p>
        </w:tc>
        <w:tc>
          <w:tcPr>
            <w:tcW w:w="794" w:type="dxa"/>
          </w:tcPr>
          <w:p w14:paraId="679031AE" w14:textId="77777777" w:rsidR="006B1DE9" w:rsidRPr="00EA0CF2" w:rsidRDefault="006B1DE9" w:rsidP="00EA0CF2">
            <w:pPr>
              <w:jc w:val="center"/>
              <w:rPr>
                <w:sz w:val="20"/>
                <w:szCs w:val="20"/>
              </w:rPr>
            </w:pPr>
            <w:r w:rsidRPr="00EA0CF2">
              <w:rPr>
                <w:sz w:val="20"/>
                <w:szCs w:val="20"/>
              </w:rPr>
              <w:t>0</w:t>
            </w:r>
          </w:p>
        </w:tc>
        <w:tc>
          <w:tcPr>
            <w:tcW w:w="794" w:type="dxa"/>
          </w:tcPr>
          <w:p w14:paraId="21CEBEFF" w14:textId="77777777" w:rsidR="006B1DE9" w:rsidRPr="00EA0CF2" w:rsidRDefault="006B1DE9" w:rsidP="00EA0CF2">
            <w:pPr>
              <w:jc w:val="center"/>
              <w:rPr>
                <w:sz w:val="20"/>
                <w:szCs w:val="20"/>
              </w:rPr>
            </w:pPr>
            <w:r w:rsidRPr="00EA0CF2">
              <w:rPr>
                <w:sz w:val="20"/>
                <w:szCs w:val="20"/>
              </w:rPr>
              <w:t>0</w:t>
            </w:r>
          </w:p>
        </w:tc>
        <w:tc>
          <w:tcPr>
            <w:tcW w:w="794" w:type="dxa"/>
          </w:tcPr>
          <w:p w14:paraId="13820DDD" w14:textId="77777777" w:rsidR="006B1DE9" w:rsidRPr="00EA0CF2" w:rsidRDefault="006B1DE9" w:rsidP="00EA0CF2">
            <w:pPr>
              <w:jc w:val="center"/>
              <w:rPr>
                <w:sz w:val="20"/>
                <w:szCs w:val="20"/>
              </w:rPr>
            </w:pPr>
            <w:r w:rsidRPr="00EA0CF2">
              <w:rPr>
                <w:sz w:val="20"/>
                <w:szCs w:val="20"/>
              </w:rPr>
              <w:t>0</w:t>
            </w:r>
          </w:p>
        </w:tc>
        <w:tc>
          <w:tcPr>
            <w:tcW w:w="794" w:type="dxa"/>
            <w:tcBorders>
              <w:right w:val="single" w:sz="8" w:space="0" w:color="auto"/>
            </w:tcBorders>
          </w:tcPr>
          <w:p w14:paraId="7F5A86DC" w14:textId="77777777" w:rsidR="006B1DE9" w:rsidRPr="00EA0CF2" w:rsidRDefault="006B1DE9" w:rsidP="00EA0CF2">
            <w:pPr>
              <w:jc w:val="center"/>
              <w:rPr>
                <w:sz w:val="20"/>
                <w:szCs w:val="20"/>
              </w:rPr>
            </w:pPr>
            <w:r w:rsidRPr="00EA0CF2">
              <w:rPr>
                <w:sz w:val="20"/>
                <w:szCs w:val="20"/>
              </w:rPr>
              <w:t>0</w:t>
            </w:r>
          </w:p>
        </w:tc>
        <w:tc>
          <w:tcPr>
            <w:tcW w:w="850" w:type="dxa"/>
            <w:tcBorders>
              <w:left w:val="single" w:sz="8" w:space="0" w:color="auto"/>
            </w:tcBorders>
            <w:shd w:val="clear" w:color="auto" w:fill="DDDDDD"/>
          </w:tcPr>
          <w:p w14:paraId="4EF4B33C" w14:textId="77777777" w:rsidR="006B1DE9" w:rsidRPr="00EA0CF2" w:rsidRDefault="006B1DE9" w:rsidP="00EA0CF2">
            <w:pPr>
              <w:jc w:val="center"/>
              <w:rPr>
                <w:sz w:val="20"/>
                <w:szCs w:val="20"/>
              </w:rPr>
            </w:pPr>
            <w:r w:rsidRPr="00EA0CF2">
              <w:rPr>
                <w:sz w:val="20"/>
                <w:szCs w:val="20"/>
              </w:rPr>
              <w:t>0</w:t>
            </w:r>
          </w:p>
        </w:tc>
        <w:tc>
          <w:tcPr>
            <w:tcW w:w="794" w:type="dxa"/>
            <w:shd w:val="clear" w:color="auto" w:fill="DDDDDD"/>
          </w:tcPr>
          <w:p w14:paraId="1C8CF4D1" w14:textId="77777777" w:rsidR="006B1DE9" w:rsidRPr="00EA0CF2" w:rsidRDefault="006B1DE9" w:rsidP="00EA0CF2">
            <w:pPr>
              <w:jc w:val="center"/>
              <w:rPr>
                <w:sz w:val="20"/>
                <w:szCs w:val="20"/>
              </w:rPr>
            </w:pPr>
            <w:r w:rsidRPr="00EA0CF2">
              <w:rPr>
                <w:sz w:val="20"/>
                <w:szCs w:val="20"/>
              </w:rPr>
              <w:t>0</w:t>
            </w:r>
          </w:p>
        </w:tc>
        <w:tc>
          <w:tcPr>
            <w:tcW w:w="794" w:type="dxa"/>
            <w:shd w:val="clear" w:color="auto" w:fill="DDDDDD"/>
          </w:tcPr>
          <w:p w14:paraId="6698BE9B" w14:textId="77777777" w:rsidR="006B1DE9" w:rsidRPr="00EA0CF2" w:rsidRDefault="006B1DE9" w:rsidP="00EA0CF2">
            <w:pPr>
              <w:jc w:val="center"/>
              <w:rPr>
                <w:sz w:val="20"/>
                <w:szCs w:val="20"/>
              </w:rPr>
            </w:pPr>
            <w:r w:rsidRPr="00EA0CF2">
              <w:rPr>
                <w:sz w:val="20"/>
                <w:szCs w:val="20"/>
              </w:rPr>
              <w:t>0</w:t>
            </w:r>
          </w:p>
        </w:tc>
        <w:tc>
          <w:tcPr>
            <w:tcW w:w="794" w:type="dxa"/>
            <w:tcBorders>
              <w:right w:val="single" w:sz="8" w:space="0" w:color="auto"/>
            </w:tcBorders>
            <w:shd w:val="clear" w:color="auto" w:fill="DDDDDD"/>
          </w:tcPr>
          <w:p w14:paraId="0CD5217E" w14:textId="77777777" w:rsidR="006B1DE9" w:rsidRPr="00EA0CF2" w:rsidRDefault="006B1DE9" w:rsidP="00EA0CF2">
            <w:pPr>
              <w:jc w:val="center"/>
              <w:rPr>
                <w:sz w:val="20"/>
                <w:szCs w:val="20"/>
              </w:rPr>
            </w:pPr>
            <w:r w:rsidRPr="00EA0CF2">
              <w:rPr>
                <w:color w:val="FF0000"/>
                <w:sz w:val="20"/>
                <w:szCs w:val="20"/>
              </w:rPr>
              <w:t>1</w:t>
            </w:r>
          </w:p>
        </w:tc>
      </w:tr>
      <w:tr w:rsidR="006B1DE9" w14:paraId="38D3ADF0" w14:textId="77777777" w:rsidTr="00EA0CF2">
        <w:trPr>
          <w:jc w:val="center"/>
        </w:trPr>
        <w:tc>
          <w:tcPr>
            <w:tcW w:w="2494" w:type="dxa"/>
            <w:tcBorders>
              <w:left w:val="single" w:sz="8" w:space="0" w:color="auto"/>
              <w:bottom w:val="single" w:sz="4" w:space="0" w:color="auto"/>
            </w:tcBorders>
            <w:shd w:val="clear" w:color="auto" w:fill="DDDDDD"/>
          </w:tcPr>
          <w:p w14:paraId="34C2ABFF" w14:textId="77777777" w:rsidR="006B1DE9" w:rsidRPr="00EA0CF2" w:rsidRDefault="006B1DE9" w:rsidP="00EA0CF2">
            <w:pPr>
              <w:jc w:val="center"/>
              <w:rPr>
                <w:sz w:val="20"/>
                <w:szCs w:val="20"/>
              </w:rPr>
            </w:pPr>
            <w:r w:rsidRPr="00EA0CF2">
              <w:rPr>
                <w:color w:val="FF0000"/>
                <w:sz w:val="20"/>
                <w:szCs w:val="20"/>
              </w:rPr>
              <w:t>Probation</w:t>
            </w:r>
          </w:p>
        </w:tc>
        <w:tc>
          <w:tcPr>
            <w:tcW w:w="794" w:type="dxa"/>
            <w:tcBorders>
              <w:bottom w:val="single" w:sz="4" w:space="0" w:color="auto"/>
            </w:tcBorders>
          </w:tcPr>
          <w:p w14:paraId="2B4D2237"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tcPr>
          <w:p w14:paraId="492663E2" w14:textId="77777777" w:rsidR="006B1DE9" w:rsidRPr="00EA0CF2" w:rsidRDefault="006B1DE9" w:rsidP="00EA0CF2">
            <w:pPr>
              <w:jc w:val="center"/>
              <w:rPr>
                <w:sz w:val="20"/>
                <w:szCs w:val="20"/>
              </w:rPr>
            </w:pPr>
            <w:r w:rsidRPr="00EA0CF2">
              <w:rPr>
                <w:color w:val="FF0000"/>
                <w:sz w:val="20"/>
                <w:szCs w:val="20"/>
              </w:rPr>
              <w:t>1</w:t>
            </w:r>
          </w:p>
        </w:tc>
        <w:tc>
          <w:tcPr>
            <w:tcW w:w="794" w:type="dxa"/>
            <w:tcBorders>
              <w:bottom w:val="single" w:sz="4" w:space="0" w:color="auto"/>
            </w:tcBorders>
          </w:tcPr>
          <w:p w14:paraId="60D2AF04" w14:textId="77777777" w:rsidR="006B1DE9" w:rsidRPr="00EA0CF2" w:rsidRDefault="006B1DE9" w:rsidP="00EA0CF2">
            <w:pPr>
              <w:jc w:val="center"/>
              <w:rPr>
                <w:sz w:val="20"/>
                <w:szCs w:val="20"/>
              </w:rPr>
            </w:pPr>
            <w:r w:rsidRPr="00EA0CF2">
              <w:rPr>
                <w:color w:val="FF0000"/>
                <w:sz w:val="20"/>
                <w:szCs w:val="20"/>
              </w:rPr>
              <w:t>3</w:t>
            </w:r>
          </w:p>
        </w:tc>
        <w:tc>
          <w:tcPr>
            <w:tcW w:w="794" w:type="dxa"/>
            <w:tcBorders>
              <w:bottom w:val="single" w:sz="4" w:space="0" w:color="auto"/>
              <w:right w:val="single" w:sz="8" w:space="0" w:color="auto"/>
            </w:tcBorders>
          </w:tcPr>
          <w:p w14:paraId="0D910519" w14:textId="77777777" w:rsidR="006B1DE9" w:rsidRPr="00EA0CF2" w:rsidRDefault="006B1DE9" w:rsidP="00EA0CF2">
            <w:pPr>
              <w:jc w:val="center"/>
              <w:rPr>
                <w:sz w:val="20"/>
                <w:szCs w:val="20"/>
              </w:rPr>
            </w:pPr>
            <w:r w:rsidRPr="00EA0CF2">
              <w:rPr>
                <w:color w:val="FF0000"/>
                <w:sz w:val="20"/>
                <w:szCs w:val="20"/>
              </w:rPr>
              <w:t>29</w:t>
            </w:r>
          </w:p>
        </w:tc>
        <w:tc>
          <w:tcPr>
            <w:tcW w:w="850" w:type="dxa"/>
            <w:tcBorders>
              <w:left w:val="single" w:sz="8" w:space="0" w:color="auto"/>
              <w:bottom w:val="single" w:sz="4" w:space="0" w:color="auto"/>
            </w:tcBorders>
            <w:shd w:val="clear" w:color="auto" w:fill="DDDDDD"/>
          </w:tcPr>
          <w:p w14:paraId="0F7D3EFE" w14:textId="77777777" w:rsidR="006B1DE9" w:rsidRPr="00EA0CF2" w:rsidRDefault="006B1DE9" w:rsidP="00EA0CF2">
            <w:pPr>
              <w:jc w:val="center"/>
              <w:rPr>
                <w:sz w:val="20"/>
                <w:szCs w:val="20"/>
              </w:rPr>
            </w:pPr>
            <w:r w:rsidRPr="00EA0CF2">
              <w:rPr>
                <w:color w:val="FF0000"/>
                <w:sz w:val="20"/>
                <w:szCs w:val="20"/>
              </w:rPr>
              <w:t>1</w:t>
            </w:r>
          </w:p>
        </w:tc>
        <w:tc>
          <w:tcPr>
            <w:tcW w:w="794" w:type="dxa"/>
            <w:tcBorders>
              <w:bottom w:val="single" w:sz="4" w:space="0" w:color="auto"/>
            </w:tcBorders>
            <w:shd w:val="clear" w:color="auto" w:fill="DDDDDD"/>
          </w:tcPr>
          <w:p w14:paraId="52E63E82" w14:textId="77777777" w:rsidR="006B1DE9" w:rsidRPr="00EA0CF2" w:rsidRDefault="006B1DE9" w:rsidP="00EA0CF2">
            <w:pPr>
              <w:jc w:val="center"/>
              <w:rPr>
                <w:sz w:val="20"/>
                <w:szCs w:val="20"/>
              </w:rPr>
            </w:pPr>
            <w:r w:rsidRPr="00EA0CF2">
              <w:rPr>
                <w:color w:val="FF0000"/>
                <w:sz w:val="20"/>
                <w:szCs w:val="20"/>
              </w:rPr>
              <w:t>1</w:t>
            </w:r>
          </w:p>
        </w:tc>
        <w:tc>
          <w:tcPr>
            <w:tcW w:w="794" w:type="dxa"/>
            <w:tcBorders>
              <w:bottom w:val="single" w:sz="4" w:space="0" w:color="auto"/>
            </w:tcBorders>
            <w:shd w:val="clear" w:color="auto" w:fill="DDDDDD"/>
          </w:tcPr>
          <w:p w14:paraId="65F8EFD2" w14:textId="77777777" w:rsidR="006B1DE9" w:rsidRPr="00EA0CF2" w:rsidRDefault="006B1DE9" w:rsidP="00EA0CF2">
            <w:pPr>
              <w:jc w:val="center"/>
              <w:rPr>
                <w:sz w:val="20"/>
                <w:szCs w:val="20"/>
              </w:rPr>
            </w:pPr>
            <w:r w:rsidRPr="00EA0CF2">
              <w:rPr>
                <w:color w:val="FF0000"/>
                <w:sz w:val="20"/>
                <w:szCs w:val="20"/>
              </w:rPr>
              <w:t>13</w:t>
            </w:r>
          </w:p>
        </w:tc>
        <w:tc>
          <w:tcPr>
            <w:tcW w:w="794" w:type="dxa"/>
            <w:tcBorders>
              <w:bottom w:val="single" w:sz="4" w:space="0" w:color="auto"/>
              <w:right w:val="single" w:sz="8" w:space="0" w:color="auto"/>
            </w:tcBorders>
            <w:shd w:val="clear" w:color="auto" w:fill="DDDDDD"/>
          </w:tcPr>
          <w:p w14:paraId="1A152907" w14:textId="77777777" w:rsidR="006B1DE9" w:rsidRPr="00EA0CF2" w:rsidRDefault="006B1DE9" w:rsidP="00EA0CF2">
            <w:pPr>
              <w:jc w:val="center"/>
              <w:rPr>
                <w:sz w:val="20"/>
                <w:szCs w:val="20"/>
              </w:rPr>
            </w:pPr>
            <w:r w:rsidRPr="00EA0CF2">
              <w:rPr>
                <w:color w:val="FF0000"/>
                <w:sz w:val="20"/>
                <w:szCs w:val="20"/>
              </w:rPr>
              <w:t>46</w:t>
            </w:r>
          </w:p>
        </w:tc>
      </w:tr>
      <w:tr w:rsidR="006B1DE9" w14:paraId="57EC189E" w14:textId="77777777" w:rsidTr="00EA0CF2">
        <w:trPr>
          <w:jc w:val="center"/>
        </w:trPr>
        <w:tc>
          <w:tcPr>
            <w:tcW w:w="2494" w:type="dxa"/>
            <w:tcBorders>
              <w:left w:val="single" w:sz="8" w:space="0" w:color="auto"/>
              <w:bottom w:val="single" w:sz="4" w:space="0" w:color="auto"/>
            </w:tcBorders>
            <w:shd w:val="clear" w:color="auto" w:fill="DDDDDD"/>
          </w:tcPr>
          <w:p w14:paraId="2BC4931A" w14:textId="77777777" w:rsidR="006B1DE9" w:rsidRPr="00EA0CF2" w:rsidRDefault="006B1DE9" w:rsidP="00EA0CF2">
            <w:pPr>
              <w:jc w:val="center"/>
              <w:rPr>
                <w:color w:val="FF0000"/>
                <w:sz w:val="20"/>
                <w:szCs w:val="20"/>
              </w:rPr>
            </w:pPr>
            <w:r w:rsidRPr="00EA0CF2">
              <w:rPr>
                <w:color w:val="FF0000"/>
                <w:sz w:val="20"/>
                <w:szCs w:val="20"/>
              </w:rPr>
              <w:t>Youth Supervision Order</w:t>
            </w:r>
          </w:p>
        </w:tc>
        <w:tc>
          <w:tcPr>
            <w:tcW w:w="794" w:type="dxa"/>
            <w:tcBorders>
              <w:bottom w:val="single" w:sz="4" w:space="0" w:color="auto"/>
            </w:tcBorders>
          </w:tcPr>
          <w:p w14:paraId="2F4C07CA"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tcPr>
          <w:p w14:paraId="12D3A4D5" w14:textId="77777777" w:rsidR="006B1DE9" w:rsidRPr="00EA0CF2" w:rsidRDefault="006B1DE9" w:rsidP="00EA0CF2">
            <w:pPr>
              <w:jc w:val="center"/>
              <w:rPr>
                <w:color w:val="FF0000"/>
                <w:sz w:val="20"/>
                <w:szCs w:val="20"/>
              </w:rPr>
            </w:pPr>
            <w:r w:rsidRPr="00EA0CF2">
              <w:rPr>
                <w:sz w:val="20"/>
                <w:szCs w:val="20"/>
              </w:rPr>
              <w:t>0</w:t>
            </w:r>
          </w:p>
        </w:tc>
        <w:tc>
          <w:tcPr>
            <w:tcW w:w="794" w:type="dxa"/>
            <w:tcBorders>
              <w:bottom w:val="single" w:sz="4" w:space="0" w:color="auto"/>
            </w:tcBorders>
          </w:tcPr>
          <w:p w14:paraId="5C6727B0" w14:textId="77777777" w:rsidR="006B1DE9" w:rsidRPr="00EA0CF2" w:rsidRDefault="006B1DE9" w:rsidP="00EA0CF2">
            <w:pPr>
              <w:jc w:val="center"/>
              <w:rPr>
                <w:color w:val="FF0000"/>
                <w:sz w:val="20"/>
                <w:szCs w:val="20"/>
              </w:rPr>
            </w:pPr>
            <w:r w:rsidRPr="00EA0CF2">
              <w:rPr>
                <w:color w:val="FF0000"/>
                <w:sz w:val="20"/>
                <w:szCs w:val="20"/>
              </w:rPr>
              <w:t>2</w:t>
            </w:r>
          </w:p>
        </w:tc>
        <w:tc>
          <w:tcPr>
            <w:tcW w:w="794" w:type="dxa"/>
            <w:tcBorders>
              <w:bottom w:val="single" w:sz="4" w:space="0" w:color="auto"/>
              <w:right w:val="single" w:sz="8" w:space="0" w:color="auto"/>
            </w:tcBorders>
          </w:tcPr>
          <w:p w14:paraId="7C6A807F" w14:textId="77777777" w:rsidR="006B1DE9" w:rsidRPr="00EA0CF2" w:rsidRDefault="006B1DE9" w:rsidP="00EA0CF2">
            <w:pPr>
              <w:jc w:val="center"/>
              <w:rPr>
                <w:color w:val="FF0000"/>
                <w:sz w:val="20"/>
                <w:szCs w:val="20"/>
              </w:rPr>
            </w:pPr>
            <w:r w:rsidRPr="00EA0CF2">
              <w:rPr>
                <w:color w:val="FF0000"/>
                <w:sz w:val="20"/>
                <w:szCs w:val="20"/>
              </w:rPr>
              <w:t>7</w:t>
            </w:r>
          </w:p>
        </w:tc>
        <w:tc>
          <w:tcPr>
            <w:tcW w:w="850" w:type="dxa"/>
            <w:tcBorders>
              <w:left w:val="single" w:sz="8" w:space="0" w:color="auto"/>
              <w:bottom w:val="single" w:sz="4" w:space="0" w:color="auto"/>
            </w:tcBorders>
            <w:shd w:val="clear" w:color="auto" w:fill="DDDDDD"/>
          </w:tcPr>
          <w:p w14:paraId="1CD0881E"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shd w:val="clear" w:color="auto" w:fill="DDDDDD"/>
          </w:tcPr>
          <w:p w14:paraId="0702A3AB"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shd w:val="clear" w:color="auto" w:fill="DDDDDD"/>
          </w:tcPr>
          <w:p w14:paraId="0B4D9684" w14:textId="77777777" w:rsidR="006B1DE9" w:rsidRPr="00EA0CF2" w:rsidRDefault="006B1DE9" w:rsidP="00EA0CF2">
            <w:pPr>
              <w:jc w:val="center"/>
              <w:rPr>
                <w:color w:val="FF0000"/>
                <w:sz w:val="20"/>
                <w:szCs w:val="20"/>
              </w:rPr>
            </w:pPr>
            <w:r w:rsidRPr="00EA0CF2">
              <w:rPr>
                <w:color w:val="FF0000"/>
                <w:sz w:val="20"/>
                <w:szCs w:val="20"/>
              </w:rPr>
              <w:t>3</w:t>
            </w:r>
          </w:p>
        </w:tc>
        <w:tc>
          <w:tcPr>
            <w:tcW w:w="794" w:type="dxa"/>
            <w:tcBorders>
              <w:bottom w:val="single" w:sz="4" w:space="0" w:color="auto"/>
              <w:right w:val="single" w:sz="8" w:space="0" w:color="auto"/>
            </w:tcBorders>
            <w:shd w:val="clear" w:color="auto" w:fill="DDDDDD"/>
          </w:tcPr>
          <w:p w14:paraId="3A93ECB1" w14:textId="77777777" w:rsidR="006B1DE9" w:rsidRPr="00EA0CF2" w:rsidRDefault="006B1DE9" w:rsidP="00EA0CF2">
            <w:pPr>
              <w:jc w:val="center"/>
              <w:rPr>
                <w:color w:val="FF0000"/>
                <w:sz w:val="20"/>
                <w:szCs w:val="20"/>
              </w:rPr>
            </w:pPr>
            <w:r w:rsidRPr="00EA0CF2">
              <w:rPr>
                <w:color w:val="FF0000"/>
                <w:sz w:val="20"/>
                <w:szCs w:val="20"/>
              </w:rPr>
              <w:t>26</w:t>
            </w:r>
          </w:p>
        </w:tc>
      </w:tr>
      <w:tr w:rsidR="006B1DE9" w14:paraId="4A23AA50" w14:textId="77777777" w:rsidTr="00EA0CF2">
        <w:trPr>
          <w:jc w:val="center"/>
        </w:trPr>
        <w:tc>
          <w:tcPr>
            <w:tcW w:w="2494" w:type="dxa"/>
            <w:tcBorders>
              <w:left w:val="single" w:sz="8" w:space="0" w:color="auto"/>
              <w:bottom w:val="single" w:sz="4" w:space="0" w:color="auto"/>
            </w:tcBorders>
            <w:shd w:val="clear" w:color="auto" w:fill="DDDDDD"/>
          </w:tcPr>
          <w:p w14:paraId="177948D5" w14:textId="77777777" w:rsidR="006B1DE9" w:rsidRPr="00EA0CF2" w:rsidRDefault="006B1DE9" w:rsidP="00EA0CF2">
            <w:pPr>
              <w:jc w:val="center"/>
              <w:rPr>
                <w:sz w:val="20"/>
                <w:szCs w:val="20"/>
              </w:rPr>
            </w:pPr>
            <w:r w:rsidRPr="00EA0CF2">
              <w:rPr>
                <w:color w:val="FF0000"/>
                <w:sz w:val="20"/>
                <w:szCs w:val="20"/>
              </w:rPr>
              <w:t>Youth Detention</w:t>
            </w:r>
          </w:p>
        </w:tc>
        <w:tc>
          <w:tcPr>
            <w:tcW w:w="794" w:type="dxa"/>
            <w:tcBorders>
              <w:bottom w:val="single" w:sz="4" w:space="0" w:color="auto"/>
            </w:tcBorders>
          </w:tcPr>
          <w:p w14:paraId="22EBC848"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tcPr>
          <w:p w14:paraId="4A6F2EC6"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tcPr>
          <w:p w14:paraId="266239BF" w14:textId="77777777" w:rsidR="006B1DE9" w:rsidRPr="00EA0CF2" w:rsidRDefault="006B1DE9" w:rsidP="00EA0CF2">
            <w:pPr>
              <w:jc w:val="center"/>
              <w:rPr>
                <w:sz w:val="20"/>
                <w:szCs w:val="20"/>
              </w:rPr>
            </w:pPr>
            <w:r w:rsidRPr="00EA0CF2">
              <w:rPr>
                <w:color w:val="FF0000"/>
                <w:sz w:val="20"/>
                <w:szCs w:val="20"/>
              </w:rPr>
              <w:t>1</w:t>
            </w:r>
          </w:p>
        </w:tc>
        <w:tc>
          <w:tcPr>
            <w:tcW w:w="794" w:type="dxa"/>
            <w:tcBorders>
              <w:bottom w:val="single" w:sz="4" w:space="0" w:color="auto"/>
              <w:right w:val="single" w:sz="8" w:space="0" w:color="auto"/>
            </w:tcBorders>
          </w:tcPr>
          <w:p w14:paraId="214E29BB" w14:textId="77777777" w:rsidR="006B1DE9" w:rsidRPr="00EA0CF2" w:rsidRDefault="006B1DE9" w:rsidP="00EA0CF2">
            <w:pPr>
              <w:jc w:val="center"/>
              <w:rPr>
                <w:sz w:val="20"/>
                <w:szCs w:val="20"/>
              </w:rPr>
            </w:pPr>
            <w:r w:rsidRPr="00EA0CF2">
              <w:rPr>
                <w:color w:val="FF0000"/>
                <w:sz w:val="20"/>
                <w:szCs w:val="20"/>
              </w:rPr>
              <w:t>9</w:t>
            </w:r>
          </w:p>
        </w:tc>
        <w:tc>
          <w:tcPr>
            <w:tcW w:w="850" w:type="dxa"/>
            <w:tcBorders>
              <w:left w:val="single" w:sz="8" w:space="0" w:color="auto"/>
              <w:bottom w:val="single" w:sz="4" w:space="0" w:color="auto"/>
            </w:tcBorders>
            <w:shd w:val="clear" w:color="auto" w:fill="DDDDDD"/>
          </w:tcPr>
          <w:p w14:paraId="4EA3C080"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shd w:val="clear" w:color="auto" w:fill="DDDDDD"/>
          </w:tcPr>
          <w:p w14:paraId="7B1CD8F8" w14:textId="77777777" w:rsidR="006B1DE9" w:rsidRPr="00EA0CF2" w:rsidRDefault="006B1DE9" w:rsidP="00EA0CF2">
            <w:pPr>
              <w:jc w:val="center"/>
              <w:rPr>
                <w:sz w:val="20"/>
                <w:szCs w:val="20"/>
              </w:rPr>
            </w:pPr>
            <w:r w:rsidRPr="00EA0CF2">
              <w:rPr>
                <w:sz w:val="20"/>
                <w:szCs w:val="20"/>
              </w:rPr>
              <w:t>0</w:t>
            </w:r>
          </w:p>
        </w:tc>
        <w:tc>
          <w:tcPr>
            <w:tcW w:w="794" w:type="dxa"/>
            <w:tcBorders>
              <w:bottom w:val="single" w:sz="4" w:space="0" w:color="auto"/>
            </w:tcBorders>
            <w:shd w:val="clear" w:color="auto" w:fill="DDDDDD"/>
          </w:tcPr>
          <w:p w14:paraId="1CBCA692" w14:textId="77777777" w:rsidR="006B1DE9" w:rsidRPr="00EA0CF2" w:rsidRDefault="006B1DE9" w:rsidP="00EA0CF2">
            <w:pPr>
              <w:jc w:val="center"/>
              <w:rPr>
                <w:sz w:val="20"/>
                <w:szCs w:val="20"/>
              </w:rPr>
            </w:pPr>
            <w:r w:rsidRPr="00EA0CF2">
              <w:rPr>
                <w:color w:val="FF0000"/>
                <w:sz w:val="20"/>
                <w:szCs w:val="20"/>
              </w:rPr>
              <w:t>1</w:t>
            </w:r>
          </w:p>
        </w:tc>
        <w:tc>
          <w:tcPr>
            <w:tcW w:w="794" w:type="dxa"/>
            <w:tcBorders>
              <w:bottom w:val="single" w:sz="4" w:space="0" w:color="auto"/>
              <w:right w:val="single" w:sz="8" w:space="0" w:color="auto"/>
            </w:tcBorders>
            <w:shd w:val="clear" w:color="auto" w:fill="DDDDDD"/>
          </w:tcPr>
          <w:p w14:paraId="0C4EE7EA" w14:textId="77777777" w:rsidR="006B1DE9" w:rsidRPr="00EA0CF2" w:rsidRDefault="006B1DE9" w:rsidP="00EA0CF2">
            <w:pPr>
              <w:jc w:val="center"/>
              <w:rPr>
                <w:sz w:val="20"/>
                <w:szCs w:val="20"/>
              </w:rPr>
            </w:pPr>
            <w:r w:rsidRPr="00EA0CF2">
              <w:rPr>
                <w:color w:val="FF0000"/>
                <w:sz w:val="20"/>
                <w:szCs w:val="20"/>
              </w:rPr>
              <w:t>8</w:t>
            </w:r>
          </w:p>
        </w:tc>
      </w:tr>
      <w:tr w:rsidR="006B1DE9" w14:paraId="69A1FB45" w14:textId="77777777" w:rsidTr="00EA0CF2">
        <w:trPr>
          <w:jc w:val="center"/>
        </w:trPr>
        <w:tc>
          <w:tcPr>
            <w:tcW w:w="2494" w:type="dxa"/>
            <w:tcBorders>
              <w:left w:val="single" w:sz="8" w:space="0" w:color="auto"/>
              <w:bottom w:val="single" w:sz="8" w:space="0" w:color="auto"/>
              <w:right w:val="nil"/>
            </w:tcBorders>
            <w:shd w:val="clear" w:color="auto" w:fill="000000"/>
          </w:tcPr>
          <w:p w14:paraId="5549A2A4" w14:textId="77777777" w:rsidR="006B1DE9" w:rsidRPr="00EA0CF2" w:rsidRDefault="006B1DE9" w:rsidP="00EA0CF2">
            <w:pPr>
              <w:jc w:val="center"/>
              <w:rPr>
                <w:b/>
                <w:bCs/>
                <w:sz w:val="20"/>
                <w:szCs w:val="20"/>
              </w:rPr>
            </w:pPr>
            <w:r w:rsidRPr="00EA0CF2">
              <w:rPr>
                <w:b/>
                <w:bCs/>
                <w:sz w:val="20"/>
                <w:szCs w:val="20"/>
              </w:rPr>
              <w:t>TOTALS</w:t>
            </w:r>
          </w:p>
        </w:tc>
        <w:tc>
          <w:tcPr>
            <w:tcW w:w="794" w:type="dxa"/>
            <w:tcBorders>
              <w:left w:val="nil"/>
              <w:bottom w:val="single" w:sz="8" w:space="0" w:color="auto"/>
            </w:tcBorders>
            <w:shd w:val="clear" w:color="auto" w:fill="000000"/>
          </w:tcPr>
          <w:p w14:paraId="04F156C8" w14:textId="77777777" w:rsidR="006B1DE9" w:rsidRPr="00EA0CF2" w:rsidRDefault="006B1DE9" w:rsidP="00EA0CF2">
            <w:pPr>
              <w:jc w:val="center"/>
              <w:rPr>
                <w:b/>
                <w:bCs/>
                <w:sz w:val="20"/>
                <w:szCs w:val="20"/>
              </w:rPr>
            </w:pPr>
            <w:r w:rsidRPr="00EA0CF2">
              <w:rPr>
                <w:b/>
                <w:bCs/>
                <w:sz w:val="20"/>
                <w:szCs w:val="20"/>
              </w:rPr>
              <w:t>41</w:t>
            </w:r>
          </w:p>
        </w:tc>
        <w:tc>
          <w:tcPr>
            <w:tcW w:w="794" w:type="dxa"/>
            <w:tcBorders>
              <w:bottom w:val="single" w:sz="8" w:space="0" w:color="auto"/>
            </w:tcBorders>
            <w:shd w:val="clear" w:color="auto" w:fill="000000"/>
          </w:tcPr>
          <w:p w14:paraId="399AEB08" w14:textId="77777777" w:rsidR="006B1DE9" w:rsidRPr="00EA0CF2" w:rsidRDefault="006B1DE9" w:rsidP="00EA0CF2">
            <w:pPr>
              <w:jc w:val="center"/>
              <w:rPr>
                <w:b/>
                <w:bCs/>
                <w:sz w:val="20"/>
                <w:szCs w:val="20"/>
              </w:rPr>
            </w:pPr>
            <w:r w:rsidRPr="00EA0CF2">
              <w:rPr>
                <w:b/>
                <w:bCs/>
                <w:sz w:val="20"/>
                <w:szCs w:val="20"/>
              </w:rPr>
              <w:t>97</w:t>
            </w:r>
          </w:p>
        </w:tc>
        <w:tc>
          <w:tcPr>
            <w:tcW w:w="794" w:type="dxa"/>
            <w:tcBorders>
              <w:bottom w:val="single" w:sz="8" w:space="0" w:color="auto"/>
            </w:tcBorders>
            <w:shd w:val="clear" w:color="auto" w:fill="000000"/>
          </w:tcPr>
          <w:p w14:paraId="07376A7A" w14:textId="77777777" w:rsidR="006B1DE9" w:rsidRPr="00EA0CF2" w:rsidRDefault="006B1DE9" w:rsidP="00EA0CF2">
            <w:pPr>
              <w:jc w:val="center"/>
              <w:rPr>
                <w:b/>
                <w:bCs/>
                <w:sz w:val="20"/>
                <w:szCs w:val="20"/>
              </w:rPr>
            </w:pPr>
            <w:r w:rsidRPr="00EA0CF2">
              <w:rPr>
                <w:b/>
                <w:bCs/>
                <w:sz w:val="20"/>
                <w:szCs w:val="20"/>
              </w:rPr>
              <w:t>226</w:t>
            </w:r>
          </w:p>
        </w:tc>
        <w:tc>
          <w:tcPr>
            <w:tcW w:w="794" w:type="dxa"/>
            <w:tcBorders>
              <w:bottom w:val="single" w:sz="8" w:space="0" w:color="auto"/>
              <w:right w:val="nil"/>
            </w:tcBorders>
            <w:shd w:val="clear" w:color="auto" w:fill="000000"/>
          </w:tcPr>
          <w:p w14:paraId="73FC7241" w14:textId="77777777" w:rsidR="006B1DE9" w:rsidRPr="00EA0CF2" w:rsidRDefault="006B1DE9" w:rsidP="00EA0CF2">
            <w:pPr>
              <w:jc w:val="center"/>
              <w:rPr>
                <w:b/>
                <w:bCs/>
                <w:sz w:val="20"/>
                <w:szCs w:val="20"/>
              </w:rPr>
            </w:pPr>
            <w:r w:rsidRPr="00EA0CF2">
              <w:rPr>
                <w:b/>
                <w:bCs/>
                <w:sz w:val="20"/>
                <w:szCs w:val="20"/>
              </w:rPr>
              <w:t>676</w:t>
            </w:r>
          </w:p>
        </w:tc>
        <w:tc>
          <w:tcPr>
            <w:tcW w:w="850" w:type="dxa"/>
            <w:tcBorders>
              <w:left w:val="nil"/>
              <w:bottom w:val="single" w:sz="8" w:space="0" w:color="auto"/>
            </w:tcBorders>
            <w:shd w:val="clear" w:color="auto" w:fill="000000"/>
          </w:tcPr>
          <w:p w14:paraId="36B820B3" w14:textId="77777777" w:rsidR="006B1DE9" w:rsidRPr="00EA0CF2" w:rsidRDefault="006B1DE9" w:rsidP="00EA0CF2">
            <w:pPr>
              <w:jc w:val="center"/>
              <w:rPr>
                <w:b/>
                <w:bCs/>
                <w:sz w:val="20"/>
                <w:szCs w:val="20"/>
              </w:rPr>
            </w:pPr>
            <w:r w:rsidRPr="00EA0CF2">
              <w:rPr>
                <w:b/>
                <w:bCs/>
                <w:sz w:val="20"/>
                <w:szCs w:val="20"/>
              </w:rPr>
              <w:t>48</w:t>
            </w:r>
          </w:p>
        </w:tc>
        <w:tc>
          <w:tcPr>
            <w:tcW w:w="794" w:type="dxa"/>
            <w:tcBorders>
              <w:bottom w:val="single" w:sz="8" w:space="0" w:color="auto"/>
            </w:tcBorders>
            <w:shd w:val="clear" w:color="auto" w:fill="000000"/>
          </w:tcPr>
          <w:p w14:paraId="50CB3AE2" w14:textId="77777777" w:rsidR="006B1DE9" w:rsidRPr="00EA0CF2" w:rsidRDefault="006B1DE9" w:rsidP="00EA0CF2">
            <w:pPr>
              <w:jc w:val="center"/>
              <w:rPr>
                <w:b/>
                <w:bCs/>
                <w:sz w:val="20"/>
                <w:szCs w:val="20"/>
              </w:rPr>
            </w:pPr>
            <w:r w:rsidRPr="00EA0CF2">
              <w:rPr>
                <w:b/>
                <w:bCs/>
                <w:sz w:val="20"/>
                <w:szCs w:val="20"/>
              </w:rPr>
              <w:t>41</w:t>
            </w:r>
          </w:p>
        </w:tc>
        <w:tc>
          <w:tcPr>
            <w:tcW w:w="794" w:type="dxa"/>
            <w:tcBorders>
              <w:bottom w:val="single" w:sz="8" w:space="0" w:color="auto"/>
            </w:tcBorders>
            <w:shd w:val="clear" w:color="auto" w:fill="000000"/>
          </w:tcPr>
          <w:p w14:paraId="1F9ED15C" w14:textId="77777777" w:rsidR="006B1DE9" w:rsidRPr="00EA0CF2" w:rsidRDefault="006B1DE9" w:rsidP="00EA0CF2">
            <w:pPr>
              <w:jc w:val="center"/>
              <w:rPr>
                <w:b/>
                <w:bCs/>
                <w:sz w:val="20"/>
                <w:szCs w:val="20"/>
              </w:rPr>
            </w:pPr>
            <w:r w:rsidRPr="00EA0CF2">
              <w:rPr>
                <w:b/>
                <w:bCs/>
                <w:sz w:val="20"/>
                <w:szCs w:val="20"/>
              </w:rPr>
              <w:t>211</w:t>
            </w:r>
          </w:p>
        </w:tc>
        <w:tc>
          <w:tcPr>
            <w:tcW w:w="794" w:type="dxa"/>
            <w:tcBorders>
              <w:bottom w:val="single" w:sz="8" w:space="0" w:color="auto"/>
              <w:right w:val="single" w:sz="8" w:space="0" w:color="auto"/>
            </w:tcBorders>
            <w:shd w:val="clear" w:color="auto" w:fill="000000"/>
          </w:tcPr>
          <w:p w14:paraId="2AD2876C" w14:textId="77777777" w:rsidR="006B1DE9" w:rsidRPr="00EA0CF2" w:rsidRDefault="006B1DE9" w:rsidP="00EA0CF2">
            <w:pPr>
              <w:jc w:val="center"/>
              <w:rPr>
                <w:b/>
                <w:bCs/>
                <w:sz w:val="20"/>
                <w:szCs w:val="20"/>
              </w:rPr>
            </w:pPr>
            <w:r w:rsidRPr="00EA0CF2">
              <w:rPr>
                <w:b/>
                <w:bCs/>
                <w:sz w:val="20"/>
                <w:szCs w:val="20"/>
              </w:rPr>
              <w:t>598</w:t>
            </w:r>
          </w:p>
        </w:tc>
      </w:tr>
    </w:tbl>
    <w:p w14:paraId="06317963" w14:textId="77777777" w:rsidR="006B1DE9" w:rsidRPr="005C48CF" w:rsidRDefault="006B1DE9" w:rsidP="001D1E4B">
      <w:pPr>
        <w:jc w:val="both"/>
        <w:rPr>
          <w:rFonts w:ascii="Arial" w:hAnsi="Arial" w:cs="Arial"/>
          <w:color w:val="000000"/>
          <w:sz w:val="16"/>
          <w:szCs w:val="18"/>
        </w:rPr>
      </w:pPr>
    </w:p>
    <w:p w14:paraId="330A6CFC" w14:textId="4168B911" w:rsidR="001D1E4B" w:rsidRPr="001D1E4B" w:rsidRDefault="001D1E4B" w:rsidP="001D1E4B">
      <w:pPr>
        <w:jc w:val="both"/>
        <w:rPr>
          <w:rFonts w:ascii="Arial" w:hAnsi="Arial" w:cs="Arial"/>
          <w:color w:val="000000"/>
          <w:sz w:val="20"/>
          <w:szCs w:val="22"/>
        </w:rPr>
      </w:pPr>
      <w:r w:rsidRPr="001D1E4B">
        <w:rPr>
          <w:rFonts w:ascii="Arial" w:hAnsi="Arial" w:cs="Arial"/>
          <w:sz w:val="20"/>
          <w:szCs w:val="20"/>
        </w:rPr>
        <w:t>Five of the</w:t>
      </w:r>
      <w:r>
        <w:rPr>
          <w:rFonts w:ascii="Arial" w:hAnsi="Arial" w:cs="Arial"/>
          <w:sz w:val="20"/>
          <w:szCs w:val="20"/>
        </w:rPr>
        <w:t xml:space="preserve"> </w:t>
      </w:r>
      <w:r w:rsidR="00904791">
        <w:rPr>
          <w:rFonts w:ascii="Arial" w:hAnsi="Arial" w:cs="Arial"/>
          <w:sz w:val="20"/>
          <w:szCs w:val="20"/>
        </w:rPr>
        <w:t>total of 19</w:t>
      </w:r>
      <w:r>
        <w:rPr>
          <w:rFonts w:ascii="Arial" w:hAnsi="Arial" w:cs="Arial"/>
          <w:sz w:val="20"/>
          <w:szCs w:val="20"/>
        </w:rPr>
        <w:t xml:space="preserve"> </w:t>
      </w:r>
      <w:r w:rsidRPr="001D1E4B">
        <w:rPr>
          <w:rFonts w:ascii="Arial" w:hAnsi="Arial" w:cs="Arial"/>
          <w:sz w:val="20"/>
          <w:szCs w:val="20"/>
        </w:rPr>
        <w:t xml:space="preserve">youth detention </w:t>
      </w:r>
      <w:r w:rsidR="00904791">
        <w:rPr>
          <w:rFonts w:ascii="Arial" w:hAnsi="Arial" w:cs="Arial"/>
          <w:sz w:val="20"/>
          <w:szCs w:val="20"/>
        </w:rPr>
        <w:t xml:space="preserve">orders for 12 &amp; 13 year-olds </w:t>
      </w:r>
      <w:r w:rsidRPr="001D1E4B">
        <w:rPr>
          <w:rFonts w:ascii="Arial" w:hAnsi="Arial" w:cs="Arial"/>
          <w:sz w:val="20"/>
          <w:szCs w:val="20"/>
        </w:rPr>
        <w:t xml:space="preserve">were made in relation to four </w:t>
      </w:r>
      <w:r w:rsidR="00F16FEB">
        <w:rPr>
          <w:rFonts w:ascii="Arial" w:hAnsi="Arial" w:cs="Arial"/>
          <w:sz w:val="20"/>
          <w:szCs w:val="20"/>
        </w:rPr>
        <w:t>First Peoples</w:t>
      </w:r>
      <w:r w:rsidRPr="001D1E4B">
        <w:rPr>
          <w:rFonts w:ascii="Arial" w:hAnsi="Arial" w:cs="Arial"/>
          <w:sz w:val="20"/>
          <w:szCs w:val="20"/>
        </w:rPr>
        <w:t xml:space="preserve"> children</w:t>
      </w:r>
      <w:r>
        <w:rPr>
          <w:rFonts w:ascii="Arial" w:hAnsi="Arial" w:cs="Arial"/>
          <w:sz w:val="20"/>
          <w:szCs w:val="20"/>
        </w:rPr>
        <w:t>, o</w:t>
      </w:r>
      <w:r w:rsidRPr="001D1E4B">
        <w:rPr>
          <w:rFonts w:ascii="Arial" w:hAnsi="Arial" w:cs="Arial"/>
          <w:sz w:val="20"/>
          <w:szCs w:val="20"/>
        </w:rPr>
        <w:t>ne</w:t>
      </w:r>
      <w:r w:rsidR="00CC419D">
        <w:rPr>
          <w:rFonts w:ascii="Arial" w:hAnsi="Arial" w:cs="Arial"/>
          <w:sz w:val="20"/>
          <w:szCs w:val="20"/>
        </w:rPr>
        <w:t xml:space="preserve"> </w:t>
      </w:r>
      <w:r w:rsidR="00F16FEB">
        <w:rPr>
          <w:rFonts w:ascii="Arial" w:hAnsi="Arial" w:cs="Arial"/>
          <w:sz w:val="20"/>
          <w:szCs w:val="20"/>
        </w:rPr>
        <w:t>First Peoples</w:t>
      </w:r>
      <w:r w:rsidRPr="001D1E4B">
        <w:rPr>
          <w:rFonts w:ascii="Arial" w:hAnsi="Arial" w:cs="Arial"/>
          <w:sz w:val="20"/>
          <w:szCs w:val="20"/>
        </w:rPr>
        <w:t xml:space="preserve"> child receiv</w:t>
      </w:r>
      <w:r>
        <w:rPr>
          <w:rFonts w:ascii="Arial" w:hAnsi="Arial" w:cs="Arial"/>
          <w:sz w:val="20"/>
          <w:szCs w:val="20"/>
        </w:rPr>
        <w:t>ing</w:t>
      </w:r>
      <w:r w:rsidRPr="001D1E4B">
        <w:rPr>
          <w:rFonts w:ascii="Arial" w:hAnsi="Arial" w:cs="Arial"/>
          <w:sz w:val="20"/>
          <w:szCs w:val="20"/>
        </w:rPr>
        <w:t xml:space="preserve"> two youth residential centre orders.</w:t>
      </w:r>
    </w:p>
    <w:p w14:paraId="6D38C5E1" w14:textId="77777777" w:rsidR="00E661C8" w:rsidRDefault="00E661C8" w:rsidP="00E661C8">
      <w:pPr>
        <w:jc w:val="both"/>
        <w:rPr>
          <w:rFonts w:ascii="Arial" w:hAnsi="Arial" w:cs="Arial"/>
          <w:color w:val="000000"/>
          <w:sz w:val="20"/>
          <w:szCs w:val="22"/>
        </w:rPr>
      </w:pPr>
    </w:p>
    <w:p w14:paraId="3203C4DB" w14:textId="04C0A2F8" w:rsidR="006B1DE9" w:rsidRPr="001D1E4B" w:rsidRDefault="006B1DE9" w:rsidP="00CE1EC8">
      <w:pPr>
        <w:spacing w:after="80"/>
        <w:jc w:val="both"/>
        <w:rPr>
          <w:rFonts w:ascii="Arial" w:hAnsi="Arial" w:cs="Arial"/>
          <w:color w:val="000000"/>
          <w:sz w:val="20"/>
          <w:szCs w:val="22"/>
        </w:rPr>
      </w:pPr>
      <w:r w:rsidRPr="001D1E4B">
        <w:rPr>
          <w:rFonts w:ascii="Arial" w:hAnsi="Arial" w:cs="Arial"/>
          <w:color w:val="000000"/>
          <w:sz w:val="20"/>
          <w:szCs w:val="22"/>
        </w:rPr>
        <w:t xml:space="preserve">The above table illustrates that in </w:t>
      </w:r>
      <w:r w:rsidR="00904791">
        <w:rPr>
          <w:rFonts w:ascii="Arial" w:hAnsi="Arial" w:cs="Arial"/>
          <w:color w:val="000000"/>
          <w:sz w:val="20"/>
          <w:szCs w:val="22"/>
        </w:rPr>
        <w:t>2017/18 &amp; 2018/19</w:t>
      </w:r>
      <w:r w:rsidRPr="001D1E4B">
        <w:rPr>
          <w:rFonts w:ascii="Arial" w:hAnsi="Arial" w:cs="Arial"/>
          <w:color w:val="000000"/>
          <w:sz w:val="20"/>
          <w:szCs w:val="22"/>
        </w:rPr>
        <w:t xml:space="preserve"> combined the only CYFA sentencing orders made state-wide by the CCV for very young children were:</w:t>
      </w:r>
    </w:p>
    <w:p w14:paraId="55A3E012" w14:textId="77777777" w:rsidR="006B1DE9" w:rsidRPr="001D1E4B" w:rsidRDefault="006B1DE9" w:rsidP="00591749">
      <w:pPr>
        <w:pStyle w:val="ListParagraph"/>
        <w:numPr>
          <w:ilvl w:val="0"/>
          <w:numId w:val="49"/>
        </w:numPr>
        <w:spacing w:after="80" w:line="240" w:lineRule="auto"/>
        <w:ind w:left="357" w:hanging="357"/>
        <w:contextualSpacing w:val="0"/>
        <w:jc w:val="both"/>
        <w:rPr>
          <w:rFonts w:ascii="Arial" w:hAnsi="Arial" w:cs="Arial"/>
          <w:color w:val="000000"/>
          <w:sz w:val="20"/>
        </w:rPr>
      </w:pPr>
      <w:r w:rsidRPr="001D1E4B">
        <w:rPr>
          <w:rFonts w:ascii="Arial" w:hAnsi="Arial" w:cs="Arial"/>
          <w:color w:val="000000"/>
          <w:sz w:val="20"/>
        </w:rPr>
        <w:t>2 sentencing orders for 10-year old children, one of which was proved and dismissed;</w:t>
      </w:r>
    </w:p>
    <w:p w14:paraId="0AD7FC91" w14:textId="77777777" w:rsidR="006B1DE9" w:rsidRPr="001D1E4B" w:rsidRDefault="006B1DE9" w:rsidP="00591749">
      <w:pPr>
        <w:pStyle w:val="ListParagraph"/>
        <w:numPr>
          <w:ilvl w:val="0"/>
          <w:numId w:val="49"/>
        </w:numPr>
        <w:spacing w:after="80" w:line="240" w:lineRule="auto"/>
        <w:ind w:left="357" w:hanging="357"/>
        <w:contextualSpacing w:val="0"/>
        <w:jc w:val="both"/>
        <w:rPr>
          <w:rFonts w:ascii="Arial" w:hAnsi="Arial" w:cs="Arial"/>
          <w:color w:val="000000"/>
          <w:sz w:val="20"/>
        </w:rPr>
      </w:pPr>
      <w:r w:rsidRPr="001D1E4B">
        <w:rPr>
          <w:rFonts w:ascii="Arial" w:hAnsi="Arial" w:cs="Arial"/>
          <w:color w:val="000000"/>
          <w:sz w:val="20"/>
        </w:rPr>
        <w:t>5 sentencing orders for 11-year old children, two of which were supervisory orders;</w:t>
      </w:r>
    </w:p>
    <w:p w14:paraId="1B00FAFA" w14:textId="77777777" w:rsidR="006B1DE9" w:rsidRPr="001D1E4B" w:rsidRDefault="006B1DE9" w:rsidP="00591749">
      <w:pPr>
        <w:pStyle w:val="ListParagraph"/>
        <w:numPr>
          <w:ilvl w:val="0"/>
          <w:numId w:val="49"/>
        </w:numPr>
        <w:spacing w:after="80" w:line="240" w:lineRule="auto"/>
        <w:ind w:left="357" w:hanging="357"/>
        <w:contextualSpacing w:val="0"/>
        <w:jc w:val="both"/>
        <w:rPr>
          <w:rFonts w:ascii="Arial" w:hAnsi="Arial" w:cs="Arial"/>
          <w:color w:val="000000"/>
          <w:sz w:val="20"/>
        </w:rPr>
      </w:pPr>
      <w:r w:rsidRPr="001D1E4B">
        <w:rPr>
          <w:rFonts w:ascii="Arial" w:hAnsi="Arial" w:cs="Arial"/>
          <w:color w:val="000000"/>
          <w:sz w:val="20"/>
        </w:rPr>
        <w:t>45 sentencing orders for 12-year old children, 21 of which were supervisory orders, 2 were youth detention and one was proved and dismissed;</w:t>
      </w:r>
    </w:p>
    <w:p w14:paraId="0FA91A6C" w14:textId="77777777" w:rsidR="006B1DE9" w:rsidRPr="001D1E4B" w:rsidRDefault="006B1DE9" w:rsidP="00591749">
      <w:pPr>
        <w:pStyle w:val="ListParagraph"/>
        <w:numPr>
          <w:ilvl w:val="0"/>
          <w:numId w:val="49"/>
        </w:numPr>
        <w:spacing w:after="80" w:line="240" w:lineRule="auto"/>
        <w:ind w:left="357" w:hanging="357"/>
        <w:contextualSpacing w:val="0"/>
        <w:jc w:val="both"/>
        <w:rPr>
          <w:rFonts w:ascii="Arial" w:hAnsi="Arial" w:cs="Arial"/>
          <w:color w:val="000000"/>
          <w:sz w:val="20"/>
        </w:rPr>
      </w:pPr>
      <w:r w:rsidRPr="001D1E4B">
        <w:rPr>
          <w:rFonts w:ascii="Arial" w:hAnsi="Arial" w:cs="Arial"/>
          <w:color w:val="000000"/>
          <w:sz w:val="20"/>
        </w:rPr>
        <w:t>228 sentencing orders for 13-year old children, 108 of which were supervisory orders, 17 were youth detention and 7 were proved and dismissed;</w:t>
      </w:r>
    </w:p>
    <w:p w14:paraId="65674D4A" w14:textId="77777777" w:rsidR="006B1DE9" w:rsidRPr="001D1E4B" w:rsidRDefault="006B1DE9" w:rsidP="00591749">
      <w:pPr>
        <w:pStyle w:val="ListParagraph"/>
        <w:numPr>
          <w:ilvl w:val="0"/>
          <w:numId w:val="49"/>
        </w:numPr>
        <w:spacing w:after="80" w:line="240" w:lineRule="auto"/>
        <w:ind w:left="357" w:hanging="357"/>
        <w:contextualSpacing w:val="0"/>
        <w:jc w:val="both"/>
        <w:rPr>
          <w:rFonts w:ascii="Arial" w:hAnsi="Arial" w:cs="Arial"/>
          <w:color w:val="000000"/>
          <w:sz w:val="20"/>
        </w:rPr>
      </w:pPr>
      <w:r w:rsidRPr="001D1E4B">
        <w:rPr>
          <w:rFonts w:ascii="Arial" w:hAnsi="Arial" w:cs="Arial"/>
          <w:color w:val="000000"/>
          <w:sz w:val="20"/>
        </w:rPr>
        <w:t>1 fine for a child aged 13 and no fines for any younger children; and</w:t>
      </w:r>
    </w:p>
    <w:p w14:paraId="470D0898" w14:textId="77777777" w:rsidR="006B1DE9" w:rsidRPr="001D1E4B" w:rsidRDefault="006B1DE9" w:rsidP="00591749">
      <w:pPr>
        <w:pStyle w:val="ListParagraph"/>
        <w:numPr>
          <w:ilvl w:val="0"/>
          <w:numId w:val="49"/>
        </w:numPr>
        <w:spacing w:after="80" w:line="240" w:lineRule="auto"/>
        <w:ind w:left="357" w:hanging="357"/>
        <w:jc w:val="both"/>
        <w:rPr>
          <w:rFonts w:ascii="Arial" w:hAnsi="Arial" w:cs="Arial"/>
          <w:color w:val="000000"/>
          <w:sz w:val="20"/>
        </w:rPr>
      </w:pPr>
      <w:r w:rsidRPr="001D1E4B">
        <w:rPr>
          <w:rFonts w:ascii="Arial" w:hAnsi="Arial" w:cs="Arial"/>
          <w:color w:val="000000"/>
          <w:sz w:val="20"/>
        </w:rPr>
        <w:t>no detention of children aged 10-11 and only 1 each year for children aged 12.</w:t>
      </w:r>
    </w:p>
    <w:p w14:paraId="5A0F7A98" w14:textId="77777777" w:rsidR="006B1DE9" w:rsidRPr="001D1E4B" w:rsidRDefault="006B1DE9" w:rsidP="006B1DE9">
      <w:pPr>
        <w:rPr>
          <w:rFonts w:ascii="Arial" w:hAnsi="Arial" w:cs="Arial"/>
          <w:sz w:val="14"/>
          <w:szCs w:val="14"/>
        </w:rPr>
      </w:pPr>
    </w:p>
    <w:p w14:paraId="1EDF0F15" w14:textId="3493F85E" w:rsidR="006B1DE9" w:rsidRPr="005C48CF" w:rsidRDefault="006B1DE9" w:rsidP="001D1E4B">
      <w:pPr>
        <w:spacing w:after="120"/>
        <w:jc w:val="both"/>
        <w:rPr>
          <w:rFonts w:ascii="Arial" w:hAnsi="Arial" w:cs="Arial"/>
          <w:sz w:val="20"/>
          <w:szCs w:val="20"/>
        </w:rPr>
      </w:pPr>
      <w:r w:rsidRPr="005C48CF">
        <w:rPr>
          <w:rFonts w:ascii="Arial" w:hAnsi="Arial" w:cs="Arial"/>
          <w:sz w:val="20"/>
          <w:szCs w:val="20"/>
        </w:rPr>
        <w:t xml:space="preserve">The table below </w:t>
      </w:r>
      <w:r w:rsidR="005C48CF">
        <w:rPr>
          <w:rFonts w:ascii="Arial" w:hAnsi="Arial" w:cs="Arial"/>
          <w:sz w:val="20"/>
          <w:szCs w:val="20"/>
        </w:rPr>
        <w:t xml:space="preserve">– </w:t>
      </w:r>
      <w:r w:rsidR="001D1E4B" w:rsidRPr="005C48CF">
        <w:rPr>
          <w:rFonts w:ascii="Arial" w:hAnsi="Arial" w:cs="Arial"/>
          <w:sz w:val="20"/>
          <w:szCs w:val="20"/>
        </w:rPr>
        <w:t>the</w:t>
      </w:r>
      <w:r w:rsidR="005C48CF">
        <w:rPr>
          <w:rFonts w:ascii="Arial" w:hAnsi="Arial" w:cs="Arial"/>
          <w:sz w:val="20"/>
          <w:szCs w:val="20"/>
        </w:rPr>
        <w:t xml:space="preserve"> </w:t>
      </w:r>
      <w:r w:rsidR="001D1E4B" w:rsidRPr="005C48CF">
        <w:rPr>
          <w:rFonts w:ascii="Arial" w:hAnsi="Arial" w:cs="Arial"/>
          <w:sz w:val="20"/>
          <w:szCs w:val="20"/>
        </w:rPr>
        <w:t>contents of which are taken from the Australian Institute of Health &amp; Welfare 2017</w:t>
      </w:r>
      <w:r w:rsidR="005C48CF">
        <w:rPr>
          <w:rFonts w:ascii="Arial" w:hAnsi="Arial" w:cs="Arial"/>
          <w:sz w:val="20"/>
          <w:szCs w:val="20"/>
        </w:rPr>
        <w:t>/</w:t>
      </w:r>
      <w:r w:rsidR="001D1E4B" w:rsidRPr="005C48CF">
        <w:rPr>
          <w:rFonts w:ascii="Arial" w:hAnsi="Arial" w:cs="Arial"/>
          <w:sz w:val="20"/>
          <w:szCs w:val="20"/>
        </w:rPr>
        <w:t xml:space="preserve">18 data set </w:t>
      </w:r>
      <w:r w:rsidR="006E1FD7">
        <w:rPr>
          <w:rFonts w:ascii="Arial" w:hAnsi="Arial" w:cs="Arial"/>
          <w:sz w:val="20"/>
          <w:szCs w:val="20"/>
        </w:rPr>
        <w:t>–</w:t>
      </w:r>
      <w:r w:rsidR="005C48CF" w:rsidRPr="005C48CF">
        <w:rPr>
          <w:rFonts w:ascii="Arial" w:hAnsi="Arial" w:cs="Arial"/>
          <w:sz w:val="20"/>
          <w:szCs w:val="20"/>
        </w:rPr>
        <w:t xml:space="preserve"> shows</w:t>
      </w:r>
      <w:r w:rsidR="006E1FD7">
        <w:rPr>
          <w:rFonts w:ascii="Arial" w:hAnsi="Arial" w:cs="Arial"/>
          <w:sz w:val="20"/>
          <w:szCs w:val="20"/>
        </w:rPr>
        <w:t xml:space="preserve"> </w:t>
      </w:r>
      <w:r w:rsidRPr="005C48CF">
        <w:rPr>
          <w:rFonts w:ascii="Arial" w:hAnsi="Arial" w:cs="Arial"/>
          <w:sz w:val="20"/>
          <w:szCs w:val="20"/>
        </w:rPr>
        <w:t xml:space="preserve">the numbers of children aged 10-15 who were the subject of community-based supervision (supervised bail, probation or other supervisory orders) or in detention or on remand </w:t>
      </w:r>
      <w:r w:rsidRPr="005C48CF">
        <w:rPr>
          <w:rFonts w:ascii="Arial" w:hAnsi="Arial" w:cs="Arial"/>
          <w:b/>
          <w:bCs/>
          <w:sz w:val="20"/>
          <w:szCs w:val="20"/>
        </w:rPr>
        <w:t xml:space="preserve">on an average day </w:t>
      </w:r>
      <w:r w:rsidRPr="005C48CF">
        <w:rPr>
          <w:rFonts w:ascii="Arial" w:hAnsi="Arial" w:cs="Arial"/>
          <w:sz w:val="20"/>
          <w:szCs w:val="20"/>
        </w:rPr>
        <w:t>in Victoria during 2017</w:t>
      </w:r>
      <w:r w:rsidR="001D1E4B" w:rsidRPr="005C48CF">
        <w:rPr>
          <w:rFonts w:ascii="Arial" w:hAnsi="Arial" w:cs="Arial"/>
          <w:sz w:val="20"/>
          <w:szCs w:val="20"/>
        </w:rPr>
        <w:t>/</w:t>
      </w:r>
      <w:r w:rsidRPr="005C48CF">
        <w:rPr>
          <w:rFonts w:ascii="Arial" w:hAnsi="Arial" w:cs="Arial"/>
          <w:sz w:val="20"/>
          <w:szCs w:val="20"/>
        </w:rPr>
        <w:t>18.</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624"/>
        <w:gridCol w:w="624"/>
        <w:gridCol w:w="624"/>
        <w:gridCol w:w="624"/>
        <w:gridCol w:w="567"/>
        <w:gridCol w:w="567"/>
        <w:gridCol w:w="10"/>
        <w:gridCol w:w="614"/>
        <w:gridCol w:w="624"/>
        <w:gridCol w:w="624"/>
        <w:gridCol w:w="624"/>
        <w:gridCol w:w="624"/>
        <w:gridCol w:w="632"/>
      </w:tblGrid>
      <w:tr w:rsidR="006B1DE9" w:rsidRPr="000F4023" w14:paraId="08814AD3" w14:textId="77777777" w:rsidTr="00EA0CF2">
        <w:trPr>
          <w:jc w:val="center"/>
        </w:trPr>
        <w:tc>
          <w:tcPr>
            <w:tcW w:w="1531" w:type="dxa"/>
            <w:tcBorders>
              <w:top w:val="single" w:sz="8" w:space="0" w:color="auto"/>
              <w:left w:val="single" w:sz="8" w:space="0" w:color="auto"/>
              <w:right w:val="nil"/>
            </w:tcBorders>
            <w:shd w:val="clear" w:color="auto" w:fill="000000"/>
          </w:tcPr>
          <w:p w14:paraId="6E5267C0" w14:textId="77777777" w:rsidR="006B1DE9" w:rsidRPr="00EA0CF2" w:rsidRDefault="006B1DE9" w:rsidP="001A612F">
            <w:pPr>
              <w:keepNext/>
              <w:keepLines/>
              <w:jc w:val="center"/>
              <w:rPr>
                <w:b/>
                <w:bCs/>
                <w:sz w:val="20"/>
                <w:szCs w:val="20"/>
              </w:rPr>
            </w:pPr>
          </w:p>
        </w:tc>
        <w:tc>
          <w:tcPr>
            <w:tcW w:w="3640" w:type="dxa"/>
            <w:gridSpan w:val="7"/>
            <w:tcBorders>
              <w:top w:val="single" w:sz="8" w:space="0" w:color="auto"/>
              <w:left w:val="nil"/>
              <w:right w:val="nil"/>
            </w:tcBorders>
            <w:shd w:val="clear" w:color="auto" w:fill="000000"/>
          </w:tcPr>
          <w:p w14:paraId="6A6329C2" w14:textId="77777777" w:rsidR="006B1DE9" w:rsidRPr="00EA0CF2" w:rsidRDefault="006B1DE9" w:rsidP="001A612F">
            <w:pPr>
              <w:keepNext/>
              <w:keepLines/>
              <w:jc w:val="center"/>
              <w:rPr>
                <w:b/>
                <w:bCs/>
                <w:sz w:val="20"/>
                <w:szCs w:val="20"/>
              </w:rPr>
            </w:pPr>
            <w:r w:rsidRPr="00EA0CF2">
              <w:rPr>
                <w:b/>
                <w:bCs/>
                <w:sz w:val="20"/>
                <w:szCs w:val="20"/>
              </w:rPr>
              <w:t>UNDER COMMUNITY-BASED SUPERVISION</w:t>
            </w:r>
          </w:p>
        </w:tc>
        <w:tc>
          <w:tcPr>
            <w:tcW w:w="3742" w:type="dxa"/>
            <w:gridSpan w:val="6"/>
            <w:tcBorders>
              <w:top w:val="single" w:sz="8" w:space="0" w:color="auto"/>
              <w:left w:val="nil"/>
              <w:right w:val="single" w:sz="8" w:space="0" w:color="auto"/>
            </w:tcBorders>
            <w:shd w:val="clear" w:color="auto" w:fill="000000"/>
          </w:tcPr>
          <w:p w14:paraId="7945DECD" w14:textId="77777777" w:rsidR="006B1DE9" w:rsidRPr="00EA0CF2" w:rsidRDefault="006B1DE9" w:rsidP="001A612F">
            <w:pPr>
              <w:keepNext/>
              <w:keepLines/>
              <w:spacing w:before="120"/>
              <w:jc w:val="center"/>
              <w:rPr>
                <w:b/>
                <w:bCs/>
                <w:sz w:val="20"/>
                <w:szCs w:val="20"/>
              </w:rPr>
            </w:pPr>
            <w:r w:rsidRPr="00EA0CF2">
              <w:rPr>
                <w:b/>
                <w:bCs/>
                <w:sz w:val="20"/>
                <w:szCs w:val="20"/>
              </w:rPr>
              <w:t>IN DETENTION OR ON REMAND</w:t>
            </w:r>
          </w:p>
        </w:tc>
      </w:tr>
      <w:tr w:rsidR="006B1DE9" w14:paraId="713392F6" w14:textId="77777777" w:rsidTr="00EA0CF2">
        <w:trPr>
          <w:jc w:val="center"/>
        </w:trPr>
        <w:tc>
          <w:tcPr>
            <w:tcW w:w="1531" w:type="dxa"/>
            <w:tcBorders>
              <w:top w:val="single" w:sz="8" w:space="0" w:color="auto"/>
              <w:left w:val="single" w:sz="8" w:space="0" w:color="auto"/>
              <w:bottom w:val="single" w:sz="8" w:space="0" w:color="auto"/>
              <w:right w:val="single" w:sz="8" w:space="0" w:color="auto"/>
            </w:tcBorders>
            <w:shd w:val="clear" w:color="auto" w:fill="DDDDDD"/>
          </w:tcPr>
          <w:p w14:paraId="632026F0" w14:textId="77777777" w:rsidR="006B1DE9" w:rsidRPr="00EA0CF2" w:rsidRDefault="006B1DE9" w:rsidP="001A612F">
            <w:pPr>
              <w:keepNext/>
              <w:keepLines/>
              <w:jc w:val="center"/>
              <w:rPr>
                <w:sz w:val="20"/>
                <w:szCs w:val="20"/>
              </w:rPr>
            </w:pPr>
          </w:p>
        </w:tc>
        <w:tc>
          <w:tcPr>
            <w:tcW w:w="624" w:type="dxa"/>
            <w:tcBorders>
              <w:top w:val="single" w:sz="8" w:space="0" w:color="auto"/>
              <w:left w:val="single" w:sz="8" w:space="0" w:color="auto"/>
              <w:bottom w:val="single" w:sz="8" w:space="0" w:color="auto"/>
              <w:right w:val="single" w:sz="8" w:space="0" w:color="auto"/>
            </w:tcBorders>
            <w:shd w:val="clear" w:color="auto" w:fill="DDDDDD"/>
          </w:tcPr>
          <w:p w14:paraId="6382BE6B" w14:textId="77777777" w:rsidR="006B1DE9" w:rsidRPr="00EA0CF2" w:rsidRDefault="006B1DE9" w:rsidP="001A612F">
            <w:pPr>
              <w:keepNext/>
              <w:keepLines/>
              <w:jc w:val="center"/>
              <w:rPr>
                <w:b/>
                <w:bCs/>
                <w:sz w:val="20"/>
                <w:szCs w:val="20"/>
              </w:rPr>
            </w:pPr>
            <w:r w:rsidRPr="00EA0CF2">
              <w:rPr>
                <w:b/>
                <w:bCs/>
                <w:sz w:val="20"/>
                <w:szCs w:val="20"/>
              </w:rPr>
              <w:t>10</w:t>
            </w:r>
          </w:p>
        </w:tc>
        <w:tc>
          <w:tcPr>
            <w:tcW w:w="624" w:type="dxa"/>
            <w:tcBorders>
              <w:top w:val="single" w:sz="8" w:space="0" w:color="auto"/>
              <w:left w:val="single" w:sz="8" w:space="0" w:color="auto"/>
              <w:bottom w:val="single" w:sz="8" w:space="0" w:color="auto"/>
              <w:right w:val="single" w:sz="8" w:space="0" w:color="auto"/>
            </w:tcBorders>
            <w:shd w:val="clear" w:color="auto" w:fill="DDDDDD"/>
          </w:tcPr>
          <w:p w14:paraId="29D00B07" w14:textId="77777777" w:rsidR="006B1DE9" w:rsidRPr="00EA0CF2" w:rsidRDefault="006B1DE9" w:rsidP="001A612F">
            <w:pPr>
              <w:keepNext/>
              <w:keepLines/>
              <w:jc w:val="center"/>
              <w:rPr>
                <w:b/>
                <w:bCs/>
                <w:sz w:val="20"/>
                <w:szCs w:val="20"/>
              </w:rPr>
            </w:pPr>
            <w:r w:rsidRPr="00EA0CF2">
              <w:rPr>
                <w:b/>
                <w:bCs/>
                <w:sz w:val="20"/>
                <w:szCs w:val="20"/>
              </w:rPr>
              <w:t>11</w:t>
            </w:r>
          </w:p>
        </w:tc>
        <w:tc>
          <w:tcPr>
            <w:tcW w:w="624" w:type="dxa"/>
            <w:tcBorders>
              <w:top w:val="single" w:sz="8" w:space="0" w:color="auto"/>
              <w:left w:val="single" w:sz="8" w:space="0" w:color="auto"/>
              <w:bottom w:val="single" w:sz="8" w:space="0" w:color="auto"/>
              <w:right w:val="single" w:sz="8" w:space="0" w:color="auto"/>
            </w:tcBorders>
            <w:shd w:val="clear" w:color="auto" w:fill="DDDDDD"/>
          </w:tcPr>
          <w:p w14:paraId="2D43E48F" w14:textId="77777777" w:rsidR="006B1DE9" w:rsidRPr="00EA0CF2" w:rsidRDefault="006B1DE9" w:rsidP="001A612F">
            <w:pPr>
              <w:keepNext/>
              <w:keepLines/>
              <w:jc w:val="center"/>
              <w:rPr>
                <w:b/>
                <w:bCs/>
                <w:sz w:val="20"/>
                <w:szCs w:val="20"/>
              </w:rPr>
            </w:pPr>
            <w:r w:rsidRPr="00EA0CF2">
              <w:rPr>
                <w:b/>
                <w:bCs/>
                <w:sz w:val="20"/>
                <w:szCs w:val="20"/>
              </w:rPr>
              <w:t>12</w:t>
            </w:r>
          </w:p>
        </w:tc>
        <w:tc>
          <w:tcPr>
            <w:tcW w:w="624" w:type="dxa"/>
            <w:tcBorders>
              <w:top w:val="single" w:sz="8" w:space="0" w:color="auto"/>
              <w:left w:val="single" w:sz="8" w:space="0" w:color="auto"/>
              <w:bottom w:val="single" w:sz="8" w:space="0" w:color="auto"/>
              <w:right w:val="single" w:sz="8" w:space="0" w:color="auto"/>
            </w:tcBorders>
            <w:shd w:val="clear" w:color="auto" w:fill="DDDDDD"/>
          </w:tcPr>
          <w:p w14:paraId="20A413B3" w14:textId="77777777" w:rsidR="006B1DE9" w:rsidRPr="00EA0CF2" w:rsidRDefault="006B1DE9" w:rsidP="001A612F">
            <w:pPr>
              <w:keepNext/>
              <w:keepLines/>
              <w:jc w:val="center"/>
              <w:rPr>
                <w:b/>
                <w:bCs/>
                <w:sz w:val="20"/>
                <w:szCs w:val="20"/>
              </w:rPr>
            </w:pPr>
            <w:r w:rsidRPr="00EA0CF2">
              <w:rPr>
                <w:b/>
                <w:bCs/>
                <w:sz w:val="20"/>
                <w:szCs w:val="20"/>
              </w:rPr>
              <w:t>13</w:t>
            </w:r>
          </w:p>
        </w:tc>
        <w:tc>
          <w:tcPr>
            <w:tcW w:w="567" w:type="dxa"/>
            <w:tcBorders>
              <w:top w:val="single" w:sz="8" w:space="0" w:color="auto"/>
              <w:left w:val="single" w:sz="8" w:space="0" w:color="auto"/>
              <w:bottom w:val="single" w:sz="8" w:space="0" w:color="auto"/>
              <w:right w:val="single" w:sz="8" w:space="0" w:color="auto"/>
            </w:tcBorders>
            <w:shd w:val="clear" w:color="auto" w:fill="DDDDDD"/>
          </w:tcPr>
          <w:p w14:paraId="51947405" w14:textId="77777777" w:rsidR="006B1DE9" w:rsidRPr="00EA0CF2" w:rsidRDefault="006B1DE9" w:rsidP="001A612F">
            <w:pPr>
              <w:keepNext/>
              <w:keepLines/>
              <w:jc w:val="center"/>
              <w:rPr>
                <w:b/>
                <w:bCs/>
                <w:sz w:val="20"/>
                <w:szCs w:val="20"/>
              </w:rPr>
            </w:pPr>
            <w:r w:rsidRPr="00EA0CF2">
              <w:rPr>
                <w:b/>
                <w:bCs/>
                <w:sz w:val="20"/>
                <w:szCs w:val="20"/>
              </w:rPr>
              <w:t>14</w:t>
            </w:r>
          </w:p>
        </w:tc>
        <w:tc>
          <w:tcPr>
            <w:tcW w:w="567" w:type="dxa"/>
            <w:tcBorders>
              <w:top w:val="single" w:sz="8" w:space="0" w:color="auto"/>
              <w:left w:val="single" w:sz="8" w:space="0" w:color="auto"/>
              <w:bottom w:val="single" w:sz="8" w:space="0" w:color="auto"/>
              <w:right w:val="single" w:sz="8" w:space="0" w:color="auto"/>
            </w:tcBorders>
            <w:shd w:val="clear" w:color="auto" w:fill="DDDDDD"/>
          </w:tcPr>
          <w:p w14:paraId="4733D449" w14:textId="77777777" w:rsidR="006B1DE9" w:rsidRPr="00EA0CF2" w:rsidRDefault="006B1DE9" w:rsidP="001A612F">
            <w:pPr>
              <w:keepNext/>
              <w:keepLines/>
              <w:jc w:val="center"/>
              <w:rPr>
                <w:b/>
                <w:bCs/>
                <w:sz w:val="20"/>
                <w:szCs w:val="20"/>
              </w:rPr>
            </w:pPr>
            <w:r w:rsidRPr="00EA0CF2">
              <w:rPr>
                <w:b/>
                <w:bCs/>
                <w:sz w:val="20"/>
                <w:szCs w:val="20"/>
              </w:rPr>
              <w:t>15</w:t>
            </w:r>
          </w:p>
        </w:tc>
        <w:tc>
          <w:tcPr>
            <w:tcW w:w="624" w:type="dxa"/>
            <w:gridSpan w:val="2"/>
            <w:tcBorders>
              <w:top w:val="single" w:sz="8" w:space="0" w:color="auto"/>
              <w:left w:val="single" w:sz="8" w:space="0" w:color="auto"/>
              <w:bottom w:val="single" w:sz="8" w:space="0" w:color="auto"/>
              <w:right w:val="single" w:sz="8" w:space="0" w:color="auto"/>
            </w:tcBorders>
            <w:shd w:val="clear" w:color="auto" w:fill="DDDDDD"/>
          </w:tcPr>
          <w:p w14:paraId="2A63C0A6" w14:textId="77777777" w:rsidR="006B1DE9" w:rsidRPr="00EA0CF2" w:rsidRDefault="006B1DE9" w:rsidP="001A612F">
            <w:pPr>
              <w:keepNext/>
              <w:keepLines/>
              <w:jc w:val="center"/>
              <w:rPr>
                <w:b/>
                <w:bCs/>
                <w:sz w:val="20"/>
                <w:szCs w:val="20"/>
              </w:rPr>
            </w:pPr>
            <w:r w:rsidRPr="00EA0CF2">
              <w:rPr>
                <w:b/>
                <w:bCs/>
                <w:sz w:val="20"/>
                <w:szCs w:val="20"/>
              </w:rPr>
              <w:t>10</w:t>
            </w:r>
          </w:p>
        </w:tc>
        <w:tc>
          <w:tcPr>
            <w:tcW w:w="624" w:type="dxa"/>
            <w:tcBorders>
              <w:top w:val="single" w:sz="8" w:space="0" w:color="auto"/>
              <w:left w:val="single" w:sz="8" w:space="0" w:color="auto"/>
              <w:bottom w:val="single" w:sz="8" w:space="0" w:color="auto"/>
              <w:right w:val="single" w:sz="8" w:space="0" w:color="auto"/>
            </w:tcBorders>
            <w:shd w:val="clear" w:color="auto" w:fill="DDDDDD"/>
          </w:tcPr>
          <w:p w14:paraId="4FE268C2" w14:textId="77777777" w:rsidR="006B1DE9" w:rsidRPr="00EA0CF2" w:rsidRDefault="006B1DE9" w:rsidP="001A612F">
            <w:pPr>
              <w:keepNext/>
              <w:keepLines/>
              <w:jc w:val="center"/>
              <w:rPr>
                <w:b/>
                <w:bCs/>
                <w:sz w:val="20"/>
                <w:szCs w:val="20"/>
              </w:rPr>
            </w:pPr>
            <w:r w:rsidRPr="00EA0CF2">
              <w:rPr>
                <w:b/>
                <w:bCs/>
                <w:sz w:val="20"/>
                <w:szCs w:val="20"/>
              </w:rPr>
              <w:t>11</w:t>
            </w:r>
          </w:p>
        </w:tc>
        <w:tc>
          <w:tcPr>
            <w:tcW w:w="624" w:type="dxa"/>
            <w:tcBorders>
              <w:top w:val="single" w:sz="8" w:space="0" w:color="auto"/>
              <w:left w:val="single" w:sz="8" w:space="0" w:color="auto"/>
              <w:bottom w:val="single" w:sz="8" w:space="0" w:color="auto"/>
              <w:right w:val="single" w:sz="8" w:space="0" w:color="auto"/>
            </w:tcBorders>
            <w:shd w:val="clear" w:color="auto" w:fill="DDDDDD"/>
          </w:tcPr>
          <w:p w14:paraId="3BD9CD1E" w14:textId="77777777" w:rsidR="006B1DE9" w:rsidRPr="00EA0CF2" w:rsidRDefault="006B1DE9" w:rsidP="001A612F">
            <w:pPr>
              <w:keepNext/>
              <w:keepLines/>
              <w:jc w:val="center"/>
              <w:rPr>
                <w:b/>
                <w:bCs/>
                <w:sz w:val="20"/>
                <w:szCs w:val="20"/>
              </w:rPr>
            </w:pPr>
            <w:r w:rsidRPr="00EA0CF2">
              <w:rPr>
                <w:b/>
                <w:bCs/>
                <w:sz w:val="20"/>
                <w:szCs w:val="20"/>
              </w:rPr>
              <w:t>12</w:t>
            </w:r>
          </w:p>
        </w:tc>
        <w:tc>
          <w:tcPr>
            <w:tcW w:w="624" w:type="dxa"/>
            <w:tcBorders>
              <w:top w:val="single" w:sz="8" w:space="0" w:color="auto"/>
              <w:left w:val="single" w:sz="8" w:space="0" w:color="auto"/>
              <w:bottom w:val="single" w:sz="8" w:space="0" w:color="auto"/>
              <w:right w:val="single" w:sz="8" w:space="0" w:color="auto"/>
            </w:tcBorders>
            <w:shd w:val="clear" w:color="auto" w:fill="DDDDDD"/>
          </w:tcPr>
          <w:p w14:paraId="2D9ECE4B" w14:textId="77777777" w:rsidR="006B1DE9" w:rsidRPr="00EA0CF2" w:rsidRDefault="006B1DE9" w:rsidP="001A612F">
            <w:pPr>
              <w:keepNext/>
              <w:keepLines/>
              <w:jc w:val="center"/>
              <w:rPr>
                <w:b/>
                <w:bCs/>
                <w:sz w:val="20"/>
                <w:szCs w:val="20"/>
              </w:rPr>
            </w:pPr>
            <w:r w:rsidRPr="00EA0CF2">
              <w:rPr>
                <w:b/>
                <w:bCs/>
                <w:sz w:val="20"/>
                <w:szCs w:val="20"/>
              </w:rPr>
              <w:t>13</w:t>
            </w:r>
          </w:p>
        </w:tc>
        <w:tc>
          <w:tcPr>
            <w:tcW w:w="624" w:type="dxa"/>
            <w:tcBorders>
              <w:top w:val="single" w:sz="8" w:space="0" w:color="auto"/>
              <w:left w:val="single" w:sz="8" w:space="0" w:color="auto"/>
              <w:bottom w:val="single" w:sz="8" w:space="0" w:color="auto"/>
              <w:right w:val="single" w:sz="8" w:space="0" w:color="auto"/>
            </w:tcBorders>
            <w:shd w:val="clear" w:color="auto" w:fill="DDDDDD"/>
          </w:tcPr>
          <w:p w14:paraId="405CD748" w14:textId="77777777" w:rsidR="006B1DE9" w:rsidRPr="00EA0CF2" w:rsidRDefault="006B1DE9" w:rsidP="001A612F">
            <w:pPr>
              <w:keepNext/>
              <w:keepLines/>
              <w:jc w:val="center"/>
              <w:rPr>
                <w:b/>
                <w:bCs/>
                <w:sz w:val="20"/>
                <w:szCs w:val="20"/>
              </w:rPr>
            </w:pPr>
            <w:r w:rsidRPr="00EA0CF2">
              <w:rPr>
                <w:b/>
                <w:bCs/>
                <w:sz w:val="20"/>
                <w:szCs w:val="20"/>
              </w:rPr>
              <w:t>14</w:t>
            </w:r>
          </w:p>
        </w:tc>
        <w:tc>
          <w:tcPr>
            <w:tcW w:w="632" w:type="dxa"/>
            <w:tcBorders>
              <w:top w:val="single" w:sz="8" w:space="0" w:color="auto"/>
              <w:left w:val="single" w:sz="8" w:space="0" w:color="auto"/>
              <w:bottom w:val="single" w:sz="8" w:space="0" w:color="auto"/>
              <w:right w:val="single" w:sz="8" w:space="0" w:color="auto"/>
            </w:tcBorders>
            <w:shd w:val="clear" w:color="auto" w:fill="DDDDDD"/>
          </w:tcPr>
          <w:p w14:paraId="44BBBC4C" w14:textId="77777777" w:rsidR="006B1DE9" w:rsidRPr="00EA0CF2" w:rsidRDefault="006B1DE9" w:rsidP="001A612F">
            <w:pPr>
              <w:keepNext/>
              <w:keepLines/>
              <w:jc w:val="center"/>
              <w:rPr>
                <w:b/>
                <w:bCs/>
                <w:sz w:val="20"/>
                <w:szCs w:val="20"/>
              </w:rPr>
            </w:pPr>
            <w:r w:rsidRPr="00EA0CF2">
              <w:rPr>
                <w:b/>
                <w:bCs/>
                <w:sz w:val="20"/>
                <w:szCs w:val="20"/>
              </w:rPr>
              <w:t>15</w:t>
            </w:r>
          </w:p>
        </w:tc>
      </w:tr>
      <w:tr w:rsidR="006B1DE9" w14:paraId="539129F2" w14:textId="77777777" w:rsidTr="00EA0CF2">
        <w:trPr>
          <w:jc w:val="center"/>
        </w:trPr>
        <w:tc>
          <w:tcPr>
            <w:tcW w:w="1531" w:type="dxa"/>
            <w:tcBorders>
              <w:top w:val="single" w:sz="8" w:space="0" w:color="auto"/>
              <w:left w:val="single" w:sz="8" w:space="0" w:color="auto"/>
              <w:right w:val="single" w:sz="8" w:space="0" w:color="auto"/>
            </w:tcBorders>
          </w:tcPr>
          <w:p w14:paraId="6299E206" w14:textId="0F9C3009" w:rsidR="006B1DE9" w:rsidRPr="00EA0CF2" w:rsidRDefault="00F16FEB" w:rsidP="001A612F">
            <w:pPr>
              <w:keepNext/>
              <w:keepLines/>
              <w:jc w:val="center"/>
              <w:rPr>
                <w:sz w:val="20"/>
                <w:szCs w:val="20"/>
              </w:rPr>
            </w:pPr>
            <w:r>
              <w:rPr>
                <w:sz w:val="20"/>
                <w:szCs w:val="20"/>
              </w:rPr>
              <w:t>First Peoples</w:t>
            </w:r>
          </w:p>
        </w:tc>
        <w:tc>
          <w:tcPr>
            <w:tcW w:w="624" w:type="dxa"/>
            <w:tcBorders>
              <w:left w:val="single" w:sz="8" w:space="0" w:color="auto"/>
              <w:right w:val="single" w:sz="8" w:space="0" w:color="auto"/>
            </w:tcBorders>
          </w:tcPr>
          <w:p w14:paraId="4480E75B" w14:textId="77777777" w:rsidR="006B1DE9" w:rsidRPr="00EA0CF2" w:rsidRDefault="006B1DE9" w:rsidP="001A612F">
            <w:pPr>
              <w:keepNext/>
              <w:keepLines/>
              <w:jc w:val="center"/>
              <w:rPr>
                <w:sz w:val="20"/>
                <w:szCs w:val="20"/>
              </w:rPr>
            </w:pPr>
            <w:r w:rsidRPr="00EA0CF2">
              <w:rPr>
                <w:sz w:val="20"/>
                <w:szCs w:val="20"/>
              </w:rPr>
              <w:t>0</w:t>
            </w:r>
          </w:p>
        </w:tc>
        <w:tc>
          <w:tcPr>
            <w:tcW w:w="624" w:type="dxa"/>
            <w:tcBorders>
              <w:right w:val="single" w:sz="8" w:space="0" w:color="auto"/>
            </w:tcBorders>
          </w:tcPr>
          <w:p w14:paraId="20386C78" w14:textId="77777777" w:rsidR="006B1DE9" w:rsidRPr="00EA0CF2" w:rsidRDefault="006B1DE9" w:rsidP="001A612F">
            <w:pPr>
              <w:keepNext/>
              <w:keepLines/>
              <w:jc w:val="center"/>
              <w:rPr>
                <w:sz w:val="20"/>
                <w:szCs w:val="20"/>
              </w:rPr>
            </w:pPr>
            <w:r w:rsidRPr="00EA0CF2">
              <w:rPr>
                <w:sz w:val="20"/>
                <w:szCs w:val="20"/>
              </w:rPr>
              <w:t>1</w:t>
            </w:r>
          </w:p>
        </w:tc>
        <w:tc>
          <w:tcPr>
            <w:tcW w:w="624" w:type="dxa"/>
            <w:tcBorders>
              <w:right w:val="single" w:sz="8" w:space="0" w:color="auto"/>
            </w:tcBorders>
          </w:tcPr>
          <w:p w14:paraId="2FA60C57" w14:textId="77777777" w:rsidR="006B1DE9" w:rsidRPr="00EA0CF2" w:rsidRDefault="006B1DE9" w:rsidP="001A612F">
            <w:pPr>
              <w:keepNext/>
              <w:keepLines/>
              <w:jc w:val="center"/>
              <w:rPr>
                <w:sz w:val="20"/>
                <w:szCs w:val="20"/>
              </w:rPr>
            </w:pPr>
            <w:r w:rsidRPr="00EA0CF2">
              <w:rPr>
                <w:sz w:val="20"/>
                <w:szCs w:val="20"/>
              </w:rPr>
              <w:t>1</w:t>
            </w:r>
          </w:p>
        </w:tc>
        <w:tc>
          <w:tcPr>
            <w:tcW w:w="624" w:type="dxa"/>
            <w:tcBorders>
              <w:right w:val="single" w:sz="8" w:space="0" w:color="auto"/>
            </w:tcBorders>
          </w:tcPr>
          <w:p w14:paraId="103429CB" w14:textId="77777777" w:rsidR="006B1DE9" w:rsidRPr="00EA0CF2" w:rsidRDefault="006B1DE9" w:rsidP="001A612F">
            <w:pPr>
              <w:keepNext/>
              <w:keepLines/>
              <w:jc w:val="center"/>
              <w:rPr>
                <w:sz w:val="20"/>
                <w:szCs w:val="20"/>
              </w:rPr>
            </w:pPr>
            <w:r w:rsidRPr="00EA0CF2">
              <w:rPr>
                <w:sz w:val="20"/>
                <w:szCs w:val="20"/>
              </w:rPr>
              <w:t>3</w:t>
            </w:r>
          </w:p>
        </w:tc>
        <w:tc>
          <w:tcPr>
            <w:tcW w:w="567" w:type="dxa"/>
            <w:tcBorders>
              <w:right w:val="single" w:sz="8" w:space="0" w:color="auto"/>
            </w:tcBorders>
          </w:tcPr>
          <w:p w14:paraId="3C340F76" w14:textId="77777777" w:rsidR="006B1DE9" w:rsidRPr="00EA0CF2" w:rsidRDefault="006B1DE9" w:rsidP="001A612F">
            <w:pPr>
              <w:keepNext/>
              <w:keepLines/>
              <w:jc w:val="center"/>
              <w:rPr>
                <w:sz w:val="20"/>
                <w:szCs w:val="20"/>
              </w:rPr>
            </w:pPr>
            <w:r w:rsidRPr="00EA0CF2">
              <w:rPr>
                <w:sz w:val="20"/>
                <w:szCs w:val="20"/>
              </w:rPr>
              <w:t>11</w:t>
            </w:r>
          </w:p>
        </w:tc>
        <w:tc>
          <w:tcPr>
            <w:tcW w:w="567" w:type="dxa"/>
            <w:tcBorders>
              <w:right w:val="single" w:sz="8" w:space="0" w:color="auto"/>
            </w:tcBorders>
          </w:tcPr>
          <w:p w14:paraId="3441FCFB" w14:textId="77777777" w:rsidR="006B1DE9" w:rsidRPr="00EA0CF2" w:rsidRDefault="006B1DE9" w:rsidP="001A612F">
            <w:pPr>
              <w:keepNext/>
              <w:keepLines/>
              <w:jc w:val="center"/>
              <w:rPr>
                <w:sz w:val="20"/>
                <w:szCs w:val="20"/>
              </w:rPr>
            </w:pPr>
            <w:r w:rsidRPr="00EA0CF2">
              <w:rPr>
                <w:sz w:val="20"/>
                <w:szCs w:val="20"/>
              </w:rPr>
              <w:t>23</w:t>
            </w:r>
          </w:p>
        </w:tc>
        <w:tc>
          <w:tcPr>
            <w:tcW w:w="624" w:type="dxa"/>
            <w:gridSpan w:val="2"/>
            <w:tcBorders>
              <w:left w:val="single" w:sz="8" w:space="0" w:color="auto"/>
              <w:right w:val="single" w:sz="8" w:space="0" w:color="auto"/>
            </w:tcBorders>
            <w:shd w:val="clear" w:color="auto" w:fill="DDDDDD"/>
          </w:tcPr>
          <w:p w14:paraId="6292FE3A" w14:textId="77777777" w:rsidR="006B1DE9" w:rsidRPr="00EA0CF2" w:rsidRDefault="006B1DE9" w:rsidP="001A612F">
            <w:pPr>
              <w:keepNext/>
              <w:keepLines/>
              <w:jc w:val="center"/>
              <w:rPr>
                <w:sz w:val="20"/>
                <w:szCs w:val="20"/>
              </w:rPr>
            </w:pPr>
            <w:r w:rsidRPr="00EA0CF2">
              <w:rPr>
                <w:sz w:val="20"/>
                <w:szCs w:val="20"/>
              </w:rPr>
              <w:t>0</w:t>
            </w:r>
          </w:p>
        </w:tc>
        <w:tc>
          <w:tcPr>
            <w:tcW w:w="624" w:type="dxa"/>
            <w:tcBorders>
              <w:left w:val="single" w:sz="8" w:space="0" w:color="auto"/>
              <w:right w:val="single" w:sz="8" w:space="0" w:color="auto"/>
            </w:tcBorders>
            <w:shd w:val="clear" w:color="auto" w:fill="DDDDDD"/>
          </w:tcPr>
          <w:p w14:paraId="3C2FD721" w14:textId="77777777" w:rsidR="006B1DE9" w:rsidRPr="00EA0CF2" w:rsidRDefault="006B1DE9" w:rsidP="001A612F">
            <w:pPr>
              <w:keepNext/>
              <w:keepLines/>
              <w:jc w:val="center"/>
              <w:rPr>
                <w:sz w:val="20"/>
                <w:szCs w:val="20"/>
              </w:rPr>
            </w:pPr>
            <w:r w:rsidRPr="00EA0CF2">
              <w:rPr>
                <w:sz w:val="20"/>
                <w:szCs w:val="20"/>
              </w:rPr>
              <w:t>0</w:t>
            </w:r>
          </w:p>
        </w:tc>
        <w:tc>
          <w:tcPr>
            <w:tcW w:w="624" w:type="dxa"/>
            <w:tcBorders>
              <w:left w:val="single" w:sz="8" w:space="0" w:color="auto"/>
              <w:right w:val="single" w:sz="8" w:space="0" w:color="auto"/>
            </w:tcBorders>
            <w:shd w:val="clear" w:color="auto" w:fill="DDDDDD"/>
          </w:tcPr>
          <w:p w14:paraId="125CE196" w14:textId="77777777" w:rsidR="006B1DE9" w:rsidRPr="00EA0CF2" w:rsidRDefault="006B1DE9" w:rsidP="001A612F">
            <w:pPr>
              <w:keepNext/>
              <w:keepLines/>
              <w:jc w:val="center"/>
              <w:rPr>
                <w:sz w:val="20"/>
                <w:szCs w:val="20"/>
              </w:rPr>
            </w:pPr>
            <w:r w:rsidRPr="00EA0CF2">
              <w:rPr>
                <w:sz w:val="20"/>
                <w:szCs w:val="20"/>
              </w:rPr>
              <w:t>0</w:t>
            </w:r>
          </w:p>
        </w:tc>
        <w:tc>
          <w:tcPr>
            <w:tcW w:w="624" w:type="dxa"/>
            <w:tcBorders>
              <w:left w:val="single" w:sz="8" w:space="0" w:color="auto"/>
              <w:right w:val="single" w:sz="8" w:space="0" w:color="auto"/>
            </w:tcBorders>
            <w:shd w:val="clear" w:color="auto" w:fill="DDDDDD"/>
          </w:tcPr>
          <w:p w14:paraId="1046EDBE" w14:textId="77777777" w:rsidR="006B1DE9" w:rsidRPr="00EA0CF2" w:rsidRDefault="006B1DE9" w:rsidP="001A612F">
            <w:pPr>
              <w:keepNext/>
              <w:keepLines/>
              <w:jc w:val="center"/>
              <w:rPr>
                <w:sz w:val="20"/>
                <w:szCs w:val="20"/>
              </w:rPr>
            </w:pPr>
            <w:r w:rsidRPr="00EA0CF2">
              <w:rPr>
                <w:sz w:val="20"/>
                <w:szCs w:val="20"/>
              </w:rPr>
              <w:t>1</w:t>
            </w:r>
          </w:p>
        </w:tc>
        <w:tc>
          <w:tcPr>
            <w:tcW w:w="624" w:type="dxa"/>
            <w:tcBorders>
              <w:left w:val="single" w:sz="8" w:space="0" w:color="auto"/>
              <w:right w:val="single" w:sz="8" w:space="0" w:color="auto"/>
            </w:tcBorders>
            <w:shd w:val="clear" w:color="auto" w:fill="DDDDDD"/>
          </w:tcPr>
          <w:p w14:paraId="0C1B58FC" w14:textId="77777777" w:rsidR="006B1DE9" w:rsidRPr="00EA0CF2" w:rsidRDefault="006B1DE9" w:rsidP="001A612F">
            <w:pPr>
              <w:keepNext/>
              <w:keepLines/>
              <w:jc w:val="center"/>
              <w:rPr>
                <w:sz w:val="20"/>
                <w:szCs w:val="20"/>
              </w:rPr>
            </w:pPr>
            <w:r w:rsidRPr="00EA0CF2">
              <w:rPr>
                <w:sz w:val="20"/>
                <w:szCs w:val="20"/>
              </w:rPr>
              <w:t>3</w:t>
            </w:r>
          </w:p>
        </w:tc>
        <w:tc>
          <w:tcPr>
            <w:tcW w:w="632" w:type="dxa"/>
            <w:tcBorders>
              <w:left w:val="single" w:sz="8" w:space="0" w:color="auto"/>
              <w:right w:val="single" w:sz="8" w:space="0" w:color="auto"/>
            </w:tcBorders>
            <w:shd w:val="clear" w:color="auto" w:fill="DDDDDD"/>
          </w:tcPr>
          <w:p w14:paraId="10316F8D" w14:textId="77777777" w:rsidR="006B1DE9" w:rsidRPr="00EA0CF2" w:rsidRDefault="006B1DE9" w:rsidP="001A612F">
            <w:pPr>
              <w:keepNext/>
              <w:keepLines/>
              <w:jc w:val="center"/>
              <w:rPr>
                <w:sz w:val="20"/>
                <w:szCs w:val="20"/>
              </w:rPr>
            </w:pPr>
            <w:r w:rsidRPr="00EA0CF2">
              <w:rPr>
                <w:sz w:val="20"/>
                <w:szCs w:val="20"/>
              </w:rPr>
              <w:t>3</w:t>
            </w:r>
          </w:p>
        </w:tc>
      </w:tr>
      <w:tr w:rsidR="006B1DE9" w14:paraId="54E6B82C" w14:textId="77777777" w:rsidTr="00EA0CF2">
        <w:trPr>
          <w:jc w:val="center"/>
        </w:trPr>
        <w:tc>
          <w:tcPr>
            <w:tcW w:w="1531" w:type="dxa"/>
            <w:tcBorders>
              <w:left w:val="single" w:sz="8" w:space="0" w:color="auto"/>
              <w:bottom w:val="single" w:sz="4" w:space="0" w:color="auto"/>
              <w:right w:val="single" w:sz="8" w:space="0" w:color="auto"/>
            </w:tcBorders>
          </w:tcPr>
          <w:p w14:paraId="03030BD3" w14:textId="26CE0F5D" w:rsidR="006B1DE9" w:rsidRPr="00EA0CF2" w:rsidRDefault="006B1DE9" w:rsidP="00EA0CF2">
            <w:pPr>
              <w:jc w:val="center"/>
              <w:rPr>
                <w:sz w:val="20"/>
                <w:szCs w:val="20"/>
              </w:rPr>
            </w:pPr>
            <w:r w:rsidRPr="00EA0CF2">
              <w:rPr>
                <w:sz w:val="20"/>
                <w:szCs w:val="20"/>
              </w:rPr>
              <w:t>Non</w:t>
            </w:r>
            <w:r w:rsidR="00F16FEB">
              <w:rPr>
                <w:sz w:val="20"/>
                <w:szCs w:val="20"/>
              </w:rPr>
              <w:t>-First Peoples</w:t>
            </w:r>
          </w:p>
        </w:tc>
        <w:tc>
          <w:tcPr>
            <w:tcW w:w="624" w:type="dxa"/>
            <w:tcBorders>
              <w:left w:val="single" w:sz="8" w:space="0" w:color="auto"/>
              <w:bottom w:val="single" w:sz="4" w:space="0" w:color="auto"/>
              <w:right w:val="single" w:sz="8" w:space="0" w:color="auto"/>
            </w:tcBorders>
          </w:tcPr>
          <w:p w14:paraId="26E94823" w14:textId="77777777" w:rsidR="006B1DE9" w:rsidRPr="00EA0CF2" w:rsidRDefault="006B1DE9" w:rsidP="00EA0CF2">
            <w:pPr>
              <w:jc w:val="center"/>
              <w:rPr>
                <w:sz w:val="20"/>
                <w:szCs w:val="20"/>
              </w:rPr>
            </w:pPr>
            <w:r w:rsidRPr="00EA0CF2">
              <w:rPr>
                <w:sz w:val="20"/>
                <w:szCs w:val="20"/>
              </w:rPr>
              <w:t>0</w:t>
            </w:r>
          </w:p>
        </w:tc>
        <w:tc>
          <w:tcPr>
            <w:tcW w:w="624" w:type="dxa"/>
            <w:tcBorders>
              <w:bottom w:val="single" w:sz="4" w:space="0" w:color="auto"/>
              <w:right w:val="single" w:sz="8" w:space="0" w:color="auto"/>
            </w:tcBorders>
          </w:tcPr>
          <w:p w14:paraId="5E81402E" w14:textId="77777777" w:rsidR="006B1DE9" w:rsidRPr="00EA0CF2" w:rsidRDefault="006B1DE9" w:rsidP="00EA0CF2">
            <w:pPr>
              <w:jc w:val="center"/>
              <w:rPr>
                <w:sz w:val="20"/>
                <w:szCs w:val="20"/>
              </w:rPr>
            </w:pPr>
            <w:r w:rsidRPr="00EA0CF2">
              <w:rPr>
                <w:sz w:val="20"/>
                <w:szCs w:val="20"/>
              </w:rPr>
              <w:t>0</w:t>
            </w:r>
          </w:p>
        </w:tc>
        <w:tc>
          <w:tcPr>
            <w:tcW w:w="624" w:type="dxa"/>
            <w:tcBorders>
              <w:bottom w:val="single" w:sz="4" w:space="0" w:color="auto"/>
              <w:right w:val="single" w:sz="8" w:space="0" w:color="auto"/>
            </w:tcBorders>
          </w:tcPr>
          <w:p w14:paraId="1F8810E9" w14:textId="77777777" w:rsidR="006B1DE9" w:rsidRPr="00EA0CF2" w:rsidRDefault="006B1DE9" w:rsidP="00EA0CF2">
            <w:pPr>
              <w:jc w:val="center"/>
              <w:rPr>
                <w:sz w:val="20"/>
                <w:szCs w:val="20"/>
              </w:rPr>
            </w:pPr>
            <w:r w:rsidRPr="00EA0CF2">
              <w:rPr>
                <w:sz w:val="20"/>
                <w:szCs w:val="20"/>
              </w:rPr>
              <w:t>4</w:t>
            </w:r>
          </w:p>
        </w:tc>
        <w:tc>
          <w:tcPr>
            <w:tcW w:w="624" w:type="dxa"/>
            <w:tcBorders>
              <w:bottom w:val="single" w:sz="4" w:space="0" w:color="auto"/>
              <w:right w:val="single" w:sz="8" w:space="0" w:color="auto"/>
            </w:tcBorders>
          </w:tcPr>
          <w:p w14:paraId="41FD7936" w14:textId="77777777" w:rsidR="006B1DE9" w:rsidRPr="00EA0CF2" w:rsidRDefault="006B1DE9" w:rsidP="00EA0CF2">
            <w:pPr>
              <w:jc w:val="center"/>
              <w:rPr>
                <w:sz w:val="20"/>
                <w:szCs w:val="20"/>
              </w:rPr>
            </w:pPr>
            <w:r w:rsidRPr="00EA0CF2">
              <w:rPr>
                <w:sz w:val="20"/>
                <w:szCs w:val="20"/>
              </w:rPr>
              <w:t>12</w:t>
            </w:r>
          </w:p>
        </w:tc>
        <w:tc>
          <w:tcPr>
            <w:tcW w:w="567" w:type="dxa"/>
            <w:tcBorders>
              <w:bottom w:val="single" w:sz="4" w:space="0" w:color="auto"/>
              <w:right w:val="single" w:sz="8" w:space="0" w:color="auto"/>
            </w:tcBorders>
          </w:tcPr>
          <w:p w14:paraId="341FD9CB" w14:textId="77777777" w:rsidR="006B1DE9" w:rsidRPr="00EA0CF2" w:rsidRDefault="006B1DE9" w:rsidP="00EA0CF2">
            <w:pPr>
              <w:jc w:val="center"/>
              <w:rPr>
                <w:sz w:val="20"/>
                <w:szCs w:val="20"/>
              </w:rPr>
            </w:pPr>
            <w:r w:rsidRPr="00EA0CF2">
              <w:rPr>
                <w:sz w:val="20"/>
                <w:szCs w:val="20"/>
              </w:rPr>
              <w:t>49</w:t>
            </w:r>
          </w:p>
        </w:tc>
        <w:tc>
          <w:tcPr>
            <w:tcW w:w="567" w:type="dxa"/>
            <w:tcBorders>
              <w:bottom w:val="single" w:sz="4" w:space="0" w:color="FFFFFF"/>
              <w:right w:val="single" w:sz="8" w:space="0" w:color="auto"/>
            </w:tcBorders>
          </w:tcPr>
          <w:p w14:paraId="44F31E08" w14:textId="77777777" w:rsidR="006B1DE9" w:rsidRPr="00EA0CF2" w:rsidRDefault="006B1DE9" w:rsidP="00EA0CF2">
            <w:pPr>
              <w:jc w:val="center"/>
              <w:rPr>
                <w:sz w:val="20"/>
                <w:szCs w:val="20"/>
              </w:rPr>
            </w:pPr>
            <w:r w:rsidRPr="00EA0CF2">
              <w:rPr>
                <w:sz w:val="20"/>
                <w:szCs w:val="20"/>
              </w:rPr>
              <w:t>95</w:t>
            </w:r>
          </w:p>
        </w:tc>
        <w:tc>
          <w:tcPr>
            <w:tcW w:w="624" w:type="dxa"/>
            <w:gridSpan w:val="2"/>
            <w:tcBorders>
              <w:left w:val="single" w:sz="8" w:space="0" w:color="auto"/>
              <w:bottom w:val="single" w:sz="4" w:space="0" w:color="auto"/>
              <w:right w:val="single" w:sz="8" w:space="0" w:color="auto"/>
            </w:tcBorders>
            <w:shd w:val="clear" w:color="auto" w:fill="DDDDDD"/>
          </w:tcPr>
          <w:p w14:paraId="3DD3F837" w14:textId="77777777" w:rsidR="006B1DE9" w:rsidRPr="00EA0CF2" w:rsidRDefault="006B1DE9" w:rsidP="00EA0CF2">
            <w:pPr>
              <w:jc w:val="center"/>
              <w:rPr>
                <w:sz w:val="20"/>
                <w:szCs w:val="20"/>
              </w:rPr>
            </w:pPr>
            <w:r w:rsidRPr="00EA0CF2">
              <w:rPr>
                <w:sz w:val="20"/>
                <w:szCs w:val="20"/>
              </w:rPr>
              <w:t>0</w:t>
            </w:r>
          </w:p>
        </w:tc>
        <w:tc>
          <w:tcPr>
            <w:tcW w:w="624" w:type="dxa"/>
            <w:tcBorders>
              <w:left w:val="single" w:sz="8" w:space="0" w:color="auto"/>
              <w:bottom w:val="single" w:sz="4" w:space="0" w:color="auto"/>
              <w:right w:val="single" w:sz="8" w:space="0" w:color="auto"/>
            </w:tcBorders>
            <w:shd w:val="clear" w:color="auto" w:fill="DDDDDD"/>
          </w:tcPr>
          <w:p w14:paraId="07E6319F" w14:textId="77777777" w:rsidR="006B1DE9" w:rsidRPr="00EA0CF2" w:rsidRDefault="006B1DE9" w:rsidP="00EA0CF2">
            <w:pPr>
              <w:jc w:val="center"/>
              <w:rPr>
                <w:sz w:val="20"/>
                <w:szCs w:val="20"/>
              </w:rPr>
            </w:pPr>
            <w:r w:rsidRPr="00EA0CF2">
              <w:rPr>
                <w:sz w:val="20"/>
                <w:szCs w:val="20"/>
              </w:rPr>
              <w:t>0</w:t>
            </w:r>
          </w:p>
        </w:tc>
        <w:tc>
          <w:tcPr>
            <w:tcW w:w="624" w:type="dxa"/>
            <w:tcBorders>
              <w:left w:val="single" w:sz="8" w:space="0" w:color="auto"/>
              <w:bottom w:val="single" w:sz="4" w:space="0" w:color="auto"/>
              <w:right w:val="single" w:sz="8" w:space="0" w:color="auto"/>
            </w:tcBorders>
            <w:shd w:val="clear" w:color="auto" w:fill="DDDDDD"/>
          </w:tcPr>
          <w:p w14:paraId="250A59DC" w14:textId="77777777" w:rsidR="006B1DE9" w:rsidRPr="00EA0CF2" w:rsidRDefault="006B1DE9" w:rsidP="00EA0CF2">
            <w:pPr>
              <w:jc w:val="center"/>
              <w:rPr>
                <w:sz w:val="20"/>
                <w:szCs w:val="20"/>
              </w:rPr>
            </w:pPr>
            <w:r w:rsidRPr="00EA0CF2">
              <w:rPr>
                <w:sz w:val="20"/>
                <w:szCs w:val="20"/>
              </w:rPr>
              <w:t>0</w:t>
            </w:r>
          </w:p>
        </w:tc>
        <w:tc>
          <w:tcPr>
            <w:tcW w:w="624" w:type="dxa"/>
            <w:tcBorders>
              <w:left w:val="single" w:sz="8" w:space="0" w:color="auto"/>
              <w:bottom w:val="single" w:sz="4" w:space="0" w:color="auto"/>
              <w:right w:val="single" w:sz="8" w:space="0" w:color="auto"/>
            </w:tcBorders>
            <w:shd w:val="clear" w:color="auto" w:fill="DDDDDD"/>
          </w:tcPr>
          <w:p w14:paraId="19261023" w14:textId="77777777" w:rsidR="006B1DE9" w:rsidRPr="00EA0CF2" w:rsidRDefault="006B1DE9" w:rsidP="00EA0CF2">
            <w:pPr>
              <w:jc w:val="center"/>
              <w:rPr>
                <w:sz w:val="20"/>
                <w:szCs w:val="20"/>
              </w:rPr>
            </w:pPr>
            <w:r w:rsidRPr="00EA0CF2">
              <w:rPr>
                <w:sz w:val="20"/>
                <w:szCs w:val="20"/>
              </w:rPr>
              <w:t>1</w:t>
            </w:r>
          </w:p>
        </w:tc>
        <w:tc>
          <w:tcPr>
            <w:tcW w:w="624" w:type="dxa"/>
            <w:tcBorders>
              <w:left w:val="single" w:sz="8" w:space="0" w:color="auto"/>
              <w:bottom w:val="single" w:sz="4" w:space="0" w:color="auto"/>
              <w:right w:val="single" w:sz="8" w:space="0" w:color="auto"/>
            </w:tcBorders>
            <w:shd w:val="clear" w:color="auto" w:fill="DDDDDD"/>
          </w:tcPr>
          <w:p w14:paraId="6445BF91" w14:textId="77777777" w:rsidR="006B1DE9" w:rsidRPr="00EA0CF2" w:rsidRDefault="006B1DE9" w:rsidP="00EA0CF2">
            <w:pPr>
              <w:jc w:val="center"/>
              <w:rPr>
                <w:sz w:val="20"/>
                <w:szCs w:val="20"/>
              </w:rPr>
            </w:pPr>
            <w:r w:rsidRPr="00EA0CF2">
              <w:rPr>
                <w:sz w:val="20"/>
                <w:szCs w:val="20"/>
              </w:rPr>
              <w:t>7</w:t>
            </w:r>
          </w:p>
        </w:tc>
        <w:tc>
          <w:tcPr>
            <w:tcW w:w="632" w:type="dxa"/>
            <w:tcBorders>
              <w:left w:val="single" w:sz="8" w:space="0" w:color="auto"/>
              <w:bottom w:val="single" w:sz="4" w:space="0" w:color="auto"/>
              <w:right w:val="single" w:sz="8" w:space="0" w:color="auto"/>
            </w:tcBorders>
            <w:shd w:val="clear" w:color="auto" w:fill="DDDDDD"/>
          </w:tcPr>
          <w:p w14:paraId="62D307FF" w14:textId="77777777" w:rsidR="006B1DE9" w:rsidRPr="00EA0CF2" w:rsidRDefault="006B1DE9" w:rsidP="00EA0CF2">
            <w:pPr>
              <w:jc w:val="center"/>
              <w:rPr>
                <w:sz w:val="20"/>
                <w:szCs w:val="20"/>
              </w:rPr>
            </w:pPr>
            <w:r w:rsidRPr="00EA0CF2">
              <w:rPr>
                <w:sz w:val="20"/>
                <w:szCs w:val="20"/>
              </w:rPr>
              <w:t>21</w:t>
            </w:r>
          </w:p>
        </w:tc>
      </w:tr>
      <w:tr w:rsidR="001D1E4B" w:rsidRPr="00EA0CF2" w14:paraId="4257EF3A" w14:textId="77777777" w:rsidTr="00EA0CF2">
        <w:trPr>
          <w:jc w:val="center"/>
        </w:trPr>
        <w:tc>
          <w:tcPr>
            <w:tcW w:w="1531" w:type="dxa"/>
            <w:tcBorders>
              <w:left w:val="single" w:sz="8" w:space="0" w:color="auto"/>
              <w:bottom w:val="single" w:sz="4" w:space="0" w:color="auto"/>
              <w:right w:val="single" w:sz="8" w:space="0" w:color="auto"/>
            </w:tcBorders>
            <w:shd w:val="clear" w:color="auto" w:fill="000000"/>
          </w:tcPr>
          <w:p w14:paraId="32345776" w14:textId="77777777" w:rsidR="001D1E4B" w:rsidRPr="00EA0CF2" w:rsidRDefault="001D1E4B" w:rsidP="00EA0CF2">
            <w:pPr>
              <w:jc w:val="center"/>
              <w:rPr>
                <w:b/>
                <w:bCs/>
                <w:color w:val="FFFFFF"/>
                <w:sz w:val="20"/>
                <w:szCs w:val="20"/>
              </w:rPr>
            </w:pPr>
            <w:r w:rsidRPr="00EA0CF2">
              <w:rPr>
                <w:b/>
                <w:bCs/>
                <w:color w:val="FFFFFF"/>
                <w:sz w:val="20"/>
                <w:szCs w:val="20"/>
              </w:rPr>
              <w:t>TOTALS</w:t>
            </w:r>
          </w:p>
        </w:tc>
        <w:tc>
          <w:tcPr>
            <w:tcW w:w="624" w:type="dxa"/>
            <w:tcBorders>
              <w:left w:val="single" w:sz="8" w:space="0" w:color="auto"/>
              <w:bottom w:val="single" w:sz="4" w:space="0" w:color="auto"/>
              <w:right w:val="single" w:sz="8" w:space="0" w:color="auto"/>
            </w:tcBorders>
            <w:shd w:val="clear" w:color="auto" w:fill="000000"/>
          </w:tcPr>
          <w:p w14:paraId="1D0C1DCA" w14:textId="77777777" w:rsidR="001D1E4B" w:rsidRPr="00EA0CF2" w:rsidRDefault="001D1E4B" w:rsidP="00EA0CF2">
            <w:pPr>
              <w:jc w:val="center"/>
              <w:rPr>
                <w:b/>
                <w:bCs/>
                <w:color w:val="FFFFFF"/>
                <w:sz w:val="20"/>
                <w:szCs w:val="20"/>
              </w:rPr>
            </w:pPr>
            <w:r w:rsidRPr="00EA0CF2">
              <w:rPr>
                <w:b/>
                <w:bCs/>
                <w:sz w:val="20"/>
                <w:szCs w:val="20"/>
              </w:rPr>
              <w:t>0</w:t>
            </w:r>
          </w:p>
        </w:tc>
        <w:tc>
          <w:tcPr>
            <w:tcW w:w="624" w:type="dxa"/>
            <w:tcBorders>
              <w:bottom w:val="single" w:sz="4" w:space="0" w:color="auto"/>
              <w:right w:val="single" w:sz="8" w:space="0" w:color="auto"/>
            </w:tcBorders>
            <w:shd w:val="clear" w:color="auto" w:fill="000000"/>
          </w:tcPr>
          <w:p w14:paraId="74DF92A4" w14:textId="77777777" w:rsidR="001D1E4B" w:rsidRPr="00EA0CF2" w:rsidRDefault="001D1E4B" w:rsidP="00EA0CF2">
            <w:pPr>
              <w:jc w:val="center"/>
              <w:rPr>
                <w:b/>
                <w:bCs/>
                <w:color w:val="FFFFFF"/>
                <w:sz w:val="20"/>
                <w:szCs w:val="20"/>
              </w:rPr>
            </w:pPr>
            <w:r w:rsidRPr="00EA0CF2">
              <w:rPr>
                <w:b/>
                <w:bCs/>
                <w:sz w:val="20"/>
                <w:szCs w:val="20"/>
              </w:rPr>
              <w:t>1</w:t>
            </w:r>
          </w:p>
        </w:tc>
        <w:tc>
          <w:tcPr>
            <w:tcW w:w="624" w:type="dxa"/>
            <w:tcBorders>
              <w:bottom w:val="single" w:sz="4" w:space="0" w:color="auto"/>
              <w:right w:val="single" w:sz="8" w:space="0" w:color="auto"/>
            </w:tcBorders>
            <w:shd w:val="clear" w:color="auto" w:fill="000000"/>
          </w:tcPr>
          <w:p w14:paraId="400989A0" w14:textId="77777777" w:rsidR="001D1E4B" w:rsidRPr="00EA0CF2" w:rsidRDefault="001D1E4B" w:rsidP="00EA0CF2">
            <w:pPr>
              <w:jc w:val="center"/>
              <w:rPr>
                <w:b/>
                <w:bCs/>
                <w:color w:val="FFFFFF"/>
                <w:sz w:val="20"/>
                <w:szCs w:val="20"/>
              </w:rPr>
            </w:pPr>
            <w:r w:rsidRPr="00EA0CF2">
              <w:rPr>
                <w:b/>
                <w:bCs/>
                <w:sz w:val="20"/>
                <w:szCs w:val="20"/>
              </w:rPr>
              <w:t>5</w:t>
            </w:r>
          </w:p>
        </w:tc>
        <w:tc>
          <w:tcPr>
            <w:tcW w:w="624" w:type="dxa"/>
            <w:tcBorders>
              <w:bottom w:val="single" w:sz="4" w:space="0" w:color="auto"/>
              <w:right w:val="single" w:sz="8" w:space="0" w:color="auto"/>
            </w:tcBorders>
            <w:shd w:val="clear" w:color="auto" w:fill="000000"/>
          </w:tcPr>
          <w:p w14:paraId="48F19644" w14:textId="77777777" w:rsidR="001D1E4B" w:rsidRPr="00EA0CF2" w:rsidRDefault="001D1E4B" w:rsidP="00EA0CF2">
            <w:pPr>
              <w:jc w:val="center"/>
              <w:rPr>
                <w:b/>
                <w:bCs/>
                <w:color w:val="FFFFFF"/>
                <w:sz w:val="20"/>
                <w:szCs w:val="20"/>
              </w:rPr>
            </w:pPr>
            <w:r w:rsidRPr="00EA0CF2">
              <w:rPr>
                <w:b/>
                <w:bCs/>
                <w:sz w:val="20"/>
                <w:szCs w:val="20"/>
              </w:rPr>
              <w:t>15</w:t>
            </w:r>
          </w:p>
        </w:tc>
        <w:tc>
          <w:tcPr>
            <w:tcW w:w="567" w:type="dxa"/>
            <w:tcBorders>
              <w:bottom w:val="single" w:sz="4" w:space="0" w:color="auto"/>
              <w:right w:val="single" w:sz="8" w:space="0" w:color="auto"/>
            </w:tcBorders>
            <w:shd w:val="clear" w:color="auto" w:fill="000000"/>
          </w:tcPr>
          <w:p w14:paraId="771E920E" w14:textId="77777777" w:rsidR="001D1E4B" w:rsidRPr="00EA0CF2" w:rsidRDefault="001D1E4B" w:rsidP="00EA0CF2">
            <w:pPr>
              <w:jc w:val="center"/>
              <w:rPr>
                <w:b/>
                <w:bCs/>
                <w:color w:val="FFFFFF"/>
                <w:sz w:val="20"/>
                <w:szCs w:val="20"/>
              </w:rPr>
            </w:pPr>
            <w:r w:rsidRPr="00EA0CF2">
              <w:rPr>
                <w:b/>
                <w:bCs/>
                <w:sz w:val="20"/>
                <w:szCs w:val="20"/>
              </w:rPr>
              <w:t>61</w:t>
            </w:r>
          </w:p>
        </w:tc>
        <w:tc>
          <w:tcPr>
            <w:tcW w:w="567" w:type="dxa"/>
            <w:tcBorders>
              <w:bottom w:val="single" w:sz="4" w:space="0" w:color="FFFFFF"/>
              <w:right w:val="single" w:sz="8" w:space="0" w:color="auto"/>
            </w:tcBorders>
            <w:shd w:val="clear" w:color="auto" w:fill="000000"/>
          </w:tcPr>
          <w:p w14:paraId="6AD61DBE" w14:textId="77777777" w:rsidR="001D1E4B" w:rsidRPr="00EA0CF2" w:rsidRDefault="001D1E4B" w:rsidP="00EA0CF2">
            <w:pPr>
              <w:jc w:val="center"/>
              <w:rPr>
                <w:b/>
                <w:bCs/>
                <w:color w:val="FFFFFF"/>
                <w:sz w:val="20"/>
                <w:szCs w:val="20"/>
              </w:rPr>
            </w:pPr>
            <w:r w:rsidRPr="00EA0CF2">
              <w:rPr>
                <w:b/>
                <w:bCs/>
                <w:sz w:val="20"/>
                <w:szCs w:val="20"/>
              </w:rPr>
              <w:t>118</w:t>
            </w:r>
          </w:p>
        </w:tc>
        <w:tc>
          <w:tcPr>
            <w:tcW w:w="624" w:type="dxa"/>
            <w:gridSpan w:val="2"/>
            <w:tcBorders>
              <w:left w:val="single" w:sz="8" w:space="0" w:color="auto"/>
              <w:bottom w:val="single" w:sz="4" w:space="0" w:color="auto"/>
              <w:right w:val="single" w:sz="8" w:space="0" w:color="auto"/>
            </w:tcBorders>
            <w:shd w:val="clear" w:color="auto" w:fill="000000"/>
          </w:tcPr>
          <w:p w14:paraId="333FE933" w14:textId="77777777" w:rsidR="001D1E4B" w:rsidRPr="00EA0CF2" w:rsidRDefault="001D1E4B" w:rsidP="00EA0CF2">
            <w:pPr>
              <w:jc w:val="center"/>
              <w:rPr>
                <w:b/>
                <w:bCs/>
                <w:color w:val="FFFFFF"/>
                <w:sz w:val="20"/>
                <w:szCs w:val="20"/>
              </w:rPr>
            </w:pPr>
            <w:r w:rsidRPr="00EA0CF2">
              <w:rPr>
                <w:b/>
                <w:bCs/>
                <w:sz w:val="20"/>
                <w:szCs w:val="20"/>
              </w:rPr>
              <w:t>0</w:t>
            </w:r>
          </w:p>
        </w:tc>
        <w:tc>
          <w:tcPr>
            <w:tcW w:w="624" w:type="dxa"/>
            <w:tcBorders>
              <w:left w:val="single" w:sz="8" w:space="0" w:color="auto"/>
              <w:bottom w:val="single" w:sz="4" w:space="0" w:color="auto"/>
              <w:right w:val="single" w:sz="8" w:space="0" w:color="auto"/>
            </w:tcBorders>
            <w:shd w:val="clear" w:color="auto" w:fill="000000"/>
          </w:tcPr>
          <w:p w14:paraId="35E22803" w14:textId="77777777" w:rsidR="001D1E4B" w:rsidRPr="00EA0CF2" w:rsidRDefault="001D1E4B" w:rsidP="00EA0CF2">
            <w:pPr>
              <w:jc w:val="center"/>
              <w:rPr>
                <w:b/>
                <w:bCs/>
                <w:color w:val="FFFFFF"/>
                <w:sz w:val="20"/>
                <w:szCs w:val="20"/>
              </w:rPr>
            </w:pPr>
            <w:r w:rsidRPr="00EA0CF2">
              <w:rPr>
                <w:b/>
                <w:bCs/>
                <w:sz w:val="20"/>
                <w:szCs w:val="20"/>
              </w:rPr>
              <w:t>0</w:t>
            </w:r>
          </w:p>
        </w:tc>
        <w:tc>
          <w:tcPr>
            <w:tcW w:w="624" w:type="dxa"/>
            <w:tcBorders>
              <w:left w:val="single" w:sz="8" w:space="0" w:color="auto"/>
              <w:bottom w:val="single" w:sz="4" w:space="0" w:color="auto"/>
              <w:right w:val="single" w:sz="8" w:space="0" w:color="auto"/>
            </w:tcBorders>
            <w:shd w:val="clear" w:color="auto" w:fill="000000"/>
          </w:tcPr>
          <w:p w14:paraId="4025D6CD" w14:textId="77777777" w:rsidR="001D1E4B" w:rsidRPr="00EA0CF2" w:rsidRDefault="001D1E4B" w:rsidP="00EA0CF2">
            <w:pPr>
              <w:jc w:val="center"/>
              <w:rPr>
                <w:b/>
                <w:bCs/>
                <w:color w:val="FFFFFF"/>
                <w:sz w:val="20"/>
                <w:szCs w:val="20"/>
              </w:rPr>
            </w:pPr>
            <w:r w:rsidRPr="00EA0CF2">
              <w:rPr>
                <w:b/>
                <w:bCs/>
                <w:sz w:val="20"/>
                <w:szCs w:val="20"/>
              </w:rPr>
              <w:t>0</w:t>
            </w:r>
          </w:p>
        </w:tc>
        <w:tc>
          <w:tcPr>
            <w:tcW w:w="624" w:type="dxa"/>
            <w:tcBorders>
              <w:left w:val="single" w:sz="8" w:space="0" w:color="auto"/>
              <w:bottom w:val="single" w:sz="4" w:space="0" w:color="auto"/>
              <w:right w:val="single" w:sz="8" w:space="0" w:color="auto"/>
            </w:tcBorders>
            <w:shd w:val="clear" w:color="auto" w:fill="000000"/>
          </w:tcPr>
          <w:p w14:paraId="06AE5CE7" w14:textId="77777777" w:rsidR="001D1E4B" w:rsidRPr="00EA0CF2" w:rsidRDefault="001D1E4B" w:rsidP="00EA0CF2">
            <w:pPr>
              <w:jc w:val="center"/>
              <w:rPr>
                <w:b/>
                <w:bCs/>
                <w:color w:val="FFFFFF"/>
                <w:sz w:val="20"/>
                <w:szCs w:val="20"/>
              </w:rPr>
            </w:pPr>
            <w:r w:rsidRPr="00EA0CF2">
              <w:rPr>
                <w:b/>
                <w:bCs/>
                <w:sz w:val="20"/>
                <w:szCs w:val="20"/>
              </w:rPr>
              <w:t>2</w:t>
            </w:r>
          </w:p>
        </w:tc>
        <w:tc>
          <w:tcPr>
            <w:tcW w:w="624" w:type="dxa"/>
            <w:tcBorders>
              <w:left w:val="single" w:sz="8" w:space="0" w:color="auto"/>
              <w:bottom w:val="single" w:sz="4" w:space="0" w:color="auto"/>
              <w:right w:val="single" w:sz="8" w:space="0" w:color="auto"/>
            </w:tcBorders>
            <w:shd w:val="clear" w:color="auto" w:fill="000000"/>
          </w:tcPr>
          <w:p w14:paraId="6A2EC901" w14:textId="77777777" w:rsidR="001D1E4B" w:rsidRPr="00EA0CF2" w:rsidRDefault="001D1E4B" w:rsidP="00EA0CF2">
            <w:pPr>
              <w:jc w:val="center"/>
              <w:rPr>
                <w:b/>
                <w:bCs/>
                <w:color w:val="FFFFFF"/>
                <w:sz w:val="20"/>
                <w:szCs w:val="20"/>
              </w:rPr>
            </w:pPr>
            <w:r w:rsidRPr="00EA0CF2">
              <w:rPr>
                <w:b/>
                <w:bCs/>
                <w:sz w:val="20"/>
                <w:szCs w:val="20"/>
              </w:rPr>
              <w:t>10</w:t>
            </w:r>
          </w:p>
        </w:tc>
        <w:tc>
          <w:tcPr>
            <w:tcW w:w="632" w:type="dxa"/>
            <w:tcBorders>
              <w:left w:val="single" w:sz="8" w:space="0" w:color="auto"/>
              <w:bottom w:val="single" w:sz="4" w:space="0" w:color="auto"/>
              <w:right w:val="single" w:sz="8" w:space="0" w:color="auto"/>
            </w:tcBorders>
            <w:shd w:val="clear" w:color="auto" w:fill="000000"/>
          </w:tcPr>
          <w:p w14:paraId="1FE22952" w14:textId="77777777" w:rsidR="001D1E4B" w:rsidRPr="00EA0CF2" w:rsidRDefault="001D1E4B" w:rsidP="00EA0CF2">
            <w:pPr>
              <w:jc w:val="center"/>
              <w:rPr>
                <w:b/>
                <w:bCs/>
                <w:color w:val="FFFFFF"/>
                <w:sz w:val="20"/>
                <w:szCs w:val="20"/>
              </w:rPr>
            </w:pPr>
            <w:r w:rsidRPr="00EA0CF2">
              <w:rPr>
                <w:b/>
                <w:bCs/>
                <w:sz w:val="20"/>
                <w:szCs w:val="20"/>
              </w:rPr>
              <w:t>24</w:t>
            </w:r>
          </w:p>
        </w:tc>
      </w:tr>
    </w:tbl>
    <w:p w14:paraId="42816600" w14:textId="77777777" w:rsidR="006B1DE9" w:rsidRPr="008920B2" w:rsidRDefault="006B1DE9" w:rsidP="006B1DE9">
      <w:pPr>
        <w:rPr>
          <w:sz w:val="18"/>
          <w:szCs w:val="18"/>
        </w:rPr>
      </w:pPr>
    </w:p>
    <w:p w14:paraId="7932F759" w14:textId="77777777" w:rsidR="006B1DE9" w:rsidRPr="001D1E4B" w:rsidRDefault="006B1DE9" w:rsidP="001D1E4B">
      <w:pPr>
        <w:spacing w:after="120"/>
        <w:jc w:val="both"/>
        <w:rPr>
          <w:rFonts w:ascii="Arial" w:hAnsi="Arial" w:cs="Arial"/>
          <w:sz w:val="20"/>
          <w:szCs w:val="20"/>
        </w:rPr>
      </w:pPr>
      <w:r w:rsidRPr="001D1E4B">
        <w:rPr>
          <w:rFonts w:ascii="Arial" w:hAnsi="Arial" w:cs="Arial"/>
          <w:sz w:val="20"/>
          <w:szCs w:val="20"/>
        </w:rPr>
        <w:lastRenderedPageBreak/>
        <w:t xml:space="preserve">The table below </w:t>
      </w:r>
      <w:r w:rsidR="005C48CF">
        <w:rPr>
          <w:rFonts w:ascii="Arial" w:hAnsi="Arial" w:cs="Arial"/>
          <w:sz w:val="20"/>
          <w:szCs w:val="20"/>
        </w:rPr>
        <w:t xml:space="preserve">– the contents of which are taken from the CCV’s Courtlink system – </w:t>
      </w:r>
      <w:r w:rsidRPr="001D1E4B">
        <w:rPr>
          <w:rFonts w:ascii="Arial" w:hAnsi="Arial" w:cs="Arial"/>
          <w:sz w:val="20"/>
          <w:szCs w:val="20"/>
        </w:rPr>
        <w:t>shows</w:t>
      </w:r>
      <w:r w:rsidR="005C48CF">
        <w:rPr>
          <w:rFonts w:ascii="Arial" w:hAnsi="Arial" w:cs="Arial"/>
          <w:sz w:val="20"/>
          <w:szCs w:val="20"/>
        </w:rPr>
        <w:t xml:space="preserve"> </w:t>
      </w:r>
      <w:r w:rsidRPr="001D1E4B">
        <w:rPr>
          <w:rFonts w:ascii="Arial" w:hAnsi="Arial" w:cs="Arial"/>
          <w:sz w:val="20"/>
          <w:szCs w:val="20"/>
        </w:rPr>
        <w:t>the number of children aged 10-13 remanded in a youth remand centre in Victoria at least once during 2017</w:t>
      </w:r>
      <w:r w:rsidR="001D1E4B">
        <w:rPr>
          <w:rFonts w:ascii="Arial" w:hAnsi="Arial" w:cs="Arial"/>
          <w:sz w:val="20"/>
          <w:szCs w:val="20"/>
        </w:rPr>
        <w:t>/</w:t>
      </w:r>
      <w:r w:rsidRPr="001D1E4B">
        <w:rPr>
          <w:rFonts w:ascii="Arial" w:hAnsi="Arial" w:cs="Arial"/>
          <w:sz w:val="20"/>
          <w:szCs w:val="20"/>
        </w:rPr>
        <w:t>18 &amp; 2018</w:t>
      </w:r>
      <w:r w:rsidR="001D1E4B">
        <w:rPr>
          <w:rFonts w:ascii="Arial" w:hAnsi="Arial" w:cs="Arial"/>
          <w:sz w:val="20"/>
          <w:szCs w:val="20"/>
        </w:rPr>
        <w:t>/</w:t>
      </w:r>
      <w:r w:rsidRPr="001D1E4B">
        <w:rPr>
          <w:rFonts w:ascii="Arial" w:hAnsi="Arial" w:cs="Arial"/>
          <w:sz w:val="20"/>
          <w:szCs w:val="20"/>
        </w:rPr>
        <w:t>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794"/>
        <w:gridCol w:w="794"/>
        <w:gridCol w:w="794"/>
        <w:gridCol w:w="794"/>
        <w:gridCol w:w="850"/>
        <w:gridCol w:w="794"/>
        <w:gridCol w:w="794"/>
        <w:gridCol w:w="794"/>
      </w:tblGrid>
      <w:tr w:rsidR="006B1DE9" w:rsidRPr="000F4023" w14:paraId="66DFA57F" w14:textId="77777777" w:rsidTr="00EA0CF2">
        <w:trPr>
          <w:jc w:val="center"/>
        </w:trPr>
        <w:tc>
          <w:tcPr>
            <w:tcW w:w="2494" w:type="dxa"/>
            <w:tcBorders>
              <w:top w:val="single" w:sz="8" w:space="0" w:color="auto"/>
              <w:left w:val="single" w:sz="8" w:space="0" w:color="auto"/>
              <w:bottom w:val="single" w:sz="8" w:space="0" w:color="auto"/>
              <w:right w:val="nil"/>
            </w:tcBorders>
            <w:shd w:val="clear" w:color="auto" w:fill="000000"/>
          </w:tcPr>
          <w:p w14:paraId="3347FA02" w14:textId="77777777" w:rsidR="006B1DE9" w:rsidRPr="00EA0CF2" w:rsidRDefault="006B1DE9" w:rsidP="00EA0CF2">
            <w:pPr>
              <w:jc w:val="center"/>
              <w:rPr>
                <w:b/>
                <w:bCs/>
                <w:sz w:val="20"/>
                <w:szCs w:val="20"/>
              </w:rPr>
            </w:pPr>
            <w:r w:rsidRPr="00EA0CF2">
              <w:rPr>
                <w:b/>
                <w:bCs/>
                <w:sz w:val="20"/>
                <w:szCs w:val="20"/>
              </w:rPr>
              <w:t>FINANCIAL YEAR</w:t>
            </w:r>
          </w:p>
        </w:tc>
        <w:tc>
          <w:tcPr>
            <w:tcW w:w="3176" w:type="dxa"/>
            <w:gridSpan w:val="4"/>
            <w:tcBorders>
              <w:top w:val="single" w:sz="8" w:space="0" w:color="auto"/>
              <w:left w:val="nil"/>
              <w:right w:val="nil"/>
            </w:tcBorders>
            <w:shd w:val="clear" w:color="auto" w:fill="000000"/>
          </w:tcPr>
          <w:p w14:paraId="6B4EEF1F" w14:textId="77777777" w:rsidR="006B1DE9" w:rsidRPr="00EA0CF2" w:rsidRDefault="006B1DE9" w:rsidP="00EA0CF2">
            <w:pPr>
              <w:jc w:val="center"/>
              <w:rPr>
                <w:b/>
                <w:bCs/>
                <w:sz w:val="20"/>
                <w:szCs w:val="20"/>
              </w:rPr>
            </w:pPr>
            <w:r w:rsidRPr="00EA0CF2">
              <w:rPr>
                <w:b/>
                <w:bCs/>
                <w:sz w:val="20"/>
                <w:szCs w:val="20"/>
              </w:rPr>
              <w:t>2018</w:t>
            </w:r>
            <w:r w:rsidR="005C48CF" w:rsidRPr="00EA0CF2">
              <w:rPr>
                <w:b/>
                <w:bCs/>
                <w:sz w:val="20"/>
                <w:szCs w:val="20"/>
              </w:rPr>
              <w:t>/</w:t>
            </w:r>
            <w:r w:rsidRPr="00EA0CF2">
              <w:rPr>
                <w:b/>
                <w:bCs/>
                <w:sz w:val="20"/>
                <w:szCs w:val="20"/>
              </w:rPr>
              <w:t>19 (Age at date of offence)</w:t>
            </w:r>
          </w:p>
        </w:tc>
        <w:tc>
          <w:tcPr>
            <w:tcW w:w="3232" w:type="dxa"/>
            <w:gridSpan w:val="4"/>
            <w:tcBorders>
              <w:top w:val="single" w:sz="8" w:space="0" w:color="auto"/>
              <w:left w:val="nil"/>
              <w:right w:val="single" w:sz="8" w:space="0" w:color="auto"/>
            </w:tcBorders>
            <w:shd w:val="clear" w:color="auto" w:fill="000000"/>
          </w:tcPr>
          <w:p w14:paraId="4E3874A4" w14:textId="77777777" w:rsidR="006B1DE9" w:rsidRPr="00EA0CF2" w:rsidRDefault="006B1DE9" w:rsidP="00EA0CF2">
            <w:pPr>
              <w:jc w:val="center"/>
              <w:rPr>
                <w:b/>
                <w:bCs/>
                <w:sz w:val="20"/>
                <w:szCs w:val="20"/>
              </w:rPr>
            </w:pPr>
            <w:r w:rsidRPr="00EA0CF2">
              <w:rPr>
                <w:b/>
                <w:bCs/>
                <w:sz w:val="20"/>
                <w:szCs w:val="20"/>
              </w:rPr>
              <w:t>2017</w:t>
            </w:r>
            <w:r w:rsidR="005C48CF" w:rsidRPr="00EA0CF2">
              <w:rPr>
                <w:b/>
                <w:bCs/>
                <w:sz w:val="20"/>
                <w:szCs w:val="20"/>
              </w:rPr>
              <w:t>/</w:t>
            </w:r>
            <w:r w:rsidRPr="00EA0CF2">
              <w:rPr>
                <w:b/>
                <w:bCs/>
                <w:sz w:val="20"/>
                <w:szCs w:val="20"/>
              </w:rPr>
              <w:t>18 (Age at date of offence)</w:t>
            </w:r>
          </w:p>
        </w:tc>
      </w:tr>
      <w:tr w:rsidR="006B1DE9" w14:paraId="30E95D1C" w14:textId="77777777" w:rsidTr="00EA0CF2">
        <w:trPr>
          <w:jc w:val="center"/>
        </w:trPr>
        <w:tc>
          <w:tcPr>
            <w:tcW w:w="2494" w:type="dxa"/>
            <w:tcBorders>
              <w:top w:val="single" w:sz="8" w:space="0" w:color="auto"/>
              <w:left w:val="single" w:sz="8" w:space="0" w:color="auto"/>
              <w:bottom w:val="single" w:sz="4" w:space="0" w:color="auto"/>
              <w:right w:val="single" w:sz="8" w:space="0" w:color="auto"/>
            </w:tcBorders>
            <w:shd w:val="clear" w:color="auto" w:fill="DDDDDD"/>
          </w:tcPr>
          <w:p w14:paraId="2CDCE4E3" w14:textId="77777777" w:rsidR="006B1DE9" w:rsidRPr="00EA0CF2" w:rsidRDefault="006B1DE9" w:rsidP="00EA0CF2">
            <w:pPr>
              <w:jc w:val="center"/>
              <w:rPr>
                <w:sz w:val="20"/>
                <w:szCs w:val="20"/>
              </w:rPr>
            </w:pPr>
            <w:r w:rsidRPr="00EA0CF2">
              <w:rPr>
                <w:b/>
                <w:bCs/>
                <w:sz w:val="20"/>
                <w:szCs w:val="20"/>
              </w:rPr>
              <w:t>AGE</w:t>
            </w:r>
          </w:p>
        </w:tc>
        <w:tc>
          <w:tcPr>
            <w:tcW w:w="794" w:type="dxa"/>
            <w:tcBorders>
              <w:top w:val="single" w:sz="8" w:space="0" w:color="auto"/>
              <w:left w:val="single" w:sz="8" w:space="0" w:color="auto"/>
              <w:bottom w:val="single" w:sz="4" w:space="0" w:color="auto"/>
              <w:right w:val="single" w:sz="8" w:space="0" w:color="auto"/>
            </w:tcBorders>
            <w:shd w:val="clear" w:color="auto" w:fill="DDDDDD"/>
          </w:tcPr>
          <w:p w14:paraId="31459396" w14:textId="77777777" w:rsidR="006B1DE9" w:rsidRPr="00EA0CF2" w:rsidRDefault="006B1DE9" w:rsidP="00EA0CF2">
            <w:pPr>
              <w:jc w:val="center"/>
              <w:rPr>
                <w:b/>
                <w:bCs/>
                <w:sz w:val="20"/>
                <w:szCs w:val="20"/>
              </w:rPr>
            </w:pPr>
            <w:r w:rsidRPr="00EA0CF2">
              <w:rPr>
                <w:b/>
                <w:bCs/>
                <w:sz w:val="20"/>
                <w:szCs w:val="20"/>
              </w:rPr>
              <w:t>10</w:t>
            </w:r>
          </w:p>
        </w:tc>
        <w:tc>
          <w:tcPr>
            <w:tcW w:w="794" w:type="dxa"/>
            <w:tcBorders>
              <w:top w:val="single" w:sz="8" w:space="0" w:color="auto"/>
              <w:left w:val="single" w:sz="8" w:space="0" w:color="auto"/>
              <w:bottom w:val="single" w:sz="4" w:space="0" w:color="auto"/>
              <w:right w:val="single" w:sz="8" w:space="0" w:color="auto"/>
            </w:tcBorders>
            <w:shd w:val="clear" w:color="auto" w:fill="DDDDDD"/>
          </w:tcPr>
          <w:p w14:paraId="553BA108" w14:textId="77777777" w:rsidR="006B1DE9" w:rsidRPr="00EA0CF2" w:rsidRDefault="006B1DE9" w:rsidP="00EA0CF2">
            <w:pPr>
              <w:jc w:val="center"/>
              <w:rPr>
                <w:b/>
                <w:bCs/>
                <w:sz w:val="20"/>
                <w:szCs w:val="20"/>
              </w:rPr>
            </w:pPr>
            <w:r w:rsidRPr="00EA0CF2">
              <w:rPr>
                <w:b/>
                <w:bCs/>
                <w:sz w:val="20"/>
                <w:szCs w:val="20"/>
              </w:rPr>
              <w:t>11</w:t>
            </w:r>
          </w:p>
        </w:tc>
        <w:tc>
          <w:tcPr>
            <w:tcW w:w="794" w:type="dxa"/>
            <w:tcBorders>
              <w:top w:val="single" w:sz="8" w:space="0" w:color="auto"/>
              <w:left w:val="single" w:sz="8" w:space="0" w:color="auto"/>
              <w:bottom w:val="single" w:sz="4" w:space="0" w:color="auto"/>
              <w:right w:val="single" w:sz="8" w:space="0" w:color="auto"/>
            </w:tcBorders>
            <w:shd w:val="clear" w:color="auto" w:fill="DDDDDD"/>
          </w:tcPr>
          <w:p w14:paraId="6B9D8AF1" w14:textId="77777777" w:rsidR="006B1DE9" w:rsidRPr="00EA0CF2" w:rsidRDefault="006B1DE9" w:rsidP="00EA0CF2">
            <w:pPr>
              <w:jc w:val="center"/>
              <w:rPr>
                <w:b/>
                <w:bCs/>
                <w:sz w:val="20"/>
                <w:szCs w:val="20"/>
              </w:rPr>
            </w:pPr>
            <w:r w:rsidRPr="00EA0CF2">
              <w:rPr>
                <w:b/>
                <w:bCs/>
                <w:sz w:val="20"/>
                <w:szCs w:val="20"/>
              </w:rPr>
              <w:t>12</w:t>
            </w:r>
          </w:p>
        </w:tc>
        <w:tc>
          <w:tcPr>
            <w:tcW w:w="794" w:type="dxa"/>
            <w:tcBorders>
              <w:top w:val="single" w:sz="8" w:space="0" w:color="auto"/>
              <w:left w:val="single" w:sz="8" w:space="0" w:color="auto"/>
              <w:bottom w:val="single" w:sz="4" w:space="0" w:color="auto"/>
              <w:right w:val="single" w:sz="8" w:space="0" w:color="auto"/>
            </w:tcBorders>
            <w:shd w:val="clear" w:color="auto" w:fill="DDDDDD"/>
          </w:tcPr>
          <w:p w14:paraId="15E833FE" w14:textId="77777777" w:rsidR="006B1DE9" w:rsidRPr="00EA0CF2" w:rsidRDefault="006B1DE9" w:rsidP="00EA0CF2">
            <w:pPr>
              <w:jc w:val="center"/>
              <w:rPr>
                <w:b/>
                <w:bCs/>
                <w:sz w:val="20"/>
                <w:szCs w:val="20"/>
              </w:rPr>
            </w:pPr>
            <w:r w:rsidRPr="00EA0CF2">
              <w:rPr>
                <w:b/>
                <w:bCs/>
                <w:sz w:val="20"/>
                <w:szCs w:val="20"/>
              </w:rPr>
              <w:t>13</w:t>
            </w:r>
          </w:p>
        </w:tc>
        <w:tc>
          <w:tcPr>
            <w:tcW w:w="850" w:type="dxa"/>
            <w:tcBorders>
              <w:top w:val="single" w:sz="8" w:space="0" w:color="auto"/>
              <w:left w:val="single" w:sz="8" w:space="0" w:color="auto"/>
              <w:bottom w:val="single" w:sz="4" w:space="0" w:color="auto"/>
              <w:right w:val="single" w:sz="8" w:space="0" w:color="auto"/>
            </w:tcBorders>
            <w:shd w:val="clear" w:color="auto" w:fill="DDDDDD"/>
          </w:tcPr>
          <w:p w14:paraId="081F553E" w14:textId="77777777" w:rsidR="006B1DE9" w:rsidRPr="00EA0CF2" w:rsidRDefault="006B1DE9" w:rsidP="00EA0CF2">
            <w:pPr>
              <w:jc w:val="center"/>
              <w:rPr>
                <w:b/>
                <w:bCs/>
                <w:sz w:val="20"/>
                <w:szCs w:val="20"/>
              </w:rPr>
            </w:pPr>
            <w:r w:rsidRPr="00EA0CF2">
              <w:rPr>
                <w:b/>
                <w:bCs/>
                <w:sz w:val="20"/>
                <w:szCs w:val="20"/>
              </w:rPr>
              <w:t>10</w:t>
            </w:r>
          </w:p>
        </w:tc>
        <w:tc>
          <w:tcPr>
            <w:tcW w:w="794" w:type="dxa"/>
            <w:tcBorders>
              <w:top w:val="single" w:sz="8" w:space="0" w:color="auto"/>
              <w:left w:val="single" w:sz="8" w:space="0" w:color="auto"/>
              <w:bottom w:val="single" w:sz="4" w:space="0" w:color="auto"/>
              <w:right w:val="single" w:sz="8" w:space="0" w:color="auto"/>
            </w:tcBorders>
            <w:shd w:val="clear" w:color="auto" w:fill="DDDDDD"/>
          </w:tcPr>
          <w:p w14:paraId="3515E751" w14:textId="77777777" w:rsidR="006B1DE9" w:rsidRPr="00EA0CF2" w:rsidRDefault="006B1DE9" w:rsidP="00EA0CF2">
            <w:pPr>
              <w:jc w:val="center"/>
              <w:rPr>
                <w:b/>
                <w:bCs/>
                <w:sz w:val="20"/>
                <w:szCs w:val="20"/>
              </w:rPr>
            </w:pPr>
            <w:r w:rsidRPr="00EA0CF2">
              <w:rPr>
                <w:b/>
                <w:bCs/>
                <w:sz w:val="20"/>
                <w:szCs w:val="20"/>
              </w:rPr>
              <w:t>11</w:t>
            </w:r>
          </w:p>
        </w:tc>
        <w:tc>
          <w:tcPr>
            <w:tcW w:w="794" w:type="dxa"/>
            <w:tcBorders>
              <w:top w:val="single" w:sz="8" w:space="0" w:color="auto"/>
              <w:left w:val="single" w:sz="8" w:space="0" w:color="auto"/>
              <w:bottom w:val="single" w:sz="4" w:space="0" w:color="auto"/>
              <w:right w:val="single" w:sz="8" w:space="0" w:color="auto"/>
            </w:tcBorders>
            <w:shd w:val="clear" w:color="auto" w:fill="DDDDDD"/>
          </w:tcPr>
          <w:p w14:paraId="2457E652" w14:textId="77777777" w:rsidR="006B1DE9" w:rsidRPr="00EA0CF2" w:rsidRDefault="006B1DE9" w:rsidP="00EA0CF2">
            <w:pPr>
              <w:jc w:val="center"/>
              <w:rPr>
                <w:b/>
                <w:bCs/>
                <w:sz w:val="20"/>
                <w:szCs w:val="20"/>
              </w:rPr>
            </w:pPr>
            <w:r w:rsidRPr="00EA0CF2">
              <w:rPr>
                <w:b/>
                <w:bCs/>
                <w:sz w:val="20"/>
                <w:szCs w:val="20"/>
              </w:rPr>
              <w:t>12</w:t>
            </w:r>
          </w:p>
        </w:tc>
        <w:tc>
          <w:tcPr>
            <w:tcW w:w="794" w:type="dxa"/>
            <w:tcBorders>
              <w:top w:val="single" w:sz="8" w:space="0" w:color="auto"/>
              <w:left w:val="single" w:sz="8" w:space="0" w:color="auto"/>
              <w:bottom w:val="single" w:sz="4" w:space="0" w:color="auto"/>
              <w:right w:val="single" w:sz="8" w:space="0" w:color="auto"/>
            </w:tcBorders>
            <w:shd w:val="clear" w:color="auto" w:fill="DDDDDD"/>
          </w:tcPr>
          <w:p w14:paraId="5B2B8DBC" w14:textId="77777777" w:rsidR="006B1DE9" w:rsidRPr="00EA0CF2" w:rsidRDefault="006B1DE9" w:rsidP="00EA0CF2">
            <w:pPr>
              <w:jc w:val="center"/>
              <w:rPr>
                <w:b/>
                <w:bCs/>
                <w:sz w:val="20"/>
                <w:szCs w:val="20"/>
              </w:rPr>
            </w:pPr>
            <w:r w:rsidRPr="00EA0CF2">
              <w:rPr>
                <w:b/>
                <w:bCs/>
                <w:sz w:val="20"/>
                <w:szCs w:val="20"/>
              </w:rPr>
              <w:t>13</w:t>
            </w:r>
          </w:p>
        </w:tc>
      </w:tr>
      <w:tr w:rsidR="006B1DE9" w14:paraId="0E7BA295" w14:textId="77777777" w:rsidTr="00EA0CF2">
        <w:trPr>
          <w:jc w:val="center"/>
        </w:trPr>
        <w:tc>
          <w:tcPr>
            <w:tcW w:w="2494" w:type="dxa"/>
            <w:tcBorders>
              <w:top w:val="single" w:sz="4" w:space="0" w:color="auto"/>
              <w:left w:val="single" w:sz="8" w:space="0" w:color="auto"/>
              <w:bottom w:val="single" w:sz="8" w:space="0" w:color="auto"/>
              <w:right w:val="single" w:sz="8" w:space="0" w:color="auto"/>
            </w:tcBorders>
          </w:tcPr>
          <w:p w14:paraId="03A5BFA9" w14:textId="77777777" w:rsidR="006B1DE9" w:rsidRPr="00EA0CF2" w:rsidRDefault="006B1DE9" w:rsidP="00EA0CF2">
            <w:pPr>
              <w:jc w:val="center"/>
              <w:rPr>
                <w:b/>
                <w:bCs/>
                <w:sz w:val="20"/>
                <w:szCs w:val="20"/>
              </w:rPr>
            </w:pPr>
            <w:r w:rsidRPr="00EA0CF2">
              <w:rPr>
                <w:b/>
                <w:bCs/>
                <w:sz w:val="20"/>
                <w:szCs w:val="20"/>
              </w:rPr>
              <w:t>NUMBER REMANDED</w:t>
            </w:r>
          </w:p>
        </w:tc>
        <w:tc>
          <w:tcPr>
            <w:tcW w:w="794" w:type="dxa"/>
            <w:tcBorders>
              <w:top w:val="single" w:sz="4" w:space="0" w:color="auto"/>
              <w:left w:val="single" w:sz="8" w:space="0" w:color="auto"/>
              <w:bottom w:val="single" w:sz="8" w:space="0" w:color="auto"/>
              <w:right w:val="single" w:sz="8" w:space="0" w:color="auto"/>
            </w:tcBorders>
          </w:tcPr>
          <w:p w14:paraId="08B66AA0" w14:textId="77777777" w:rsidR="006B1DE9" w:rsidRPr="00EA0CF2" w:rsidRDefault="006B1DE9" w:rsidP="00EA0CF2">
            <w:pPr>
              <w:jc w:val="center"/>
              <w:rPr>
                <w:sz w:val="20"/>
                <w:szCs w:val="20"/>
              </w:rPr>
            </w:pPr>
            <w:r w:rsidRPr="00EA0CF2">
              <w:rPr>
                <w:sz w:val="20"/>
                <w:szCs w:val="20"/>
              </w:rPr>
              <w:t>0</w:t>
            </w:r>
          </w:p>
        </w:tc>
        <w:tc>
          <w:tcPr>
            <w:tcW w:w="794" w:type="dxa"/>
            <w:tcBorders>
              <w:top w:val="single" w:sz="4" w:space="0" w:color="auto"/>
              <w:left w:val="single" w:sz="8" w:space="0" w:color="auto"/>
              <w:bottom w:val="single" w:sz="8" w:space="0" w:color="auto"/>
              <w:right w:val="single" w:sz="8" w:space="0" w:color="auto"/>
            </w:tcBorders>
          </w:tcPr>
          <w:p w14:paraId="59252064" w14:textId="77777777" w:rsidR="006B1DE9" w:rsidRPr="00EA0CF2" w:rsidRDefault="006B1DE9" w:rsidP="00EA0CF2">
            <w:pPr>
              <w:jc w:val="center"/>
              <w:rPr>
                <w:sz w:val="20"/>
                <w:szCs w:val="20"/>
              </w:rPr>
            </w:pPr>
            <w:r w:rsidRPr="00EA0CF2">
              <w:rPr>
                <w:sz w:val="20"/>
                <w:szCs w:val="20"/>
              </w:rPr>
              <w:t>0</w:t>
            </w:r>
          </w:p>
        </w:tc>
        <w:tc>
          <w:tcPr>
            <w:tcW w:w="794" w:type="dxa"/>
            <w:tcBorders>
              <w:top w:val="single" w:sz="4" w:space="0" w:color="auto"/>
              <w:left w:val="single" w:sz="8" w:space="0" w:color="auto"/>
              <w:bottom w:val="single" w:sz="8" w:space="0" w:color="auto"/>
              <w:right w:val="single" w:sz="8" w:space="0" w:color="auto"/>
            </w:tcBorders>
          </w:tcPr>
          <w:p w14:paraId="005872E0" w14:textId="77777777" w:rsidR="006B1DE9" w:rsidRPr="00EA0CF2" w:rsidRDefault="006B1DE9" w:rsidP="00EA0CF2">
            <w:pPr>
              <w:jc w:val="center"/>
              <w:rPr>
                <w:sz w:val="20"/>
                <w:szCs w:val="20"/>
              </w:rPr>
            </w:pPr>
            <w:r w:rsidRPr="00EA0CF2">
              <w:rPr>
                <w:sz w:val="20"/>
                <w:szCs w:val="20"/>
              </w:rPr>
              <w:t>3</w:t>
            </w:r>
          </w:p>
        </w:tc>
        <w:tc>
          <w:tcPr>
            <w:tcW w:w="794" w:type="dxa"/>
            <w:tcBorders>
              <w:top w:val="single" w:sz="4" w:space="0" w:color="auto"/>
              <w:left w:val="single" w:sz="8" w:space="0" w:color="auto"/>
              <w:bottom w:val="single" w:sz="8" w:space="0" w:color="auto"/>
              <w:right w:val="single" w:sz="8" w:space="0" w:color="auto"/>
            </w:tcBorders>
          </w:tcPr>
          <w:p w14:paraId="5C3BA6FB" w14:textId="77777777" w:rsidR="006B1DE9" w:rsidRPr="00EA0CF2" w:rsidRDefault="006B1DE9" w:rsidP="00EA0CF2">
            <w:pPr>
              <w:jc w:val="center"/>
              <w:rPr>
                <w:sz w:val="20"/>
                <w:szCs w:val="20"/>
              </w:rPr>
            </w:pPr>
            <w:r w:rsidRPr="00EA0CF2">
              <w:rPr>
                <w:sz w:val="20"/>
                <w:szCs w:val="20"/>
              </w:rPr>
              <w:t>31</w:t>
            </w:r>
          </w:p>
        </w:tc>
        <w:tc>
          <w:tcPr>
            <w:tcW w:w="850" w:type="dxa"/>
            <w:tcBorders>
              <w:top w:val="single" w:sz="4" w:space="0" w:color="auto"/>
              <w:left w:val="single" w:sz="8" w:space="0" w:color="auto"/>
              <w:bottom w:val="single" w:sz="8" w:space="0" w:color="auto"/>
              <w:right w:val="single" w:sz="8" w:space="0" w:color="auto"/>
            </w:tcBorders>
            <w:shd w:val="clear" w:color="auto" w:fill="DDDDDD"/>
          </w:tcPr>
          <w:p w14:paraId="7781E072" w14:textId="77777777" w:rsidR="006B1DE9" w:rsidRPr="00EA0CF2" w:rsidRDefault="006B1DE9" w:rsidP="00EA0CF2">
            <w:pPr>
              <w:jc w:val="center"/>
              <w:rPr>
                <w:sz w:val="20"/>
                <w:szCs w:val="20"/>
              </w:rPr>
            </w:pPr>
            <w:r w:rsidRPr="00EA0CF2">
              <w:rPr>
                <w:sz w:val="20"/>
                <w:szCs w:val="20"/>
              </w:rPr>
              <w:t>0</w:t>
            </w:r>
          </w:p>
        </w:tc>
        <w:tc>
          <w:tcPr>
            <w:tcW w:w="794" w:type="dxa"/>
            <w:tcBorders>
              <w:top w:val="single" w:sz="4" w:space="0" w:color="auto"/>
              <w:left w:val="single" w:sz="8" w:space="0" w:color="auto"/>
              <w:bottom w:val="single" w:sz="8" w:space="0" w:color="auto"/>
              <w:right w:val="single" w:sz="8" w:space="0" w:color="auto"/>
            </w:tcBorders>
            <w:shd w:val="clear" w:color="auto" w:fill="DDDDDD"/>
          </w:tcPr>
          <w:p w14:paraId="4C8C67E7" w14:textId="77777777" w:rsidR="006B1DE9" w:rsidRPr="00EA0CF2" w:rsidRDefault="006B1DE9" w:rsidP="00EA0CF2">
            <w:pPr>
              <w:jc w:val="center"/>
              <w:rPr>
                <w:sz w:val="20"/>
                <w:szCs w:val="20"/>
              </w:rPr>
            </w:pPr>
            <w:r w:rsidRPr="00EA0CF2">
              <w:rPr>
                <w:sz w:val="20"/>
                <w:szCs w:val="20"/>
              </w:rPr>
              <w:t>0</w:t>
            </w:r>
          </w:p>
        </w:tc>
        <w:tc>
          <w:tcPr>
            <w:tcW w:w="794" w:type="dxa"/>
            <w:tcBorders>
              <w:top w:val="single" w:sz="4" w:space="0" w:color="auto"/>
              <w:left w:val="single" w:sz="8" w:space="0" w:color="auto"/>
              <w:bottom w:val="single" w:sz="8" w:space="0" w:color="auto"/>
              <w:right w:val="single" w:sz="8" w:space="0" w:color="auto"/>
            </w:tcBorders>
            <w:shd w:val="clear" w:color="auto" w:fill="DDDDDD"/>
          </w:tcPr>
          <w:p w14:paraId="417AF7BD" w14:textId="77777777" w:rsidR="006B1DE9" w:rsidRPr="00EA0CF2" w:rsidRDefault="006B1DE9" w:rsidP="00EA0CF2">
            <w:pPr>
              <w:jc w:val="center"/>
              <w:rPr>
                <w:sz w:val="20"/>
                <w:szCs w:val="20"/>
              </w:rPr>
            </w:pPr>
            <w:r w:rsidRPr="00EA0CF2">
              <w:rPr>
                <w:sz w:val="20"/>
                <w:szCs w:val="20"/>
              </w:rPr>
              <w:t>7</w:t>
            </w:r>
          </w:p>
        </w:tc>
        <w:tc>
          <w:tcPr>
            <w:tcW w:w="794" w:type="dxa"/>
            <w:tcBorders>
              <w:top w:val="single" w:sz="4" w:space="0" w:color="auto"/>
              <w:left w:val="single" w:sz="8" w:space="0" w:color="auto"/>
              <w:bottom w:val="single" w:sz="8" w:space="0" w:color="auto"/>
              <w:right w:val="single" w:sz="8" w:space="0" w:color="auto"/>
            </w:tcBorders>
            <w:shd w:val="clear" w:color="auto" w:fill="DDDDDD"/>
          </w:tcPr>
          <w:p w14:paraId="257ED9F0" w14:textId="77777777" w:rsidR="006B1DE9" w:rsidRPr="00EA0CF2" w:rsidRDefault="006B1DE9" w:rsidP="00EA0CF2">
            <w:pPr>
              <w:jc w:val="center"/>
              <w:rPr>
                <w:sz w:val="20"/>
                <w:szCs w:val="20"/>
              </w:rPr>
            </w:pPr>
            <w:r w:rsidRPr="00EA0CF2">
              <w:rPr>
                <w:sz w:val="20"/>
                <w:szCs w:val="20"/>
              </w:rPr>
              <w:t>62</w:t>
            </w:r>
          </w:p>
        </w:tc>
      </w:tr>
    </w:tbl>
    <w:p w14:paraId="3818F22A" w14:textId="703BE848" w:rsidR="006B1DE9" w:rsidRPr="00462FD0" w:rsidRDefault="006B1DE9" w:rsidP="005C48CF">
      <w:pPr>
        <w:rPr>
          <w:rFonts w:ascii="Arial" w:hAnsi="Arial" w:cs="Arial"/>
          <w:sz w:val="18"/>
          <w:szCs w:val="18"/>
        </w:rPr>
      </w:pPr>
    </w:p>
    <w:p w14:paraId="454B126F" w14:textId="35DA33FD" w:rsidR="007E5B44" w:rsidRPr="007730D6" w:rsidRDefault="007E5B44" w:rsidP="007679AD">
      <w:pPr>
        <w:spacing w:after="120"/>
        <w:jc w:val="both"/>
        <w:rPr>
          <w:rFonts w:ascii="Arial" w:hAnsi="Arial" w:cs="Arial"/>
          <w:sz w:val="20"/>
          <w:szCs w:val="20"/>
        </w:rPr>
      </w:pPr>
      <w:r>
        <w:rPr>
          <w:rFonts w:ascii="Arial" w:hAnsi="Arial" w:cs="Arial"/>
          <w:sz w:val="20"/>
          <w:szCs w:val="20"/>
        </w:rPr>
        <w:t>The figures in the following table for 2019/20 &amp; 2020/21 show that the trend is continuing</w:t>
      </w:r>
      <w:r w:rsidR="00462FD0">
        <w:rPr>
          <w:rFonts w:ascii="Arial" w:hAnsi="Arial" w:cs="Arial"/>
          <w:sz w:val="20"/>
          <w:szCs w:val="20"/>
        </w:rPr>
        <w:t xml:space="preserve">.  The numbers of </w:t>
      </w:r>
      <w:r w:rsidR="007730D6">
        <w:rPr>
          <w:rFonts w:ascii="Arial" w:hAnsi="Arial" w:cs="Arial"/>
          <w:sz w:val="20"/>
          <w:szCs w:val="20"/>
        </w:rPr>
        <w:t xml:space="preserve">cases involving </w:t>
      </w:r>
      <w:r w:rsidR="00462FD0">
        <w:rPr>
          <w:rFonts w:ascii="Arial" w:hAnsi="Arial" w:cs="Arial"/>
          <w:sz w:val="20"/>
          <w:szCs w:val="20"/>
        </w:rPr>
        <w:t xml:space="preserve">10-13 year old offenders continue to decrease – </w:t>
      </w:r>
      <w:r w:rsidR="00462FD0" w:rsidRPr="007730D6">
        <w:rPr>
          <w:rFonts w:ascii="Arial" w:hAnsi="Arial" w:cs="Arial"/>
          <w:b/>
          <w:bCs/>
          <w:color w:val="FFFFFF" w:themeColor="background1"/>
          <w:sz w:val="20"/>
          <w:szCs w:val="20"/>
          <w:shd w:val="clear" w:color="auto" w:fill="000000" w:themeFill="text1"/>
        </w:rPr>
        <w:t xml:space="preserve">from 1040 in 2018/19 to 797 in 2019/20 to </w:t>
      </w:r>
      <w:r w:rsidR="007730D6" w:rsidRPr="007730D6">
        <w:rPr>
          <w:rFonts w:ascii="Arial" w:hAnsi="Arial" w:cs="Arial"/>
          <w:b/>
          <w:bCs/>
          <w:color w:val="FFFFFF" w:themeColor="background1"/>
          <w:sz w:val="20"/>
          <w:szCs w:val="20"/>
          <w:shd w:val="clear" w:color="auto" w:fill="000000" w:themeFill="text1"/>
        </w:rPr>
        <w:t>715 in 2020/21</w:t>
      </w:r>
      <w:r w:rsidR="007730D6">
        <w:rPr>
          <w:rFonts w:ascii="Arial" w:hAnsi="Arial" w:cs="Arial"/>
          <w:sz w:val="20"/>
          <w:szCs w:val="20"/>
        </w:rPr>
        <w:t xml:space="preserve"> – and </w:t>
      </w:r>
      <w:r>
        <w:rPr>
          <w:rFonts w:ascii="Arial" w:hAnsi="Arial" w:cs="Arial"/>
          <w:sz w:val="20"/>
          <w:szCs w:val="20"/>
        </w:rPr>
        <w:t>v</w:t>
      </w:r>
      <w:r w:rsidRPr="006B1DE9">
        <w:rPr>
          <w:rFonts w:ascii="Arial" w:hAnsi="Arial" w:cs="Arial"/>
          <w:sz w:val="20"/>
          <w:szCs w:val="20"/>
        </w:rPr>
        <w:t xml:space="preserve">ery few children charged with offending between the ages of 10-12 were placed on CCV sentencing orders.  In both </w:t>
      </w:r>
      <w:r w:rsidR="007730D6">
        <w:rPr>
          <w:rFonts w:ascii="Arial" w:hAnsi="Arial" w:cs="Arial"/>
          <w:sz w:val="20"/>
          <w:szCs w:val="20"/>
        </w:rPr>
        <w:t>2019/20 &amp; 2020/21</w:t>
      </w:r>
      <w:r w:rsidRPr="006B1DE9">
        <w:rPr>
          <w:rFonts w:ascii="Arial" w:hAnsi="Arial" w:cs="Arial"/>
          <w:sz w:val="20"/>
          <w:szCs w:val="20"/>
        </w:rPr>
        <w:t xml:space="preserve"> the vast majority of the </w:t>
      </w:r>
      <w:r w:rsidR="005969A9">
        <w:rPr>
          <w:rFonts w:ascii="Arial" w:hAnsi="Arial" w:cs="Arial"/>
          <w:sz w:val="20"/>
          <w:szCs w:val="20"/>
        </w:rPr>
        <w:t>cases</w:t>
      </w:r>
      <w:r w:rsidRPr="006B1DE9">
        <w:rPr>
          <w:rFonts w:ascii="Arial" w:hAnsi="Arial" w:cs="Arial"/>
          <w:sz w:val="20"/>
          <w:szCs w:val="20"/>
        </w:rPr>
        <w:t xml:space="preserve"> </w:t>
      </w:r>
      <w:r w:rsidR="005969A9">
        <w:rPr>
          <w:rFonts w:ascii="Arial" w:hAnsi="Arial" w:cs="Arial"/>
          <w:sz w:val="20"/>
          <w:szCs w:val="20"/>
        </w:rPr>
        <w:t>involving</w:t>
      </w:r>
      <w:r w:rsidRPr="006B1DE9">
        <w:rPr>
          <w:rFonts w:ascii="Arial" w:hAnsi="Arial" w:cs="Arial"/>
          <w:sz w:val="20"/>
          <w:szCs w:val="20"/>
        </w:rPr>
        <w:t xml:space="preserve"> 10</w:t>
      </w:r>
      <w:r w:rsidRPr="006B1DE9">
        <w:rPr>
          <w:rFonts w:ascii="Arial" w:hAnsi="Arial" w:cs="Arial"/>
          <w:sz w:val="20"/>
          <w:szCs w:val="20"/>
        </w:rPr>
        <w:noBreakHyphen/>
        <w:t xml:space="preserve">12-year old children and the majority of the </w:t>
      </w:r>
      <w:r w:rsidR="005969A9">
        <w:rPr>
          <w:rFonts w:ascii="Arial" w:hAnsi="Arial" w:cs="Arial"/>
          <w:sz w:val="20"/>
          <w:szCs w:val="20"/>
        </w:rPr>
        <w:t>case</w:t>
      </w:r>
      <w:r w:rsidRPr="006B1DE9">
        <w:rPr>
          <w:rFonts w:ascii="Arial" w:hAnsi="Arial" w:cs="Arial"/>
          <w:sz w:val="20"/>
          <w:szCs w:val="20"/>
        </w:rPr>
        <w:t xml:space="preserve">s </w:t>
      </w:r>
      <w:r w:rsidR="005969A9">
        <w:rPr>
          <w:rFonts w:ascii="Arial" w:hAnsi="Arial" w:cs="Arial"/>
          <w:sz w:val="20"/>
          <w:szCs w:val="20"/>
        </w:rPr>
        <w:t>involving</w:t>
      </w:r>
      <w:r w:rsidRPr="006B1DE9">
        <w:rPr>
          <w:rFonts w:ascii="Arial" w:hAnsi="Arial" w:cs="Arial"/>
          <w:sz w:val="20"/>
          <w:szCs w:val="20"/>
        </w:rPr>
        <w:t xml:space="preserve"> adolescents who </w:t>
      </w:r>
      <w:r w:rsidR="005F0DD1">
        <w:rPr>
          <w:rFonts w:ascii="Arial" w:hAnsi="Arial" w:cs="Arial"/>
          <w:sz w:val="20"/>
          <w:szCs w:val="20"/>
        </w:rPr>
        <w:t xml:space="preserve">offended or </w:t>
      </w:r>
      <w:r w:rsidRPr="006B1DE9">
        <w:rPr>
          <w:rFonts w:ascii="Arial" w:hAnsi="Arial" w:cs="Arial"/>
          <w:sz w:val="20"/>
          <w:szCs w:val="20"/>
        </w:rPr>
        <w:t xml:space="preserve">allegedly offended at age 13 were </w:t>
      </w:r>
      <w:r w:rsidR="00462FD0">
        <w:rPr>
          <w:rFonts w:ascii="Arial" w:hAnsi="Arial" w:cs="Arial"/>
          <w:sz w:val="20"/>
          <w:szCs w:val="20"/>
        </w:rPr>
        <w:t xml:space="preserve">struck out, </w:t>
      </w:r>
      <w:r w:rsidRPr="006B1DE9">
        <w:rPr>
          <w:rFonts w:ascii="Arial" w:hAnsi="Arial" w:cs="Arial"/>
          <w:sz w:val="20"/>
          <w:szCs w:val="20"/>
        </w:rPr>
        <w:t>not proven</w:t>
      </w:r>
      <w:r w:rsidR="00462FD0">
        <w:rPr>
          <w:rFonts w:ascii="Arial" w:hAnsi="Arial" w:cs="Arial"/>
          <w:sz w:val="20"/>
          <w:szCs w:val="20"/>
        </w:rPr>
        <w:t xml:space="preserve"> </w:t>
      </w:r>
      <w:r w:rsidRPr="006B1DE9">
        <w:rPr>
          <w:rFonts w:ascii="Arial" w:hAnsi="Arial" w:cs="Arial"/>
          <w:sz w:val="20"/>
          <w:szCs w:val="20"/>
        </w:rPr>
        <w:t>or were adjourned for participation in a diversion program</w:t>
      </w:r>
      <w:r w:rsidR="00462FD0">
        <w:rPr>
          <w:rFonts w:ascii="Arial" w:hAnsi="Arial" w:cs="Arial"/>
          <w:sz w:val="20"/>
          <w:szCs w:val="20"/>
        </w:rPr>
        <w:t>.</w:t>
      </w:r>
    </w:p>
    <w:tbl>
      <w:tblPr>
        <w:tblStyle w:val="TableGrid"/>
        <w:tblW w:w="0" w:type="auto"/>
        <w:jc w:val="center"/>
        <w:tblLook w:val="04A0" w:firstRow="1" w:lastRow="0" w:firstColumn="1" w:lastColumn="0" w:noHBand="0" w:noVBand="1"/>
      </w:tblPr>
      <w:tblGrid>
        <w:gridCol w:w="2494"/>
        <w:gridCol w:w="794"/>
        <w:gridCol w:w="794"/>
        <w:gridCol w:w="794"/>
        <w:gridCol w:w="794"/>
        <w:gridCol w:w="850"/>
        <w:gridCol w:w="794"/>
        <w:gridCol w:w="794"/>
        <w:gridCol w:w="794"/>
      </w:tblGrid>
      <w:tr w:rsidR="00462FD0" w:rsidRPr="000F4023" w14:paraId="77568566" w14:textId="77777777" w:rsidTr="00C022D8">
        <w:trPr>
          <w:jc w:val="center"/>
        </w:trPr>
        <w:tc>
          <w:tcPr>
            <w:tcW w:w="2494" w:type="dxa"/>
            <w:tcBorders>
              <w:top w:val="single" w:sz="8" w:space="0" w:color="auto"/>
              <w:left w:val="single" w:sz="8" w:space="0" w:color="auto"/>
              <w:right w:val="nil"/>
            </w:tcBorders>
            <w:shd w:val="clear" w:color="auto" w:fill="000000" w:themeFill="text1"/>
          </w:tcPr>
          <w:p w14:paraId="058EA4A0" w14:textId="77777777" w:rsidR="00462FD0" w:rsidRPr="000F4023" w:rsidRDefault="00462FD0" w:rsidP="00C022D8">
            <w:pPr>
              <w:jc w:val="center"/>
              <w:rPr>
                <w:b/>
                <w:bCs/>
                <w:sz w:val="20"/>
                <w:szCs w:val="20"/>
              </w:rPr>
            </w:pPr>
            <w:r w:rsidRPr="000F4023">
              <w:rPr>
                <w:b/>
                <w:bCs/>
                <w:sz w:val="20"/>
                <w:szCs w:val="20"/>
              </w:rPr>
              <w:t>FINANCIAL YEAR</w:t>
            </w:r>
          </w:p>
        </w:tc>
        <w:tc>
          <w:tcPr>
            <w:tcW w:w="3176" w:type="dxa"/>
            <w:gridSpan w:val="4"/>
            <w:tcBorders>
              <w:top w:val="single" w:sz="8" w:space="0" w:color="auto"/>
              <w:left w:val="nil"/>
              <w:right w:val="nil"/>
            </w:tcBorders>
            <w:shd w:val="clear" w:color="auto" w:fill="000000" w:themeFill="text1"/>
          </w:tcPr>
          <w:p w14:paraId="4C4E4D84" w14:textId="69835CF4" w:rsidR="00462FD0" w:rsidRPr="000F4023" w:rsidRDefault="00462FD0" w:rsidP="00C022D8">
            <w:pPr>
              <w:jc w:val="center"/>
              <w:rPr>
                <w:b/>
                <w:bCs/>
                <w:sz w:val="20"/>
                <w:szCs w:val="20"/>
              </w:rPr>
            </w:pPr>
            <w:r>
              <w:rPr>
                <w:b/>
                <w:bCs/>
                <w:sz w:val="20"/>
                <w:szCs w:val="20"/>
              </w:rPr>
              <w:t>2020/21 (Age at date of offence)</w:t>
            </w:r>
          </w:p>
        </w:tc>
        <w:tc>
          <w:tcPr>
            <w:tcW w:w="3232" w:type="dxa"/>
            <w:gridSpan w:val="4"/>
            <w:tcBorders>
              <w:top w:val="single" w:sz="8" w:space="0" w:color="auto"/>
              <w:left w:val="nil"/>
              <w:right w:val="single" w:sz="8" w:space="0" w:color="auto"/>
            </w:tcBorders>
            <w:shd w:val="clear" w:color="auto" w:fill="000000" w:themeFill="text1"/>
          </w:tcPr>
          <w:p w14:paraId="73008E0D" w14:textId="4C8CD3F0" w:rsidR="00462FD0" w:rsidRPr="000F4023" w:rsidRDefault="00462FD0" w:rsidP="00C022D8">
            <w:pPr>
              <w:jc w:val="center"/>
              <w:rPr>
                <w:b/>
                <w:bCs/>
                <w:sz w:val="20"/>
                <w:szCs w:val="20"/>
              </w:rPr>
            </w:pPr>
            <w:r>
              <w:rPr>
                <w:b/>
                <w:bCs/>
                <w:sz w:val="20"/>
                <w:szCs w:val="20"/>
              </w:rPr>
              <w:t>2019/20 (Age at date of offence)</w:t>
            </w:r>
          </w:p>
        </w:tc>
      </w:tr>
      <w:tr w:rsidR="00462FD0" w14:paraId="06EB79DE" w14:textId="77777777" w:rsidTr="00C022D8">
        <w:trPr>
          <w:jc w:val="center"/>
        </w:trPr>
        <w:tc>
          <w:tcPr>
            <w:tcW w:w="2494" w:type="dxa"/>
            <w:tcBorders>
              <w:top w:val="single" w:sz="8" w:space="0" w:color="auto"/>
              <w:left w:val="single" w:sz="8" w:space="0" w:color="auto"/>
              <w:bottom w:val="single" w:sz="8" w:space="0" w:color="auto"/>
              <w:right w:val="single" w:sz="8" w:space="0" w:color="auto"/>
            </w:tcBorders>
            <w:shd w:val="clear" w:color="auto" w:fill="DDDDDD"/>
          </w:tcPr>
          <w:p w14:paraId="4D48A3D9" w14:textId="77777777" w:rsidR="00462FD0" w:rsidRDefault="00462FD0" w:rsidP="00C022D8">
            <w:pPr>
              <w:jc w:val="center"/>
              <w:rPr>
                <w:sz w:val="20"/>
                <w:szCs w:val="20"/>
              </w:rPr>
            </w:pPr>
            <w:r w:rsidRPr="00265201">
              <w:rPr>
                <w:b/>
                <w:bCs/>
                <w:sz w:val="20"/>
                <w:szCs w:val="20"/>
              </w:rPr>
              <w:t>ORDER</w:t>
            </w:r>
            <w:r>
              <w:rPr>
                <w:b/>
                <w:bCs/>
                <w:sz w:val="20"/>
                <w:szCs w:val="20"/>
              </w:rPr>
              <w:t xml:space="preserve"> </w:t>
            </w:r>
            <w:r>
              <w:rPr>
                <w:b/>
                <w:bCs/>
                <w:sz w:val="20"/>
                <w:szCs w:val="20"/>
              </w:rPr>
              <w:sym w:font="Wingdings" w:char="F0EA"/>
            </w:r>
            <w:r>
              <w:rPr>
                <w:b/>
                <w:bCs/>
                <w:sz w:val="20"/>
                <w:szCs w:val="20"/>
              </w:rPr>
              <w:t xml:space="preserve">    AGE</w:t>
            </w:r>
            <w:r>
              <w:rPr>
                <w:b/>
                <w:bCs/>
                <w:sz w:val="20"/>
                <w:szCs w:val="20"/>
              </w:rPr>
              <w:sym w:font="Wingdings" w:char="F0E8"/>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76C2972B" w14:textId="77777777" w:rsidR="00462FD0" w:rsidRPr="00C31E5C" w:rsidRDefault="00462FD0" w:rsidP="00C022D8">
            <w:pPr>
              <w:jc w:val="center"/>
              <w:rPr>
                <w:b/>
                <w:bCs/>
                <w:sz w:val="20"/>
                <w:szCs w:val="20"/>
              </w:rPr>
            </w:pPr>
            <w:r w:rsidRPr="00C31E5C">
              <w:rPr>
                <w:b/>
                <w:bCs/>
                <w:sz w:val="20"/>
                <w:szCs w:val="20"/>
              </w:rPr>
              <w:t>10</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222E3692" w14:textId="77777777" w:rsidR="00462FD0" w:rsidRPr="00C31E5C" w:rsidRDefault="00462FD0" w:rsidP="00C022D8">
            <w:pPr>
              <w:jc w:val="center"/>
              <w:rPr>
                <w:b/>
                <w:bCs/>
                <w:sz w:val="20"/>
                <w:szCs w:val="20"/>
              </w:rPr>
            </w:pPr>
            <w:r w:rsidRPr="00C31E5C">
              <w:rPr>
                <w:b/>
                <w:bCs/>
                <w:sz w:val="20"/>
                <w:szCs w:val="20"/>
              </w:rPr>
              <w:t>11</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61F052E2" w14:textId="77777777" w:rsidR="00462FD0" w:rsidRPr="00C31E5C" w:rsidRDefault="00462FD0" w:rsidP="00C022D8">
            <w:pPr>
              <w:jc w:val="center"/>
              <w:rPr>
                <w:b/>
                <w:bCs/>
                <w:sz w:val="20"/>
                <w:szCs w:val="20"/>
              </w:rPr>
            </w:pPr>
            <w:r w:rsidRPr="00C31E5C">
              <w:rPr>
                <w:b/>
                <w:bCs/>
                <w:sz w:val="20"/>
                <w:szCs w:val="20"/>
              </w:rPr>
              <w:t>12</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5BA88BC1" w14:textId="77777777" w:rsidR="00462FD0" w:rsidRPr="00C31E5C" w:rsidRDefault="00462FD0" w:rsidP="00C022D8">
            <w:pPr>
              <w:jc w:val="center"/>
              <w:rPr>
                <w:b/>
                <w:bCs/>
                <w:sz w:val="20"/>
                <w:szCs w:val="20"/>
              </w:rPr>
            </w:pPr>
            <w:r w:rsidRPr="00C31E5C">
              <w:rPr>
                <w:b/>
                <w:bCs/>
                <w:sz w:val="20"/>
                <w:szCs w:val="20"/>
              </w:rPr>
              <w:t>13</w:t>
            </w:r>
          </w:p>
        </w:tc>
        <w:tc>
          <w:tcPr>
            <w:tcW w:w="850" w:type="dxa"/>
            <w:tcBorders>
              <w:top w:val="single" w:sz="8" w:space="0" w:color="auto"/>
              <w:left w:val="single" w:sz="8" w:space="0" w:color="auto"/>
              <w:bottom w:val="single" w:sz="8" w:space="0" w:color="auto"/>
              <w:right w:val="single" w:sz="8" w:space="0" w:color="auto"/>
            </w:tcBorders>
            <w:shd w:val="clear" w:color="auto" w:fill="DDDDDD"/>
          </w:tcPr>
          <w:p w14:paraId="6C065B47" w14:textId="77777777" w:rsidR="00462FD0" w:rsidRPr="00C31E5C" w:rsidRDefault="00462FD0" w:rsidP="00C022D8">
            <w:pPr>
              <w:jc w:val="center"/>
              <w:rPr>
                <w:b/>
                <w:bCs/>
                <w:sz w:val="20"/>
                <w:szCs w:val="20"/>
              </w:rPr>
            </w:pPr>
            <w:r w:rsidRPr="00C31E5C">
              <w:rPr>
                <w:b/>
                <w:bCs/>
                <w:sz w:val="20"/>
                <w:szCs w:val="20"/>
              </w:rPr>
              <w:t>10</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4AE8AFC6" w14:textId="77777777" w:rsidR="00462FD0" w:rsidRPr="00C31E5C" w:rsidRDefault="00462FD0" w:rsidP="00C022D8">
            <w:pPr>
              <w:jc w:val="center"/>
              <w:rPr>
                <w:b/>
                <w:bCs/>
                <w:sz w:val="20"/>
                <w:szCs w:val="20"/>
              </w:rPr>
            </w:pPr>
            <w:r w:rsidRPr="00C31E5C">
              <w:rPr>
                <w:b/>
                <w:bCs/>
                <w:sz w:val="20"/>
                <w:szCs w:val="20"/>
              </w:rPr>
              <w:t>11</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5BAC17DE" w14:textId="77777777" w:rsidR="00462FD0" w:rsidRPr="00C31E5C" w:rsidRDefault="00462FD0" w:rsidP="00C022D8">
            <w:pPr>
              <w:jc w:val="center"/>
              <w:rPr>
                <w:b/>
                <w:bCs/>
                <w:sz w:val="20"/>
                <w:szCs w:val="20"/>
              </w:rPr>
            </w:pPr>
            <w:r w:rsidRPr="00C31E5C">
              <w:rPr>
                <w:b/>
                <w:bCs/>
                <w:sz w:val="20"/>
                <w:szCs w:val="20"/>
              </w:rPr>
              <w:t>12</w:t>
            </w:r>
          </w:p>
        </w:tc>
        <w:tc>
          <w:tcPr>
            <w:tcW w:w="794" w:type="dxa"/>
            <w:tcBorders>
              <w:top w:val="single" w:sz="8" w:space="0" w:color="auto"/>
              <w:left w:val="single" w:sz="8" w:space="0" w:color="auto"/>
              <w:bottom w:val="single" w:sz="8" w:space="0" w:color="auto"/>
              <w:right w:val="single" w:sz="8" w:space="0" w:color="auto"/>
            </w:tcBorders>
            <w:shd w:val="clear" w:color="auto" w:fill="DDDDDD"/>
          </w:tcPr>
          <w:p w14:paraId="741C90CA" w14:textId="77777777" w:rsidR="00462FD0" w:rsidRPr="00C31E5C" w:rsidRDefault="00462FD0" w:rsidP="00C022D8">
            <w:pPr>
              <w:jc w:val="center"/>
              <w:rPr>
                <w:b/>
                <w:bCs/>
                <w:sz w:val="20"/>
                <w:szCs w:val="20"/>
              </w:rPr>
            </w:pPr>
            <w:r w:rsidRPr="00C31E5C">
              <w:rPr>
                <w:b/>
                <w:bCs/>
                <w:sz w:val="20"/>
                <w:szCs w:val="20"/>
              </w:rPr>
              <w:t>13</w:t>
            </w:r>
          </w:p>
        </w:tc>
      </w:tr>
      <w:tr w:rsidR="00462FD0" w14:paraId="7D19CCDD" w14:textId="77777777" w:rsidTr="00C022D8">
        <w:trPr>
          <w:jc w:val="center"/>
        </w:trPr>
        <w:tc>
          <w:tcPr>
            <w:tcW w:w="2494" w:type="dxa"/>
            <w:tcBorders>
              <w:left w:val="single" w:sz="8" w:space="0" w:color="auto"/>
            </w:tcBorders>
            <w:shd w:val="clear" w:color="auto" w:fill="DDDDDD"/>
          </w:tcPr>
          <w:p w14:paraId="12AEDD18" w14:textId="77777777" w:rsidR="00462FD0" w:rsidRDefault="00462FD0" w:rsidP="00C022D8">
            <w:pPr>
              <w:jc w:val="center"/>
              <w:rPr>
                <w:sz w:val="20"/>
                <w:szCs w:val="20"/>
              </w:rPr>
            </w:pPr>
            <w:r>
              <w:rPr>
                <w:sz w:val="20"/>
                <w:szCs w:val="20"/>
              </w:rPr>
              <w:t>Not proven</w:t>
            </w:r>
          </w:p>
        </w:tc>
        <w:tc>
          <w:tcPr>
            <w:tcW w:w="794" w:type="dxa"/>
          </w:tcPr>
          <w:p w14:paraId="596491F9" w14:textId="77777777" w:rsidR="00462FD0" w:rsidRDefault="00462FD0" w:rsidP="00C022D8">
            <w:pPr>
              <w:jc w:val="center"/>
              <w:rPr>
                <w:sz w:val="20"/>
                <w:szCs w:val="20"/>
              </w:rPr>
            </w:pPr>
            <w:r>
              <w:rPr>
                <w:sz w:val="20"/>
                <w:szCs w:val="20"/>
              </w:rPr>
              <w:t>0</w:t>
            </w:r>
          </w:p>
        </w:tc>
        <w:tc>
          <w:tcPr>
            <w:tcW w:w="794" w:type="dxa"/>
          </w:tcPr>
          <w:p w14:paraId="0240D667" w14:textId="77777777" w:rsidR="00462FD0" w:rsidRDefault="00462FD0" w:rsidP="00C022D8">
            <w:pPr>
              <w:jc w:val="center"/>
              <w:rPr>
                <w:sz w:val="20"/>
                <w:szCs w:val="20"/>
              </w:rPr>
            </w:pPr>
            <w:r>
              <w:rPr>
                <w:sz w:val="20"/>
                <w:szCs w:val="20"/>
              </w:rPr>
              <w:t>0</w:t>
            </w:r>
          </w:p>
        </w:tc>
        <w:tc>
          <w:tcPr>
            <w:tcW w:w="794" w:type="dxa"/>
          </w:tcPr>
          <w:p w14:paraId="0C6DD1D6" w14:textId="77777777" w:rsidR="00462FD0" w:rsidRDefault="00462FD0" w:rsidP="00C022D8">
            <w:pPr>
              <w:jc w:val="center"/>
              <w:rPr>
                <w:sz w:val="20"/>
                <w:szCs w:val="20"/>
              </w:rPr>
            </w:pPr>
            <w:r>
              <w:rPr>
                <w:sz w:val="20"/>
                <w:szCs w:val="20"/>
              </w:rPr>
              <w:t>0</w:t>
            </w:r>
          </w:p>
        </w:tc>
        <w:tc>
          <w:tcPr>
            <w:tcW w:w="794" w:type="dxa"/>
            <w:tcBorders>
              <w:right w:val="single" w:sz="8" w:space="0" w:color="auto"/>
            </w:tcBorders>
          </w:tcPr>
          <w:p w14:paraId="6C17BCDC" w14:textId="77777777" w:rsidR="00462FD0" w:rsidRDefault="00462FD0" w:rsidP="00C022D8">
            <w:pPr>
              <w:jc w:val="center"/>
              <w:rPr>
                <w:sz w:val="20"/>
                <w:szCs w:val="20"/>
              </w:rPr>
            </w:pPr>
            <w:r>
              <w:rPr>
                <w:sz w:val="20"/>
                <w:szCs w:val="20"/>
              </w:rPr>
              <w:t>0</w:t>
            </w:r>
          </w:p>
        </w:tc>
        <w:tc>
          <w:tcPr>
            <w:tcW w:w="850" w:type="dxa"/>
            <w:tcBorders>
              <w:left w:val="single" w:sz="8" w:space="0" w:color="auto"/>
            </w:tcBorders>
            <w:shd w:val="clear" w:color="auto" w:fill="DDDDDD"/>
          </w:tcPr>
          <w:p w14:paraId="65B524A5" w14:textId="77777777" w:rsidR="00462FD0" w:rsidRDefault="00462FD0" w:rsidP="00C022D8">
            <w:pPr>
              <w:jc w:val="center"/>
              <w:rPr>
                <w:sz w:val="20"/>
                <w:szCs w:val="20"/>
              </w:rPr>
            </w:pPr>
            <w:r>
              <w:rPr>
                <w:sz w:val="20"/>
                <w:szCs w:val="20"/>
              </w:rPr>
              <w:t>0</w:t>
            </w:r>
          </w:p>
        </w:tc>
        <w:tc>
          <w:tcPr>
            <w:tcW w:w="794" w:type="dxa"/>
            <w:shd w:val="clear" w:color="auto" w:fill="DDDDDD"/>
          </w:tcPr>
          <w:p w14:paraId="714BABAD" w14:textId="77777777" w:rsidR="00462FD0" w:rsidRDefault="00462FD0" w:rsidP="00C022D8">
            <w:pPr>
              <w:jc w:val="center"/>
              <w:rPr>
                <w:sz w:val="20"/>
                <w:szCs w:val="20"/>
              </w:rPr>
            </w:pPr>
            <w:r>
              <w:rPr>
                <w:sz w:val="20"/>
                <w:szCs w:val="20"/>
              </w:rPr>
              <w:t>0</w:t>
            </w:r>
          </w:p>
        </w:tc>
        <w:tc>
          <w:tcPr>
            <w:tcW w:w="794" w:type="dxa"/>
            <w:shd w:val="clear" w:color="auto" w:fill="DDDDDD"/>
          </w:tcPr>
          <w:p w14:paraId="7F05EE9A" w14:textId="77777777" w:rsidR="00462FD0" w:rsidRDefault="00462FD0" w:rsidP="00C022D8">
            <w:pPr>
              <w:jc w:val="center"/>
              <w:rPr>
                <w:sz w:val="20"/>
                <w:szCs w:val="20"/>
              </w:rPr>
            </w:pPr>
            <w:r>
              <w:rPr>
                <w:sz w:val="20"/>
                <w:szCs w:val="20"/>
              </w:rPr>
              <w:t>1</w:t>
            </w:r>
          </w:p>
        </w:tc>
        <w:tc>
          <w:tcPr>
            <w:tcW w:w="794" w:type="dxa"/>
            <w:tcBorders>
              <w:right w:val="single" w:sz="8" w:space="0" w:color="auto"/>
            </w:tcBorders>
            <w:shd w:val="clear" w:color="auto" w:fill="DDDDDD"/>
          </w:tcPr>
          <w:p w14:paraId="219F735F" w14:textId="77777777" w:rsidR="00462FD0" w:rsidRDefault="00462FD0" w:rsidP="00C022D8">
            <w:pPr>
              <w:jc w:val="center"/>
              <w:rPr>
                <w:sz w:val="20"/>
                <w:szCs w:val="20"/>
              </w:rPr>
            </w:pPr>
            <w:r>
              <w:rPr>
                <w:sz w:val="20"/>
                <w:szCs w:val="20"/>
              </w:rPr>
              <w:t>14</w:t>
            </w:r>
          </w:p>
        </w:tc>
      </w:tr>
      <w:tr w:rsidR="00462FD0" w14:paraId="7D64D0FE" w14:textId="77777777" w:rsidTr="00C022D8">
        <w:trPr>
          <w:jc w:val="center"/>
        </w:trPr>
        <w:tc>
          <w:tcPr>
            <w:tcW w:w="2494" w:type="dxa"/>
            <w:tcBorders>
              <w:left w:val="single" w:sz="8" w:space="0" w:color="auto"/>
              <w:bottom w:val="single" w:sz="4" w:space="0" w:color="auto"/>
            </w:tcBorders>
            <w:shd w:val="clear" w:color="auto" w:fill="DDDDDD"/>
          </w:tcPr>
          <w:p w14:paraId="61D533D1" w14:textId="77777777" w:rsidR="00462FD0" w:rsidRDefault="00462FD0" w:rsidP="00C022D8">
            <w:pPr>
              <w:jc w:val="center"/>
              <w:rPr>
                <w:sz w:val="20"/>
                <w:szCs w:val="20"/>
              </w:rPr>
            </w:pPr>
            <w:r>
              <w:rPr>
                <w:sz w:val="20"/>
                <w:szCs w:val="20"/>
              </w:rPr>
              <w:t>Struck out</w:t>
            </w:r>
          </w:p>
        </w:tc>
        <w:tc>
          <w:tcPr>
            <w:tcW w:w="794" w:type="dxa"/>
            <w:tcBorders>
              <w:bottom w:val="single" w:sz="4" w:space="0" w:color="auto"/>
            </w:tcBorders>
          </w:tcPr>
          <w:p w14:paraId="4B31CABE" w14:textId="77777777" w:rsidR="00462FD0" w:rsidRDefault="00462FD0" w:rsidP="00C022D8">
            <w:pPr>
              <w:jc w:val="center"/>
              <w:rPr>
                <w:sz w:val="20"/>
                <w:szCs w:val="20"/>
              </w:rPr>
            </w:pPr>
            <w:r>
              <w:rPr>
                <w:sz w:val="20"/>
                <w:szCs w:val="20"/>
              </w:rPr>
              <w:t>10</w:t>
            </w:r>
          </w:p>
        </w:tc>
        <w:tc>
          <w:tcPr>
            <w:tcW w:w="794" w:type="dxa"/>
            <w:tcBorders>
              <w:bottom w:val="single" w:sz="4" w:space="0" w:color="auto"/>
            </w:tcBorders>
          </w:tcPr>
          <w:p w14:paraId="503BB17D" w14:textId="77777777" w:rsidR="00462FD0" w:rsidRDefault="00462FD0" w:rsidP="00C022D8">
            <w:pPr>
              <w:jc w:val="center"/>
              <w:rPr>
                <w:sz w:val="20"/>
                <w:szCs w:val="20"/>
              </w:rPr>
            </w:pPr>
            <w:r>
              <w:rPr>
                <w:sz w:val="20"/>
                <w:szCs w:val="20"/>
              </w:rPr>
              <w:t>44</w:t>
            </w:r>
          </w:p>
        </w:tc>
        <w:tc>
          <w:tcPr>
            <w:tcW w:w="794" w:type="dxa"/>
            <w:tcBorders>
              <w:bottom w:val="single" w:sz="4" w:space="0" w:color="auto"/>
            </w:tcBorders>
          </w:tcPr>
          <w:p w14:paraId="1D14F9C7" w14:textId="77777777" w:rsidR="00462FD0" w:rsidRDefault="00462FD0" w:rsidP="00C022D8">
            <w:pPr>
              <w:jc w:val="center"/>
              <w:rPr>
                <w:sz w:val="20"/>
                <w:szCs w:val="20"/>
              </w:rPr>
            </w:pPr>
            <w:r>
              <w:rPr>
                <w:sz w:val="20"/>
                <w:szCs w:val="20"/>
              </w:rPr>
              <w:t>170</w:t>
            </w:r>
          </w:p>
        </w:tc>
        <w:tc>
          <w:tcPr>
            <w:tcW w:w="794" w:type="dxa"/>
            <w:tcBorders>
              <w:bottom w:val="single" w:sz="4" w:space="0" w:color="auto"/>
              <w:right w:val="single" w:sz="8" w:space="0" w:color="auto"/>
            </w:tcBorders>
          </w:tcPr>
          <w:p w14:paraId="48BF1A50" w14:textId="77777777" w:rsidR="00462FD0" w:rsidRDefault="00462FD0" w:rsidP="00C022D8">
            <w:pPr>
              <w:jc w:val="center"/>
              <w:rPr>
                <w:sz w:val="20"/>
                <w:szCs w:val="20"/>
              </w:rPr>
            </w:pPr>
            <w:r>
              <w:rPr>
                <w:sz w:val="20"/>
                <w:szCs w:val="20"/>
              </w:rPr>
              <w:t>349</w:t>
            </w:r>
          </w:p>
        </w:tc>
        <w:tc>
          <w:tcPr>
            <w:tcW w:w="850" w:type="dxa"/>
            <w:tcBorders>
              <w:left w:val="single" w:sz="8" w:space="0" w:color="auto"/>
              <w:bottom w:val="single" w:sz="4" w:space="0" w:color="auto"/>
            </w:tcBorders>
            <w:shd w:val="clear" w:color="auto" w:fill="DDDDDD"/>
          </w:tcPr>
          <w:p w14:paraId="666152CA" w14:textId="77777777" w:rsidR="00462FD0" w:rsidRDefault="00462FD0" w:rsidP="00C022D8">
            <w:pPr>
              <w:jc w:val="center"/>
              <w:rPr>
                <w:sz w:val="20"/>
                <w:szCs w:val="20"/>
              </w:rPr>
            </w:pPr>
            <w:r>
              <w:rPr>
                <w:sz w:val="20"/>
                <w:szCs w:val="20"/>
              </w:rPr>
              <w:t>11</w:t>
            </w:r>
          </w:p>
        </w:tc>
        <w:tc>
          <w:tcPr>
            <w:tcW w:w="794" w:type="dxa"/>
            <w:tcBorders>
              <w:bottom w:val="single" w:sz="4" w:space="0" w:color="auto"/>
            </w:tcBorders>
            <w:shd w:val="clear" w:color="auto" w:fill="DDDDDD"/>
          </w:tcPr>
          <w:p w14:paraId="3EB20685" w14:textId="77777777" w:rsidR="00462FD0" w:rsidRDefault="00462FD0" w:rsidP="00C022D8">
            <w:pPr>
              <w:jc w:val="center"/>
              <w:rPr>
                <w:sz w:val="20"/>
                <w:szCs w:val="20"/>
              </w:rPr>
            </w:pPr>
            <w:r>
              <w:rPr>
                <w:sz w:val="20"/>
                <w:szCs w:val="20"/>
              </w:rPr>
              <w:t>67</w:t>
            </w:r>
          </w:p>
        </w:tc>
        <w:tc>
          <w:tcPr>
            <w:tcW w:w="794" w:type="dxa"/>
            <w:tcBorders>
              <w:bottom w:val="single" w:sz="4" w:space="0" w:color="auto"/>
            </w:tcBorders>
            <w:shd w:val="clear" w:color="auto" w:fill="DDDDDD"/>
          </w:tcPr>
          <w:p w14:paraId="4EB0EED0" w14:textId="77777777" w:rsidR="00462FD0" w:rsidRDefault="00462FD0" w:rsidP="00C022D8">
            <w:pPr>
              <w:jc w:val="center"/>
              <w:rPr>
                <w:sz w:val="20"/>
                <w:szCs w:val="20"/>
              </w:rPr>
            </w:pPr>
            <w:r>
              <w:rPr>
                <w:sz w:val="20"/>
                <w:szCs w:val="20"/>
              </w:rPr>
              <w:t>130</w:t>
            </w:r>
          </w:p>
        </w:tc>
        <w:tc>
          <w:tcPr>
            <w:tcW w:w="794" w:type="dxa"/>
            <w:tcBorders>
              <w:bottom w:val="single" w:sz="4" w:space="0" w:color="auto"/>
              <w:right w:val="single" w:sz="8" w:space="0" w:color="auto"/>
            </w:tcBorders>
            <w:shd w:val="clear" w:color="auto" w:fill="DDDDDD"/>
          </w:tcPr>
          <w:p w14:paraId="74C67AE0" w14:textId="77777777" w:rsidR="00462FD0" w:rsidRDefault="00462FD0" w:rsidP="00C022D8">
            <w:pPr>
              <w:jc w:val="center"/>
              <w:rPr>
                <w:sz w:val="20"/>
                <w:szCs w:val="20"/>
              </w:rPr>
            </w:pPr>
            <w:r>
              <w:rPr>
                <w:sz w:val="20"/>
                <w:szCs w:val="20"/>
              </w:rPr>
              <w:t>400</w:t>
            </w:r>
          </w:p>
        </w:tc>
      </w:tr>
      <w:tr w:rsidR="00462FD0" w14:paraId="3D64974A" w14:textId="77777777" w:rsidTr="00C022D8">
        <w:trPr>
          <w:jc w:val="center"/>
        </w:trPr>
        <w:tc>
          <w:tcPr>
            <w:tcW w:w="2494" w:type="dxa"/>
            <w:tcBorders>
              <w:left w:val="single" w:sz="8" w:space="0" w:color="auto"/>
            </w:tcBorders>
            <w:shd w:val="clear" w:color="auto" w:fill="DDDDDD"/>
          </w:tcPr>
          <w:p w14:paraId="1FB29696" w14:textId="77777777" w:rsidR="00462FD0" w:rsidRDefault="00462FD0" w:rsidP="00C022D8">
            <w:pPr>
              <w:jc w:val="center"/>
              <w:rPr>
                <w:sz w:val="20"/>
                <w:szCs w:val="20"/>
              </w:rPr>
            </w:pPr>
            <w:r>
              <w:rPr>
                <w:sz w:val="20"/>
                <w:szCs w:val="20"/>
              </w:rPr>
              <w:t>Diversion program</w:t>
            </w:r>
          </w:p>
        </w:tc>
        <w:tc>
          <w:tcPr>
            <w:tcW w:w="794" w:type="dxa"/>
          </w:tcPr>
          <w:p w14:paraId="2147CB24" w14:textId="77777777" w:rsidR="00462FD0" w:rsidRDefault="00462FD0" w:rsidP="00C022D8">
            <w:pPr>
              <w:jc w:val="center"/>
              <w:rPr>
                <w:sz w:val="20"/>
                <w:szCs w:val="20"/>
              </w:rPr>
            </w:pPr>
            <w:r>
              <w:rPr>
                <w:sz w:val="20"/>
                <w:szCs w:val="20"/>
              </w:rPr>
              <w:t>1</w:t>
            </w:r>
          </w:p>
        </w:tc>
        <w:tc>
          <w:tcPr>
            <w:tcW w:w="794" w:type="dxa"/>
          </w:tcPr>
          <w:p w14:paraId="5A48E4F7" w14:textId="77777777" w:rsidR="00462FD0" w:rsidRDefault="00462FD0" w:rsidP="00C022D8">
            <w:pPr>
              <w:jc w:val="center"/>
              <w:rPr>
                <w:sz w:val="20"/>
                <w:szCs w:val="20"/>
              </w:rPr>
            </w:pPr>
            <w:r>
              <w:rPr>
                <w:sz w:val="20"/>
                <w:szCs w:val="20"/>
              </w:rPr>
              <w:t>2</w:t>
            </w:r>
          </w:p>
        </w:tc>
        <w:tc>
          <w:tcPr>
            <w:tcW w:w="794" w:type="dxa"/>
          </w:tcPr>
          <w:p w14:paraId="3984BD1C" w14:textId="77777777" w:rsidR="00462FD0" w:rsidRDefault="00462FD0" w:rsidP="00C022D8">
            <w:pPr>
              <w:jc w:val="center"/>
              <w:rPr>
                <w:sz w:val="20"/>
                <w:szCs w:val="20"/>
              </w:rPr>
            </w:pPr>
            <w:r>
              <w:rPr>
                <w:sz w:val="20"/>
                <w:szCs w:val="20"/>
              </w:rPr>
              <w:t>7</w:t>
            </w:r>
          </w:p>
        </w:tc>
        <w:tc>
          <w:tcPr>
            <w:tcW w:w="794" w:type="dxa"/>
            <w:tcBorders>
              <w:right w:val="single" w:sz="8" w:space="0" w:color="auto"/>
            </w:tcBorders>
          </w:tcPr>
          <w:p w14:paraId="3457ABCC" w14:textId="77777777" w:rsidR="00462FD0" w:rsidRDefault="00462FD0" w:rsidP="00C022D8">
            <w:pPr>
              <w:jc w:val="center"/>
              <w:rPr>
                <w:sz w:val="20"/>
                <w:szCs w:val="20"/>
              </w:rPr>
            </w:pPr>
            <w:r>
              <w:rPr>
                <w:sz w:val="20"/>
                <w:szCs w:val="20"/>
              </w:rPr>
              <w:t>61</w:t>
            </w:r>
          </w:p>
        </w:tc>
        <w:tc>
          <w:tcPr>
            <w:tcW w:w="850" w:type="dxa"/>
            <w:tcBorders>
              <w:left w:val="single" w:sz="8" w:space="0" w:color="auto"/>
            </w:tcBorders>
            <w:shd w:val="clear" w:color="auto" w:fill="DDDDDD"/>
          </w:tcPr>
          <w:p w14:paraId="226675AC" w14:textId="77777777" w:rsidR="00462FD0" w:rsidRDefault="00462FD0" w:rsidP="00C022D8">
            <w:pPr>
              <w:jc w:val="center"/>
              <w:rPr>
                <w:sz w:val="20"/>
                <w:szCs w:val="20"/>
              </w:rPr>
            </w:pPr>
            <w:r>
              <w:rPr>
                <w:sz w:val="20"/>
                <w:szCs w:val="20"/>
              </w:rPr>
              <w:t>0</w:t>
            </w:r>
          </w:p>
        </w:tc>
        <w:tc>
          <w:tcPr>
            <w:tcW w:w="794" w:type="dxa"/>
            <w:shd w:val="clear" w:color="auto" w:fill="DDDDDD"/>
          </w:tcPr>
          <w:p w14:paraId="4FBD02AD" w14:textId="77777777" w:rsidR="00462FD0" w:rsidRDefault="00462FD0" w:rsidP="00C022D8">
            <w:pPr>
              <w:jc w:val="center"/>
              <w:rPr>
                <w:sz w:val="20"/>
                <w:szCs w:val="20"/>
              </w:rPr>
            </w:pPr>
            <w:r>
              <w:rPr>
                <w:sz w:val="20"/>
                <w:szCs w:val="20"/>
              </w:rPr>
              <w:t>1</w:t>
            </w:r>
          </w:p>
        </w:tc>
        <w:tc>
          <w:tcPr>
            <w:tcW w:w="794" w:type="dxa"/>
            <w:shd w:val="clear" w:color="auto" w:fill="DDDDDD"/>
          </w:tcPr>
          <w:p w14:paraId="211C93B8" w14:textId="77777777" w:rsidR="00462FD0" w:rsidRDefault="00462FD0" w:rsidP="00C022D8">
            <w:pPr>
              <w:jc w:val="center"/>
              <w:rPr>
                <w:sz w:val="20"/>
                <w:szCs w:val="20"/>
              </w:rPr>
            </w:pPr>
            <w:r>
              <w:rPr>
                <w:sz w:val="20"/>
                <w:szCs w:val="20"/>
              </w:rPr>
              <w:t>15</w:t>
            </w:r>
          </w:p>
        </w:tc>
        <w:tc>
          <w:tcPr>
            <w:tcW w:w="794" w:type="dxa"/>
            <w:tcBorders>
              <w:right w:val="single" w:sz="8" w:space="0" w:color="auto"/>
            </w:tcBorders>
            <w:shd w:val="clear" w:color="auto" w:fill="DDDDDD"/>
          </w:tcPr>
          <w:p w14:paraId="605BD0C2" w14:textId="77777777" w:rsidR="00462FD0" w:rsidRDefault="00462FD0" w:rsidP="00C022D8">
            <w:pPr>
              <w:jc w:val="center"/>
              <w:rPr>
                <w:sz w:val="20"/>
                <w:szCs w:val="20"/>
              </w:rPr>
            </w:pPr>
            <w:r>
              <w:rPr>
                <w:sz w:val="20"/>
                <w:szCs w:val="20"/>
              </w:rPr>
              <w:t>53</w:t>
            </w:r>
          </w:p>
        </w:tc>
      </w:tr>
      <w:tr w:rsidR="00462FD0" w14:paraId="0C8E982E" w14:textId="77777777" w:rsidTr="00C022D8">
        <w:trPr>
          <w:jc w:val="center"/>
        </w:trPr>
        <w:tc>
          <w:tcPr>
            <w:tcW w:w="2494" w:type="dxa"/>
            <w:tcBorders>
              <w:left w:val="single" w:sz="8" w:space="0" w:color="auto"/>
              <w:bottom w:val="single" w:sz="4" w:space="0" w:color="auto"/>
            </w:tcBorders>
            <w:shd w:val="clear" w:color="auto" w:fill="DDDDDD"/>
          </w:tcPr>
          <w:p w14:paraId="570CD28A" w14:textId="77777777" w:rsidR="00462FD0" w:rsidRDefault="00462FD0" w:rsidP="00C022D8">
            <w:pPr>
              <w:jc w:val="center"/>
              <w:rPr>
                <w:sz w:val="20"/>
                <w:szCs w:val="20"/>
              </w:rPr>
            </w:pPr>
            <w:r>
              <w:rPr>
                <w:sz w:val="20"/>
                <w:szCs w:val="20"/>
              </w:rPr>
              <w:t>ROPES program</w:t>
            </w:r>
          </w:p>
        </w:tc>
        <w:tc>
          <w:tcPr>
            <w:tcW w:w="794" w:type="dxa"/>
            <w:tcBorders>
              <w:bottom w:val="single" w:sz="4" w:space="0" w:color="auto"/>
            </w:tcBorders>
          </w:tcPr>
          <w:p w14:paraId="21F5DE1D" w14:textId="77777777" w:rsidR="00462FD0" w:rsidRDefault="00462FD0" w:rsidP="00C022D8">
            <w:pPr>
              <w:jc w:val="center"/>
              <w:rPr>
                <w:sz w:val="20"/>
                <w:szCs w:val="20"/>
              </w:rPr>
            </w:pPr>
            <w:r>
              <w:rPr>
                <w:sz w:val="20"/>
                <w:szCs w:val="20"/>
              </w:rPr>
              <w:t>0</w:t>
            </w:r>
          </w:p>
        </w:tc>
        <w:tc>
          <w:tcPr>
            <w:tcW w:w="794" w:type="dxa"/>
            <w:tcBorders>
              <w:bottom w:val="single" w:sz="4" w:space="0" w:color="auto"/>
            </w:tcBorders>
          </w:tcPr>
          <w:p w14:paraId="7056BA2D" w14:textId="77777777" w:rsidR="00462FD0" w:rsidRDefault="00462FD0" w:rsidP="00C022D8">
            <w:pPr>
              <w:jc w:val="center"/>
              <w:rPr>
                <w:sz w:val="20"/>
                <w:szCs w:val="20"/>
              </w:rPr>
            </w:pPr>
            <w:r>
              <w:rPr>
                <w:sz w:val="20"/>
                <w:szCs w:val="20"/>
              </w:rPr>
              <w:t>0</w:t>
            </w:r>
          </w:p>
        </w:tc>
        <w:tc>
          <w:tcPr>
            <w:tcW w:w="794" w:type="dxa"/>
            <w:tcBorders>
              <w:bottom w:val="single" w:sz="4" w:space="0" w:color="auto"/>
            </w:tcBorders>
          </w:tcPr>
          <w:p w14:paraId="4A3140AA" w14:textId="77777777" w:rsidR="00462FD0" w:rsidRDefault="00462FD0" w:rsidP="00C022D8">
            <w:pPr>
              <w:jc w:val="center"/>
              <w:rPr>
                <w:sz w:val="20"/>
                <w:szCs w:val="20"/>
              </w:rPr>
            </w:pPr>
            <w:r>
              <w:rPr>
                <w:sz w:val="20"/>
                <w:szCs w:val="20"/>
              </w:rPr>
              <w:t>0</w:t>
            </w:r>
          </w:p>
        </w:tc>
        <w:tc>
          <w:tcPr>
            <w:tcW w:w="794" w:type="dxa"/>
            <w:tcBorders>
              <w:bottom w:val="single" w:sz="4" w:space="0" w:color="auto"/>
              <w:right w:val="single" w:sz="8" w:space="0" w:color="auto"/>
            </w:tcBorders>
          </w:tcPr>
          <w:p w14:paraId="5E8A9E63" w14:textId="77777777" w:rsidR="00462FD0" w:rsidRDefault="00462FD0" w:rsidP="00C022D8">
            <w:pPr>
              <w:jc w:val="center"/>
              <w:rPr>
                <w:sz w:val="20"/>
                <w:szCs w:val="20"/>
              </w:rPr>
            </w:pPr>
            <w:r>
              <w:rPr>
                <w:sz w:val="20"/>
                <w:szCs w:val="20"/>
              </w:rPr>
              <w:t>1</w:t>
            </w:r>
          </w:p>
        </w:tc>
        <w:tc>
          <w:tcPr>
            <w:tcW w:w="850" w:type="dxa"/>
            <w:tcBorders>
              <w:left w:val="single" w:sz="8" w:space="0" w:color="auto"/>
              <w:bottom w:val="single" w:sz="4" w:space="0" w:color="auto"/>
            </w:tcBorders>
            <w:shd w:val="clear" w:color="auto" w:fill="DDDDDD"/>
          </w:tcPr>
          <w:p w14:paraId="06EB13A2"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035CF543" w14:textId="77777777" w:rsidR="00462FD0" w:rsidRDefault="00462FD0" w:rsidP="00C022D8">
            <w:pPr>
              <w:jc w:val="center"/>
              <w:rPr>
                <w:sz w:val="20"/>
                <w:szCs w:val="20"/>
              </w:rPr>
            </w:pPr>
            <w:r>
              <w:rPr>
                <w:sz w:val="20"/>
                <w:szCs w:val="20"/>
              </w:rPr>
              <w:t>1</w:t>
            </w:r>
          </w:p>
        </w:tc>
        <w:tc>
          <w:tcPr>
            <w:tcW w:w="794" w:type="dxa"/>
            <w:tcBorders>
              <w:bottom w:val="single" w:sz="4" w:space="0" w:color="auto"/>
            </w:tcBorders>
            <w:shd w:val="clear" w:color="auto" w:fill="DDDDDD"/>
          </w:tcPr>
          <w:p w14:paraId="2039C2CA" w14:textId="77777777" w:rsidR="00462FD0" w:rsidRDefault="00462FD0" w:rsidP="00C022D8">
            <w:pPr>
              <w:jc w:val="center"/>
              <w:rPr>
                <w:sz w:val="20"/>
                <w:szCs w:val="20"/>
              </w:rPr>
            </w:pPr>
            <w:r>
              <w:rPr>
                <w:sz w:val="20"/>
                <w:szCs w:val="20"/>
              </w:rPr>
              <w:t>0</w:t>
            </w:r>
          </w:p>
        </w:tc>
        <w:tc>
          <w:tcPr>
            <w:tcW w:w="794" w:type="dxa"/>
            <w:tcBorders>
              <w:bottom w:val="single" w:sz="4" w:space="0" w:color="auto"/>
              <w:right w:val="single" w:sz="8" w:space="0" w:color="auto"/>
            </w:tcBorders>
            <w:shd w:val="clear" w:color="auto" w:fill="DDDDDD"/>
          </w:tcPr>
          <w:p w14:paraId="62F282BE" w14:textId="77777777" w:rsidR="00462FD0" w:rsidRDefault="00462FD0" w:rsidP="00C022D8">
            <w:pPr>
              <w:jc w:val="center"/>
              <w:rPr>
                <w:sz w:val="20"/>
                <w:szCs w:val="20"/>
              </w:rPr>
            </w:pPr>
            <w:r>
              <w:rPr>
                <w:sz w:val="20"/>
                <w:szCs w:val="20"/>
              </w:rPr>
              <w:t>3</w:t>
            </w:r>
          </w:p>
        </w:tc>
      </w:tr>
      <w:tr w:rsidR="00462FD0" w14:paraId="10581827" w14:textId="77777777" w:rsidTr="00C022D8">
        <w:trPr>
          <w:jc w:val="center"/>
        </w:trPr>
        <w:tc>
          <w:tcPr>
            <w:tcW w:w="2494" w:type="dxa"/>
            <w:tcBorders>
              <w:top w:val="single" w:sz="4" w:space="0" w:color="auto"/>
              <w:left w:val="single" w:sz="8" w:space="0" w:color="auto"/>
              <w:bottom w:val="single" w:sz="4" w:space="0" w:color="auto"/>
            </w:tcBorders>
            <w:shd w:val="clear" w:color="auto" w:fill="DDDDDD"/>
          </w:tcPr>
          <w:p w14:paraId="5570D86E" w14:textId="77777777" w:rsidR="00462FD0" w:rsidRDefault="00462FD0" w:rsidP="00C022D8">
            <w:pPr>
              <w:jc w:val="center"/>
              <w:rPr>
                <w:sz w:val="20"/>
                <w:szCs w:val="20"/>
              </w:rPr>
            </w:pPr>
            <w:r>
              <w:rPr>
                <w:sz w:val="20"/>
                <w:szCs w:val="20"/>
              </w:rPr>
              <w:t>Discharged</w:t>
            </w:r>
          </w:p>
        </w:tc>
        <w:tc>
          <w:tcPr>
            <w:tcW w:w="794" w:type="dxa"/>
            <w:tcBorders>
              <w:top w:val="single" w:sz="4" w:space="0" w:color="auto"/>
              <w:bottom w:val="single" w:sz="4" w:space="0" w:color="auto"/>
            </w:tcBorders>
          </w:tcPr>
          <w:p w14:paraId="652BC4E2" w14:textId="77777777" w:rsidR="00462FD0" w:rsidRDefault="00462FD0" w:rsidP="00C022D8">
            <w:pPr>
              <w:jc w:val="center"/>
              <w:rPr>
                <w:sz w:val="20"/>
                <w:szCs w:val="20"/>
              </w:rPr>
            </w:pPr>
            <w:r>
              <w:rPr>
                <w:sz w:val="20"/>
                <w:szCs w:val="20"/>
              </w:rPr>
              <w:t>0</w:t>
            </w:r>
          </w:p>
        </w:tc>
        <w:tc>
          <w:tcPr>
            <w:tcW w:w="794" w:type="dxa"/>
            <w:tcBorders>
              <w:top w:val="single" w:sz="4" w:space="0" w:color="auto"/>
              <w:bottom w:val="single" w:sz="4" w:space="0" w:color="auto"/>
            </w:tcBorders>
          </w:tcPr>
          <w:p w14:paraId="5B2CF288" w14:textId="77777777" w:rsidR="00462FD0" w:rsidRDefault="00462FD0" w:rsidP="00C022D8">
            <w:pPr>
              <w:jc w:val="center"/>
              <w:rPr>
                <w:sz w:val="20"/>
                <w:szCs w:val="20"/>
              </w:rPr>
            </w:pPr>
            <w:r>
              <w:rPr>
                <w:sz w:val="20"/>
                <w:szCs w:val="20"/>
              </w:rPr>
              <w:t>2</w:t>
            </w:r>
          </w:p>
        </w:tc>
        <w:tc>
          <w:tcPr>
            <w:tcW w:w="794" w:type="dxa"/>
            <w:tcBorders>
              <w:top w:val="single" w:sz="4" w:space="0" w:color="auto"/>
              <w:bottom w:val="single" w:sz="4" w:space="0" w:color="auto"/>
            </w:tcBorders>
          </w:tcPr>
          <w:p w14:paraId="666142D7" w14:textId="77777777" w:rsidR="00462FD0" w:rsidRDefault="00462FD0" w:rsidP="00C022D8">
            <w:pPr>
              <w:jc w:val="center"/>
              <w:rPr>
                <w:sz w:val="20"/>
                <w:szCs w:val="20"/>
              </w:rPr>
            </w:pPr>
            <w:r>
              <w:rPr>
                <w:sz w:val="20"/>
                <w:szCs w:val="20"/>
              </w:rPr>
              <w:t>2</w:t>
            </w:r>
          </w:p>
        </w:tc>
        <w:tc>
          <w:tcPr>
            <w:tcW w:w="794" w:type="dxa"/>
            <w:tcBorders>
              <w:top w:val="single" w:sz="4" w:space="0" w:color="auto"/>
              <w:bottom w:val="single" w:sz="4" w:space="0" w:color="auto"/>
              <w:right w:val="single" w:sz="8" w:space="0" w:color="auto"/>
            </w:tcBorders>
          </w:tcPr>
          <w:p w14:paraId="3C4E207A" w14:textId="77777777" w:rsidR="00462FD0" w:rsidRDefault="00462FD0" w:rsidP="00C022D8">
            <w:pPr>
              <w:jc w:val="center"/>
              <w:rPr>
                <w:sz w:val="20"/>
                <w:szCs w:val="20"/>
              </w:rPr>
            </w:pPr>
            <w:r>
              <w:rPr>
                <w:sz w:val="20"/>
                <w:szCs w:val="20"/>
              </w:rPr>
              <w:t>8</w:t>
            </w:r>
          </w:p>
        </w:tc>
        <w:tc>
          <w:tcPr>
            <w:tcW w:w="850" w:type="dxa"/>
            <w:tcBorders>
              <w:top w:val="single" w:sz="4" w:space="0" w:color="auto"/>
              <w:left w:val="single" w:sz="8" w:space="0" w:color="auto"/>
              <w:bottom w:val="single" w:sz="4" w:space="0" w:color="auto"/>
            </w:tcBorders>
            <w:shd w:val="clear" w:color="auto" w:fill="DDDDDD"/>
          </w:tcPr>
          <w:p w14:paraId="1C40B127" w14:textId="77777777" w:rsidR="00462FD0" w:rsidRDefault="00462FD0" w:rsidP="00C022D8">
            <w:pPr>
              <w:jc w:val="center"/>
              <w:rPr>
                <w:sz w:val="20"/>
                <w:szCs w:val="20"/>
              </w:rPr>
            </w:pPr>
            <w:r>
              <w:rPr>
                <w:sz w:val="20"/>
                <w:szCs w:val="20"/>
              </w:rPr>
              <w:t>0</w:t>
            </w:r>
          </w:p>
        </w:tc>
        <w:tc>
          <w:tcPr>
            <w:tcW w:w="794" w:type="dxa"/>
            <w:tcBorders>
              <w:top w:val="single" w:sz="4" w:space="0" w:color="auto"/>
              <w:bottom w:val="single" w:sz="4" w:space="0" w:color="auto"/>
            </w:tcBorders>
            <w:shd w:val="clear" w:color="auto" w:fill="DDDDDD"/>
          </w:tcPr>
          <w:p w14:paraId="78D8EDEC" w14:textId="77777777" w:rsidR="00462FD0" w:rsidRDefault="00462FD0" w:rsidP="00C022D8">
            <w:pPr>
              <w:jc w:val="center"/>
              <w:rPr>
                <w:sz w:val="20"/>
                <w:szCs w:val="20"/>
              </w:rPr>
            </w:pPr>
            <w:r>
              <w:rPr>
                <w:sz w:val="20"/>
                <w:szCs w:val="20"/>
              </w:rPr>
              <w:t>2</w:t>
            </w:r>
          </w:p>
        </w:tc>
        <w:tc>
          <w:tcPr>
            <w:tcW w:w="794" w:type="dxa"/>
            <w:tcBorders>
              <w:top w:val="single" w:sz="4" w:space="0" w:color="auto"/>
              <w:bottom w:val="single" w:sz="4" w:space="0" w:color="auto"/>
            </w:tcBorders>
            <w:shd w:val="clear" w:color="auto" w:fill="DDDDDD"/>
          </w:tcPr>
          <w:p w14:paraId="352C5EE3" w14:textId="77777777" w:rsidR="00462FD0" w:rsidRDefault="00462FD0" w:rsidP="00C022D8">
            <w:pPr>
              <w:jc w:val="center"/>
              <w:rPr>
                <w:sz w:val="20"/>
                <w:szCs w:val="20"/>
              </w:rPr>
            </w:pPr>
            <w:r>
              <w:rPr>
                <w:sz w:val="20"/>
                <w:szCs w:val="20"/>
              </w:rPr>
              <w:t>6</w:t>
            </w:r>
          </w:p>
        </w:tc>
        <w:tc>
          <w:tcPr>
            <w:tcW w:w="794" w:type="dxa"/>
            <w:tcBorders>
              <w:top w:val="single" w:sz="4" w:space="0" w:color="auto"/>
              <w:bottom w:val="single" w:sz="4" w:space="0" w:color="auto"/>
              <w:right w:val="single" w:sz="8" w:space="0" w:color="auto"/>
            </w:tcBorders>
            <w:shd w:val="clear" w:color="auto" w:fill="DDDDDD"/>
          </w:tcPr>
          <w:p w14:paraId="0240F087" w14:textId="77777777" w:rsidR="00462FD0" w:rsidRDefault="00462FD0" w:rsidP="00C022D8">
            <w:pPr>
              <w:jc w:val="center"/>
              <w:rPr>
                <w:sz w:val="20"/>
                <w:szCs w:val="20"/>
              </w:rPr>
            </w:pPr>
            <w:r>
              <w:rPr>
                <w:sz w:val="20"/>
                <w:szCs w:val="20"/>
              </w:rPr>
              <w:t>27</w:t>
            </w:r>
          </w:p>
        </w:tc>
      </w:tr>
      <w:tr w:rsidR="00462FD0" w14:paraId="05C0C35C" w14:textId="77777777" w:rsidTr="00C022D8">
        <w:trPr>
          <w:jc w:val="center"/>
        </w:trPr>
        <w:tc>
          <w:tcPr>
            <w:tcW w:w="2494" w:type="dxa"/>
            <w:tcBorders>
              <w:top w:val="single" w:sz="4" w:space="0" w:color="auto"/>
              <w:left w:val="single" w:sz="8" w:space="0" w:color="auto"/>
              <w:bottom w:val="single" w:sz="8" w:space="0" w:color="auto"/>
            </w:tcBorders>
            <w:shd w:val="clear" w:color="auto" w:fill="DDDDDD"/>
          </w:tcPr>
          <w:p w14:paraId="1EA350FC" w14:textId="77777777" w:rsidR="00462FD0" w:rsidRDefault="00462FD0" w:rsidP="00C022D8">
            <w:pPr>
              <w:jc w:val="center"/>
              <w:rPr>
                <w:sz w:val="20"/>
                <w:szCs w:val="20"/>
              </w:rPr>
            </w:pPr>
            <w:r>
              <w:rPr>
                <w:sz w:val="20"/>
                <w:szCs w:val="20"/>
              </w:rPr>
              <w:t>Committal order</w:t>
            </w:r>
          </w:p>
        </w:tc>
        <w:tc>
          <w:tcPr>
            <w:tcW w:w="794" w:type="dxa"/>
            <w:tcBorders>
              <w:top w:val="single" w:sz="4" w:space="0" w:color="auto"/>
              <w:bottom w:val="single" w:sz="8" w:space="0" w:color="auto"/>
            </w:tcBorders>
          </w:tcPr>
          <w:p w14:paraId="7A66A298" w14:textId="77777777" w:rsidR="00462FD0" w:rsidRDefault="00462FD0" w:rsidP="00C022D8">
            <w:pPr>
              <w:jc w:val="center"/>
              <w:rPr>
                <w:sz w:val="20"/>
                <w:szCs w:val="20"/>
              </w:rPr>
            </w:pPr>
            <w:r>
              <w:rPr>
                <w:sz w:val="20"/>
                <w:szCs w:val="20"/>
              </w:rPr>
              <w:t>0</w:t>
            </w:r>
          </w:p>
        </w:tc>
        <w:tc>
          <w:tcPr>
            <w:tcW w:w="794" w:type="dxa"/>
            <w:tcBorders>
              <w:top w:val="single" w:sz="4" w:space="0" w:color="auto"/>
              <w:bottom w:val="single" w:sz="8" w:space="0" w:color="auto"/>
            </w:tcBorders>
          </w:tcPr>
          <w:p w14:paraId="4E789342" w14:textId="77777777" w:rsidR="00462FD0" w:rsidRDefault="00462FD0" w:rsidP="00C022D8">
            <w:pPr>
              <w:jc w:val="center"/>
              <w:rPr>
                <w:sz w:val="20"/>
                <w:szCs w:val="20"/>
              </w:rPr>
            </w:pPr>
            <w:r>
              <w:rPr>
                <w:sz w:val="20"/>
                <w:szCs w:val="20"/>
              </w:rPr>
              <w:t>0</w:t>
            </w:r>
          </w:p>
        </w:tc>
        <w:tc>
          <w:tcPr>
            <w:tcW w:w="794" w:type="dxa"/>
            <w:tcBorders>
              <w:top w:val="single" w:sz="4" w:space="0" w:color="auto"/>
              <w:bottom w:val="single" w:sz="8" w:space="0" w:color="auto"/>
            </w:tcBorders>
          </w:tcPr>
          <w:p w14:paraId="02B63681" w14:textId="77777777" w:rsidR="00462FD0" w:rsidRDefault="00462FD0" w:rsidP="00C022D8">
            <w:pPr>
              <w:jc w:val="center"/>
              <w:rPr>
                <w:sz w:val="20"/>
                <w:szCs w:val="20"/>
              </w:rPr>
            </w:pPr>
            <w:r>
              <w:rPr>
                <w:sz w:val="20"/>
                <w:szCs w:val="20"/>
              </w:rPr>
              <w:t>0</w:t>
            </w:r>
          </w:p>
        </w:tc>
        <w:tc>
          <w:tcPr>
            <w:tcW w:w="794" w:type="dxa"/>
            <w:tcBorders>
              <w:top w:val="single" w:sz="4" w:space="0" w:color="auto"/>
              <w:bottom w:val="single" w:sz="8" w:space="0" w:color="auto"/>
              <w:right w:val="single" w:sz="8" w:space="0" w:color="auto"/>
            </w:tcBorders>
          </w:tcPr>
          <w:p w14:paraId="23559914" w14:textId="77777777" w:rsidR="00462FD0" w:rsidRDefault="00462FD0" w:rsidP="00C022D8">
            <w:pPr>
              <w:jc w:val="center"/>
              <w:rPr>
                <w:sz w:val="20"/>
                <w:szCs w:val="20"/>
              </w:rPr>
            </w:pPr>
            <w:r>
              <w:rPr>
                <w:sz w:val="20"/>
                <w:szCs w:val="20"/>
              </w:rPr>
              <w:t>2</w:t>
            </w:r>
          </w:p>
        </w:tc>
        <w:tc>
          <w:tcPr>
            <w:tcW w:w="850" w:type="dxa"/>
            <w:tcBorders>
              <w:top w:val="single" w:sz="4" w:space="0" w:color="auto"/>
              <w:left w:val="single" w:sz="8" w:space="0" w:color="auto"/>
              <w:bottom w:val="single" w:sz="8" w:space="0" w:color="auto"/>
            </w:tcBorders>
            <w:shd w:val="clear" w:color="auto" w:fill="DDDDDD"/>
          </w:tcPr>
          <w:p w14:paraId="25DE602C" w14:textId="77777777" w:rsidR="00462FD0" w:rsidRDefault="00462FD0" w:rsidP="00C022D8">
            <w:pPr>
              <w:jc w:val="center"/>
              <w:rPr>
                <w:sz w:val="20"/>
                <w:szCs w:val="20"/>
              </w:rPr>
            </w:pPr>
            <w:r>
              <w:rPr>
                <w:sz w:val="20"/>
                <w:szCs w:val="20"/>
              </w:rPr>
              <w:t>0</w:t>
            </w:r>
          </w:p>
        </w:tc>
        <w:tc>
          <w:tcPr>
            <w:tcW w:w="794" w:type="dxa"/>
            <w:tcBorders>
              <w:top w:val="single" w:sz="4" w:space="0" w:color="auto"/>
              <w:bottom w:val="single" w:sz="8" w:space="0" w:color="auto"/>
            </w:tcBorders>
            <w:shd w:val="clear" w:color="auto" w:fill="DDDDDD"/>
          </w:tcPr>
          <w:p w14:paraId="5F1C4289" w14:textId="77777777" w:rsidR="00462FD0" w:rsidRDefault="00462FD0" w:rsidP="00C022D8">
            <w:pPr>
              <w:jc w:val="center"/>
              <w:rPr>
                <w:sz w:val="20"/>
                <w:szCs w:val="20"/>
              </w:rPr>
            </w:pPr>
            <w:r>
              <w:rPr>
                <w:sz w:val="20"/>
                <w:szCs w:val="20"/>
              </w:rPr>
              <w:t>0</w:t>
            </w:r>
          </w:p>
        </w:tc>
        <w:tc>
          <w:tcPr>
            <w:tcW w:w="794" w:type="dxa"/>
            <w:tcBorders>
              <w:top w:val="single" w:sz="4" w:space="0" w:color="auto"/>
              <w:bottom w:val="single" w:sz="8" w:space="0" w:color="auto"/>
            </w:tcBorders>
            <w:shd w:val="clear" w:color="auto" w:fill="DDDDDD"/>
          </w:tcPr>
          <w:p w14:paraId="5A3177B5" w14:textId="77777777" w:rsidR="00462FD0" w:rsidRDefault="00462FD0" w:rsidP="00C022D8">
            <w:pPr>
              <w:jc w:val="center"/>
              <w:rPr>
                <w:sz w:val="20"/>
                <w:szCs w:val="20"/>
              </w:rPr>
            </w:pPr>
            <w:r>
              <w:rPr>
                <w:sz w:val="20"/>
                <w:szCs w:val="20"/>
              </w:rPr>
              <w:t>0</w:t>
            </w:r>
          </w:p>
        </w:tc>
        <w:tc>
          <w:tcPr>
            <w:tcW w:w="794" w:type="dxa"/>
            <w:tcBorders>
              <w:top w:val="single" w:sz="4" w:space="0" w:color="auto"/>
              <w:bottom w:val="single" w:sz="8" w:space="0" w:color="auto"/>
              <w:right w:val="single" w:sz="8" w:space="0" w:color="auto"/>
            </w:tcBorders>
            <w:shd w:val="clear" w:color="auto" w:fill="DDDDDD"/>
          </w:tcPr>
          <w:p w14:paraId="36CA30D9" w14:textId="77777777" w:rsidR="00462FD0" w:rsidRDefault="00462FD0" w:rsidP="00C022D8">
            <w:pPr>
              <w:jc w:val="center"/>
              <w:rPr>
                <w:sz w:val="20"/>
                <w:szCs w:val="20"/>
              </w:rPr>
            </w:pPr>
            <w:r>
              <w:rPr>
                <w:sz w:val="20"/>
                <w:szCs w:val="20"/>
              </w:rPr>
              <w:t>0</w:t>
            </w:r>
          </w:p>
        </w:tc>
      </w:tr>
      <w:tr w:rsidR="00462FD0" w14:paraId="47BBD375" w14:textId="77777777" w:rsidTr="00C022D8">
        <w:trPr>
          <w:jc w:val="center"/>
        </w:trPr>
        <w:tc>
          <w:tcPr>
            <w:tcW w:w="2494" w:type="dxa"/>
            <w:tcBorders>
              <w:top w:val="single" w:sz="8" w:space="0" w:color="auto"/>
              <w:left w:val="single" w:sz="8" w:space="0" w:color="auto"/>
            </w:tcBorders>
            <w:shd w:val="clear" w:color="auto" w:fill="DDDDDD"/>
          </w:tcPr>
          <w:p w14:paraId="4F1361AF" w14:textId="77777777" w:rsidR="00462FD0" w:rsidRDefault="00462FD0" w:rsidP="00C022D8">
            <w:pPr>
              <w:jc w:val="center"/>
              <w:rPr>
                <w:sz w:val="20"/>
                <w:szCs w:val="20"/>
              </w:rPr>
            </w:pPr>
            <w:r w:rsidRPr="00B155C1">
              <w:rPr>
                <w:color w:val="FF0000"/>
                <w:sz w:val="20"/>
                <w:szCs w:val="20"/>
              </w:rPr>
              <w:t>Proved and dismissed</w:t>
            </w:r>
          </w:p>
        </w:tc>
        <w:tc>
          <w:tcPr>
            <w:tcW w:w="794" w:type="dxa"/>
            <w:tcBorders>
              <w:top w:val="single" w:sz="8" w:space="0" w:color="auto"/>
            </w:tcBorders>
          </w:tcPr>
          <w:p w14:paraId="3597586E" w14:textId="77777777" w:rsidR="00462FD0" w:rsidRDefault="00462FD0" w:rsidP="00C022D8">
            <w:pPr>
              <w:jc w:val="center"/>
              <w:rPr>
                <w:sz w:val="20"/>
                <w:szCs w:val="20"/>
              </w:rPr>
            </w:pPr>
            <w:r>
              <w:rPr>
                <w:sz w:val="20"/>
                <w:szCs w:val="20"/>
              </w:rPr>
              <w:t>0</w:t>
            </w:r>
          </w:p>
        </w:tc>
        <w:tc>
          <w:tcPr>
            <w:tcW w:w="794" w:type="dxa"/>
            <w:tcBorders>
              <w:top w:val="single" w:sz="8" w:space="0" w:color="auto"/>
            </w:tcBorders>
          </w:tcPr>
          <w:p w14:paraId="0A285658" w14:textId="77777777" w:rsidR="00462FD0" w:rsidRDefault="00462FD0" w:rsidP="00C022D8">
            <w:pPr>
              <w:jc w:val="center"/>
              <w:rPr>
                <w:sz w:val="20"/>
                <w:szCs w:val="20"/>
              </w:rPr>
            </w:pPr>
            <w:r>
              <w:rPr>
                <w:sz w:val="20"/>
                <w:szCs w:val="20"/>
              </w:rPr>
              <w:t>0</w:t>
            </w:r>
          </w:p>
        </w:tc>
        <w:tc>
          <w:tcPr>
            <w:tcW w:w="794" w:type="dxa"/>
            <w:tcBorders>
              <w:top w:val="single" w:sz="8" w:space="0" w:color="auto"/>
            </w:tcBorders>
          </w:tcPr>
          <w:p w14:paraId="48853467" w14:textId="77777777" w:rsidR="00462FD0" w:rsidRPr="00BE1F15" w:rsidRDefault="00462FD0" w:rsidP="00C022D8">
            <w:pPr>
              <w:jc w:val="center"/>
              <w:rPr>
                <w:color w:val="FF0000"/>
                <w:sz w:val="20"/>
                <w:szCs w:val="20"/>
              </w:rPr>
            </w:pPr>
            <w:r w:rsidRPr="00BE1F15">
              <w:rPr>
                <w:color w:val="FF0000"/>
                <w:sz w:val="20"/>
                <w:szCs w:val="20"/>
              </w:rPr>
              <w:t>5</w:t>
            </w:r>
          </w:p>
        </w:tc>
        <w:tc>
          <w:tcPr>
            <w:tcW w:w="794" w:type="dxa"/>
            <w:tcBorders>
              <w:top w:val="single" w:sz="8" w:space="0" w:color="auto"/>
              <w:right w:val="single" w:sz="8" w:space="0" w:color="auto"/>
            </w:tcBorders>
          </w:tcPr>
          <w:p w14:paraId="3938235E" w14:textId="77777777" w:rsidR="00462FD0" w:rsidRPr="00BE1F15" w:rsidRDefault="00462FD0" w:rsidP="00C022D8">
            <w:pPr>
              <w:jc w:val="center"/>
              <w:rPr>
                <w:color w:val="FF0000"/>
                <w:sz w:val="20"/>
                <w:szCs w:val="20"/>
              </w:rPr>
            </w:pPr>
            <w:r w:rsidRPr="00BE1F15">
              <w:rPr>
                <w:color w:val="FF0000"/>
                <w:sz w:val="20"/>
                <w:szCs w:val="20"/>
              </w:rPr>
              <w:t>3</w:t>
            </w:r>
          </w:p>
        </w:tc>
        <w:tc>
          <w:tcPr>
            <w:tcW w:w="850" w:type="dxa"/>
            <w:tcBorders>
              <w:top w:val="single" w:sz="8" w:space="0" w:color="auto"/>
              <w:left w:val="single" w:sz="8" w:space="0" w:color="auto"/>
            </w:tcBorders>
            <w:shd w:val="clear" w:color="auto" w:fill="DDDDDD"/>
          </w:tcPr>
          <w:p w14:paraId="39B19FB8" w14:textId="77777777" w:rsidR="00462FD0" w:rsidRDefault="00462FD0" w:rsidP="00C022D8">
            <w:pPr>
              <w:jc w:val="center"/>
              <w:rPr>
                <w:sz w:val="20"/>
                <w:szCs w:val="20"/>
              </w:rPr>
            </w:pPr>
            <w:r w:rsidRPr="00056EA0">
              <w:rPr>
                <w:color w:val="000000" w:themeColor="text1"/>
                <w:sz w:val="20"/>
                <w:szCs w:val="20"/>
              </w:rPr>
              <w:t>0</w:t>
            </w:r>
          </w:p>
        </w:tc>
        <w:tc>
          <w:tcPr>
            <w:tcW w:w="794" w:type="dxa"/>
            <w:tcBorders>
              <w:top w:val="single" w:sz="8" w:space="0" w:color="auto"/>
            </w:tcBorders>
            <w:shd w:val="clear" w:color="auto" w:fill="DDDDDD"/>
          </w:tcPr>
          <w:p w14:paraId="6E493620" w14:textId="77777777" w:rsidR="00462FD0" w:rsidRDefault="00462FD0" w:rsidP="00C022D8">
            <w:pPr>
              <w:jc w:val="center"/>
              <w:rPr>
                <w:sz w:val="20"/>
                <w:szCs w:val="20"/>
              </w:rPr>
            </w:pPr>
            <w:r>
              <w:rPr>
                <w:sz w:val="20"/>
                <w:szCs w:val="20"/>
              </w:rPr>
              <w:t>0</w:t>
            </w:r>
          </w:p>
        </w:tc>
        <w:tc>
          <w:tcPr>
            <w:tcW w:w="794" w:type="dxa"/>
            <w:tcBorders>
              <w:top w:val="single" w:sz="8" w:space="0" w:color="auto"/>
            </w:tcBorders>
            <w:shd w:val="clear" w:color="auto" w:fill="DDDDDD"/>
          </w:tcPr>
          <w:p w14:paraId="09AE5321" w14:textId="77777777" w:rsidR="00462FD0" w:rsidRPr="00BE1F15" w:rsidRDefault="00462FD0" w:rsidP="00C022D8">
            <w:pPr>
              <w:jc w:val="center"/>
              <w:rPr>
                <w:color w:val="000000" w:themeColor="text1"/>
                <w:sz w:val="20"/>
                <w:szCs w:val="20"/>
              </w:rPr>
            </w:pPr>
            <w:r w:rsidRPr="00BE1F15">
              <w:rPr>
                <w:color w:val="000000" w:themeColor="text1"/>
                <w:sz w:val="20"/>
                <w:szCs w:val="20"/>
              </w:rPr>
              <w:t>0</w:t>
            </w:r>
          </w:p>
        </w:tc>
        <w:tc>
          <w:tcPr>
            <w:tcW w:w="794" w:type="dxa"/>
            <w:tcBorders>
              <w:top w:val="single" w:sz="8" w:space="0" w:color="auto"/>
              <w:right w:val="single" w:sz="8" w:space="0" w:color="auto"/>
            </w:tcBorders>
            <w:shd w:val="clear" w:color="auto" w:fill="DDDDDD"/>
          </w:tcPr>
          <w:p w14:paraId="7FB7C2DF" w14:textId="77777777" w:rsidR="00462FD0" w:rsidRPr="00BE1F15" w:rsidRDefault="00462FD0" w:rsidP="00C022D8">
            <w:pPr>
              <w:jc w:val="center"/>
              <w:rPr>
                <w:color w:val="000000" w:themeColor="text1"/>
                <w:sz w:val="20"/>
                <w:szCs w:val="20"/>
              </w:rPr>
            </w:pPr>
            <w:r w:rsidRPr="00BE1F15">
              <w:rPr>
                <w:color w:val="000000" w:themeColor="text1"/>
                <w:sz w:val="20"/>
                <w:szCs w:val="20"/>
              </w:rPr>
              <w:t>0</w:t>
            </w:r>
          </w:p>
        </w:tc>
      </w:tr>
      <w:tr w:rsidR="00462FD0" w14:paraId="0A1DB5F8" w14:textId="77777777" w:rsidTr="00C022D8">
        <w:trPr>
          <w:jc w:val="center"/>
        </w:trPr>
        <w:tc>
          <w:tcPr>
            <w:tcW w:w="2494" w:type="dxa"/>
            <w:tcBorders>
              <w:left w:val="single" w:sz="8" w:space="0" w:color="auto"/>
              <w:bottom w:val="single" w:sz="4" w:space="0" w:color="auto"/>
            </w:tcBorders>
            <w:shd w:val="clear" w:color="auto" w:fill="DDDDDD"/>
          </w:tcPr>
          <w:p w14:paraId="0BABFF75" w14:textId="77777777" w:rsidR="00462FD0" w:rsidRDefault="00462FD0" w:rsidP="00C022D8">
            <w:pPr>
              <w:jc w:val="center"/>
              <w:rPr>
                <w:sz w:val="20"/>
                <w:szCs w:val="20"/>
              </w:rPr>
            </w:pPr>
            <w:r w:rsidRPr="00B155C1">
              <w:rPr>
                <w:color w:val="FF0000"/>
                <w:sz w:val="20"/>
                <w:szCs w:val="20"/>
              </w:rPr>
              <w:t>Undertaking</w:t>
            </w:r>
          </w:p>
        </w:tc>
        <w:tc>
          <w:tcPr>
            <w:tcW w:w="794" w:type="dxa"/>
            <w:tcBorders>
              <w:bottom w:val="single" w:sz="4" w:space="0" w:color="auto"/>
            </w:tcBorders>
          </w:tcPr>
          <w:p w14:paraId="6073D7B6" w14:textId="77777777" w:rsidR="00462FD0" w:rsidRDefault="00462FD0" w:rsidP="00C022D8">
            <w:pPr>
              <w:jc w:val="center"/>
              <w:rPr>
                <w:sz w:val="20"/>
                <w:szCs w:val="20"/>
              </w:rPr>
            </w:pPr>
            <w:r>
              <w:rPr>
                <w:sz w:val="20"/>
                <w:szCs w:val="20"/>
              </w:rPr>
              <w:t>0</w:t>
            </w:r>
          </w:p>
        </w:tc>
        <w:tc>
          <w:tcPr>
            <w:tcW w:w="794" w:type="dxa"/>
            <w:tcBorders>
              <w:bottom w:val="single" w:sz="4" w:space="0" w:color="auto"/>
            </w:tcBorders>
          </w:tcPr>
          <w:p w14:paraId="57274166" w14:textId="77777777" w:rsidR="00462FD0" w:rsidRDefault="00462FD0" w:rsidP="00C022D8">
            <w:pPr>
              <w:jc w:val="center"/>
              <w:rPr>
                <w:sz w:val="20"/>
                <w:szCs w:val="20"/>
              </w:rPr>
            </w:pPr>
            <w:r w:rsidRPr="00BE1F15">
              <w:rPr>
                <w:color w:val="000000" w:themeColor="text1"/>
                <w:sz w:val="20"/>
                <w:szCs w:val="20"/>
              </w:rPr>
              <w:t>0</w:t>
            </w:r>
          </w:p>
        </w:tc>
        <w:tc>
          <w:tcPr>
            <w:tcW w:w="794" w:type="dxa"/>
            <w:tcBorders>
              <w:bottom w:val="single" w:sz="4" w:space="0" w:color="auto"/>
            </w:tcBorders>
          </w:tcPr>
          <w:p w14:paraId="1804CF8E" w14:textId="77777777" w:rsidR="00462FD0" w:rsidRDefault="00462FD0" w:rsidP="00C022D8">
            <w:pPr>
              <w:jc w:val="center"/>
              <w:rPr>
                <w:sz w:val="20"/>
                <w:szCs w:val="20"/>
              </w:rPr>
            </w:pPr>
            <w:r>
              <w:rPr>
                <w:color w:val="FF0000"/>
                <w:sz w:val="20"/>
                <w:szCs w:val="20"/>
              </w:rPr>
              <w:t>1</w:t>
            </w:r>
          </w:p>
        </w:tc>
        <w:tc>
          <w:tcPr>
            <w:tcW w:w="794" w:type="dxa"/>
            <w:tcBorders>
              <w:bottom w:val="single" w:sz="4" w:space="0" w:color="auto"/>
              <w:right w:val="single" w:sz="8" w:space="0" w:color="auto"/>
            </w:tcBorders>
          </w:tcPr>
          <w:p w14:paraId="0B9B4AD6" w14:textId="77777777" w:rsidR="00462FD0" w:rsidRDefault="00462FD0" w:rsidP="00C022D8">
            <w:pPr>
              <w:jc w:val="center"/>
              <w:rPr>
                <w:sz w:val="20"/>
                <w:szCs w:val="20"/>
              </w:rPr>
            </w:pPr>
            <w:r>
              <w:rPr>
                <w:color w:val="FF0000"/>
                <w:sz w:val="20"/>
                <w:szCs w:val="20"/>
              </w:rPr>
              <w:t>2</w:t>
            </w:r>
          </w:p>
        </w:tc>
        <w:tc>
          <w:tcPr>
            <w:tcW w:w="850" w:type="dxa"/>
            <w:tcBorders>
              <w:left w:val="single" w:sz="8" w:space="0" w:color="auto"/>
              <w:bottom w:val="single" w:sz="4" w:space="0" w:color="auto"/>
            </w:tcBorders>
            <w:shd w:val="clear" w:color="auto" w:fill="DDDDDD"/>
          </w:tcPr>
          <w:p w14:paraId="5F92BBD2"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1B3C5D74"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75D9EFC6" w14:textId="77777777" w:rsidR="00462FD0" w:rsidRPr="00056EA0" w:rsidRDefault="00462FD0" w:rsidP="00C022D8">
            <w:pPr>
              <w:jc w:val="center"/>
              <w:rPr>
                <w:color w:val="000000" w:themeColor="text1"/>
                <w:sz w:val="20"/>
                <w:szCs w:val="20"/>
              </w:rPr>
            </w:pPr>
            <w:r>
              <w:rPr>
                <w:color w:val="000000" w:themeColor="text1"/>
                <w:sz w:val="20"/>
                <w:szCs w:val="20"/>
              </w:rPr>
              <w:t>0</w:t>
            </w:r>
          </w:p>
        </w:tc>
        <w:tc>
          <w:tcPr>
            <w:tcW w:w="794" w:type="dxa"/>
            <w:tcBorders>
              <w:bottom w:val="single" w:sz="4" w:space="0" w:color="auto"/>
              <w:right w:val="single" w:sz="8" w:space="0" w:color="auto"/>
            </w:tcBorders>
            <w:shd w:val="clear" w:color="auto" w:fill="DDDDDD"/>
          </w:tcPr>
          <w:p w14:paraId="44D06774" w14:textId="77777777" w:rsidR="00462FD0" w:rsidRPr="00056EA0" w:rsidRDefault="00462FD0" w:rsidP="00C022D8">
            <w:pPr>
              <w:jc w:val="center"/>
              <w:rPr>
                <w:color w:val="000000" w:themeColor="text1"/>
                <w:sz w:val="20"/>
                <w:szCs w:val="20"/>
              </w:rPr>
            </w:pPr>
            <w:r w:rsidRPr="00BE1F15">
              <w:rPr>
                <w:color w:val="FF0000"/>
                <w:sz w:val="20"/>
                <w:szCs w:val="20"/>
              </w:rPr>
              <w:t>2</w:t>
            </w:r>
          </w:p>
        </w:tc>
      </w:tr>
      <w:tr w:rsidR="00462FD0" w14:paraId="5A729203" w14:textId="77777777" w:rsidTr="00C022D8">
        <w:trPr>
          <w:jc w:val="center"/>
        </w:trPr>
        <w:tc>
          <w:tcPr>
            <w:tcW w:w="2494" w:type="dxa"/>
            <w:tcBorders>
              <w:left w:val="single" w:sz="8" w:space="0" w:color="auto"/>
            </w:tcBorders>
            <w:shd w:val="clear" w:color="auto" w:fill="DDDDDD"/>
          </w:tcPr>
          <w:p w14:paraId="30DAA2FE" w14:textId="77777777" w:rsidR="00462FD0" w:rsidRDefault="00462FD0" w:rsidP="00C022D8">
            <w:pPr>
              <w:jc w:val="center"/>
              <w:rPr>
                <w:sz w:val="20"/>
                <w:szCs w:val="20"/>
              </w:rPr>
            </w:pPr>
            <w:r w:rsidRPr="00B155C1">
              <w:rPr>
                <w:color w:val="FF0000"/>
                <w:sz w:val="20"/>
                <w:szCs w:val="20"/>
              </w:rPr>
              <w:t>Good behaviour bond</w:t>
            </w:r>
          </w:p>
        </w:tc>
        <w:tc>
          <w:tcPr>
            <w:tcW w:w="794" w:type="dxa"/>
          </w:tcPr>
          <w:p w14:paraId="4EABB115" w14:textId="77777777" w:rsidR="00462FD0" w:rsidRDefault="00462FD0" w:rsidP="00C022D8">
            <w:pPr>
              <w:jc w:val="center"/>
              <w:rPr>
                <w:sz w:val="20"/>
                <w:szCs w:val="20"/>
              </w:rPr>
            </w:pPr>
            <w:r>
              <w:rPr>
                <w:sz w:val="20"/>
                <w:szCs w:val="20"/>
              </w:rPr>
              <w:t>0</w:t>
            </w:r>
          </w:p>
        </w:tc>
        <w:tc>
          <w:tcPr>
            <w:tcW w:w="794" w:type="dxa"/>
          </w:tcPr>
          <w:p w14:paraId="2BB53F0F" w14:textId="77777777" w:rsidR="00462FD0" w:rsidRDefault="00462FD0" w:rsidP="00C022D8">
            <w:pPr>
              <w:jc w:val="center"/>
              <w:rPr>
                <w:sz w:val="20"/>
                <w:szCs w:val="20"/>
              </w:rPr>
            </w:pPr>
            <w:r w:rsidRPr="00BE1F15">
              <w:rPr>
                <w:color w:val="FF0000"/>
                <w:sz w:val="20"/>
                <w:szCs w:val="20"/>
              </w:rPr>
              <w:t>1</w:t>
            </w:r>
          </w:p>
        </w:tc>
        <w:tc>
          <w:tcPr>
            <w:tcW w:w="794" w:type="dxa"/>
          </w:tcPr>
          <w:p w14:paraId="6340E06A" w14:textId="77777777" w:rsidR="00462FD0" w:rsidRDefault="00462FD0" w:rsidP="00C022D8">
            <w:pPr>
              <w:jc w:val="center"/>
              <w:rPr>
                <w:sz w:val="20"/>
                <w:szCs w:val="20"/>
              </w:rPr>
            </w:pPr>
            <w:r>
              <w:rPr>
                <w:color w:val="FF0000"/>
                <w:sz w:val="20"/>
                <w:szCs w:val="20"/>
              </w:rPr>
              <w:t>6</w:t>
            </w:r>
          </w:p>
        </w:tc>
        <w:tc>
          <w:tcPr>
            <w:tcW w:w="794" w:type="dxa"/>
            <w:tcBorders>
              <w:right w:val="single" w:sz="8" w:space="0" w:color="auto"/>
            </w:tcBorders>
          </w:tcPr>
          <w:p w14:paraId="4AEE24AA" w14:textId="77777777" w:rsidR="00462FD0" w:rsidRDefault="00462FD0" w:rsidP="00C022D8">
            <w:pPr>
              <w:jc w:val="center"/>
              <w:rPr>
                <w:sz w:val="20"/>
                <w:szCs w:val="20"/>
              </w:rPr>
            </w:pPr>
            <w:r>
              <w:rPr>
                <w:color w:val="FF0000"/>
                <w:sz w:val="20"/>
                <w:szCs w:val="20"/>
              </w:rPr>
              <w:t>12</w:t>
            </w:r>
          </w:p>
        </w:tc>
        <w:tc>
          <w:tcPr>
            <w:tcW w:w="850" w:type="dxa"/>
            <w:tcBorders>
              <w:left w:val="single" w:sz="8" w:space="0" w:color="auto"/>
            </w:tcBorders>
            <w:shd w:val="clear" w:color="auto" w:fill="DDDDDD"/>
          </w:tcPr>
          <w:p w14:paraId="2D0165A6" w14:textId="77777777" w:rsidR="00462FD0" w:rsidRDefault="00462FD0" w:rsidP="00C022D8">
            <w:pPr>
              <w:jc w:val="center"/>
              <w:rPr>
                <w:sz w:val="20"/>
                <w:szCs w:val="20"/>
              </w:rPr>
            </w:pPr>
            <w:r>
              <w:rPr>
                <w:sz w:val="20"/>
                <w:szCs w:val="20"/>
              </w:rPr>
              <w:t>0</w:t>
            </w:r>
          </w:p>
        </w:tc>
        <w:tc>
          <w:tcPr>
            <w:tcW w:w="794" w:type="dxa"/>
            <w:shd w:val="clear" w:color="auto" w:fill="DDDDDD"/>
          </w:tcPr>
          <w:p w14:paraId="29A56D9E" w14:textId="77777777" w:rsidR="00462FD0" w:rsidRDefault="00462FD0" w:rsidP="00C022D8">
            <w:pPr>
              <w:jc w:val="center"/>
              <w:rPr>
                <w:sz w:val="20"/>
                <w:szCs w:val="20"/>
              </w:rPr>
            </w:pPr>
            <w:r w:rsidRPr="00056EA0">
              <w:rPr>
                <w:color w:val="FF0000"/>
                <w:sz w:val="20"/>
                <w:szCs w:val="20"/>
              </w:rPr>
              <w:t>1</w:t>
            </w:r>
          </w:p>
        </w:tc>
        <w:tc>
          <w:tcPr>
            <w:tcW w:w="794" w:type="dxa"/>
            <w:shd w:val="clear" w:color="auto" w:fill="DDDDDD"/>
          </w:tcPr>
          <w:p w14:paraId="4A6B17D8" w14:textId="77777777" w:rsidR="00462FD0" w:rsidRDefault="00462FD0" w:rsidP="00C022D8">
            <w:pPr>
              <w:jc w:val="center"/>
              <w:rPr>
                <w:sz w:val="20"/>
                <w:szCs w:val="20"/>
              </w:rPr>
            </w:pPr>
            <w:r>
              <w:rPr>
                <w:color w:val="FF0000"/>
                <w:sz w:val="20"/>
                <w:szCs w:val="20"/>
              </w:rPr>
              <w:t>3</w:t>
            </w:r>
          </w:p>
        </w:tc>
        <w:tc>
          <w:tcPr>
            <w:tcW w:w="794" w:type="dxa"/>
            <w:tcBorders>
              <w:right w:val="single" w:sz="8" w:space="0" w:color="auto"/>
            </w:tcBorders>
            <w:shd w:val="clear" w:color="auto" w:fill="DDDDDD"/>
          </w:tcPr>
          <w:p w14:paraId="097EA452" w14:textId="77777777" w:rsidR="00462FD0" w:rsidRDefault="00462FD0" w:rsidP="00C022D8">
            <w:pPr>
              <w:jc w:val="center"/>
              <w:rPr>
                <w:sz w:val="20"/>
                <w:szCs w:val="20"/>
              </w:rPr>
            </w:pPr>
            <w:r>
              <w:rPr>
                <w:color w:val="FF0000"/>
                <w:sz w:val="20"/>
                <w:szCs w:val="20"/>
              </w:rPr>
              <w:t>22</w:t>
            </w:r>
          </w:p>
        </w:tc>
      </w:tr>
      <w:tr w:rsidR="00462FD0" w14:paraId="5EDEBBB2" w14:textId="77777777" w:rsidTr="00C022D8">
        <w:trPr>
          <w:jc w:val="center"/>
        </w:trPr>
        <w:tc>
          <w:tcPr>
            <w:tcW w:w="2494" w:type="dxa"/>
            <w:tcBorders>
              <w:left w:val="single" w:sz="8" w:space="0" w:color="auto"/>
            </w:tcBorders>
            <w:shd w:val="clear" w:color="auto" w:fill="DDDDDD"/>
          </w:tcPr>
          <w:p w14:paraId="78586E14" w14:textId="77777777" w:rsidR="00462FD0" w:rsidRDefault="00462FD0" w:rsidP="00C022D8">
            <w:pPr>
              <w:jc w:val="center"/>
              <w:rPr>
                <w:sz w:val="20"/>
                <w:szCs w:val="20"/>
              </w:rPr>
            </w:pPr>
            <w:r w:rsidRPr="00B155C1">
              <w:rPr>
                <w:color w:val="FF0000"/>
                <w:sz w:val="20"/>
                <w:szCs w:val="20"/>
              </w:rPr>
              <w:t>Fine</w:t>
            </w:r>
          </w:p>
        </w:tc>
        <w:tc>
          <w:tcPr>
            <w:tcW w:w="794" w:type="dxa"/>
          </w:tcPr>
          <w:p w14:paraId="7383F22B" w14:textId="77777777" w:rsidR="00462FD0" w:rsidRDefault="00462FD0" w:rsidP="00C022D8">
            <w:pPr>
              <w:jc w:val="center"/>
              <w:rPr>
                <w:sz w:val="20"/>
                <w:szCs w:val="20"/>
              </w:rPr>
            </w:pPr>
            <w:r>
              <w:rPr>
                <w:sz w:val="20"/>
                <w:szCs w:val="20"/>
              </w:rPr>
              <w:t>0</w:t>
            </w:r>
          </w:p>
        </w:tc>
        <w:tc>
          <w:tcPr>
            <w:tcW w:w="794" w:type="dxa"/>
          </w:tcPr>
          <w:p w14:paraId="27EE5408" w14:textId="77777777" w:rsidR="00462FD0" w:rsidRDefault="00462FD0" w:rsidP="00C022D8">
            <w:pPr>
              <w:jc w:val="center"/>
              <w:rPr>
                <w:sz w:val="20"/>
                <w:szCs w:val="20"/>
              </w:rPr>
            </w:pPr>
            <w:r>
              <w:rPr>
                <w:sz w:val="20"/>
                <w:szCs w:val="20"/>
              </w:rPr>
              <w:t>0</w:t>
            </w:r>
          </w:p>
        </w:tc>
        <w:tc>
          <w:tcPr>
            <w:tcW w:w="794" w:type="dxa"/>
          </w:tcPr>
          <w:p w14:paraId="7D1A8CD8" w14:textId="77777777" w:rsidR="00462FD0" w:rsidRDefault="00462FD0" w:rsidP="00C022D8">
            <w:pPr>
              <w:jc w:val="center"/>
              <w:rPr>
                <w:sz w:val="20"/>
                <w:szCs w:val="20"/>
              </w:rPr>
            </w:pPr>
            <w:r>
              <w:rPr>
                <w:sz w:val="20"/>
                <w:szCs w:val="20"/>
              </w:rPr>
              <w:t>0</w:t>
            </w:r>
          </w:p>
        </w:tc>
        <w:tc>
          <w:tcPr>
            <w:tcW w:w="794" w:type="dxa"/>
            <w:tcBorders>
              <w:right w:val="single" w:sz="8" w:space="0" w:color="auto"/>
            </w:tcBorders>
          </w:tcPr>
          <w:p w14:paraId="7E9A47C8" w14:textId="77777777" w:rsidR="00462FD0" w:rsidRDefault="00462FD0" w:rsidP="00C022D8">
            <w:pPr>
              <w:jc w:val="center"/>
              <w:rPr>
                <w:sz w:val="20"/>
                <w:szCs w:val="20"/>
              </w:rPr>
            </w:pPr>
            <w:r w:rsidRPr="00BE1F15">
              <w:rPr>
                <w:color w:val="FF0000"/>
                <w:sz w:val="20"/>
                <w:szCs w:val="20"/>
              </w:rPr>
              <w:t>1</w:t>
            </w:r>
          </w:p>
        </w:tc>
        <w:tc>
          <w:tcPr>
            <w:tcW w:w="850" w:type="dxa"/>
            <w:tcBorders>
              <w:left w:val="single" w:sz="8" w:space="0" w:color="auto"/>
            </w:tcBorders>
            <w:shd w:val="clear" w:color="auto" w:fill="DDDDDD"/>
          </w:tcPr>
          <w:p w14:paraId="7FC0B3AC" w14:textId="77777777" w:rsidR="00462FD0" w:rsidRDefault="00462FD0" w:rsidP="00C022D8">
            <w:pPr>
              <w:jc w:val="center"/>
              <w:rPr>
                <w:sz w:val="20"/>
                <w:szCs w:val="20"/>
              </w:rPr>
            </w:pPr>
            <w:r>
              <w:rPr>
                <w:sz w:val="20"/>
                <w:szCs w:val="20"/>
              </w:rPr>
              <w:t>0</w:t>
            </w:r>
          </w:p>
        </w:tc>
        <w:tc>
          <w:tcPr>
            <w:tcW w:w="794" w:type="dxa"/>
            <w:shd w:val="clear" w:color="auto" w:fill="DDDDDD"/>
          </w:tcPr>
          <w:p w14:paraId="1EB9BC9B" w14:textId="77777777" w:rsidR="00462FD0" w:rsidRDefault="00462FD0" w:rsidP="00C022D8">
            <w:pPr>
              <w:jc w:val="center"/>
              <w:rPr>
                <w:sz w:val="20"/>
                <w:szCs w:val="20"/>
              </w:rPr>
            </w:pPr>
            <w:r>
              <w:rPr>
                <w:sz w:val="20"/>
                <w:szCs w:val="20"/>
              </w:rPr>
              <w:t>0</w:t>
            </w:r>
          </w:p>
        </w:tc>
        <w:tc>
          <w:tcPr>
            <w:tcW w:w="794" w:type="dxa"/>
            <w:shd w:val="clear" w:color="auto" w:fill="DDDDDD"/>
          </w:tcPr>
          <w:p w14:paraId="5685482B" w14:textId="77777777" w:rsidR="00462FD0" w:rsidRDefault="00462FD0" w:rsidP="00C022D8">
            <w:pPr>
              <w:jc w:val="center"/>
              <w:rPr>
                <w:sz w:val="20"/>
                <w:szCs w:val="20"/>
              </w:rPr>
            </w:pPr>
            <w:r>
              <w:rPr>
                <w:sz w:val="20"/>
                <w:szCs w:val="20"/>
              </w:rPr>
              <w:t>0</w:t>
            </w:r>
          </w:p>
        </w:tc>
        <w:tc>
          <w:tcPr>
            <w:tcW w:w="794" w:type="dxa"/>
            <w:tcBorders>
              <w:right w:val="single" w:sz="8" w:space="0" w:color="auto"/>
            </w:tcBorders>
            <w:shd w:val="clear" w:color="auto" w:fill="DDDDDD"/>
          </w:tcPr>
          <w:p w14:paraId="522E8CDC" w14:textId="77777777" w:rsidR="00462FD0" w:rsidRDefault="00462FD0" w:rsidP="00C022D8">
            <w:pPr>
              <w:jc w:val="center"/>
              <w:rPr>
                <w:sz w:val="20"/>
                <w:szCs w:val="20"/>
              </w:rPr>
            </w:pPr>
            <w:r w:rsidRPr="00056EA0">
              <w:rPr>
                <w:color w:val="000000" w:themeColor="text1"/>
                <w:sz w:val="20"/>
                <w:szCs w:val="20"/>
              </w:rPr>
              <w:t>0</w:t>
            </w:r>
          </w:p>
        </w:tc>
      </w:tr>
      <w:tr w:rsidR="00462FD0" w14:paraId="2294EDED" w14:textId="77777777" w:rsidTr="00C022D8">
        <w:trPr>
          <w:jc w:val="center"/>
        </w:trPr>
        <w:tc>
          <w:tcPr>
            <w:tcW w:w="2494" w:type="dxa"/>
            <w:tcBorders>
              <w:left w:val="single" w:sz="8" w:space="0" w:color="auto"/>
              <w:bottom w:val="single" w:sz="4" w:space="0" w:color="auto"/>
            </w:tcBorders>
            <w:shd w:val="clear" w:color="auto" w:fill="DDDDDD"/>
          </w:tcPr>
          <w:p w14:paraId="21D38B76" w14:textId="77777777" w:rsidR="00462FD0" w:rsidRDefault="00462FD0" w:rsidP="00C022D8">
            <w:pPr>
              <w:jc w:val="center"/>
              <w:rPr>
                <w:sz w:val="20"/>
                <w:szCs w:val="20"/>
              </w:rPr>
            </w:pPr>
            <w:r w:rsidRPr="00B155C1">
              <w:rPr>
                <w:color w:val="FF0000"/>
                <w:sz w:val="20"/>
                <w:szCs w:val="20"/>
              </w:rPr>
              <w:t>Probation</w:t>
            </w:r>
          </w:p>
        </w:tc>
        <w:tc>
          <w:tcPr>
            <w:tcW w:w="794" w:type="dxa"/>
            <w:tcBorders>
              <w:bottom w:val="single" w:sz="4" w:space="0" w:color="auto"/>
            </w:tcBorders>
          </w:tcPr>
          <w:p w14:paraId="4B99E1A4" w14:textId="77777777" w:rsidR="00462FD0" w:rsidRDefault="00462FD0" w:rsidP="00C022D8">
            <w:pPr>
              <w:jc w:val="center"/>
              <w:rPr>
                <w:sz w:val="20"/>
                <w:szCs w:val="20"/>
              </w:rPr>
            </w:pPr>
            <w:r>
              <w:rPr>
                <w:sz w:val="20"/>
                <w:szCs w:val="20"/>
              </w:rPr>
              <w:t>0</w:t>
            </w:r>
          </w:p>
        </w:tc>
        <w:tc>
          <w:tcPr>
            <w:tcW w:w="794" w:type="dxa"/>
            <w:tcBorders>
              <w:bottom w:val="single" w:sz="4" w:space="0" w:color="auto"/>
            </w:tcBorders>
          </w:tcPr>
          <w:p w14:paraId="69723E1F" w14:textId="77777777" w:rsidR="00462FD0" w:rsidRDefault="00462FD0" w:rsidP="00C022D8">
            <w:pPr>
              <w:jc w:val="center"/>
              <w:rPr>
                <w:sz w:val="20"/>
                <w:szCs w:val="20"/>
              </w:rPr>
            </w:pPr>
            <w:r w:rsidRPr="00BE1F15">
              <w:rPr>
                <w:color w:val="000000" w:themeColor="text1"/>
                <w:sz w:val="20"/>
                <w:szCs w:val="20"/>
              </w:rPr>
              <w:t>0</w:t>
            </w:r>
          </w:p>
        </w:tc>
        <w:tc>
          <w:tcPr>
            <w:tcW w:w="794" w:type="dxa"/>
            <w:tcBorders>
              <w:bottom w:val="single" w:sz="4" w:space="0" w:color="auto"/>
            </w:tcBorders>
          </w:tcPr>
          <w:p w14:paraId="5EC61A87" w14:textId="77777777" w:rsidR="00462FD0" w:rsidRDefault="00462FD0" w:rsidP="00C022D8">
            <w:pPr>
              <w:jc w:val="center"/>
              <w:rPr>
                <w:sz w:val="20"/>
                <w:szCs w:val="20"/>
              </w:rPr>
            </w:pPr>
            <w:r>
              <w:rPr>
                <w:color w:val="FF0000"/>
                <w:sz w:val="20"/>
                <w:szCs w:val="20"/>
              </w:rPr>
              <w:t>1</w:t>
            </w:r>
          </w:p>
        </w:tc>
        <w:tc>
          <w:tcPr>
            <w:tcW w:w="794" w:type="dxa"/>
            <w:tcBorders>
              <w:bottom w:val="single" w:sz="4" w:space="0" w:color="auto"/>
              <w:right w:val="single" w:sz="8" w:space="0" w:color="auto"/>
            </w:tcBorders>
          </w:tcPr>
          <w:p w14:paraId="70F4A321" w14:textId="77777777" w:rsidR="00462FD0" w:rsidRDefault="00462FD0" w:rsidP="00C022D8">
            <w:pPr>
              <w:jc w:val="center"/>
              <w:rPr>
                <w:sz w:val="20"/>
                <w:szCs w:val="20"/>
              </w:rPr>
            </w:pPr>
            <w:r>
              <w:rPr>
                <w:color w:val="FF0000"/>
                <w:sz w:val="20"/>
                <w:szCs w:val="20"/>
              </w:rPr>
              <w:t>10</w:t>
            </w:r>
          </w:p>
        </w:tc>
        <w:tc>
          <w:tcPr>
            <w:tcW w:w="850" w:type="dxa"/>
            <w:tcBorders>
              <w:left w:val="single" w:sz="8" w:space="0" w:color="auto"/>
              <w:bottom w:val="single" w:sz="4" w:space="0" w:color="auto"/>
            </w:tcBorders>
            <w:shd w:val="clear" w:color="auto" w:fill="DDDDDD"/>
          </w:tcPr>
          <w:p w14:paraId="74230D04" w14:textId="77777777" w:rsidR="00462FD0" w:rsidRDefault="00462FD0" w:rsidP="00C022D8">
            <w:pPr>
              <w:jc w:val="center"/>
              <w:rPr>
                <w:sz w:val="20"/>
                <w:szCs w:val="20"/>
              </w:rPr>
            </w:pPr>
            <w:r w:rsidRPr="00056EA0">
              <w:rPr>
                <w:color w:val="000000" w:themeColor="text1"/>
                <w:sz w:val="20"/>
                <w:szCs w:val="20"/>
              </w:rPr>
              <w:t>0</w:t>
            </w:r>
          </w:p>
        </w:tc>
        <w:tc>
          <w:tcPr>
            <w:tcW w:w="794" w:type="dxa"/>
            <w:tcBorders>
              <w:bottom w:val="single" w:sz="4" w:space="0" w:color="auto"/>
            </w:tcBorders>
            <w:shd w:val="clear" w:color="auto" w:fill="DDDDDD"/>
          </w:tcPr>
          <w:p w14:paraId="7FB73F2C" w14:textId="77777777" w:rsidR="00462FD0" w:rsidRDefault="00462FD0" w:rsidP="00C022D8">
            <w:pPr>
              <w:jc w:val="center"/>
              <w:rPr>
                <w:sz w:val="20"/>
                <w:szCs w:val="20"/>
              </w:rPr>
            </w:pPr>
            <w:r w:rsidRPr="00056EA0">
              <w:rPr>
                <w:color w:val="000000" w:themeColor="text1"/>
                <w:sz w:val="20"/>
                <w:szCs w:val="20"/>
              </w:rPr>
              <w:t>0</w:t>
            </w:r>
          </w:p>
        </w:tc>
        <w:tc>
          <w:tcPr>
            <w:tcW w:w="794" w:type="dxa"/>
            <w:tcBorders>
              <w:bottom w:val="single" w:sz="4" w:space="0" w:color="auto"/>
            </w:tcBorders>
            <w:shd w:val="clear" w:color="auto" w:fill="DDDDDD"/>
          </w:tcPr>
          <w:p w14:paraId="33FF6A67" w14:textId="77777777" w:rsidR="00462FD0" w:rsidRDefault="00462FD0" w:rsidP="00C022D8">
            <w:pPr>
              <w:jc w:val="center"/>
              <w:rPr>
                <w:sz w:val="20"/>
                <w:szCs w:val="20"/>
              </w:rPr>
            </w:pPr>
            <w:r>
              <w:rPr>
                <w:color w:val="FF0000"/>
                <w:sz w:val="20"/>
                <w:szCs w:val="20"/>
              </w:rPr>
              <w:t>7</w:t>
            </w:r>
          </w:p>
        </w:tc>
        <w:tc>
          <w:tcPr>
            <w:tcW w:w="794" w:type="dxa"/>
            <w:tcBorders>
              <w:bottom w:val="single" w:sz="4" w:space="0" w:color="auto"/>
              <w:right w:val="single" w:sz="8" w:space="0" w:color="auto"/>
            </w:tcBorders>
            <w:shd w:val="clear" w:color="auto" w:fill="DDDDDD"/>
          </w:tcPr>
          <w:p w14:paraId="68A1CF27" w14:textId="77777777" w:rsidR="00462FD0" w:rsidRDefault="00462FD0" w:rsidP="00C022D8">
            <w:pPr>
              <w:jc w:val="center"/>
              <w:rPr>
                <w:sz w:val="20"/>
                <w:szCs w:val="20"/>
              </w:rPr>
            </w:pPr>
            <w:r>
              <w:rPr>
                <w:color w:val="FF0000"/>
                <w:sz w:val="20"/>
                <w:szCs w:val="20"/>
              </w:rPr>
              <w:t>18</w:t>
            </w:r>
          </w:p>
        </w:tc>
      </w:tr>
      <w:tr w:rsidR="00462FD0" w14:paraId="01247E77" w14:textId="77777777" w:rsidTr="00C022D8">
        <w:trPr>
          <w:jc w:val="center"/>
        </w:trPr>
        <w:tc>
          <w:tcPr>
            <w:tcW w:w="2494" w:type="dxa"/>
            <w:tcBorders>
              <w:left w:val="single" w:sz="8" w:space="0" w:color="auto"/>
              <w:bottom w:val="single" w:sz="4" w:space="0" w:color="auto"/>
            </w:tcBorders>
            <w:shd w:val="clear" w:color="auto" w:fill="DDDDDD"/>
          </w:tcPr>
          <w:p w14:paraId="46786002" w14:textId="77777777" w:rsidR="00462FD0" w:rsidRPr="00B155C1" w:rsidRDefault="00462FD0" w:rsidP="00C022D8">
            <w:pPr>
              <w:jc w:val="center"/>
              <w:rPr>
                <w:color w:val="FF0000"/>
                <w:sz w:val="20"/>
                <w:szCs w:val="20"/>
              </w:rPr>
            </w:pPr>
            <w:r w:rsidRPr="00B155C1">
              <w:rPr>
                <w:color w:val="FF0000"/>
                <w:sz w:val="20"/>
                <w:szCs w:val="20"/>
              </w:rPr>
              <w:t>Youth Supervision Order</w:t>
            </w:r>
          </w:p>
        </w:tc>
        <w:tc>
          <w:tcPr>
            <w:tcW w:w="794" w:type="dxa"/>
            <w:tcBorders>
              <w:bottom w:val="single" w:sz="4" w:space="0" w:color="auto"/>
            </w:tcBorders>
          </w:tcPr>
          <w:p w14:paraId="13080E70" w14:textId="77777777" w:rsidR="00462FD0" w:rsidRDefault="00462FD0" w:rsidP="00C022D8">
            <w:pPr>
              <w:jc w:val="center"/>
              <w:rPr>
                <w:sz w:val="20"/>
                <w:szCs w:val="20"/>
              </w:rPr>
            </w:pPr>
            <w:r>
              <w:rPr>
                <w:sz w:val="20"/>
                <w:szCs w:val="20"/>
              </w:rPr>
              <w:t>0</w:t>
            </w:r>
          </w:p>
        </w:tc>
        <w:tc>
          <w:tcPr>
            <w:tcW w:w="794" w:type="dxa"/>
            <w:tcBorders>
              <w:bottom w:val="single" w:sz="4" w:space="0" w:color="auto"/>
            </w:tcBorders>
          </w:tcPr>
          <w:p w14:paraId="371E8CC5" w14:textId="77777777" w:rsidR="00462FD0" w:rsidRPr="0066576E" w:rsidRDefault="00462FD0" w:rsidP="00C022D8">
            <w:pPr>
              <w:jc w:val="center"/>
              <w:rPr>
                <w:color w:val="000000" w:themeColor="text1"/>
                <w:sz w:val="20"/>
                <w:szCs w:val="20"/>
              </w:rPr>
            </w:pPr>
            <w:r w:rsidRPr="0066576E">
              <w:rPr>
                <w:color w:val="000000" w:themeColor="text1"/>
                <w:sz w:val="20"/>
                <w:szCs w:val="20"/>
              </w:rPr>
              <w:t>0</w:t>
            </w:r>
          </w:p>
        </w:tc>
        <w:tc>
          <w:tcPr>
            <w:tcW w:w="794" w:type="dxa"/>
            <w:tcBorders>
              <w:bottom w:val="single" w:sz="4" w:space="0" w:color="auto"/>
            </w:tcBorders>
          </w:tcPr>
          <w:p w14:paraId="2A0B303E" w14:textId="77777777" w:rsidR="00462FD0" w:rsidRPr="00B155C1" w:rsidRDefault="00462FD0" w:rsidP="00C022D8">
            <w:pPr>
              <w:jc w:val="center"/>
              <w:rPr>
                <w:color w:val="FF0000"/>
                <w:sz w:val="20"/>
                <w:szCs w:val="20"/>
              </w:rPr>
            </w:pPr>
            <w:r>
              <w:rPr>
                <w:color w:val="FF0000"/>
                <w:sz w:val="20"/>
                <w:szCs w:val="20"/>
              </w:rPr>
              <w:t>2</w:t>
            </w:r>
          </w:p>
        </w:tc>
        <w:tc>
          <w:tcPr>
            <w:tcW w:w="794" w:type="dxa"/>
            <w:tcBorders>
              <w:bottom w:val="single" w:sz="4" w:space="0" w:color="auto"/>
              <w:right w:val="single" w:sz="8" w:space="0" w:color="auto"/>
            </w:tcBorders>
          </w:tcPr>
          <w:p w14:paraId="0A4689BA" w14:textId="77777777" w:rsidR="00462FD0" w:rsidRPr="00B155C1" w:rsidRDefault="00462FD0" w:rsidP="00C022D8">
            <w:pPr>
              <w:jc w:val="center"/>
              <w:rPr>
                <w:color w:val="FF0000"/>
                <w:sz w:val="20"/>
                <w:szCs w:val="20"/>
              </w:rPr>
            </w:pPr>
            <w:r>
              <w:rPr>
                <w:color w:val="FF0000"/>
                <w:sz w:val="20"/>
                <w:szCs w:val="20"/>
              </w:rPr>
              <w:t>8</w:t>
            </w:r>
          </w:p>
        </w:tc>
        <w:tc>
          <w:tcPr>
            <w:tcW w:w="850" w:type="dxa"/>
            <w:tcBorders>
              <w:left w:val="single" w:sz="8" w:space="0" w:color="auto"/>
              <w:bottom w:val="single" w:sz="4" w:space="0" w:color="auto"/>
            </w:tcBorders>
            <w:shd w:val="clear" w:color="auto" w:fill="DDDDDD"/>
          </w:tcPr>
          <w:p w14:paraId="4F1E57D2"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5A1BF66B"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7DC94C9F" w14:textId="77777777" w:rsidR="00462FD0" w:rsidRPr="00B155C1" w:rsidRDefault="00462FD0" w:rsidP="00C022D8">
            <w:pPr>
              <w:jc w:val="center"/>
              <w:rPr>
                <w:color w:val="FF0000"/>
                <w:sz w:val="20"/>
                <w:szCs w:val="20"/>
              </w:rPr>
            </w:pPr>
            <w:r>
              <w:rPr>
                <w:color w:val="FF0000"/>
                <w:sz w:val="20"/>
                <w:szCs w:val="20"/>
              </w:rPr>
              <w:t>1</w:t>
            </w:r>
          </w:p>
        </w:tc>
        <w:tc>
          <w:tcPr>
            <w:tcW w:w="794" w:type="dxa"/>
            <w:tcBorders>
              <w:bottom w:val="single" w:sz="4" w:space="0" w:color="auto"/>
              <w:right w:val="single" w:sz="8" w:space="0" w:color="auto"/>
            </w:tcBorders>
            <w:shd w:val="clear" w:color="auto" w:fill="DDDDDD"/>
          </w:tcPr>
          <w:p w14:paraId="2E8D633A" w14:textId="77777777" w:rsidR="00462FD0" w:rsidRPr="00B155C1" w:rsidRDefault="00462FD0" w:rsidP="00C022D8">
            <w:pPr>
              <w:jc w:val="center"/>
              <w:rPr>
                <w:color w:val="FF0000"/>
                <w:sz w:val="20"/>
                <w:szCs w:val="20"/>
              </w:rPr>
            </w:pPr>
            <w:r>
              <w:rPr>
                <w:color w:val="FF0000"/>
                <w:sz w:val="20"/>
                <w:szCs w:val="20"/>
              </w:rPr>
              <w:t>9</w:t>
            </w:r>
          </w:p>
        </w:tc>
      </w:tr>
      <w:tr w:rsidR="00462FD0" w14:paraId="09679481" w14:textId="77777777" w:rsidTr="00C022D8">
        <w:trPr>
          <w:jc w:val="center"/>
        </w:trPr>
        <w:tc>
          <w:tcPr>
            <w:tcW w:w="2494" w:type="dxa"/>
            <w:tcBorders>
              <w:left w:val="single" w:sz="8" w:space="0" w:color="auto"/>
              <w:bottom w:val="single" w:sz="4" w:space="0" w:color="auto"/>
            </w:tcBorders>
            <w:shd w:val="clear" w:color="auto" w:fill="DDDDDD"/>
          </w:tcPr>
          <w:p w14:paraId="70145F43" w14:textId="77777777" w:rsidR="00462FD0" w:rsidRPr="00B155C1" w:rsidRDefault="00462FD0" w:rsidP="00C022D8">
            <w:pPr>
              <w:jc w:val="center"/>
              <w:rPr>
                <w:color w:val="FF0000"/>
                <w:sz w:val="20"/>
                <w:szCs w:val="20"/>
              </w:rPr>
            </w:pPr>
            <w:r>
              <w:rPr>
                <w:color w:val="FF0000"/>
                <w:sz w:val="20"/>
                <w:szCs w:val="20"/>
              </w:rPr>
              <w:t>Youth Attendance Order</w:t>
            </w:r>
          </w:p>
        </w:tc>
        <w:tc>
          <w:tcPr>
            <w:tcW w:w="794" w:type="dxa"/>
            <w:tcBorders>
              <w:bottom w:val="single" w:sz="4" w:space="0" w:color="auto"/>
            </w:tcBorders>
          </w:tcPr>
          <w:p w14:paraId="58978AD8" w14:textId="77777777" w:rsidR="00462FD0" w:rsidRDefault="00462FD0" w:rsidP="00C022D8">
            <w:pPr>
              <w:jc w:val="center"/>
              <w:rPr>
                <w:sz w:val="20"/>
                <w:szCs w:val="20"/>
              </w:rPr>
            </w:pPr>
            <w:r>
              <w:rPr>
                <w:sz w:val="20"/>
                <w:szCs w:val="20"/>
              </w:rPr>
              <w:t>0</w:t>
            </w:r>
          </w:p>
        </w:tc>
        <w:tc>
          <w:tcPr>
            <w:tcW w:w="794" w:type="dxa"/>
            <w:tcBorders>
              <w:bottom w:val="single" w:sz="4" w:space="0" w:color="auto"/>
            </w:tcBorders>
          </w:tcPr>
          <w:p w14:paraId="48B66F70" w14:textId="77777777" w:rsidR="00462FD0" w:rsidRPr="0066576E" w:rsidRDefault="00462FD0" w:rsidP="00C022D8">
            <w:pPr>
              <w:jc w:val="center"/>
              <w:rPr>
                <w:color w:val="000000" w:themeColor="text1"/>
                <w:sz w:val="20"/>
                <w:szCs w:val="20"/>
              </w:rPr>
            </w:pPr>
            <w:r>
              <w:rPr>
                <w:color w:val="000000" w:themeColor="text1"/>
                <w:sz w:val="20"/>
                <w:szCs w:val="20"/>
              </w:rPr>
              <w:t>0</w:t>
            </w:r>
          </w:p>
        </w:tc>
        <w:tc>
          <w:tcPr>
            <w:tcW w:w="794" w:type="dxa"/>
            <w:tcBorders>
              <w:bottom w:val="single" w:sz="4" w:space="0" w:color="auto"/>
            </w:tcBorders>
          </w:tcPr>
          <w:p w14:paraId="19DDF5E7" w14:textId="77777777" w:rsidR="00462FD0" w:rsidRDefault="00462FD0" w:rsidP="00C022D8">
            <w:pPr>
              <w:jc w:val="center"/>
              <w:rPr>
                <w:color w:val="FF0000"/>
                <w:sz w:val="20"/>
                <w:szCs w:val="20"/>
              </w:rPr>
            </w:pPr>
            <w:r>
              <w:rPr>
                <w:color w:val="FF0000"/>
                <w:sz w:val="20"/>
                <w:szCs w:val="20"/>
              </w:rPr>
              <w:t>1</w:t>
            </w:r>
          </w:p>
        </w:tc>
        <w:tc>
          <w:tcPr>
            <w:tcW w:w="794" w:type="dxa"/>
            <w:tcBorders>
              <w:bottom w:val="single" w:sz="4" w:space="0" w:color="auto"/>
              <w:right w:val="single" w:sz="8" w:space="0" w:color="auto"/>
            </w:tcBorders>
          </w:tcPr>
          <w:p w14:paraId="732F6D11" w14:textId="77777777" w:rsidR="00462FD0" w:rsidRDefault="00462FD0" w:rsidP="00C022D8">
            <w:pPr>
              <w:jc w:val="center"/>
              <w:rPr>
                <w:color w:val="FF0000"/>
                <w:sz w:val="20"/>
                <w:szCs w:val="20"/>
              </w:rPr>
            </w:pPr>
            <w:r>
              <w:rPr>
                <w:color w:val="FF0000"/>
                <w:sz w:val="20"/>
                <w:szCs w:val="20"/>
              </w:rPr>
              <w:t>1</w:t>
            </w:r>
          </w:p>
        </w:tc>
        <w:tc>
          <w:tcPr>
            <w:tcW w:w="850" w:type="dxa"/>
            <w:tcBorders>
              <w:left w:val="single" w:sz="8" w:space="0" w:color="auto"/>
              <w:bottom w:val="single" w:sz="4" w:space="0" w:color="auto"/>
            </w:tcBorders>
            <w:shd w:val="clear" w:color="auto" w:fill="DDDDDD"/>
          </w:tcPr>
          <w:p w14:paraId="7D781052"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02171068"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49DD0793" w14:textId="77777777" w:rsidR="00462FD0" w:rsidRDefault="00462FD0" w:rsidP="00C022D8">
            <w:pPr>
              <w:jc w:val="center"/>
              <w:rPr>
                <w:color w:val="FF0000"/>
                <w:sz w:val="20"/>
                <w:szCs w:val="20"/>
              </w:rPr>
            </w:pPr>
            <w:r>
              <w:rPr>
                <w:color w:val="FF0000"/>
                <w:sz w:val="20"/>
                <w:szCs w:val="20"/>
              </w:rPr>
              <w:t>1</w:t>
            </w:r>
          </w:p>
        </w:tc>
        <w:tc>
          <w:tcPr>
            <w:tcW w:w="794" w:type="dxa"/>
            <w:tcBorders>
              <w:bottom w:val="single" w:sz="4" w:space="0" w:color="auto"/>
              <w:right w:val="single" w:sz="8" w:space="0" w:color="auto"/>
            </w:tcBorders>
            <w:shd w:val="clear" w:color="auto" w:fill="DDDDDD"/>
          </w:tcPr>
          <w:p w14:paraId="3F78692C" w14:textId="77777777" w:rsidR="00462FD0" w:rsidRPr="0066576E" w:rsidRDefault="00462FD0" w:rsidP="00C022D8">
            <w:pPr>
              <w:jc w:val="center"/>
              <w:rPr>
                <w:color w:val="000000" w:themeColor="text1"/>
                <w:sz w:val="20"/>
                <w:szCs w:val="20"/>
              </w:rPr>
            </w:pPr>
            <w:r w:rsidRPr="0066576E">
              <w:rPr>
                <w:color w:val="000000" w:themeColor="text1"/>
                <w:sz w:val="20"/>
                <w:szCs w:val="20"/>
              </w:rPr>
              <w:t>0</w:t>
            </w:r>
          </w:p>
        </w:tc>
      </w:tr>
      <w:tr w:rsidR="00462FD0" w14:paraId="2DBBB98C" w14:textId="77777777" w:rsidTr="00C022D8">
        <w:trPr>
          <w:jc w:val="center"/>
        </w:trPr>
        <w:tc>
          <w:tcPr>
            <w:tcW w:w="2494" w:type="dxa"/>
            <w:tcBorders>
              <w:left w:val="single" w:sz="8" w:space="0" w:color="auto"/>
              <w:bottom w:val="single" w:sz="4" w:space="0" w:color="auto"/>
            </w:tcBorders>
            <w:shd w:val="clear" w:color="auto" w:fill="DDDDDD"/>
          </w:tcPr>
          <w:p w14:paraId="65B8D255" w14:textId="77777777" w:rsidR="00462FD0" w:rsidRDefault="00462FD0" w:rsidP="00C022D8">
            <w:pPr>
              <w:jc w:val="center"/>
              <w:rPr>
                <w:sz w:val="20"/>
                <w:szCs w:val="20"/>
              </w:rPr>
            </w:pPr>
            <w:r w:rsidRPr="00B155C1">
              <w:rPr>
                <w:color w:val="FF0000"/>
                <w:sz w:val="20"/>
                <w:szCs w:val="20"/>
              </w:rPr>
              <w:t>Youth Detention</w:t>
            </w:r>
          </w:p>
        </w:tc>
        <w:tc>
          <w:tcPr>
            <w:tcW w:w="794" w:type="dxa"/>
            <w:tcBorders>
              <w:bottom w:val="single" w:sz="4" w:space="0" w:color="auto"/>
            </w:tcBorders>
          </w:tcPr>
          <w:p w14:paraId="7E69ECEE" w14:textId="77777777" w:rsidR="00462FD0" w:rsidRDefault="00462FD0" w:rsidP="00C022D8">
            <w:pPr>
              <w:jc w:val="center"/>
              <w:rPr>
                <w:sz w:val="20"/>
                <w:szCs w:val="20"/>
              </w:rPr>
            </w:pPr>
            <w:r>
              <w:rPr>
                <w:sz w:val="20"/>
                <w:szCs w:val="20"/>
              </w:rPr>
              <w:t>0</w:t>
            </w:r>
          </w:p>
        </w:tc>
        <w:tc>
          <w:tcPr>
            <w:tcW w:w="794" w:type="dxa"/>
            <w:tcBorders>
              <w:bottom w:val="single" w:sz="4" w:space="0" w:color="auto"/>
            </w:tcBorders>
          </w:tcPr>
          <w:p w14:paraId="40B34F70" w14:textId="77777777" w:rsidR="00462FD0" w:rsidRDefault="00462FD0" w:rsidP="00C022D8">
            <w:pPr>
              <w:jc w:val="center"/>
              <w:rPr>
                <w:sz w:val="20"/>
                <w:szCs w:val="20"/>
              </w:rPr>
            </w:pPr>
            <w:r>
              <w:rPr>
                <w:sz w:val="20"/>
                <w:szCs w:val="20"/>
              </w:rPr>
              <w:t>0</w:t>
            </w:r>
          </w:p>
        </w:tc>
        <w:tc>
          <w:tcPr>
            <w:tcW w:w="794" w:type="dxa"/>
            <w:tcBorders>
              <w:bottom w:val="single" w:sz="4" w:space="0" w:color="auto"/>
            </w:tcBorders>
          </w:tcPr>
          <w:p w14:paraId="39FB4199" w14:textId="77777777" w:rsidR="00462FD0" w:rsidRDefault="00462FD0" w:rsidP="00C022D8">
            <w:pPr>
              <w:jc w:val="center"/>
              <w:rPr>
                <w:sz w:val="20"/>
                <w:szCs w:val="20"/>
              </w:rPr>
            </w:pPr>
            <w:r w:rsidRPr="00BE1F15">
              <w:rPr>
                <w:color w:val="000000" w:themeColor="text1"/>
                <w:sz w:val="20"/>
                <w:szCs w:val="20"/>
              </w:rPr>
              <w:t>0</w:t>
            </w:r>
          </w:p>
        </w:tc>
        <w:tc>
          <w:tcPr>
            <w:tcW w:w="794" w:type="dxa"/>
            <w:tcBorders>
              <w:bottom w:val="single" w:sz="4" w:space="0" w:color="auto"/>
              <w:right w:val="single" w:sz="8" w:space="0" w:color="auto"/>
            </w:tcBorders>
          </w:tcPr>
          <w:p w14:paraId="7710501D" w14:textId="77777777" w:rsidR="00462FD0" w:rsidRDefault="00462FD0" w:rsidP="00C022D8">
            <w:pPr>
              <w:jc w:val="center"/>
              <w:rPr>
                <w:sz w:val="20"/>
                <w:szCs w:val="20"/>
              </w:rPr>
            </w:pPr>
            <w:r>
              <w:rPr>
                <w:color w:val="FF0000"/>
                <w:sz w:val="20"/>
                <w:szCs w:val="20"/>
              </w:rPr>
              <w:t>2</w:t>
            </w:r>
          </w:p>
        </w:tc>
        <w:tc>
          <w:tcPr>
            <w:tcW w:w="850" w:type="dxa"/>
            <w:tcBorders>
              <w:left w:val="single" w:sz="8" w:space="0" w:color="auto"/>
              <w:bottom w:val="single" w:sz="4" w:space="0" w:color="auto"/>
            </w:tcBorders>
            <w:shd w:val="clear" w:color="auto" w:fill="DDDDDD"/>
          </w:tcPr>
          <w:p w14:paraId="47DE57F4"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37E10960" w14:textId="77777777" w:rsidR="00462FD0" w:rsidRDefault="00462FD0" w:rsidP="00C022D8">
            <w:pPr>
              <w:jc w:val="center"/>
              <w:rPr>
                <w:sz w:val="20"/>
                <w:szCs w:val="20"/>
              </w:rPr>
            </w:pPr>
            <w:r>
              <w:rPr>
                <w:sz w:val="20"/>
                <w:szCs w:val="20"/>
              </w:rPr>
              <w:t>0</w:t>
            </w:r>
          </w:p>
        </w:tc>
        <w:tc>
          <w:tcPr>
            <w:tcW w:w="794" w:type="dxa"/>
            <w:tcBorders>
              <w:bottom w:val="single" w:sz="4" w:space="0" w:color="auto"/>
            </w:tcBorders>
            <w:shd w:val="clear" w:color="auto" w:fill="DDDDDD"/>
          </w:tcPr>
          <w:p w14:paraId="4F318AA1" w14:textId="77777777" w:rsidR="00462FD0" w:rsidRDefault="00462FD0" w:rsidP="00C022D8">
            <w:pPr>
              <w:jc w:val="center"/>
              <w:rPr>
                <w:sz w:val="20"/>
                <w:szCs w:val="20"/>
              </w:rPr>
            </w:pPr>
            <w:r>
              <w:rPr>
                <w:color w:val="FF0000"/>
                <w:sz w:val="20"/>
                <w:szCs w:val="20"/>
              </w:rPr>
              <w:t>0</w:t>
            </w:r>
          </w:p>
        </w:tc>
        <w:tc>
          <w:tcPr>
            <w:tcW w:w="794" w:type="dxa"/>
            <w:tcBorders>
              <w:bottom w:val="single" w:sz="4" w:space="0" w:color="auto"/>
              <w:right w:val="single" w:sz="8" w:space="0" w:color="auto"/>
            </w:tcBorders>
            <w:shd w:val="clear" w:color="auto" w:fill="DDDDDD"/>
          </w:tcPr>
          <w:p w14:paraId="3AA02BC3" w14:textId="77777777" w:rsidR="00462FD0" w:rsidRDefault="00462FD0" w:rsidP="00C022D8">
            <w:pPr>
              <w:jc w:val="center"/>
              <w:rPr>
                <w:sz w:val="20"/>
                <w:szCs w:val="20"/>
              </w:rPr>
            </w:pPr>
            <w:r w:rsidRPr="00056EA0">
              <w:rPr>
                <w:color w:val="FF0000"/>
                <w:sz w:val="20"/>
                <w:szCs w:val="20"/>
              </w:rPr>
              <w:t>2</w:t>
            </w:r>
          </w:p>
        </w:tc>
      </w:tr>
      <w:tr w:rsidR="00462FD0" w14:paraId="10491321" w14:textId="77777777" w:rsidTr="00C022D8">
        <w:trPr>
          <w:jc w:val="center"/>
        </w:trPr>
        <w:tc>
          <w:tcPr>
            <w:tcW w:w="2494" w:type="dxa"/>
            <w:tcBorders>
              <w:left w:val="single" w:sz="8" w:space="0" w:color="auto"/>
              <w:bottom w:val="single" w:sz="8" w:space="0" w:color="auto"/>
              <w:right w:val="nil"/>
            </w:tcBorders>
            <w:shd w:val="clear" w:color="auto" w:fill="000000" w:themeFill="text1"/>
          </w:tcPr>
          <w:p w14:paraId="15CA044E" w14:textId="77777777" w:rsidR="00462FD0" w:rsidRPr="00C31E5C" w:rsidRDefault="00462FD0" w:rsidP="00C022D8">
            <w:pPr>
              <w:jc w:val="center"/>
              <w:rPr>
                <w:b/>
                <w:bCs/>
                <w:sz w:val="20"/>
                <w:szCs w:val="20"/>
              </w:rPr>
            </w:pPr>
            <w:r w:rsidRPr="00C31E5C">
              <w:rPr>
                <w:b/>
                <w:bCs/>
                <w:sz w:val="20"/>
                <w:szCs w:val="20"/>
              </w:rPr>
              <w:t>TOTALS</w:t>
            </w:r>
          </w:p>
        </w:tc>
        <w:tc>
          <w:tcPr>
            <w:tcW w:w="794" w:type="dxa"/>
            <w:tcBorders>
              <w:left w:val="nil"/>
              <w:bottom w:val="single" w:sz="8" w:space="0" w:color="auto"/>
            </w:tcBorders>
            <w:shd w:val="clear" w:color="auto" w:fill="000000" w:themeFill="text1"/>
          </w:tcPr>
          <w:p w14:paraId="0213F304" w14:textId="77777777" w:rsidR="00462FD0" w:rsidRPr="00C31E5C" w:rsidRDefault="00462FD0" w:rsidP="00C022D8">
            <w:pPr>
              <w:jc w:val="center"/>
              <w:rPr>
                <w:b/>
                <w:bCs/>
                <w:sz w:val="20"/>
                <w:szCs w:val="20"/>
              </w:rPr>
            </w:pPr>
            <w:r>
              <w:rPr>
                <w:b/>
                <w:bCs/>
                <w:sz w:val="20"/>
                <w:szCs w:val="20"/>
              </w:rPr>
              <w:t>11</w:t>
            </w:r>
          </w:p>
        </w:tc>
        <w:tc>
          <w:tcPr>
            <w:tcW w:w="794" w:type="dxa"/>
            <w:tcBorders>
              <w:bottom w:val="single" w:sz="8" w:space="0" w:color="auto"/>
            </w:tcBorders>
            <w:shd w:val="clear" w:color="auto" w:fill="000000" w:themeFill="text1"/>
          </w:tcPr>
          <w:p w14:paraId="525E894A" w14:textId="77777777" w:rsidR="00462FD0" w:rsidRPr="00C31E5C" w:rsidRDefault="00462FD0" w:rsidP="00C022D8">
            <w:pPr>
              <w:jc w:val="center"/>
              <w:rPr>
                <w:b/>
                <w:bCs/>
                <w:sz w:val="20"/>
                <w:szCs w:val="20"/>
              </w:rPr>
            </w:pPr>
            <w:r>
              <w:rPr>
                <w:b/>
                <w:bCs/>
                <w:sz w:val="20"/>
                <w:szCs w:val="20"/>
              </w:rPr>
              <w:t>49</w:t>
            </w:r>
          </w:p>
        </w:tc>
        <w:tc>
          <w:tcPr>
            <w:tcW w:w="794" w:type="dxa"/>
            <w:tcBorders>
              <w:bottom w:val="single" w:sz="8" w:space="0" w:color="auto"/>
            </w:tcBorders>
            <w:shd w:val="clear" w:color="auto" w:fill="000000" w:themeFill="text1"/>
          </w:tcPr>
          <w:p w14:paraId="0FC5B581" w14:textId="77777777" w:rsidR="00462FD0" w:rsidRPr="00C31E5C" w:rsidRDefault="00462FD0" w:rsidP="00C022D8">
            <w:pPr>
              <w:jc w:val="center"/>
              <w:rPr>
                <w:b/>
                <w:bCs/>
                <w:sz w:val="20"/>
                <w:szCs w:val="20"/>
              </w:rPr>
            </w:pPr>
            <w:r>
              <w:rPr>
                <w:b/>
                <w:bCs/>
                <w:sz w:val="20"/>
                <w:szCs w:val="20"/>
              </w:rPr>
              <w:t>195</w:t>
            </w:r>
          </w:p>
        </w:tc>
        <w:tc>
          <w:tcPr>
            <w:tcW w:w="794" w:type="dxa"/>
            <w:tcBorders>
              <w:bottom w:val="single" w:sz="8" w:space="0" w:color="auto"/>
              <w:right w:val="nil"/>
            </w:tcBorders>
            <w:shd w:val="clear" w:color="auto" w:fill="000000" w:themeFill="text1"/>
          </w:tcPr>
          <w:p w14:paraId="2ED0C345" w14:textId="77777777" w:rsidR="00462FD0" w:rsidRPr="00C31E5C" w:rsidRDefault="00462FD0" w:rsidP="00C022D8">
            <w:pPr>
              <w:jc w:val="center"/>
              <w:rPr>
                <w:b/>
                <w:bCs/>
                <w:sz w:val="20"/>
                <w:szCs w:val="20"/>
              </w:rPr>
            </w:pPr>
            <w:r>
              <w:rPr>
                <w:b/>
                <w:bCs/>
                <w:sz w:val="20"/>
                <w:szCs w:val="20"/>
              </w:rPr>
              <w:t>460</w:t>
            </w:r>
          </w:p>
        </w:tc>
        <w:tc>
          <w:tcPr>
            <w:tcW w:w="850" w:type="dxa"/>
            <w:tcBorders>
              <w:left w:val="nil"/>
              <w:bottom w:val="single" w:sz="8" w:space="0" w:color="auto"/>
            </w:tcBorders>
            <w:shd w:val="clear" w:color="auto" w:fill="000000" w:themeFill="text1"/>
          </w:tcPr>
          <w:p w14:paraId="19E00AC1" w14:textId="77777777" w:rsidR="00462FD0" w:rsidRPr="00C31E5C" w:rsidRDefault="00462FD0" w:rsidP="00C022D8">
            <w:pPr>
              <w:jc w:val="center"/>
              <w:rPr>
                <w:b/>
                <w:bCs/>
                <w:sz w:val="20"/>
                <w:szCs w:val="20"/>
              </w:rPr>
            </w:pPr>
            <w:r>
              <w:rPr>
                <w:b/>
                <w:bCs/>
                <w:sz w:val="20"/>
                <w:szCs w:val="20"/>
              </w:rPr>
              <w:t>11</w:t>
            </w:r>
          </w:p>
        </w:tc>
        <w:tc>
          <w:tcPr>
            <w:tcW w:w="794" w:type="dxa"/>
            <w:tcBorders>
              <w:bottom w:val="single" w:sz="8" w:space="0" w:color="auto"/>
            </w:tcBorders>
            <w:shd w:val="clear" w:color="auto" w:fill="000000" w:themeFill="text1"/>
          </w:tcPr>
          <w:p w14:paraId="43095C0A" w14:textId="77777777" w:rsidR="00462FD0" w:rsidRPr="00C31E5C" w:rsidRDefault="00462FD0" w:rsidP="00C022D8">
            <w:pPr>
              <w:jc w:val="center"/>
              <w:rPr>
                <w:b/>
                <w:bCs/>
                <w:sz w:val="20"/>
                <w:szCs w:val="20"/>
              </w:rPr>
            </w:pPr>
            <w:r>
              <w:rPr>
                <w:b/>
                <w:bCs/>
                <w:sz w:val="20"/>
                <w:szCs w:val="20"/>
              </w:rPr>
              <w:t>72</w:t>
            </w:r>
          </w:p>
        </w:tc>
        <w:tc>
          <w:tcPr>
            <w:tcW w:w="794" w:type="dxa"/>
            <w:tcBorders>
              <w:bottom w:val="single" w:sz="8" w:space="0" w:color="auto"/>
            </w:tcBorders>
            <w:shd w:val="clear" w:color="auto" w:fill="000000" w:themeFill="text1"/>
          </w:tcPr>
          <w:p w14:paraId="591CC1E0" w14:textId="77777777" w:rsidR="00462FD0" w:rsidRPr="00C31E5C" w:rsidRDefault="00462FD0" w:rsidP="00C022D8">
            <w:pPr>
              <w:jc w:val="center"/>
              <w:rPr>
                <w:b/>
                <w:bCs/>
                <w:sz w:val="20"/>
                <w:szCs w:val="20"/>
              </w:rPr>
            </w:pPr>
            <w:r>
              <w:rPr>
                <w:b/>
                <w:bCs/>
                <w:sz w:val="20"/>
                <w:szCs w:val="20"/>
              </w:rPr>
              <w:t>164</w:t>
            </w:r>
          </w:p>
        </w:tc>
        <w:tc>
          <w:tcPr>
            <w:tcW w:w="794" w:type="dxa"/>
            <w:tcBorders>
              <w:bottom w:val="single" w:sz="8" w:space="0" w:color="auto"/>
              <w:right w:val="single" w:sz="8" w:space="0" w:color="auto"/>
            </w:tcBorders>
            <w:shd w:val="clear" w:color="auto" w:fill="000000" w:themeFill="text1"/>
          </w:tcPr>
          <w:p w14:paraId="3F468AD6" w14:textId="77777777" w:rsidR="00462FD0" w:rsidRPr="00C31E5C" w:rsidRDefault="00462FD0" w:rsidP="00C022D8">
            <w:pPr>
              <w:jc w:val="center"/>
              <w:rPr>
                <w:b/>
                <w:bCs/>
                <w:sz w:val="20"/>
                <w:szCs w:val="20"/>
              </w:rPr>
            </w:pPr>
            <w:r>
              <w:rPr>
                <w:b/>
                <w:bCs/>
                <w:sz w:val="20"/>
                <w:szCs w:val="20"/>
              </w:rPr>
              <w:t>550</w:t>
            </w:r>
          </w:p>
        </w:tc>
      </w:tr>
    </w:tbl>
    <w:p w14:paraId="173E4D00" w14:textId="4C1CC7C0" w:rsidR="007E5B44" w:rsidRDefault="007E5B44" w:rsidP="005C48CF">
      <w:pPr>
        <w:rPr>
          <w:rFonts w:ascii="Arial" w:hAnsi="Arial" w:cs="Arial"/>
          <w:sz w:val="14"/>
          <w:szCs w:val="14"/>
        </w:rPr>
      </w:pPr>
    </w:p>
    <w:p w14:paraId="4B7B6ED5" w14:textId="0BE1157A" w:rsidR="00981DD3" w:rsidRDefault="006B1DE9" w:rsidP="007679AD">
      <w:pPr>
        <w:jc w:val="both"/>
        <w:rPr>
          <w:rFonts w:ascii="Arial" w:hAnsi="Arial" w:cs="Arial"/>
          <w:color w:val="000000"/>
          <w:sz w:val="20"/>
          <w:szCs w:val="22"/>
        </w:rPr>
      </w:pPr>
      <w:r w:rsidRPr="005C48CF">
        <w:rPr>
          <w:rFonts w:ascii="Arial" w:hAnsi="Arial" w:cs="Arial"/>
          <w:color w:val="000000"/>
          <w:sz w:val="20"/>
          <w:szCs w:val="22"/>
        </w:rPr>
        <w:t>This data</w:t>
      </w:r>
      <w:r w:rsidR="005C48CF">
        <w:rPr>
          <w:rFonts w:ascii="Arial" w:hAnsi="Arial" w:cs="Arial"/>
          <w:color w:val="000000"/>
          <w:sz w:val="20"/>
          <w:szCs w:val="22"/>
        </w:rPr>
        <w:t xml:space="preserve"> in the above</w:t>
      </w:r>
      <w:r w:rsidR="0067251E">
        <w:rPr>
          <w:rFonts w:ascii="Arial" w:hAnsi="Arial" w:cs="Arial"/>
          <w:color w:val="000000"/>
          <w:sz w:val="20"/>
          <w:szCs w:val="22"/>
        </w:rPr>
        <w:t xml:space="preserve"> </w:t>
      </w:r>
      <w:r w:rsidR="005C48CF">
        <w:rPr>
          <w:rFonts w:ascii="Arial" w:hAnsi="Arial" w:cs="Arial"/>
          <w:color w:val="000000"/>
          <w:sz w:val="20"/>
          <w:szCs w:val="22"/>
        </w:rPr>
        <w:t>tables</w:t>
      </w:r>
      <w:r w:rsidRPr="005C48CF">
        <w:rPr>
          <w:rFonts w:ascii="Arial" w:hAnsi="Arial" w:cs="Arial"/>
          <w:color w:val="000000"/>
          <w:sz w:val="20"/>
          <w:szCs w:val="22"/>
        </w:rPr>
        <w:t xml:space="preserve"> </w:t>
      </w:r>
      <w:r w:rsidR="00E772FA">
        <w:rPr>
          <w:rFonts w:ascii="Arial" w:hAnsi="Arial" w:cs="Arial"/>
          <w:color w:val="000000"/>
          <w:sz w:val="20"/>
          <w:szCs w:val="22"/>
        </w:rPr>
        <w:t>demonst</w:t>
      </w:r>
      <w:r w:rsidR="005C48CF" w:rsidRPr="005C48CF">
        <w:rPr>
          <w:rFonts w:ascii="Arial" w:hAnsi="Arial" w:cs="Arial"/>
          <w:color w:val="000000"/>
          <w:sz w:val="20"/>
          <w:szCs w:val="22"/>
        </w:rPr>
        <w:t>rate</w:t>
      </w:r>
      <w:r w:rsidRPr="005C48CF">
        <w:rPr>
          <w:rFonts w:ascii="Arial" w:hAnsi="Arial" w:cs="Arial"/>
          <w:color w:val="000000"/>
          <w:sz w:val="20"/>
          <w:szCs w:val="22"/>
        </w:rPr>
        <w:t>s that</w:t>
      </w:r>
      <w:r w:rsidR="00981DD3">
        <w:rPr>
          <w:rFonts w:ascii="Arial" w:hAnsi="Arial" w:cs="Arial"/>
          <w:color w:val="000000"/>
          <w:sz w:val="20"/>
          <w:szCs w:val="22"/>
        </w:rPr>
        <w:t xml:space="preserve"> if</w:t>
      </w:r>
      <w:r w:rsidR="00E772FA">
        <w:rPr>
          <w:rFonts w:ascii="Arial" w:hAnsi="Arial" w:cs="Arial"/>
          <w:color w:val="000000"/>
          <w:sz w:val="20"/>
          <w:szCs w:val="22"/>
        </w:rPr>
        <w:t xml:space="preserve">, </w:t>
      </w:r>
      <w:r w:rsidR="00981DD3">
        <w:rPr>
          <w:rFonts w:ascii="Arial" w:hAnsi="Arial" w:cs="Arial"/>
          <w:color w:val="000000"/>
          <w:sz w:val="20"/>
          <w:szCs w:val="22"/>
        </w:rPr>
        <w:t xml:space="preserve">during the </w:t>
      </w:r>
      <w:r w:rsidR="00E772FA">
        <w:rPr>
          <w:rFonts w:ascii="Arial" w:hAnsi="Arial" w:cs="Arial"/>
          <w:color w:val="000000"/>
          <w:sz w:val="20"/>
          <w:szCs w:val="22"/>
        </w:rPr>
        <w:t xml:space="preserve">4 year </w:t>
      </w:r>
      <w:r w:rsidR="00981DD3">
        <w:rPr>
          <w:rFonts w:ascii="Arial" w:hAnsi="Arial" w:cs="Arial"/>
          <w:color w:val="000000"/>
          <w:sz w:val="20"/>
          <w:szCs w:val="22"/>
        </w:rPr>
        <w:t xml:space="preserve">period from </w:t>
      </w:r>
      <w:r w:rsidR="00E772FA">
        <w:rPr>
          <w:rFonts w:ascii="Arial" w:hAnsi="Arial" w:cs="Arial"/>
          <w:color w:val="000000"/>
          <w:sz w:val="20"/>
          <w:szCs w:val="22"/>
        </w:rPr>
        <w:t>2017/18 to 2020/21</w:t>
      </w:r>
      <w:r w:rsidR="005969A9">
        <w:rPr>
          <w:rFonts w:ascii="Arial" w:hAnsi="Arial" w:cs="Arial"/>
          <w:color w:val="000000"/>
          <w:sz w:val="20"/>
          <w:szCs w:val="22"/>
        </w:rPr>
        <w:t>–</w:t>
      </w:r>
    </w:p>
    <w:p w14:paraId="147FB2FC" w14:textId="0EA817A9" w:rsidR="00981DD3" w:rsidRDefault="00E772FA" w:rsidP="00591749">
      <w:pPr>
        <w:pStyle w:val="ListParagraph"/>
        <w:numPr>
          <w:ilvl w:val="0"/>
          <w:numId w:val="54"/>
        </w:numPr>
        <w:spacing w:after="0" w:line="240" w:lineRule="auto"/>
        <w:ind w:left="357" w:hanging="357"/>
        <w:jc w:val="both"/>
        <w:rPr>
          <w:rFonts w:ascii="Arial" w:hAnsi="Arial" w:cs="Arial"/>
          <w:color w:val="000000"/>
          <w:sz w:val="20"/>
        </w:rPr>
      </w:pPr>
      <w:r>
        <w:rPr>
          <w:rFonts w:ascii="Arial" w:hAnsi="Arial" w:cs="Arial"/>
          <w:color w:val="000000"/>
          <w:sz w:val="20"/>
        </w:rPr>
        <w:t>the age of criminal responsibility had been 12, it would not have had any significant impact on the CCV sentencing, diversion or remand statistics;</w:t>
      </w:r>
    </w:p>
    <w:p w14:paraId="07EF3EC7" w14:textId="2E0A3401" w:rsidR="00E772FA" w:rsidRDefault="00E772FA" w:rsidP="00591749">
      <w:pPr>
        <w:pStyle w:val="ListParagraph"/>
        <w:numPr>
          <w:ilvl w:val="0"/>
          <w:numId w:val="54"/>
        </w:numPr>
        <w:spacing w:after="0" w:line="240" w:lineRule="auto"/>
        <w:ind w:left="357" w:hanging="357"/>
        <w:jc w:val="both"/>
        <w:rPr>
          <w:rFonts w:ascii="Arial" w:hAnsi="Arial" w:cs="Arial"/>
          <w:color w:val="000000"/>
          <w:sz w:val="20"/>
        </w:rPr>
      </w:pPr>
      <w:r>
        <w:rPr>
          <w:rFonts w:ascii="Arial" w:hAnsi="Arial" w:cs="Arial"/>
          <w:color w:val="000000"/>
          <w:sz w:val="20"/>
        </w:rPr>
        <w:t xml:space="preserve">the age of criminal responsibility had been 13, it would have impacted on the </w:t>
      </w:r>
      <w:r w:rsidR="006E1FD7">
        <w:rPr>
          <w:rFonts w:ascii="Arial" w:hAnsi="Arial" w:cs="Arial"/>
          <w:color w:val="000000"/>
          <w:sz w:val="20"/>
        </w:rPr>
        <w:t xml:space="preserve">final </w:t>
      </w:r>
      <w:r>
        <w:rPr>
          <w:rFonts w:ascii="Arial" w:hAnsi="Arial" w:cs="Arial"/>
          <w:color w:val="000000"/>
          <w:sz w:val="20"/>
        </w:rPr>
        <w:t xml:space="preserve">outcomes in a total of 36 cases </w:t>
      </w:r>
      <w:r w:rsidR="0067251E">
        <w:rPr>
          <w:rFonts w:ascii="Arial" w:hAnsi="Arial" w:cs="Arial"/>
          <w:color w:val="000000"/>
          <w:sz w:val="20"/>
        </w:rPr>
        <w:t>leading to</w:t>
      </w:r>
      <w:r>
        <w:rPr>
          <w:rFonts w:ascii="Arial" w:hAnsi="Arial" w:cs="Arial"/>
          <w:color w:val="000000"/>
          <w:sz w:val="20"/>
        </w:rPr>
        <w:t xml:space="preserve"> </w:t>
      </w:r>
      <w:r w:rsidR="006E1FD7">
        <w:rPr>
          <w:rFonts w:ascii="Arial" w:hAnsi="Arial" w:cs="Arial"/>
          <w:color w:val="000000"/>
          <w:sz w:val="20"/>
        </w:rPr>
        <w:t xml:space="preserve">youth justice involvement for </w:t>
      </w:r>
      <w:r>
        <w:rPr>
          <w:rFonts w:ascii="Arial" w:hAnsi="Arial" w:cs="Arial"/>
          <w:color w:val="000000"/>
          <w:sz w:val="20"/>
        </w:rPr>
        <w:t>12 year old child offenders [34 supervisory orders and 2 youth detention orders];</w:t>
      </w:r>
      <w:r w:rsidR="0067251E">
        <w:rPr>
          <w:rFonts w:ascii="Arial" w:hAnsi="Arial" w:cs="Arial"/>
          <w:color w:val="000000"/>
          <w:sz w:val="20"/>
        </w:rPr>
        <w:t xml:space="preserve"> this is an average of approximately 1 case every 6 weeks.</w:t>
      </w:r>
    </w:p>
    <w:p w14:paraId="66295F8C" w14:textId="64678A78" w:rsidR="00E772FA" w:rsidRDefault="00E772FA" w:rsidP="00591749">
      <w:pPr>
        <w:pStyle w:val="ListParagraph"/>
        <w:numPr>
          <w:ilvl w:val="0"/>
          <w:numId w:val="54"/>
        </w:numPr>
        <w:spacing w:after="0" w:line="240" w:lineRule="auto"/>
        <w:ind w:left="357" w:hanging="357"/>
        <w:jc w:val="both"/>
        <w:rPr>
          <w:rFonts w:ascii="Arial" w:hAnsi="Arial" w:cs="Arial"/>
          <w:color w:val="000000"/>
          <w:sz w:val="20"/>
        </w:rPr>
      </w:pPr>
      <w:r>
        <w:rPr>
          <w:rFonts w:ascii="Arial" w:hAnsi="Arial" w:cs="Arial"/>
          <w:color w:val="000000"/>
          <w:sz w:val="20"/>
        </w:rPr>
        <w:t xml:space="preserve">the age of criminal responsibility had been 14, it would have impacted on the </w:t>
      </w:r>
      <w:r w:rsidR="006E1FD7">
        <w:rPr>
          <w:rFonts w:ascii="Arial" w:hAnsi="Arial" w:cs="Arial"/>
          <w:color w:val="000000"/>
          <w:sz w:val="20"/>
        </w:rPr>
        <w:t xml:space="preserve">final </w:t>
      </w:r>
      <w:r>
        <w:rPr>
          <w:rFonts w:ascii="Arial" w:hAnsi="Arial" w:cs="Arial"/>
          <w:color w:val="000000"/>
          <w:sz w:val="20"/>
        </w:rPr>
        <w:t xml:space="preserve">outcomes in a total of </w:t>
      </w:r>
      <w:r w:rsidR="00EB78A0">
        <w:rPr>
          <w:rFonts w:ascii="Arial" w:hAnsi="Arial" w:cs="Arial"/>
          <w:color w:val="000000"/>
          <w:sz w:val="20"/>
        </w:rPr>
        <w:t>177</w:t>
      </w:r>
      <w:r>
        <w:rPr>
          <w:rFonts w:ascii="Arial" w:hAnsi="Arial" w:cs="Arial"/>
          <w:color w:val="000000"/>
          <w:sz w:val="20"/>
        </w:rPr>
        <w:t xml:space="preserve"> cases </w:t>
      </w:r>
      <w:r w:rsidR="006E1FD7">
        <w:rPr>
          <w:rFonts w:ascii="Arial" w:hAnsi="Arial" w:cs="Arial"/>
          <w:color w:val="000000"/>
          <w:sz w:val="20"/>
        </w:rPr>
        <w:t>leading to</w:t>
      </w:r>
      <w:r>
        <w:rPr>
          <w:rFonts w:ascii="Arial" w:hAnsi="Arial" w:cs="Arial"/>
          <w:color w:val="000000"/>
          <w:sz w:val="20"/>
        </w:rPr>
        <w:t xml:space="preserve"> </w:t>
      </w:r>
      <w:r w:rsidR="006E1FD7">
        <w:rPr>
          <w:rFonts w:ascii="Arial" w:hAnsi="Arial" w:cs="Arial"/>
          <w:color w:val="000000"/>
          <w:sz w:val="20"/>
        </w:rPr>
        <w:t xml:space="preserve">youth justice involvement for </w:t>
      </w:r>
      <w:r>
        <w:rPr>
          <w:rFonts w:ascii="Arial" w:hAnsi="Arial" w:cs="Arial"/>
          <w:color w:val="000000"/>
          <w:sz w:val="20"/>
        </w:rPr>
        <w:t>13 year old child offenders [</w:t>
      </w:r>
      <w:r w:rsidR="00EB78A0">
        <w:rPr>
          <w:rFonts w:ascii="Arial" w:hAnsi="Arial" w:cs="Arial"/>
          <w:color w:val="000000"/>
          <w:sz w:val="20"/>
        </w:rPr>
        <w:t>154</w:t>
      </w:r>
      <w:r>
        <w:rPr>
          <w:rFonts w:ascii="Arial" w:hAnsi="Arial" w:cs="Arial"/>
          <w:color w:val="000000"/>
          <w:sz w:val="20"/>
        </w:rPr>
        <w:t xml:space="preserve"> supervisory orders and </w:t>
      </w:r>
      <w:r w:rsidR="00EB78A0">
        <w:rPr>
          <w:rFonts w:ascii="Arial" w:hAnsi="Arial" w:cs="Arial"/>
          <w:color w:val="000000"/>
          <w:sz w:val="20"/>
        </w:rPr>
        <w:t>23</w:t>
      </w:r>
      <w:r>
        <w:rPr>
          <w:rFonts w:ascii="Arial" w:hAnsi="Arial" w:cs="Arial"/>
          <w:color w:val="000000"/>
          <w:sz w:val="20"/>
        </w:rPr>
        <w:t xml:space="preserve"> youth detention orders]</w:t>
      </w:r>
      <w:r w:rsidR="000C34B6">
        <w:rPr>
          <w:rFonts w:ascii="Arial" w:hAnsi="Arial" w:cs="Arial"/>
          <w:color w:val="000000"/>
          <w:sz w:val="20"/>
        </w:rPr>
        <w:t>;</w:t>
      </w:r>
      <w:r w:rsidR="00EB78A0">
        <w:rPr>
          <w:rFonts w:ascii="Arial" w:hAnsi="Arial" w:cs="Arial"/>
          <w:color w:val="000000"/>
          <w:sz w:val="20"/>
        </w:rPr>
        <w:t xml:space="preserve"> this </w:t>
      </w:r>
      <w:r w:rsidR="000C34B6">
        <w:rPr>
          <w:rFonts w:ascii="Arial" w:hAnsi="Arial" w:cs="Arial"/>
          <w:color w:val="000000"/>
          <w:sz w:val="20"/>
        </w:rPr>
        <w:t>is</w:t>
      </w:r>
      <w:r w:rsidR="00EB78A0">
        <w:rPr>
          <w:rFonts w:ascii="Arial" w:hAnsi="Arial" w:cs="Arial"/>
          <w:color w:val="000000"/>
          <w:sz w:val="20"/>
        </w:rPr>
        <w:t xml:space="preserve"> an average of less than one case per week in the entire state </w:t>
      </w:r>
      <w:r w:rsidR="00B36616">
        <w:rPr>
          <w:rFonts w:ascii="Arial" w:hAnsi="Arial" w:cs="Arial"/>
          <w:color w:val="000000"/>
          <w:sz w:val="20"/>
        </w:rPr>
        <w:t xml:space="preserve">which </w:t>
      </w:r>
      <w:r w:rsidR="006E1FD7">
        <w:rPr>
          <w:rFonts w:ascii="Arial" w:hAnsi="Arial" w:cs="Arial"/>
          <w:color w:val="000000"/>
          <w:sz w:val="20"/>
        </w:rPr>
        <w:t>result in</w:t>
      </w:r>
      <w:r w:rsidR="00B36616">
        <w:rPr>
          <w:rFonts w:ascii="Arial" w:hAnsi="Arial" w:cs="Arial"/>
          <w:color w:val="000000"/>
          <w:sz w:val="20"/>
        </w:rPr>
        <w:t xml:space="preserve"> youth justice supervision in one form or another</w:t>
      </w:r>
      <w:r>
        <w:rPr>
          <w:rFonts w:ascii="Arial" w:hAnsi="Arial" w:cs="Arial"/>
          <w:color w:val="000000"/>
          <w:sz w:val="20"/>
        </w:rPr>
        <w:t>.</w:t>
      </w:r>
    </w:p>
    <w:p w14:paraId="61A66055" w14:textId="77777777" w:rsidR="003E493C" w:rsidRDefault="003E493C" w:rsidP="003E493C">
      <w:pPr>
        <w:ind w:left="720" w:hanging="720"/>
        <w:jc w:val="both"/>
        <w:rPr>
          <w:rFonts w:ascii="Arial" w:hAnsi="Arial" w:cs="Arial"/>
          <w:sz w:val="20"/>
          <w:szCs w:val="20"/>
        </w:rPr>
      </w:pPr>
    </w:p>
    <w:p w14:paraId="44B467D3" w14:textId="59891C9F" w:rsidR="00357E48" w:rsidRPr="00F51496" w:rsidRDefault="00357E48" w:rsidP="00357E48">
      <w:pPr>
        <w:pStyle w:val="Heading2"/>
        <w:keepNext/>
        <w:keepLines/>
        <w:tabs>
          <w:tab w:val="left" w:pos="567"/>
        </w:tabs>
        <w:spacing w:line="240" w:lineRule="auto"/>
        <w:ind w:left="567" w:hanging="567"/>
        <w:rPr>
          <w:rFonts w:ascii="Arial" w:hAnsi="Arial" w:cs="Arial"/>
          <w:b/>
          <w:bCs/>
          <w:color w:val="000000"/>
        </w:rPr>
      </w:pPr>
      <w:bookmarkStart w:id="367" w:name="_7.8_Warrant_to"/>
      <w:bookmarkEnd w:id="367"/>
      <w:r w:rsidRPr="00F51496">
        <w:rPr>
          <w:rFonts w:ascii="Arial" w:hAnsi="Arial" w:cs="Arial"/>
          <w:b/>
          <w:bCs/>
          <w:color w:val="000000"/>
        </w:rPr>
        <w:t>7.8</w:t>
      </w:r>
      <w:r w:rsidRPr="00F51496">
        <w:rPr>
          <w:rFonts w:ascii="Arial" w:hAnsi="Arial" w:cs="Arial"/>
          <w:b/>
          <w:bCs/>
          <w:color w:val="000000"/>
        </w:rPr>
        <w:tab/>
        <w:t xml:space="preserve">Warrant to arrest for failing to appear </w:t>
      </w:r>
      <w:r w:rsidR="00231651">
        <w:rPr>
          <w:rFonts w:ascii="Arial" w:hAnsi="Arial" w:cs="Arial"/>
          <w:b/>
          <w:bCs/>
          <w:color w:val="000000"/>
        </w:rPr>
        <w:t>or contravention of sentencing order</w:t>
      </w:r>
    </w:p>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14:paraId="57FFE284" w14:textId="77777777" w:rsidR="00B22584" w:rsidRPr="005C48CF" w:rsidRDefault="00B22584">
      <w:pPr>
        <w:jc w:val="both"/>
        <w:rPr>
          <w:rFonts w:ascii="Arial" w:hAnsi="Arial" w:cs="Arial"/>
          <w:color w:val="000000"/>
          <w:sz w:val="20"/>
          <w:szCs w:val="20"/>
        </w:rPr>
      </w:pPr>
    </w:p>
    <w:p w14:paraId="0EA1CC21" w14:textId="77777777" w:rsidR="00B22584" w:rsidRPr="00F51496" w:rsidRDefault="00B22584">
      <w:pPr>
        <w:pStyle w:val="Heading3"/>
        <w:keepNext/>
        <w:spacing w:after="80" w:line="240" w:lineRule="auto"/>
        <w:rPr>
          <w:rFonts w:ascii="Arial" w:hAnsi="Arial" w:cs="Arial"/>
          <w:b/>
          <w:bCs/>
          <w:color w:val="000000"/>
          <w:sz w:val="20"/>
        </w:rPr>
      </w:pPr>
      <w:bookmarkStart w:id="368" w:name="_Toc30671645"/>
      <w:bookmarkStart w:id="369" w:name="_Toc30674172"/>
      <w:bookmarkStart w:id="370" w:name="_Toc30691394"/>
      <w:bookmarkStart w:id="371" w:name="_Toc30691769"/>
      <w:bookmarkStart w:id="372" w:name="_Toc30692149"/>
      <w:bookmarkStart w:id="373" w:name="_Toc30692908"/>
      <w:bookmarkStart w:id="374" w:name="_Toc30693287"/>
      <w:bookmarkStart w:id="375" w:name="_Toc30693665"/>
      <w:bookmarkStart w:id="376" w:name="_Toc30694043"/>
      <w:bookmarkStart w:id="377" w:name="_Toc30694423"/>
      <w:bookmarkStart w:id="378" w:name="_Toc30699012"/>
      <w:bookmarkStart w:id="379" w:name="_Toc30699390"/>
      <w:bookmarkStart w:id="380" w:name="_Toc30699775"/>
      <w:bookmarkStart w:id="381" w:name="_Toc30700930"/>
      <w:bookmarkStart w:id="382" w:name="_Toc30701317"/>
      <w:bookmarkStart w:id="383" w:name="_Toc30743928"/>
      <w:bookmarkStart w:id="384" w:name="_Toc30754751"/>
      <w:bookmarkStart w:id="385" w:name="_Toc30757192"/>
      <w:bookmarkStart w:id="386" w:name="_Toc30757740"/>
      <w:bookmarkStart w:id="387" w:name="_Toc30758140"/>
      <w:bookmarkStart w:id="388" w:name="_Toc30762901"/>
      <w:bookmarkStart w:id="389" w:name="_Toc30767555"/>
      <w:bookmarkStart w:id="390" w:name="_Toc34823573"/>
      <w:r w:rsidRPr="00F51496">
        <w:rPr>
          <w:rFonts w:ascii="Arial" w:hAnsi="Arial" w:cs="Arial"/>
          <w:b/>
          <w:bCs/>
          <w:color w:val="000000"/>
          <w:sz w:val="20"/>
        </w:rPr>
        <w:t>7.8.1</w:t>
      </w:r>
      <w:r w:rsidRPr="00F51496">
        <w:rPr>
          <w:rFonts w:ascii="Arial" w:hAnsi="Arial" w:cs="Arial"/>
          <w:b/>
          <w:bCs/>
          <w:color w:val="000000"/>
          <w:sz w:val="20"/>
        </w:rPr>
        <w:tab/>
        <w:t>On bail</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14:paraId="7020D039" w14:textId="41552AF7" w:rsidR="00B22584" w:rsidRPr="00F51496" w:rsidRDefault="00B22584">
      <w:pPr>
        <w:jc w:val="both"/>
        <w:rPr>
          <w:rFonts w:ascii="Arial" w:hAnsi="Arial" w:cs="Arial"/>
          <w:color w:val="000000"/>
          <w:sz w:val="20"/>
        </w:rPr>
      </w:pPr>
      <w:r w:rsidRPr="00F51496">
        <w:rPr>
          <w:rFonts w:ascii="Arial" w:hAnsi="Arial" w:cs="Arial"/>
          <w:color w:val="000000"/>
          <w:sz w:val="20"/>
        </w:rPr>
        <w:t xml:space="preserve">If a child who has been charged with or convicted of an offence has failed to appear before the Court in accordance with his or her undertaking of bail, the Court may, without prejudice to any right of action arising out of the undertaking, issue a warrant for his or her apprehension: s.26(2) of the </w:t>
      </w:r>
      <w:r w:rsidRPr="008102AC">
        <w:rPr>
          <w:rFonts w:ascii="Arial" w:hAnsi="Arial" w:cs="Arial"/>
          <w:i/>
          <w:iCs/>
          <w:color w:val="000000"/>
          <w:sz w:val="20"/>
        </w:rPr>
        <w:t>Bail Act 1977</w:t>
      </w:r>
      <w:r w:rsidRPr="00F51496">
        <w:rPr>
          <w:rFonts w:ascii="Arial" w:hAnsi="Arial" w:cs="Arial"/>
          <w:color w:val="000000"/>
          <w:sz w:val="20"/>
        </w:rPr>
        <w:t>.</w:t>
      </w:r>
    </w:p>
    <w:p w14:paraId="35E10A6D" w14:textId="77777777" w:rsidR="00B22584" w:rsidRPr="00F51496" w:rsidRDefault="00B22584">
      <w:pPr>
        <w:jc w:val="both"/>
        <w:rPr>
          <w:rFonts w:ascii="Arial" w:hAnsi="Arial" w:cs="Arial"/>
          <w:color w:val="000000"/>
          <w:sz w:val="20"/>
        </w:rPr>
      </w:pPr>
    </w:p>
    <w:p w14:paraId="1559CAD9" w14:textId="77777777" w:rsidR="00B22584" w:rsidRPr="00F51496" w:rsidRDefault="00B22584">
      <w:pPr>
        <w:pStyle w:val="Heading3"/>
        <w:keepNext/>
        <w:spacing w:after="80" w:line="240" w:lineRule="auto"/>
        <w:rPr>
          <w:rFonts w:ascii="Arial" w:hAnsi="Arial" w:cs="Arial"/>
          <w:b/>
          <w:bCs/>
          <w:color w:val="000000"/>
          <w:sz w:val="20"/>
        </w:rPr>
      </w:pPr>
      <w:bookmarkStart w:id="391" w:name="_Toc30671646"/>
      <w:bookmarkStart w:id="392" w:name="_Toc30674173"/>
      <w:bookmarkStart w:id="393" w:name="_Toc30691395"/>
      <w:bookmarkStart w:id="394" w:name="_Toc30691770"/>
      <w:bookmarkStart w:id="395" w:name="_Toc30692150"/>
      <w:bookmarkStart w:id="396" w:name="_Toc30692909"/>
      <w:bookmarkStart w:id="397" w:name="_Toc30693288"/>
      <w:bookmarkStart w:id="398" w:name="_Toc30693666"/>
      <w:bookmarkStart w:id="399" w:name="_Toc30694044"/>
      <w:bookmarkStart w:id="400" w:name="_Toc30694424"/>
      <w:bookmarkStart w:id="401" w:name="_Toc30699013"/>
      <w:bookmarkStart w:id="402" w:name="_Toc30699391"/>
      <w:bookmarkStart w:id="403" w:name="_Toc30699776"/>
      <w:bookmarkStart w:id="404" w:name="_Toc30700931"/>
      <w:bookmarkStart w:id="405" w:name="_Toc30701318"/>
      <w:bookmarkStart w:id="406" w:name="_Toc30743929"/>
      <w:bookmarkStart w:id="407" w:name="_Toc30754752"/>
      <w:bookmarkStart w:id="408" w:name="_Toc30757193"/>
      <w:bookmarkStart w:id="409" w:name="_Toc30757741"/>
      <w:bookmarkStart w:id="410" w:name="_Toc30758141"/>
      <w:bookmarkStart w:id="411" w:name="_Toc30762902"/>
      <w:bookmarkStart w:id="412" w:name="_Toc30767556"/>
      <w:bookmarkStart w:id="413" w:name="_Toc34823574"/>
      <w:r w:rsidRPr="00F51496">
        <w:rPr>
          <w:rFonts w:ascii="Arial" w:hAnsi="Arial" w:cs="Arial"/>
          <w:b/>
          <w:bCs/>
          <w:color w:val="000000"/>
          <w:sz w:val="20"/>
        </w:rPr>
        <w:t>7.8.2</w:t>
      </w:r>
      <w:r w:rsidRPr="00F51496">
        <w:rPr>
          <w:rFonts w:ascii="Arial" w:hAnsi="Arial" w:cs="Arial"/>
          <w:b/>
          <w:bCs/>
          <w:color w:val="000000"/>
          <w:sz w:val="20"/>
        </w:rPr>
        <w:tab/>
        <w:t>On summons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30C792BE" w14:textId="427AE5DB" w:rsidR="00B22584" w:rsidRPr="00F51496" w:rsidRDefault="00B22584">
      <w:pPr>
        <w:jc w:val="both"/>
        <w:rPr>
          <w:rFonts w:ascii="Arial" w:hAnsi="Arial" w:cs="Arial"/>
          <w:color w:val="000000"/>
          <w:sz w:val="20"/>
        </w:rPr>
      </w:pPr>
      <w:r w:rsidRPr="00F51496">
        <w:rPr>
          <w:rFonts w:ascii="Arial" w:hAnsi="Arial" w:cs="Arial"/>
          <w:color w:val="000000"/>
          <w:sz w:val="20"/>
        </w:rPr>
        <w:t xml:space="preserve">A warrant to arrest other than in the first instance may be issued when the </w:t>
      </w:r>
      <w:r w:rsidR="00ED51FD" w:rsidRPr="00F51496">
        <w:rPr>
          <w:rFonts w:ascii="Arial" w:hAnsi="Arial" w:cs="Arial"/>
          <w:color w:val="000000"/>
          <w:sz w:val="20"/>
        </w:rPr>
        <w:t>accused</w:t>
      </w:r>
      <w:r w:rsidRPr="00F51496">
        <w:rPr>
          <w:rFonts w:ascii="Arial" w:hAnsi="Arial" w:cs="Arial"/>
          <w:color w:val="000000"/>
          <w:sz w:val="20"/>
        </w:rPr>
        <w:t xml:space="preserve"> fails to appear before the Court in answer to a summons: s.</w:t>
      </w:r>
      <w:r w:rsidR="00E72BB5" w:rsidRPr="00F51496">
        <w:rPr>
          <w:rFonts w:ascii="Arial" w:hAnsi="Arial" w:cs="Arial"/>
          <w:color w:val="000000"/>
          <w:sz w:val="20"/>
        </w:rPr>
        <w:t>8</w:t>
      </w:r>
      <w:r w:rsidR="00DA4BE2" w:rsidRPr="00F51496">
        <w:rPr>
          <w:rFonts w:ascii="Arial" w:hAnsi="Arial" w:cs="Arial"/>
          <w:color w:val="000000"/>
          <w:sz w:val="20"/>
        </w:rPr>
        <w:t>0</w:t>
      </w:r>
      <w:r w:rsidRPr="00F51496">
        <w:rPr>
          <w:rFonts w:ascii="Arial" w:hAnsi="Arial" w:cs="Arial"/>
          <w:color w:val="000000"/>
          <w:sz w:val="20"/>
        </w:rPr>
        <w:t>(</w:t>
      </w:r>
      <w:r w:rsidR="00E72BB5" w:rsidRPr="00F51496">
        <w:rPr>
          <w:rFonts w:ascii="Arial" w:hAnsi="Arial" w:cs="Arial"/>
          <w:color w:val="000000"/>
          <w:sz w:val="20"/>
        </w:rPr>
        <w:t>1</w:t>
      </w:r>
      <w:r w:rsidRPr="00F51496">
        <w:rPr>
          <w:rFonts w:ascii="Arial" w:hAnsi="Arial" w:cs="Arial"/>
          <w:color w:val="000000"/>
          <w:sz w:val="20"/>
        </w:rPr>
        <w:t>)</w:t>
      </w:r>
      <w:r w:rsidR="00E72BB5" w:rsidRPr="00F51496">
        <w:rPr>
          <w:rFonts w:ascii="Arial" w:hAnsi="Arial" w:cs="Arial"/>
          <w:color w:val="000000"/>
          <w:sz w:val="20"/>
        </w:rPr>
        <w:t>(b) &amp; 81</w:t>
      </w:r>
      <w:r w:rsidRPr="00F51496">
        <w:rPr>
          <w:rFonts w:ascii="Arial" w:hAnsi="Arial" w:cs="Arial"/>
          <w:color w:val="000000"/>
          <w:sz w:val="20"/>
        </w:rPr>
        <w:t xml:space="preserve"> of the </w:t>
      </w:r>
      <w:r w:rsidR="00E72BB5" w:rsidRPr="00F51496">
        <w:rPr>
          <w:rFonts w:ascii="Arial" w:hAnsi="Arial" w:cs="Arial"/>
          <w:color w:val="000000"/>
          <w:sz w:val="20"/>
        </w:rPr>
        <w:t>CPA</w:t>
      </w:r>
      <w:r w:rsidRPr="00F51496">
        <w:rPr>
          <w:rFonts w:ascii="Arial" w:hAnsi="Arial" w:cs="Arial"/>
          <w:color w:val="000000"/>
          <w:sz w:val="20"/>
        </w:rPr>
        <w:t xml:space="preserve">. A warrant to arrest is often not issued when a child fails to appear in answer to a summons for a summary offence for, depending on the nature of the offence and the personal characteristics of the offender, the Court may be willing to hear the case </w:t>
      </w:r>
      <w:r w:rsidRPr="00F51496">
        <w:rPr>
          <w:rFonts w:ascii="Arial" w:hAnsi="Arial" w:cs="Arial"/>
          <w:i/>
          <w:iCs/>
          <w:color w:val="000000"/>
          <w:sz w:val="20"/>
        </w:rPr>
        <w:t>ex parte</w:t>
      </w:r>
      <w:r w:rsidRPr="00F51496">
        <w:rPr>
          <w:rFonts w:ascii="Arial" w:hAnsi="Arial" w:cs="Arial"/>
          <w:color w:val="000000"/>
          <w:sz w:val="20"/>
        </w:rPr>
        <w:t>. A warrant to arrest is almost always issued where a child fails to appear in answer to a summons for an indictable offence, for the Court is unable to exercise summary jurisdiction in the absence of the child: see s.</w:t>
      </w:r>
      <w:r w:rsidR="006F06D8">
        <w:rPr>
          <w:rFonts w:ascii="Arial" w:hAnsi="Arial" w:cs="Arial"/>
          <w:color w:val="000000"/>
          <w:sz w:val="20"/>
        </w:rPr>
        <w:t xml:space="preserve">157 </w:t>
      </w:r>
      <w:r w:rsidRPr="00F51496">
        <w:rPr>
          <w:rFonts w:ascii="Arial" w:hAnsi="Arial" w:cs="Arial"/>
          <w:color w:val="000000"/>
          <w:sz w:val="20"/>
        </w:rPr>
        <w:t xml:space="preserve">of the </w:t>
      </w:r>
      <w:r w:rsidR="0005475F">
        <w:rPr>
          <w:rFonts w:ascii="Arial" w:hAnsi="Arial" w:cs="Arial"/>
          <w:color w:val="000000"/>
          <w:sz w:val="20"/>
        </w:rPr>
        <w:t>YJA</w:t>
      </w:r>
      <w:r w:rsidRPr="00F51496">
        <w:rPr>
          <w:rFonts w:ascii="Arial" w:hAnsi="Arial" w:cs="Arial"/>
          <w:color w:val="000000"/>
          <w:sz w:val="20"/>
        </w:rPr>
        <w:t>.</w:t>
      </w:r>
    </w:p>
    <w:p w14:paraId="7355476E" w14:textId="77777777" w:rsidR="00B22584" w:rsidRPr="00F51496" w:rsidRDefault="00B22584">
      <w:pPr>
        <w:jc w:val="both"/>
        <w:rPr>
          <w:rFonts w:ascii="Arial" w:hAnsi="Arial" w:cs="Arial"/>
          <w:color w:val="000000"/>
          <w:sz w:val="20"/>
        </w:rPr>
      </w:pPr>
    </w:p>
    <w:p w14:paraId="29A240F2" w14:textId="59DD6918" w:rsidR="00B22584" w:rsidRPr="00F51496" w:rsidRDefault="00B22584">
      <w:pPr>
        <w:pStyle w:val="Heading3"/>
        <w:keepNext/>
        <w:spacing w:after="80" w:line="240" w:lineRule="auto"/>
        <w:rPr>
          <w:rFonts w:ascii="Arial" w:hAnsi="Arial" w:cs="Arial"/>
          <w:b/>
          <w:bCs/>
          <w:color w:val="000000"/>
          <w:sz w:val="20"/>
        </w:rPr>
      </w:pPr>
      <w:bookmarkStart w:id="414" w:name="_Toc30671647"/>
      <w:bookmarkStart w:id="415" w:name="_Toc30674174"/>
      <w:bookmarkStart w:id="416" w:name="_Toc30691396"/>
      <w:bookmarkStart w:id="417" w:name="_Toc30691771"/>
      <w:bookmarkStart w:id="418" w:name="_Toc30692151"/>
      <w:bookmarkStart w:id="419" w:name="_Toc30692910"/>
      <w:bookmarkStart w:id="420" w:name="_Toc30693289"/>
      <w:bookmarkStart w:id="421" w:name="_Toc30693667"/>
      <w:bookmarkStart w:id="422" w:name="_Toc30694045"/>
      <w:bookmarkStart w:id="423" w:name="_Toc30694425"/>
      <w:bookmarkStart w:id="424" w:name="_Toc30699014"/>
      <w:bookmarkStart w:id="425" w:name="_Toc30699392"/>
      <w:bookmarkStart w:id="426" w:name="_Toc30699777"/>
      <w:bookmarkStart w:id="427" w:name="_Toc30700932"/>
      <w:bookmarkStart w:id="428" w:name="_Toc30701319"/>
      <w:bookmarkStart w:id="429" w:name="_Toc30743930"/>
      <w:bookmarkStart w:id="430" w:name="_Toc30754753"/>
      <w:bookmarkStart w:id="431" w:name="_Toc30757194"/>
      <w:bookmarkStart w:id="432" w:name="_Toc30757742"/>
      <w:bookmarkStart w:id="433" w:name="_Toc30758142"/>
      <w:bookmarkStart w:id="434" w:name="_Toc30762903"/>
      <w:bookmarkStart w:id="435" w:name="_Toc30767557"/>
      <w:bookmarkStart w:id="436" w:name="_Toc34823575"/>
      <w:r w:rsidRPr="00F51496">
        <w:rPr>
          <w:rFonts w:ascii="Arial" w:hAnsi="Arial" w:cs="Arial"/>
          <w:b/>
          <w:bCs/>
          <w:color w:val="000000"/>
          <w:sz w:val="20"/>
        </w:rPr>
        <w:lastRenderedPageBreak/>
        <w:t>7.8.3</w:t>
      </w:r>
      <w:r w:rsidRPr="00F51496">
        <w:rPr>
          <w:rFonts w:ascii="Arial" w:hAnsi="Arial" w:cs="Arial"/>
          <w:b/>
          <w:bCs/>
          <w:color w:val="000000"/>
          <w:sz w:val="20"/>
        </w:rPr>
        <w:tab/>
        <w:t xml:space="preserve">On alleged </w:t>
      </w:r>
      <w:r w:rsidR="00231651">
        <w:rPr>
          <w:rFonts w:ascii="Arial" w:hAnsi="Arial" w:cs="Arial"/>
          <w:b/>
          <w:bCs/>
          <w:color w:val="000000"/>
          <w:sz w:val="20"/>
        </w:rPr>
        <w:t>contravention</w:t>
      </w:r>
      <w:r w:rsidRPr="00F51496">
        <w:rPr>
          <w:rFonts w:ascii="Arial" w:hAnsi="Arial" w:cs="Arial"/>
          <w:b/>
          <w:bCs/>
          <w:color w:val="000000"/>
          <w:sz w:val="20"/>
        </w:rPr>
        <w:t xml:space="preserve"> of sentencing order</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14:paraId="342EFF16" w14:textId="099FFBB9" w:rsidR="00B56DD1" w:rsidRDefault="00B56DD1" w:rsidP="00B56DD1">
      <w:pPr>
        <w:jc w:val="both"/>
        <w:rPr>
          <w:rFonts w:ascii="Arial" w:hAnsi="Arial" w:cs="Arial"/>
          <w:color w:val="000000"/>
          <w:sz w:val="20"/>
        </w:rPr>
      </w:pPr>
      <w:r>
        <w:rPr>
          <w:rFonts w:ascii="Arial" w:hAnsi="Arial" w:cs="Arial"/>
          <w:color w:val="000000"/>
          <w:sz w:val="20"/>
        </w:rPr>
        <w:t>Section 312 of the YJA provides that a magistrate constituting the Children’s Court may issue a warrant to arrest a child if–</w:t>
      </w:r>
    </w:p>
    <w:p w14:paraId="67E084B8" w14:textId="052C37D0" w:rsidR="00B56DD1" w:rsidRDefault="00B56DD1">
      <w:pPr>
        <w:pStyle w:val="ListParagraph"/>
        <w:numPr>
          <w:ilvl w:val="0"/>
          <w:numId w:val="121"/>
        </w:numPr>
        <w:spacing w:after="0" w:line="240" w:lineRule="auto"/>
        <w:ind w:left="357" w:hanging="357"/>
        <w:jc w:val="both"/>
        <w:rPr>
          <w:rFonts w:ascii="Arial" w:hAnsi="Arial" w:cs="Arial"/>
          <w:color w:val="000000"/>
          <w:sz w:val="20"/>
        </w:rPr>
      </w:pPr>
      <w:r>
        <w:rPr>
          <w:rFonts w:ascii="Arial" w:hAnsi="Arial" w:cs="Arial"/>
          <w:color w:val="000000"/>
          <w:sz w:val="20"/>
        </w:rPr>
        <w:t xml:space="preserve">a notice is served on the child under s.307 or 308(1) alleging contravention of a </w:t>
      </w:r>
      <w:r w:rsidR="00C2325B">
        <w:rPr>
          <w:rFonts w:ascii="Arial" w:hAnsi="Arial" w:cs="Arial"/>
          <w:color w:val="000000"/>
          <w:sz w:val="20"/>
        </w:rPr>
        <w:t>good behaviour order, community service order, probation order, youth supervision and support order or youth control order; and</w:t>
      </w:r>
    </w:p>
    <w:p w14:paraId="38A7379C" w14:textId="79A844A7" w:rsidR="00C2325B" w:rsidRDefault="00C2325B">
      <w:pPr>
        <w:pStyle w:val="ListParagraph"/>
        <w:numPr>
          <w:ilvl w:val="0"/>
          <w:numId w:val="122"/>
        </w:numPr>
        <w:jc w:val="both"/>
        <w:rPr>
          <w:rFonts w:ascii="Arial" w:hAnsi="Arial" w:cs="Arial"/>
          <w:color w:val="000000"/>
          <w:sz w:val="20"/>
        </w:rPr>
      </w:pPr>
      <w:r>
        <w:rPr>
          <w:rFonts w:ascii="Arial" w:hAnsi="Arial" w:cs="Arial"/>
          <w:color w:val="000000"/>
          <w:sz w:val="20"/>
        </w:rPr>
        <w:t>the child fails to appear before the Court at the time specified; and</w:t>
      </w:r>
    </w:p>
    <w:p w14:paraId="147979B3" w14:textId="5523E822" w:rsidR="00C2325B" w:rsidRPr="00C2325B" w:rsidRDefault="00C2325B">
      <w:pPr>
        <w:pStyle w:val="ListParagraph"/>
        <w:numPr>
          <w:ilvl w:val="0"/>
          <w:numId w:val="122"/>
        </w:numPr>
        <w:ind w:left="714" w:hanging="357"/>
        <w:jc w:val="both"/>
        <w:rPr>
          <w:rFonts w:ascii="Arial" w:hAnsi="Arial" w:cs="Arial"/>
          <w:color w:val="000000"/>
          <w:sz w:val="20"/>
        </w:rPr>
      </w:pPr>
      <w:r>
        <w:rPr>
          <w:rFonts w:ascii="Arial" w:hAnsi="Arial" w:cs="Arial"/>
          <w:color w:val="000000"/>
          <w:sz w:val="20"/>
        </w:rPr>
        <w:t>the Court is satisfied that the notice has come to the attention of the child; or</w:t>
      </w:r>
    </w:p>
    <w:p w14:paraId="22C0B93A" w14:textId="4FB1B5CD" w:rsidR="00C2325B" w:rsidRDefault="00C2325B">
      <w:pPr>
        <w:pStyle w:val="ListParagraph"/>
        <w:numPr>
          <w:ilvl w:val="0"/>
          <w:numId w:val="121"/>
        </w:numPr>
        <w:spacing w:after="0" w:line="240" w:lineRule="auto"/>
        <w:ind w:left="357" w:hanging="357"/>
        <w:jc w:val="both"/>
        <w:rPr>
          <w:rFonts w:ascii="Arial" w:hAnsi="Arial" w:cs="Arial"/>
          <w:color w:val="000000"/>
          <w:sz w:val="20"/>
        </w:rPr>
      </w:pPr>
      <w:r>
        <w:rPr>
          <w:rFonts w:ascii="Arial" w:hAnsi="Arial" w:cs="Arial"/>
          <w:color w:val="000000"/>
          <w:sz w:val="20"/>
        </w:rPr>
        <w:t>service of a notice under paragraph (a) cannot be effected.</w:t>
      </w:r>
    </w:p>
    <w:p w14:paraId="5AF9FCC0" w14:textId="77777777" w:rsidR="00B22584" w:rsidRPr="00F51496" w:rsidRDefault="00B22584">
      <w:pPr>
        <w:jc w:val="both"/>
        <w:rPr>
          <w:rFonts w:ascii="Arial" w:hAnsi="Arial" w:cs="Arial"/>
          <w:color w:val="000000"/>
        </w:rPr>
      </w:pPr>
    </w:p>
    <w:p w14:paraId="43623208" w14:textId="77777777" w:rsidR="00B22584" w:rsidRPr="00F51496" w:rsidRDefault="00B22584">
      <w:pPr>
        <w:pStyle w:val="Heading2"/>
        <w:keepNext/>
        <w:keepLines/>
        <w:tabs>
          <w:tab w:val="left" w:pos="567"/>
        </w:tabs>
        <w:spacing w:line="240" w:lineRule="auto"/>
        <w:ind w:left="567" w:hanging="567"/>
        <w:rPr>
          <w:rFonts w:ascii="Arial" w:hAnsi="Arial" w:cs="Arial"/>
          <w:b/>
          <w:bCs/>
          <w:color w:val="000000"/>
        </w:rPr>
      </w:pPr>
      <w:bookmarkStart w:id="437" w:name="_7.9_Representation_of"/>
      <w:bookmarkStart w:id="438" w:name="_Toc30669428"/>
      <w:bookmarkStart w:id="439" w:name="_Toc30671648"/>
      <w:bookmarkStart w:id="440" w:name="_Toc30674175"/>
      <w:bookmarkStart w:id="441" w:name="_Toc30691397"/>
      <w:bookmarkStart w:id="442" w:name="_Toc30691772"/>
      <w:bookmarkStart w:id="443" w:name="_Toc30692152"/>
      <w:bookmarkStart w:id="444" w:name="_Toc30692911"/>
      <w:bookmarkStart w:id="445" w:name="_Toc30693290"/>
      <w:bookmarkStart w:id="446" w:name="_Toc30693668"/>
      <w:bookmarkStart w:id="447" w:name="_Toc30694046"/>
      <w:bookmarkStart w:id="448" w:name="_Toc30694426"/>
      <w:bookmarkStart w:id="449" w:name="_Toc30699015"/>
      <w:bookmarkStart w:id="450" w:name="_Toc30699393"/>
      <w:bookmarkStart w:id="451" w:name="_Toc30699778"/>
      <w:bookmarkStart w:id="452" w:name="_Toc30700933"/>
      <w:bookmarkStart w:id="453" w:name="_Toc30701320"/>
      <w:bookmarkStart w:id="454" w:name="_Toc30743931"/>
      <w:bookmarkStart w:id="455" w:name="_Toc30754754"/>
      <w:bookmarkStart w:id="456" w:name="_Toc30757195"/>
      <w:bookmarkStart w:id="457" w:name="_Toc30757743"/>
      <w:bookmarkStart w:id="458" w:name="_Toc30758143"/>
      <w:bookmarkStart w:id="459" w:name="_Toc30762904"/>
      <w:bookmarkStart w:id="460" w:name="_Toc30767558"/>
      <w:bookmarkStart w:id="461" w:name="_Toc34823576"/>
      <w:bookmarkEnd w:id="437"/>
      <w:r w:rsidRPr="00F51496">
        <w:rPr>
          <w:rFonts w:ascii="Arial" w:hAnsi="Arial" w:cs="Arial"/>
          <w:b/>
          <w:bCs/>
          <w:color w:val="000000"/>
        </w:rPr>
        <w:t>7.9</w:t>
      </w:r>
      <w:r w:rsidRPr="00F51496">
        <w:rPr>
          <w:rFonts w:ascii="Arial" w:hAnsi="Arial" w:cs="Arial"/>
          <w:b/>
          <w:bCs/>
          <w:color w:val="000000"/>
        </w:rPr>
        <w:tab/>
        <w:t>Representation of children in the Criminal Division of the Court</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p>
    <w:p w14:paraId="29264668" w14:textId="77777777" w:rsidR="000977FA" w:rsidRPr="00F51496" w:rsidRDefault="000977FA" w:rsidP="00A6499C">
      <w:pPr>
        <w:keepNext/>
        <w:keepLines/>
        <w:pBdr>
          <w:top w:val="single" w:sz="4" w:space="1" w:color="auto"/>
          <w:left w:val="single" w:sz="4" w:space="4" w:color="auto"/>
          <w:bottom w:val="single" w:sz="4" w:space="1" w:color="auto"/>
          <w:right w:val="single" w:sz="4" w:space="4" w:color="auto"/>
        </w:pBdr>
        <w:spacing w:before="120"/>
        <w:ind w:left="1134" w:right="1134"/>
        <w:jc w:val="center"/>
        <w:rPr>
          <w:rFonts w:ascii="Arial" w:hAnsi="Arial" w:cs="Arial"/>
          <w:b/>
          <w:bCs/>
          <w:color w:val="000000"/>
          <w:sz w:val="20"/>
        </w:rPr>
      </w:pPr>
      <w:r w:rsidRPr="00F51496">
        <w:rPr>
          <w:rFonts w:ascii="Arial" w:hAnsi="Arial" w:cs="Arial"/>
          <w:b/>
          <w:bCs/>
          <w:color w:val="000000"/>
          <w:sz w:val="20"/>
        </w:rPr>
        <w:t>"Lawyers, I suppose, were children once."</w:t>
      </w:r>
    </w:p>
    <w:p w14:paraId="3C67D408" w14:textId="77777777" w:rsidR="000977FA" w:rsidRPr="00F51496" w:rsidRDefault="000977FA" w:rsidP="000977FA">
      <w:pPr>
        <w:pBdr>
          <w:top w:val="single" w:sz="4" w:space="1" w:color="auto"/>
          <w:left w:val="single" w:sz="4" w:space="4" w:color="auto"/>
          <w:bottom w:val="single" w:sz="4" w:space="1" w:color="auto"/>
          <w:right w:val="single" w:sz="4" w:space="4" w:color="auto"/>
        </w:pBdr>
        <w:ind w:left="1134" w:right="1134"/>
        <w:jc w:val="center"/>
        <w:rPr>
          <w:rFonts w:ascii="Arial" w:hAnsi="Arial" w:cs="Arial"/>
          <w:color w:val="000000"/>
          <w:sz w:val="20"/>
        </w:rPr>
      </w:pPr>
      <w:r w:rsidRPr="00F51496">
        <w:rPr>
          <w:rFonts w:ascii="Arial" w:hAnsi="Arial" w:cs="Arial"/>
          <w:color w:val="000000"/>
          <w:sz w:val="20"/>
        </w:rPr>
        <w:t xml:space="preserve">Inscription upon the statue of a child in the </w:t>
      </w:r>
      <w:smartTag w:uri="urn:schemas-microsoft-com:office:smarttags" w:element="PlaceName">
        <w:r w:rsidRPr="00F51496">
          <w:rPr>
            <w:rFonts w:ascii="Arial" w:hAnsi="Arial" w:cs="Arial"/>
            <w:color w:val="000000"/>
            <w:sz w:val="20"/>
          </w:rPr>
          <w:t>Inner</w:t>
        </w:r>
      </w:smartTag>
      <w:r w:rsidRPr="00F51496">
        <w:rPr>
          <w:rFonts w:ascii="Arial" w:hAnsi="Arial" w:cs="Arial"/>
          <w:color w:val="000000"/>
          <w:sz w:val="20"/>
        </w:rPr>
        <w:t xml:space="preserve"> </w:t>
      </w:r>
      <w:smartTag w:uri="urn:schemas-microsoft-com:office:smarttags" w:element="PlaceType">
        <w:r w:rsidRPr="00F51496">
          <w:rPr>
            <w:rFonts w:ascii="Arial" w:hAnsi="Arial" w:cs="Arial"/>
            <w:color w:val="000000"/>
            <w:sz w:val="20"/>
          </w:rPr>
          <w:t>Temple</w:t>
        </w:r>
      </w:smartTag>
      <w:r w:rsidRPr="00F51496">
        <w:rPr>
          <w:rFonts w:ascii="Arial" w:hAnsi="Arial" w:cs="Arial"/>
          <w:color w:val="000000"/>
          <w:sz w:val="20"/>
        </w:rPr>
        <w:t xml:space="preserve"> </w:t>
      </w:r>
      <w:smartTag w:uri="urn:schemas-microsoft-com:office:smarttags" w:element="PlaceType">
        <w:r w:rsidRPr="00F51496">
          <w:rPr>
            <w:rFonts w:ascii="Arial" w:hAnsi="Arial" w:cs="Arial"/>
            <w:color w:val="000000"/>
            <w:sz w:val="20"/>
          </w:rPr>
          <w:t>Garden</w:t>
        </w:r>
      </w:smartTag>
      <w:r w:rsidRPr="00F51496">
        <w:rPr>
          <w:rFonts w:ascii="Arial" w:hAnsi="Arial" w:cs="Arial"/>
          <w:color w:val="000000"/>
          <w:sz w:val="20"/>
        </w:rPr>
        <w:t xml:space="preserve"> in </w:t>
      </w:r>
      <w:smartTag w:uri="urn:schemas-microsoft-com:office:smarttags" w:element="City">
        <w:smartTag w:uri="urn:schemas-microsoft-com:office:smarttags" w:element="place">
          <w:r w:rsidRPr="00F51496">
            <w:rPr>
              <w:rFonts w:ascii="Arial" w:hAnsi="Arial" w:cs="Arial"/>
              <w:color w:val="000000"/>
              <w:sz w:val="20"/>
            </w:rPr>
            <w:t>London</w:t>
          </w:r>
        </w:smartTag>
      </w:smartTag>
    </w:p>
    <w:p w14:paraId="1C944357" w14:textId="224F03AC" w:rsidR="00812928" w:rsidRDefault="00812928" w:rsidP="00A6499C">
      <w:pPr>
        <w:spacing w:before="120"/>
        <w:jc w:val="both"/>
        <w:rPr>
          <w:rFonts w:ascii="Arial" w:hAnsi="Arial" w:cs="Arial"/>
          <w:color w:val="000000"/>
          <w:sz w:val="20"/>
        </w:rPr>
      </w:pPr>
      <w:r>
        <w:rPr>
          <w:rFonts w:ascii="Arial" w:hAnsi="Arial" w:cs="Arial"/>
          <w:color w:val="000000"/>
          <w:sz w:val="20"/>
        </w:rPr>
        <w:t>Section 170 YJA provides:</w:t>
      </w:r>
    </w:p>
    <w:p w14:paraId="3DF6EC24" w14:textId="58F7213C" w:rsidR="00812928" w:rsidRPr="00812928" w:rsidRDefault="00812928" w:rsidP="00812928">
      <w:pPr>
        <w:pStyle w:val="DraftHeading2"/>
        <w:tabs>
          <w:tab w:val="right" w:pos="1247"/>
        </w:tabs>
        <w:spacing w:before="60"/>
        <w:ind w:left="924" w:right="567" w:hanging="357"/>
        <w:jc w:val="both"/>
        <w:rPr>
          <w:rFonts w:ascii="Arial" w:hAnsi="Arial" w:cs="Arial"/>
          <w:sz w:val="20"/>
          <w:szCs w:val="16"/>
        </w:rPr>
      </w:pPr>
      <w:r w:rsidRPr="00812928">
        <w:rPr>
          <w:rFonts w:ascii="Arial" w:hAnsi="Arial" w:cs="Arial"/>
          <w:sz w:val="20"/>
          <w:szCs w:val="16"/>
        </w:rPr>
        <w:t>(1)</w:t>
      </w:r>
      <w:r w:rsidRPr="00812928">
        <w:rPr>
          <w:rFonts w:ascii="Arial" w:hAnsi="Arial" w:cs="Arial"/>
          <w:sz w:val="20"/>
          <w:szCs w:val="16"/>
        </w:rPr>
        <w:tab/>
      </w:r>
      <w:r>
        <w:rPr>
          <w:rFonts w:ascii="Arial" w:hAnsi="Arial" w:cs="Arial"/>
          <w:sz w:val="20"/>
          <w:szCs w:val="16"/>
        </w:rPr>
        <w:t>“</w:t>
      </w:r>
      <w:r w:rsidRPr="00812928">
        <w:rPr>
          <w:rFonts w:ascii="Arial" w:hAnsi="Arial" w:cs="Arial"/>
          <w:sz w:val="20"/>
          <w:szCs w:val="16"/>
        </w:rPr>
        <w:t xml:space="preserve">The Children's Court </w:t>
      </w:r>
      <w:r w:rsidRPr="007E1344">
        <w:rPr>
          <w:rFonts w:ascii="Arial" w:hAnsi="Arial" w:cs="Arial"/>
          <w:b/>
          <w:bCs/>
          <w:sz w:val="20"/>
          <w:szCs w:val="16"/>
        </w:rPr>
        <w:t>may</w:t>
      </w:r>
      <w:r w:rsidRPr="00812928">
        <w:rPr>
          <w:rFonts w:ascii="Arial" w:hAnsi="Arial" w:cs="Arial"/>
          <w:sz w:val="20"/>
          <w:szCs w:val="16"/>
        </w:rPr>
        <w:t xml:space="preserve"> adjourn the hearing of a proceeding to enable a child who is not legally represented to obtain legal representation.</w:t>
      </w:r>
    </w:p>
    <w:p w14:paraId="44CDEEC7" w14:textId="4D289DA4" w:rsidR="00812928" w:rsidRPr="00812928" w:rsidRDefault="00812928" w:rsidP="00812928">
      <w:pPr>
        <w:pStyle w:val="DraftHeading2"/>
        <w:tabs>
          <w:tab w:val="right" w:pos="1247"/>
        </w:tabs>
        <w:spacing w:before="0"/>
        <w:ind w:left="924" w:right="567" w:hanging="357"/>
        <w:jc w:val="both"/>
        <w:rPr>
          <w:rFonts w:ascii="Arial" w:hAnsi="Arial" w:cs="Arial"/>
          <w:sz w:val="20"/>
          <w:szCs w:val="16"/>
        </w:rPr>
      </w:pPr>
      <w:r w:rsidRPr="00812928">
        <w:rPr>
          <w:rFonts w:ascii="Arial" w:hAnsi="Arial" w:cs="Arial"/>
          <w:sz w:val="20"/>
          <w:szCs w:val="16"/>
        </w:rPr>
        <w:t>(2)</w:t>
      </w:r>
      <w:r w:rsidRPr="00812928">
        <w:rPr>
          <w:rFonts w:ascii="Arial" w:hAnsi="Arial" w:cs="Arial"/>
          <w:sz w:val="20"/>
          <w:szCs w:val="16"/>
        </w:rPr>
        <w:tab/>
        <w:t>A legal practitioner representing a child in any proceeding in the Children's Court must act in accordance with any instructions given or wishes expressed by the child so far as it is practicable to do so having regard to the maturity of the child.</w:t>
      </w:r>
      <w:r>
        <w:rPr>
          <w:rFonts w:ascii="Arial" w:hAnsi="Arial" w:cs="Arial"/>
          <w:sz w:val="20"/>
          <w:szCs w:val="16"/>
        </w:rPr>
        <w:t>”</w:t>
      </w:r>
    </w:p>
    <w:p w14:paraId="2B1391DD" w14:textId="77777777" w:rsidR="00812928" w:rsidRDefault="00812928" w:rsidP="00812928">
      <w:pPr>
        <w:jc w:val="both"/>
        <w:rPr>
          <w:rFonts w:ascii="Arial" w:hAnsi="Arial" w:cs="Arial"/>
          <w:color w:val="000000"/>
          <w:sz w:val="20"/>
        </w:rPr>
      </w:pPr>
    </w:p>
    <w:p w14:paraId="3CE55D80" w14:textId="46206798" w:rsidR="00812928" w:rsidRDefault="00812928" w:rsidP="00812928">
      <w:pPr>
        <w:jc w:val="both"/>
        <w:rPr>
          <w:rFonts w:ascii="Arial" w:hAnsi="Arial" w:cs="Arial"/>
          <w:color w:val="000000"/>
          <w:sz w:val="20"/>
        </w:rPr>
      </w:pPr>
      <w:r>
        <w:rPr>
          <w:rFonts w:ascii="Arial" w:hAnsi="Arial" w:cs="Arial"/>
          <w:color w:val="000000"/>
          <w:sz w:val="20"/>
        </w:rPr>
        <w:t>Section 171 YJA provides</w:t>
      </w:r>
      <w:r w:rsidR="00DC5E20">
        <w:rPr>
          <w:rFonts w:ascii="Arial" w:hAnsi="Arial" w:cs="Arial"/>
          <w:color w:val="000000"/>
          <w:sz w:val="20"/>
        </w:rPr>
        <w:t>:</w:t>
      </w:r>
    </w:p>
    <w:p w14:paraId="32DFE2B7" w14:textId="1B8F3697" w:rsidR="00812928" w:rsidRPr="00812928" w:rsidRDefault="00812928" w:rsidP="008F44D9">
      <w:pPr>
        <w:pStyle w:val="DraftHeading2"/>
        <w:tabs>
          <w:tab w:val="right" w:pos="1247"/>
        </w:tabs>
        <w:spacing w:before="60"/>
        <w:ind w:left="924" w:right="567" w:hanging="357"/>
        <w:jc w:val="both"/>
        <w:rPr>
          <w:rFonts w:ascii="Arial" w:hAnsi="Arial" w:cs="Arial"/>
          <w:sz w:val="20"/>
          <w:szCs w:val="16"/>
        </w:rPr>
      </w:pPr>
      <w:bookmarkStart w:id="462" w:name="_Hlk140408308"/>
      <w:r w:rsidRPr="00812928">
        <w:rPr>
          <w:rFonts w:ascii="Arial" w:hAnsi="Arial" w:cs="Arial"/>
          <w:sz w:val="20"/>
          <w:szCs w:val="16"/>
        </w:rPr>
        <w:t>(1)</w:t>
      </w:r>
      <w:r w:rsidRPr="00812928">
        <w:rPr>
          <w:rFonts w:ascii="Arial" w:hAnsi="Arial" w:cs="Arial"/>
          <w:sz w:val="20"/>
          <w:szCs w:val="16"/>
        </w:rPr>
        <w:tab/>
      </w:r>
      <w:r w:rsidR="00DC5E20">
        <w:rPr>
          <w:rFonts w:ascii="Arial" w:hAnsi="Arial" w:cs="Arial"/>
          <w:sz w:val="20"/>
          <w:szCs w:val="16"/>
        </w:rPr>
        <w:t>“</w:t>
      </w:r>
      <w:r w:rsidRPr="00812928">
        <w:rPr>
          <w:rFonts w:ascii="Arial" w:hAnsi="Arial" w:cs="Arial"/>
          <w:sz w:val="20"/>
          <w:szCs w:val="16"/>
        </w:rPr>
        <w:t xml:space="preserve">The Children's Court </w:t>
      </w:r>
      <w:r w:rsidRPr="007E1344">
        <w:rPr>
          <w:rFonts w:ascii="Arial" w:hAnsi="Arial" w:cs="Arial"/>
          <w:b/>
          <w:bCs/>
          <w:sz w:val="20"/>
          <w:szCs w:val="16"/>
        </w:rPr>
        <w:t>must</w:t>
      </w:r>
      <w:r w:rsidRPr="00812928">
        <w:rPr>
          <w:rFonts w:ascii="Arial" w:hAnsi="Arial" w:cs="Arial"/>
          <w:sz w:val="20"/>
          <w:szCs w:val="16"/>
        </w:rPr>
        <w:t xml:space="preserve"> adjourn the hearing of any of the following proceedings to enable a child who is not legally represented to obtain legal representation—</w:t>
      </w:r>
    </w:p>
    <w:p w14:paraId="26B95EE1" w14:textId="7D3DADB6" w:rsidR="00812928" w:rsidRPr="00812928" w:rsidRDefault="00812928" w:rsidP="008F44D9">
      <w:pPr>
        <w:pStyle w:val="DraftHeading3"/>
        <w:spacing w:before="0"/>
        <w:ind w:left="1281" w:right="567" w:hanging="357"/>
        <w:jc w:val="both"/>
        <w:rPr>
          <w:rFonts w:ascii="Arial" w:hAnsi="Arial" w:cs="Arial"/>
          <w:sz w:val="20"/>
          <w:szCs w:val="16"/>
        </w:rPr>
      </w:pPr>
      <w:r w:rsidRPr="00812928">
        <w:rPr>
          <w:rFonts w:ascii="Arial" w:hAnsi="Arial" w:cs="Arial"/>
          <w:sz w:val="20"/>
          <w:szCs w:val="16"/>
        </w:rPr>
        <w:t>(a)</w:t>
      </w:r>
      <w:r>
        <w:rPr>
          <w:rFonts w:ascii="Arial" w:hAnsi="Arial" w:cs="Arial"/>
          <w:sz w:val="20"/>
          <w:szCs w:val="16"/>
        </w:rPr>
        <w:tab/>
      </w:r>
      <w:r w:rsidRPr="00812928">
        <w:rPr>
          <w:rFonts w:ascii="Arial" w:hAnsi="Arial" w:cs="Arial"/>
          <w:sz w:val="20"/>
          <w:szCs w:val="16"/>
        </w:rPr>
        <w:t>a hearing in relation to the criminal responsibility of a child;</w:t>
      </w:r>
    </w:p>
    <w:p w14:paraId="3079A6B8" w14:textId="79FB543B" w:rsidR="00812928" w:rsidRPr="00812928" w:rsidRDefault="00812928" w:rsidP="008F44D9">
      <w:pPr>
        <w:pStyle w:val="DraftHeading3"/>
        <w:tabs>
          <w:tab w:val="right" w:pos="1757"/>
        </w:tabs>
        <w:spacing w:before="0"/>
        <w:ind w:left="1281" w:right="567" w:hanging="357"/>
        <w:jc w:val="both"/>
        <w:rPr>
          <w:rFonts w:ascii="Arial" w:hAnsi="Arial" w:cs="Arial"/>
          <w:sz w:val="20"/>
          <w:szCs w:val="16"/>
        </w:rPr>
      </w:pPr>
      <w:r w:rsidRPr="00812928">
        <w:rPr>
          <w:rFonts w:ascii="Arial" w:hAnsi="Arial" w:cs="Arial"/>
          <w:sz w:val="20"/>
          <w:szCs w:val="16"/>
        </w:rPr>
        <w:t>(b)</w:t>
      </w:r>
      <w:r w:rsidRPr="00812928">
        <w:rPr>
          <w:rFonts w:ascii="Arial" w:hAnsi="Arial" w:cs="Arial"/>
          <w:sz w:val="20"/>
          <w:szCs w:val="16"/>
        </w:rPr>
        <w:tab/>
      </w:r>
      <w:r>
        <w:rPr>
          <w:rFonts w:ascii="Arial" w:hAnsi="Arial" w:cs="Arial"/>
          <w:sz w:val="20"/>
          <w:szCs w:val="16"/>
        </w:rPr>
        <w:tab/>
      </w:r>
      <w:r w:rsidRPr="00812928">
        <w:rPr>
          <w:rFonts w:ascii="Arial" w:hAnsi="Arial" w:cs="Arial"/>
          <w:sz w:val="20"/>
          <w:szCs w:val="16"/>
        </w:rPr>
        <w:t xml:space="preserve">a hearing under the </w:t>
      </w:r>
      <w:r w:rsidRPr="00812928">
        <w:rPr>
          <w:rFonts w:ascii="Arial" w:hAnsi="Arial" w:cs="Arial"/>
          <w:bCs/>
          <w:i/>
          <w:iCs/>
          <w:sz w:val="20"/>
          <w:szCs w:val="16"/>
        </w:rPr>
        <w:t>Bail Act</w:t>
      </w:r>
      <w:r>
        <w:rPr>
          <w:rFonts w:ascii="Arial" w:hAnsi="Arial" w:cs="Arial"/>
          <w:bCs/>
          <w:i/>
          <w:iCs/>
          <w:sz w:val="20"/>
          <w:szCs w:val="16"/>
        </w:rPr>
        <w:t xml:space="preserve"> </w:t>
      </w:r>
      <w:r w:rsidRPr="00812928">
        <w:rPr>
          <w:rFonts w:ascii="Arial" w:hAnsi="Arial" w:cs="Arial"/>
          <w:bCs/>
          <w:i/>
          <w:iCs/>
          <w:sz w:val="20"/>
          <w:szCs w:val="16"/>
        </w:rPr>
        <w:t>1977</w:t>
      </w:r>
      <w:r w:rsidRPr="00812928">
        <w:rPr>
          <w:rFonts w:ascii="Arial" w:hAnsi="Arial" w:cs="Arial"/>
          <w:sz w:val="20"/>
          <w:szCs w:val="16"/>
        </w:rPr>
        <w:t>, including the following—</w:t>
      </w:r>
    </w:p>
    <w:p w14:paraId="45FDB789" w14:textId="503FABD9" w:rsidR="00812928" w:rsidRPr="00812928" w:rsidRDefault="00812928" w:rsidP="007E1344">
      <w:pPr>
        <w:pStyle w:val="DraftHeading4"/>
        <w:tabs>
          <w:tab w:val="right" w:pos="2268"/>
        </w:tabs>
        <w:spacing w:before="0"/>
        <w:ind w:left="1638" w:right="567" w:hanging="357"/>
        <w:jc w:val="both"/>
        <w:rPr>
          <w:rFonts w:ascii="Arial" w:hAnsi="Arial" w:cs="Arial"/>
          <w:sz w:val="20"/>
          <w:szCs w:val="16"/>
        </w:rPr>
      </w:pPr>
      <w:r w:rsidRPr="00812928">
        <w:rPr>
          <w:rFonts w:ascii="Arial" w:hAnsi="Arial" w:cs="Arial"/>
          <w:sz w:val="20"/>
          <w:szCs w:val="16"/>
        </w:rPr>
        <w:t>(i)</w:t>
      </w:r>
      <w:r w:rsidRPr="00812928">
        <w:rPr>
          <w:rFonts w:ascii="Arial" w:hAnsi="Arial" w:cs="Arial"/>
          <w:sz w:val="20"/>
          <w:szCs w:val="16"/>
        </w:rPr>
        <w:tab/>
        <w:t>a hearing in which the informant or prosecutor or any person appearing on behalf of the Crown intends to oppose the grant of bail;</w:t>
      </w:r>
    </w:p>
    <w:p w14:paraId="00F1773A" w14:textId="001CC0F3" w:rsidR="007E1344" w:rsidRPr="00812928" w:rsidRDefault="00812928" w:rsidP="007E1344">
      <w:pPr>
        <w:pStyle w:val="DraftHeading4"/>
        <w:tabs>
          <w:tab w:val="right" w:pos="2268"/>
        </w:tabs>
        <w:spacing w:before="0"/>
        <w:ind w:left="1638" w:right="567" w:hanging="357"/>
        <w:jc w:val="both"/>
        <w:rPr>
          <w:rFonts w:ascii="Arial" w:hAnsi="Arial" w:cs="Arial"/>
          <w:sz w:val="20"/>
          <w:szCs w:val="16"/>
        </w:rPr>
      </w:pPr>
      <w:r w:rsidRPr="00812928">
        <w:rPr>
          <w:rFonts w:ascii="Arial" w:hAnsi="Arial" w:cs="Arial"/>
          <w:sz w:val="20"/>
          <w:szCs w:val="16"/>
        </w:rPr>
        <w:t>(ii)</w:t>
      </w:r>
      <w:r w:rsidRPr="00812928">
        <w:rPr>
          <w:rFonts w:ascii="Arial" w:hAnsi="Arial" w:cs="Arial"/>
          <w:sz w:val="20"/>
          <w:szCs w:val="16"/>
        </w:rPr>
        <w:tab/>
        <w:t>a hearing under section</w:t>
      </w:r>
      <w:r w:rsidR="007E1344">
        <w:rPr>
          <w:rFonts w:ascii="Arial" w:hAnsi="Arial" w:cs="Arial"/>
          <w:sz w:val="20"/>
          <w:szCs w:val="16"/>
        </w:rPr>
        <w:t xml:space="preserve"> </w:t>
      </w:r>
      <w:r w:rsidRPr="00812928">
        <w:rPr>
          <w:rFonts w:ascii="Arial" w:hAnsi="Arial" w:cs="Arial"/>
          <w:sz w:val="20"/>
          <w:szCs w:val="16"/>
        </w:rPr>
        <w:t xml:space="preserve">24 of the </w:t>
      </w:r>
      <w:r w:rsidRPr="00812928">
        <w:rPr>
          <w:rFonts w:ascii="Arial" w:hAnsi="Arial" w:cs="Arial"/>
          <w:bCs/>
          <w:i/>
          <w:iCs/>
          <w:sz w:val="20"/>
          <w:szCs w:val="16"/>
        </w:rPr>
        <w:t>Bail Act</w:t>
      </w:r>
      <w:r>
        <w:rPr>
          <w:rFonts w:ascii="Arial" w:hAnsi="Arial" w:cs="Arial"/>
          <w:bCs/>
          <w:i/>
          <w:iCs/>
          <w:sz w:val="20"/>
          <w:szCs w:val="16"/>
        </w:rPr>
        <w:t xml:space="preserve"> </w:t>
      </w:r>
      <w:r w:rsidRPr="00812928">
        <w:rPr>
          <w:rFonts w:ascii="Arial" w:hAnsi="Arial" w:cs="Arial"/>
          <w:bCs/>
          <w:i/>
          <w:iCs/>
          <w:sz w:val="20"/>
          <w:szCs w:val="16"/>
        </w:rPr>
        <w:t>1977</w:t>
      </w:r>
      <w:r w:rsidRPr="00812928">
        <w:rPr>
          <w:rFonts w:ascii="Arial" w:hAnsi="Arial" w:cs="Arial"/>
          <w:sz w:val="20"/>
          <w:szCs w:val="16"/>
        </w:rPr>
        <w:t>;</w:t>
      </w:r>
    </w:p>
    <w:p w14:paraId="38E2F3DE" w14:textId="5239FBA0" w:rsidR="00812928" w:rsidRPr="00812928" w:rsidRDefault="00812928" w:rsidP="008F44D9">
      <w:pPr>
        <w:pStyle w:val="DraftHeading3"/>
        <w:tabs>
          <w:tab w:val="right" w:pos="1758"/>
        </w:tabs>
        <w:spacing w:before="0"/>
        <w:ind w:left="1281" w:right="567" w:hanging="357"/>
        <w:jc w:val="both"/>
        <w:rPr>
          <w:rFonts w:ascii="Arial" w:hAnsi="Arial" w:cs="Arial"/>
          <w:sz w:val="20"/>
          <w:szCs w:val="16"/>
        </w:rPr>
      </w:pPr>
      <w:r w:rsidRPr="00812928">
        <w:rPr>
          <w:rFonts w:ascii="Arial" w:hAnsi="Arial" w:cs="Arial"/>
          <w:sz w:val="20"/>
          <w:szCs w:val="16"/>
        </w:rPr>
        <w:t>(c)</w:t>
      </w:r>
      <w:r w:rsidRPr="00812928">
        <w:rPr>
          <w:rFonts w:ascii="Arial" w:hAnsi="Arial" w:cs="Arial"/>
          <w:sz w:val="20"/>
          <w:szCs w:val="16"/>
        </w:rPr>
        <w:tab/>
        <w:t>a proceeding or an investigation into the fitness of a child to stand trial under Part</w:t>
      </w:r>
      <w:r w:rsidRPr="00812928">
        <w:rPr>
          <w:rFonts w:ascii="Arial" w:hAnsi="Arial" w:cs="Arial"/>
          <w:color w:val="FFFFFF" w:themeColor="background1"/>
          <w:sz w:val="20"/>
          <w:szCs w:val="16"/>
        </w:rPr>
        <w:t> </w:t>
      </w:r>
      <w:r w:rsidRPr="00812928">
        <w:rPr>
          <w:rFonts w:ascii="Arial" w:hAnsi="Arial" w:cs="Arial"/>
          <w:sz w:val="20"/>
          <w:szCs w:val="16"/>
        </w:rPr>
        <w:t xml:space="preserve">5A of the </w:t>
      </w:r>
      <w:r w:rsidRPr="00812928">
        <w:rPr>
          <w:rFonts w:ascii="Arial" w:hAnsi="Arial" w:cs="Arial"/>
          <w:bCs/>
          <w:i/>
          <w:iCs/>
          <w:sz w:val="20"/>
          <w:szCs w:val="16"/>
        </w:rPr>
        <w:t>Crimes (Mental Impairment and Unfitness to be Tried) Act</w:t>
      </w:r>
      <w:r>
        <w:rPr>
          <w:rFonts w:ascii="Arial" w:hAnsi="Arial" w:cs="Arial"/>
          <w:bCs/>
          <w:i/>
          <w:iCs/>
          <w:sz w:val="20"/>
          <w:szCs w:val="16"/>
        </w:rPr>
        <w:t xml:space="preserve"> </w:t>
      </w:r>
      <w:r w:rsidRPr="00812928">
        <w:rPr>
          <w:rFonts w:ascii="Arial" w:hAnsi="Arial" w:cs="Arial"/>
          <w:bCs/>
          <w:i/>
          <w:iCs/>
          <w:sz w:val="20"/>
          <w:szCs w:val="16"/>
        </w:rPr>
        <w:t>1997</w:t>
      </w:r>
      <w:r w:rsidRPr="00812928">
        <w:rPr>
          <w:rFonts w:ascii="Arial" w:hAnsi="Arial" w:cs="Arial"/>
          <w:sz w:val="20"/>
          <w:szCs w:val="16"/>
        </w:rPr>
        <w:t>;</w:t>
      </w:r>
    </w:p>
    <w:p w14:paraId="75B27080" w14:textId="3D1BC350" w:rsidR="00812928" w:rsidRPr="00812928" w:rsidRDefault="00812928" w:rsidP="008F44D9">
      <w:pPr>
        <w:pStyle w:val="DraftHeading3"/>
        <w:tabs>
          <w:tab w:val="right" w:pos="1758"/>
        </w:tabs>
        <w:spacing w:before="0"/>
        <w:ind w:left="1281" w:right="567" w:hanging="357"/>
        <w:jc w:val="both"/>
        <w:rPr>
          <w:rFonts w:ascii="Arial" w:hAnsi="Arial" w:cs="Arial"/>
          <w:sz w:val="20"/>
          <w:szCs w:val="16"/>
        </w:rPr>
      </w:pPr>
      <w:r w:rsidRPr="00812928">
        <w:rPr>
          <w:rFonts w:ascii="Arial" w:hAnsi="Arial" w:cs="Arial"/>
          <w:sz w:val="20"/>
          <w:szCs w:val="16"/>
        </w:rPr>
        <w:t>(d)</w:t>
      </w:r>
      <w:r w:rsidRPr="00812928">
        <w:rPr>
          <w:rFonts w:ascii="Arial" w:hAnsi="Arial" w:cs="Arial"/>
          <w:sz w:val="20"/>
          <w:szCs w:val="16"/>
        </w:rPr>
        <w:tab/>
        <w:t xml:space="preserve">a proceeding under Part 4A of the </w:t>
      </w:r>
      <w:r w:rsidRPr="00812928">
        <w:rPr>
          <w:rFonts w:ascii="Arial" w:hAnsi="Arial" w:cs="Arial"/>
          <w:bCs/>
          <w:i/>
          <w:iCs/>
          <w:sz w:val="20"/>
          <w:szCs w:val="16"/>
        </w:rPr>
        <w:t>Sex Offenders Registration Act</w:t>
      </w:r>
      <w:r>
        <w:rPr>
          <w:rFonts w:ascii="Arial" w:hAnsi="Arial" w:cs="Arial"/>
          <w:bCs/>
          <w:i/>
          <w:iCs/>
          <w:sz w:val="20"/>
          <w:szCs w:val="16"/>
        </w:rPr>
        <w:t xml:space="preserve"> </w:t>
      </w:r>
      <w:r w:rsidRPr="00812928">
        <w:rPr>
          <w:rFonts w:ascii="Arial" w:hAnsi="Arial" w:cs="Arial"/>
          <w:bCs/>
          <w:i/>
          <w:iCs/>
          <w:sz w:val="20"/>
          <w:szCs w:val="16"/>
        </w:rPr>
        <w:t>2004</w:t>
      </w:r>
      <w:r w:rsidRPr="00812928">
        <w:rPr>
          <w:rFonts w:ascii="Arial" w:hAnsi="Arial" w:cs="Arial"/>
          <w:sz w:val="20"/>
          <w:szCs w:val="16"/>
        </w:rPr>
        <w:t>;</w:t>
      </w:r>
    </w:p>
    <w:p w14:paraId="5992CB12" w14:textId="393B01C2" w:rsidR="00812928" w:rsidRPr="00812928" w:rsidRDefault="00812928" w:rsidP="008F44D9">
      <w:pPr>
        <w:pStyle w:val="DraftHeading3"/>
        <w:tabs>
          <w:tab w:val="right" w:pos="1758"/>
        </w:tabs>
        <w:spacing w:before="0"/>
        <w:ind w:left="1281" w:right="567" w:hanging="357"/>
        <w:jc w:val="both"/>
        <w:rPr>
          <w:rFonts w:ascii="Arial" w:hAnsi="Arial" w:cs="Arial"/>
          <w:sz w:val="20"/>
          <w:szCs w:val="16"/>
        </w:rPr>
      </w:pPr>
      <w:r w:rsidRPr="00812928">
        <w:rPr>
          <w:rFonts w:ascii="Arial" w:hAnsi="Arial" w:cs="Arial"/>
          <w:sz w:val="20"/>
          <w:szCs w:val="16"/>
        </w:rPr>
        <w:t>(e)</w:t>
      </w:r>
      <w:r w:rsidRPr="00812928">
        <w:rPr>
          <w:rFonts w:ascii="Arial" w:hAnsi="Arial" w:cs="Arial"/>
          <w:sz w:val="20"/>
          <w:szCs w:val="16"/>
        </w:rPr>
        <w:tab/>
        <w:t>the hearing of a charge for an offence punishable, in the case of an adult, by imprisonment;</w:t>
      </w:r>
    </w:p>
    <w:p w14:paraId="6F855305" w14:textId="27BF3C94" w:rsidR="00812928" w:rsidRPr="00812928" w:rsidRDefault="00812928" w:rsidP="008F44D9">
      <w:pPr>
        <w:pStyle w:val="DraftHeading3"/>
        <w:tabs>
          <w:tab w:val="right" w:pos="1757"/>
        </w:tabs>
        <w:spacing w:before="0"/>
        <w:ind w:left="1281" w:right="567" w:hanging="357"/>
        <w:jc w:val="both"/>
        <w:rPr>
          <w:rFonts w:ascii="Arial" w:hAnsi="Arial" w:cs="Arial"/>
          <w:sz w:val="20"/>
          <w:szCs w:val="16"/>
        </w:rPr>
      </w:pPr>
      <w:r w:rsidRPr="00812928">
        <w:rPr>
          <w:rFonts w:ascii="Arial" w:hAnsi="Arial" w:cs="Arial"/>
          <w:sz w:val="20"/>
          <w:szCs w:val="16"/>
        </w:rPr>
        <w:t>(f)</w:t>
      </w:r>
      <w:r w:rsidRPr="00812928">
        <w:rPr>
          <w:rFonts w:ascii="Arial" w:hAnsi="Arial" w:cs="Arial"/>
          <w:sz w:val="20"/>
          <w:szCs w:val="16"/>
        </w:rPr>
        <w:tab/>
        <w:t>a review of a monetary penalty imposed by the Children's Court in respect of an offence punishable, in the case of an adult, by imprisonment;</w:t>
      </w:r>
    </w:p>
    <w:p w14:paraId="68CECCB7" w14:textId="6E83D015" w:rsidR="00812928" w:rsidRPr="00812928" w:rsidRDefault="00812928" w:rsidP="008F44D9">
      <w:pPr>
        <w:pStyle w:val="DraftHeading3"/>
        <w:tabs>
          <w:tab w:val="right" w:pos="1757"/>
        </w:tabs>
        <w:spacing w:before="0"/>
        <w:ind w:left="1281" w:right="567" w:hanging="357"/>
        <w:jc w:val="both"/>
        <w:rPr>
          <w:rFonts w:ascii="Arial" w:hAnsi="Arial" w:cs="Arial"/>
          <w:sz w:val="20"/>
          <w:szCs w:val="16"/>
        </w:rPr>
      </w:pPr>
      <w:r w:rsidRPr="00812928">
        <w:rPr>
          <w:rFonts w:ascii="Arial" w:hAnsi="Arial" w:cs="Arial"/>
          <w:sz w:val="20"/>
          <w:szCs w:val="16"/>
        </w:rPr>
        <w:t>(g)</w:t>
      </w:r>
      <w:r w:rsidRPr="00812928">
        <w:rPr>
          <w:rFonts w:ascii="Arial" w:hAnsi="Arial" w:cs="Arial"/>
          <w:sz w:val="20"/>
          <w:szCs w:val="16"/>
        </w:rPr>
        <w:tab/>
        <w:t>a proceeding in respect of—</w:t>
      </w:r>
    </w:p>
    <w:p w14:paraId="609089E1" w14:textId="5D481649" w:rsidR="00812928" w:rsidRPr="00812928" w:rsidRDefault="00812928" w:rsidP="008F44D9">
      <w:pPr>
        <w:pStyle w:val="DraftHeading4"/>
        <w:tabs>
          <w:tab w:val="right" w:pos="2268"/>
        </w:tabs>
        <w:spacing w:before="0"/>
        <w:ind w:left="1638" w:right="567" w:hanging="357"/>
        <w:jc w:val="both"/>
        <w:rPr>
          <w:rFonts w:ascii="Arial" w:hAnsi="Arial" w:cs="Arial"/>
          <w:sz w:val="20"/>
          <w:szCs w:val="16"/>
        </w:rPr>
      </w:pPr>
      <w:r w:rsidRPr="00812928">
        <w:rPr>
          <w:rFonts w:ascii="Arial" w:hAnsi="Arial" w:cs="Arial"/>
          <w:sz w:val="20"/>
          <w:szCs w:val="16"/>
        </w:rPr>
        <w:t>(i)</w:t>
      </w:r>
      <w:r w:rsidRPr="00812928">
        <w:rPr>
          <w:rFonts w:ascii="Arial" w:hAnsi="Arial" w:cs="Arial"/>
          <w:sz w:val="20"/>
          <w:szCs w:val="16"/>
        </w:rPr>
        <w:tab/>
        <w:t>varying a youth control order to make the order more restrictive; or</w:t>
      </w:r>
    </w:p>
    <w:p w14:paraId="2406712E" w14:textId="62D8DAD6" w:rsidR="00812928" w:rsidRPr="00812928" w:rsidRDefault="00812928" w:rsidP="008F44D9">
      <w:pPr>
        <w:pStyle w:val="DraftHeading4"/>
        <w:tabs>
          <w:tab w:val="right" w:pos="2268"/>
        </w:tabs>
        <w:spacing w:before="0"/>
        <w:ind w:left="1638" w:right="567" w:hanging="357"/>
        <w:jc w:val="both"/>
        <w:rPr>
          <w:rFonts w:ascii="Arial" w:hAnsi="Arial" w:cs="Arial"/>
          <w:sz w:val="20"/>
          <w:szCs w:val="16"/>
        </w:rPr>
      </w:pPr>
      <w:r w:rsidRPr="00812928">
        <w:rPr>
          <w:rFonts w:ascii="Arial" w:hAnsi="Arial" w:cs="Arial"/>
          <w:sz w:val="20"/>
          <w:szCs w:val="16"/>
        </w:rPr>
        <w:t>(ii)</w:t>
      </w:r>
      <w:r w:rsidRPr="00812928">
        <w:rPr>
          <w:rFonts w:ascii="Arial" w:hAnsi="Arial" w:cs="Arial"/>
          <w:sz w:val="20"/>
          <w:szCs w:val="16"/>
        </w:rPr>
        <w:tab/>
        <w:t>revoking a youth control order;</w:t>
      </w:r>
    </w:p>
    <w:p w14:paraId="2630AF87" w14:textId="3C67849B" w:rsidR="00812928" w:rsidRPr="00812928" w:rsidRDefault="00812928" w:rsidP="008F44D9">
      <w:pPr>
        <w:pStyle w:val="DraftHeading3"/>
        <w:tabs>
          <w:tab w:val="right" w:pos="1757"/>
        </w:tabs>
        <w:spacing w:before="0"/>
        <w:ind w:left="1281" w:right="567" w:hanging="357"/>
        <w:jc w:val="both"/>
        <w:rPr>
          <w:rFonts w:ascii="Arial" w:hAnsi="Arial" w:cs="Arial"/>
          <w:sz w:val="20"/>
          <w:szCs w:val="16"/>
        </w:rPr>
      </w:pPr>
      <w:r w:rsidRPr="00812928">
        <w:rPr>
          <w:rFonts w:ascii="Arial" w:hAnsi="Arial" w:cs="Arial"/>
          <w:sz w:val="20"/>
          <w:szCs w:val="16"/>
        </w:rPr>
        <w:t>(h)</w:t>
      </w:r>
      <w:r w:rsidRPr="00812928">
        <w:rPr>
          <w:rFonts w:ascii="Arial" w:hAnsi="Arial" w:cs="Arial"/>
          <w:sz w:val="20"/>
          <w:szCs w:val="16"/>
        </w:rPr>
        <w:tab/>
        <w:t>an application in respect of a contravention of a good behaviour order, community service order, probation order, youth supervision and support order or youth control order imposed by the Children's Court in respect of an offence punishable, in the case of an adult, by imprisonment.</w:t>
      </w:r>
    </w:p>
    <w:p w14:paraId="49EF08E8" w14:textId="0BD9F441" w:rsidR="001E68E8" w:rsidRPr="00812928" w:rsidRDefault="00812928" w:rsidP="008F44D9">
      <w:pPr>
        <w:pStyle w:val="DraftHeading2"/>
        <w:tabs>
          <w:tab w:val="right" w:pos="1247"/>
        </w:tabs>
        <w:spacing w:before="60"/>
        <w:ind w:left="924" w:right="567" w:hanging="357"/>
        <w:jc w:val="both"/>
        <w:rPr>
          <w:rFonts w:ascii="Arial" w:hAnsi="Arial" w:cs="Arial"/>
          <w:sz w:val="20"/>
          <w:szCs w:val="16"/>
        </w:rPr>
      </w:pPr>
      <w:r w:rsidRPr="00812928">
        <w:rPr>
          <w:rFonts w:ascii="Arial" w:hAnsi="Arial" w:cs="Arial"/>
          <w:sz w:val="20"/>
          <w:szCs w:val="16"/>
        </w:rPr>
        <w:t>(2)</w:t>
      </w:r>
      <w:r w:rsidRPr="00812928">
        <w:rPr>
          <w:rFonts w:ascii="Arial" w:hAnsi="Arial" w:cs="Arial"/>
          <w:sz w:val="20"/>
          <w:szCs w:val="16"/>
        </w:rPr>
        <w:tab/>
        <w:t>The Children's Court must not resume a hearing adjourned under this section unless—</w:t>
      </w:r>
    </w:p>
    <w:p w14:paraId="5CBFC479" w14:textId="12177243" w:rsidR="00812928" w:rsidRPr="00812928" w:rsidRDefault="00812928" w:rsidP="008F44D9">
      <w:pPr>
        <w:pStyle w:val="DraftHeading3"/>
        <w:tabs>
          <w:tab w:val="right" w:pos="1757"/>
        </w:tabs>
        <w:spacing w:before="0"/>
        <w:ind w:left="1281" w:right="567" w:hanging="357"/>
        <w:jc w:val="both"/>
        <w:rPr>
          <w:rFonts w:ascii="Arial" w:hAnsi="Arial" w:cs="Arial"/>
          <w:sz w:val="20"/>
          <w:szCs w:val="16"/>
        </w:rPr>
      </w:pPr>
      <w:r w:rsidRPr="00812928">
        <w:rPr>
          <w:rFonts w:ascii="Arial" w:hAnsi="Arial" w:cs="Arial"/>
          <w:sz w:val="20"/>
          <w:szCs w:val="16"/>
        </w:rPr>
        <w:t>(a)</w:t>
      </w:r>
      <w:r w:rsidRPr="00812928">
        <w:rPr>
          <w:rFonts w:ascii="Arial" w:hAnsi="Arial" w:cs="Arial"/>
          <w:sz w:val="20"/>
          <w:szCs w:val="16"/>
        </w:rPr>
        <w:tab/>
        <w:t>the child is legally represented; or</w:t>
      </w:r>
    </w:p>
    <w:p w14:paraId="43E13185" w14:textId="28871C47" w:rsidR="00812928" w:rsidRPr="00812928" w:rsidRDefault="00812928" w:rsidP="008F44D9">
      <w:pPr>
        <w:pStyle w:val="DraftHeading3"/>
        <w:tabs>
          <w:tab w:val="right" w:pos="1757"/>
        </w:tabs>
        <w:spacing w:before="0"/>
        <w:ind w:left="1281" w:right="567" w:hanging="357"/>
        <w:jc w:val="both"/>
        <w:rPr>
          <w:rFonts w:ascii="Arial" w:hAnsi="Arial" w:cs="Arial"/>
          <w:sz w:val="20"/>
          <w:szCs w:val="16"/>
        </w:rPr>
      </w:pPr>
      <w:r w:rsidRPr="00812928">
        <w:rPr>
          <w:rFonts w:ascii="Arial" w:hAnsi="Arial" w:cs="Arial"/>
          <w:sz w:val="20"/>
          <w:szCs w:val="16"/>
        </w:rPr>
        <w:t>(b)</w:t>
      </w:r>
      <w:r w:rsidRPr="00812928">
        <w:rPr>
          <w:rFonts w:ascii="Arial" w:hAnsi="Arial" w:cs="Arial"/>
          <w:sz w:val="20"/>
          <w:szCs w:val="16"/>
        </w:rPr>
        <w:tab/>
        <w:t xml:space="preserve">the Court is satisfied that the child has had a reasonable opportunity to obtain legal representation and has failed to do so. </w:t>
      </w:r>
    </w:p>
    <w:p w14:paraId="6CD074CC" w14:textId="5A4D3504" w:rsidR="001E68E8" w:rsidRPr="00812928" w:rsidRDefault="00812928" w:rsidP="008F44D9">
      <w:pPr>
        <w:pStyle w:val="DraftHeading2"/>
        <w:tabs>
          <w:tab w:val="right" w:pos="1247"/>
        </w:tabs>
        <w:spacing w:before="60"/>
        <w:ind w:left="924" w:right="567" w:hanging="357"/>
        <w:jc w:val="both"/>
        <w:rPr>
          <w:rFonts w:ascii="Arial" w:hAnsi="Arial" w:cs="Arial"/>
          <w:sz w:val="20"/>
          <w:szCs w:val="16"/>
        </w:rPr>
      </w:pPr>
      <w:r w:rsidRPr="00812928">
        <w:rPr>
          <w:rFonts w:ascii="Arial" w:hAnsi="Arial" w:cs="Arial"/>
          <w:sz w:val="20"/>
          <w:szCs w:val="16"/>
        </w:rPr>
        <w:t>(3)</w:t>
      </w:r>
      <w:r w:rsidRPr="00812928">
        <w:rPr>
          <w:rFonts w:ascii="Arial" w:hAnsi="Arial" w:cs="Arial"/>
          <w:sz w:val="20"/>
          <w:szCs w:val="16"/>
        </w:rPr>
        <w:tab/>
        <w:t>Any process served on a child requiring the child to attend the Children's Court in a proceeding referred to in subsection</w:t>
      </w:r>
      <w:r w:rsidR="001E68E8">
        <w:rPr>
          <w:rFonts w:ascii="Arial" w:hAnsi="Arial" w:cs="Arial"/>
          <w:sz w:val="20"/>
          <w:szCs w:val="16"/>
        </w:rPr>
        <w:t xml:space="preserve"> </w:t>
      </w:r>
      <w:r w:rsidRPr="00812928">
        <w:rPr>
          <w:rFonts w:ascii="Arial" w:hAnsi="Arial" w:cs="Arial"/>
          <w:sz w:val="20"/>
          <w:szCs w:val="16"/>
        </w:rPr>
        <w:t>(1) must contain or be accompanied by a notice—</w:t>
      </w:r>
    </w:p>
    <w:p w14:paraId="6F743387" w14:textId="77D71595" w:rsidR="00812928" w:rsidRPr="00812928" w:rsidRDefault="00812928" w:rsidP="008F44D9">
      <w:pPr>
        <w:pStyle w:val="DraftHeading3"/>
        <w:tabs>
          <w:tab w:val="right" w:pos="1758"/>
        </w:tabs>
        <w:spacing w:before="0"/>
        <w:ind w:left="1281" w:right="567" w:hanging="357"/>
        <w:jc w:val="both"/>
        <w:rPr>
          <w:rFonts w:ascii="Arial" w:hAnsi="Arial" w:cs="Arial"/>
          <w:sz w:val="20"/>
          <w:szCs w:val="16"/>
        </w:rPr>
      </w:pPr>
      <w:r w:rsidRPr="00812928">
        <w:rPr>
          <w:rFonts w:ascii="Arial" w:hAnsi="Arial" w:cs="Arial"/>
          <w:sz w:val="20"/>
          <w:szCs w:val="16"/>
        </w:rPr>
        <w:t>(a)</w:t>
      </w:r>
      <w:r w:rsidRPr="00812928">
        <w:rPr>
          <w:rFonts w:ascii="Arial" w:hAnsi="Arial" w:cs="Arial"/>
          <w:sz w:val="20"/>
          <w:szCs w:val="16"/>
        </w:rPr>
        <w:tab/>
        <w:t>setting out the circumstances in which a child is required to be legally represented; and</w:t>
      </w:r>
    </w:p>
    <w:p w14:paraId="57E9BF3F" w14:textId="1163DE2E" w:rsidR="00812928" w:rsidRPr="00812928" w:rsidRDefault="00812928" w:rsidP="008F44D9">
      <w:pPr>
        <w:pStyle w:val="DraftHeading3"/>
        <w:tabs>
          <w:tab w:val="right" w:pos="1757"/>
        </w:tabs>
        <w:spacing w:before="0"/>
        <w:ind w:left="1281" w:right="567" w:hanging="357"/>
        <w:jc w:val="both"/>
        <w:rPr>
          <w:rFonts w:ascii="Arial" w:hAnsi="Arial" w:cs="Arial"/>
          <w:sz w:val="20"/>
          <w:szCs w:val="16"/>
        </w:rPr>
      </w:pPr>
      <w:r w:rsidRPr="00812928">
        <w:rPr>
          <w:rFonts w:ascii="Arial" w:hAnsi="Arial" w:cs="Arial"/>
          <w:sz w:val="20"/>
          <w:szCs w:val="16"/>
        </w:rPr>
        <w:t>(b)</w:t>
      </w:r>
      <w:r w:rsidRPr="00812928">
        <w:rPr>
          <w:rFonts w:ascii="Arial" w:hAnsi="Arial" w:cs="Arial"/>
          <w:sz w:val="20"/>
          <w:szCs w:val="16"/>
        </w:rPr>
        <w:tab/>
        <w:t>stating the desirability of obtaining legal representation; and</w:t>
      </w:r>
    </w:p>
    <w:p w14:paraId="3D5AC1CF" w14:textId="7516775E" w:rsidR="00812928" w:rsidRPr="00812928" w:rsidRDefault="00812928" w:rsidP="008F44D9">
      <w:pPr>
        <w:pStyle w:val="DraftHeading3"/>
        <w:tabs>
          <w:tab w:val="right" w:pos="1757"/>
        </w:tabs>
        <w:spacing w:before="0"/>
        <w:ind w:left="1281" w:right="567" w:hanging="357"/>
        <w:jc w:val="both"/>
        <w:rPr>
          <w:rFonts w:ascii="Arial" w:hAnsi="Arial" w:cs="Arial"/>
          <w:sz w:val="20"/>
          <w:szCs w:val="16"/>
        </w:rPr>
      </w:pPr>
      <w:r w:rsidRPr="00812928">
        <w:rPr>
          <w:rFonts w:ascii="Arial" w:hAnsi="Arial" w:cs="Arial"/>
          <w:sz w:val="20"/>
          <w:szCs w:val="16"/>
        </w:rPr>
        <w:t>(c)</w:t>
      </w:r>
      <w:r w:rsidRPr="00812928">
        <w:rPr>
          <w:rFonts w:ascii="Arial" w:hAnsi="Arial" w:cs="Arial"/>
          <w:sz w:val="20"/>
          <w:szCs w:val="16"/>
        </w:rPr>
        <w:tab/>
        <w:t>explaining how legal representation may be obtained.</w:t>
      </w:r>
      <w:r w:rsidR="00DC5E20">
        <w:rPr>
          <w:rFonts w:ascii="Arial" w:hAnsi="Arial" w:cs="Arial"/>
          <w:sz w:val="20"/>
          <w:szCs w:val="16"/>
        </w:rPr>
        <w:t>”</w:t>
      </w:r>
    </w:p>
    <w:bookmarkEnd w:id="462"/>
    <w:p w14:paraId="454AC894" w14:textId="77777777" w:rsidR="00DC5E20" w:rsidRDefault="00DC5E20" w:rsidP="00DC5E20">
      <w:pPr>
        <w:jc w:val="both"/>
        <w:rPr>
          <w:rFonts w:ascii="Arial" w:hAnsi="Arial" w:cs="Arial"/>
          <w:color w:val="000000"/>
          <w:sz w:val="20"/>
        </w:rPr>
      </w:pPr>
    </w:p>
    <w:p w14:paraId="60FDC1A9" w14:textId="23978C3A" w:rsidR="00DC5E20" w:rsidRDefault="00DC5E20" w:rsidP="00DC5E20">
      <w:pPr>
        <w:jc w:val="both"/>
        <w:rPr>
          <w:rFonts w:ascii="Arial" w:hAnsi="Arial" w:cs="Arial"/>
          <w:color w:val="000000"/>
          <w:sz w:val="20"/>
        </w:rPr>
      </w:pPr>
      <w:r>
        <w:rPr>
          <w:rFonts w:ascii="Arial" w:hAnsi="Arial" w:cs="Arial"/>
          <w:color w:val="000000"/>
          <w:sz w:val="20"/>
        </w:rPr>
        <w:t>Section 172 YJA provides:</w:t>
      </w:r>
    </w:p>
    <w:p w14:paraId="25C6209D" w14:textId="6A800A96" w:rsidR="00812928" w:rsidRPr="00812928" w:rsidRDefault="00812928" w:rsidP="007E1344">
      <w:pPr>
        <w:pStyle w:val="DraftHeading2"/>
        <w:tabs>
          <w:tab w:val="right" w:pos="1247"/>
        </w:tabs>
        <w:spacing w:before="60"/>
        <w:ind w:left="924" w:right="567" w:hanging="357"/>
        <w:jc w:val="both"/>
        <w:rPr>
          <w:rFonts w:ascii="Arial" w:hAnsi="Arial" w:cs="Arial"/>
          <w:sz w:val="20"/>
          <w:szCs w:val="16"/>
        </w:rPr>
      </w:pPr>
      <w:r w:rsidRPr="00812928">
        <w:rPr>
          <w:rFonts w:ascii="Arial" w:hAnsi="Arial" w:cs="Arial"/>
          <w:sz w:val="20"/>
          <w:szCs w:val="16"/>
        </w:rPr>
        <w:t>(1)</w:t>
      </w:r>
      <w:r w:rsidRPr="00812928">
        <w:rPr>
          <w:rFonts w:ascii="Arial" w:hAnsi="Arial" w:cs="Arial"/>
          <w:sz w:val="20"/>
          <w:szCs w:val="16"/>
        </w:rPr>
        <w:tab/>
      </w:r>
      <w:r w:rsidR="00DC5E20">
        <w:rPr>
          <w:rFonts w:ascii="Arial" w:hAnsi="Arial" w:cs="Arial"/>
          <w:sz w:val="20"/>
          <w:szCs w:val="16"/>
        </w:rPr>
        <w:t>“</w:t>
      </w:r>
      <w:r w:rsidRPr="00812928">
        <w:rPr>
          <w:rFonts w:ascii="Arial" w:hAnsi="Arial" w:cs="Arial"/>
          <w:sz w:val="20"/>
          <w:szCs w:val="16"/>
        </w:rPr>
        <w:t>With the leave of the Children's Court, more than one child in the same proceeding may be represented by the same legal practitioner.</w:t>
      </w:r>
    </w:p>
    <w:p w14:paraId="3CDDE693" w14:textId="3D5068B4" w:rsidR="00812928" w:rsidRPr="00812928" w:rsidRDefault="00812928" w:rsidP="00DC5E20">
      <w:pPr>
        <w:pStyle w:val="DraftHeading2"/>
        <w:tabs>
          <w:tab w:val="right" w:pos="1247"/>
        </w:tabs>
        <w:spacing w:before="0"/>
        <w:ind w:left="924" w:right="567" w:hanging="357"/>
        <w:jc w:val="both"/>
        <w:rPr>
          <w:rFonts w:ascii="Arial" w:hAnsi="Arial" w:cs="Arial"/>
          <w:sz w:val="20"/>
          <w:szCs w:val="16"/>
        </w:rPr>
      </w:pPr>
      <w:r w:rsidRPr="00812928">
        <w:rPr>
          <w:rFonts w:ascii="Arial" w:hAnsi="Arial" w:cs="Arial"/>
          <w:sz w:val="20"/>
          <w:szCs w:val="16"/>
        </w:rPr>
        <w:t>(2)</w:t>
      </w:r>
      <w:r w:rsidRPr="00812928">
        <w:rPr>
          <w:rFonts w:ascii="Arial" w:hAnsi="Arial" w:cs="Arial"/>
          <w:sz w:val="20"/>
          <w:szCs w:val="16"/>
        </w:rPr>
        <w:tab/>
        <w:t>The Children's Court may only grant leave under subsection (1) if satisfied that no conflict of interest will arise.</w:t>
      </w:r>
    </w:p>
    <w:p w14:paraId="27E37071" w14:textId="59B07699" w:rsidR="00812928" w:rsidRPr="00812928" w:rsidRDefault="00812928" w:rsidP="00DC5E20">
      <w:pPr>
        <w:pStyle w:val="DraftHeading2"/>
        <w:tabs>
          <w:tab w:val="right" w:pos="1247"/>
        </w:tabs>
        <w:spacing w:before="0"/>
        <w:ind w:left="924" w:right="567" w:hanging="357"/>
        <w:jc w:val="both"/>
        <w:rPr>
          <w:rFonts w:ascii="Arial" w:hAnsi="Arial" w:cs="Arial"/>
          <w:sz w:val="20"/>
          <w:szCs w:val="16"/>
        </w:rPr>
      </w:pPr>
      <w:r w:rsidRPr="00812928">
        <w:rPr>
          <w:rFonts w:ascii="Arial" w:hAnsi="Arial" w:cs="Arial"/>
          <w:sz w:val="20"/>
          <w:szCs w:val="16"/>
        </w:rPr>
        <w:t>(3)</w:t>
      </w:r>
      <w:r w:rsidRPr="00812928">
        <w:rPr>
          <w:rFonts w:ascii="Arial" w:hAnsi="Arial" w:cs="Arial"/>
          <w:sz w:val="20"/>
          <w:szCs w:val="16"/>
        </w:rPr>
        <w:tab/>
        <w:t>The Children's Court may withdraw leave granted under subsection (1) if the Court is satisfied that a conflict of interest has arisen in the course of the proceeding.</w:t>
      </w:r>
      <w:r w:rsidR="00DC5E20">
        <w:rPr>
          <w:rFonts w:ascii="Arial" w:hAnsi="Arial" w:cs="Arial"/>
          <w:sz w:val="20"/>
          <w:szCs w:val="16"/>
        </w:rPr>
        <w:t>”</w:t>
      </w:r>
    </w:p>
    <w:p w14:paraId="2123CDAA" w14:textId="77777777" w:rsidR="00B22584" w:rsidRPr="00F51496" w:rsidRDefault="00B22584">
      <w:pPr>
        <w:jc w:val="both"/>
        <w:rPr>
          <w:rFonts w:ascii="Arial" w:hAnsi="Arial" w:cs="Arial"/>
          <w:color w:val="000000"/>
          <w:sz w:val="20"/>
        </w:rPr>
      </w:pPr>
    </w:p>
    <w:p w14:paraId="7595AA34" w14:textId="77777777" w:rsidR="00B22584" w:rsidRPr="00F51496" w:rsidRDefault="00B22584">
      <w:pPr>
        <w:jc w:val="both"/>
        <w:rPr>
          <w:rFonts w:ascii="Arial" w:hAnsi="Arial" w:cs="Arial"/>
          <w:bCs/>
          <w:color w:val="000000"/>
          <w:sz w:val="20"/>
        </w:rPr>
      </w:pPr>
      <w:r w:rsidRPr="00F51496">
        <w:rPr>
          <w:rFonts w:ascii="Arial" w:hAnsi="Arial" w:cs="Arial"/>
          <w:color w:val="000000"/>
          <w:sz w:val="20"/>
        </w:rPr>
        <w:t xml:space="preserve">Guidelines for child legal representatives are contained in </w:t>
      </w:r>
      <w:r w:rsidRPr="00F51496">
        <w:rPr>
          <w:rFonts w:ascii="Arial" w:hAnsi="Arial" w:cs="Arial"/>
          <w:bCs/>
          <w:color w:val="000000"/>
          <w:sz w:val="20"/>
        </w:rPr>
        <w:t>Louise Akenson's "</w:t>
      </w:r>
      <w:r w:rsidRPr="00F51496">
        <w:rPr>
          <w:rFonts w:ascii="Arial" w:hAnsi="Arial" w:cs="Arial"/>
          <w:bCs/>
          <w:color w:val="000000"/>
          <w:sz w:val="20"/>
          <w:u w:val="single"/>
        </w:rPr>
        <w:t>Guidelines for Lawyers Acting for Children and Young People in the Children's Court</w:t>
      </w:r>
      <w:r w:rsidRPr="00F51496">
        <w:rPr>
          <w:rFonts w:ascii="Arial" w:hAnsi="Arial" w:cs="Arial"/>
          <w:bCs/>
          <w:color w:val="000000"/>
          <w:sz w:val="20"/>
        </w:rPr>
        <w:t>".</w:t>
      </w:r>
      <w:r w:rsidR="005045E2" w:rsidRPr="00F51496">
        <w:rPr>
          <w:rFonts w:ascii="Arial" w:hAnsi="Arial" w:cs="Arial"/>
          <w:bCs/>
          <w:color w:val="000000"/>
          <w:sz w:val="20"/>
        </w:rPr>
        <w:t xml:space="preserve">  See also “Representing Children and Young People – A Lawyers Practice Guide” by Lani Blackman (Victoria Law Foundation, 2002).</w:t>
      </w:r>
    </w:p>
    <w:p w14:paraId="0E3BD565" w14:textId="77777777" w:rsidR="00B22584" w:rsidRPr="008257E3" w:rsidRDefault="00B22584">
      <w:pPr>
        <w:jc w:val="both"/>
        <w:rPr>
          <w:rFonts w:ascii="Arial" w:hAnsi="Arial" w:cs="Arial"/>
          <w:color w:val="000000"/>
          <w:sz w:val="20"/>
          <w:szCs w:val="20"/>
        </w:rPr>
      </w:pPr>
    </w:p>
    <w:p w14:paraId="28762A22" w14:textId="77777777" w:rsidR="00B22584" w:rsidRPr="00F51496" w:rsidRDefault="00B22584">
      <w:pPr>
        <w:pStyle w:val="Heading2"/>
        <w:keepNext/>
        <w:keepLines/>
        <w:tabs>
          <w:tab w:val="left" w:pos="567"/>
        </w:tabs>
        <w:spacing w:line="240" w:lineRule="auto"/>
        <w:ind w:left="567" w:hanging="567"/>
        <w:rPr>
          <w:rFonts w:ascii="Arial" w:hAnsi="Arial" w:cs="Arial"/>
          <w:b/>
          <w:bCs/>
          <w:color w:val="000000"/>
        </w:rPr>
      </w:pPr>
      <w:bookmarkStart w:id="463" w:name="_7.10_Referral_for"/>
      <w:bookmarkStart w:id="464" w:name="_Toc30671649"/>
      <w:bookmarkStart w:id="465" w:name="_Toc30674176"/>
      <w:bookmarkStart w:id="466" w:name="_Toc30691398"/>
      <w:bookmarkStart w:id="467" w:name="_Toc30691773"/>
      <w:bookmarkStart w:id="468" w:name="_Toc30692153"/>
      <w:bookmarkStart w:id="469" w:name="_Toc30692912"/>
      <w:bookmarkStart w:id="470" w:name="_Toc30693291"/>
      <w:bookmarkStart w:id="471" w:name="_Toc30693669"/>
      <w:bookmarkStart w:id="472" w:name="_Toc30694047"/>
      <w:bookmarkStart w:id="473" w:name="_Toc30694427"/>
      <w:bookmarkStart w:id="474" w:name="_Toc30699016"/>
      <w:bookmarkStart w:id="475" w:name="_Toc30699394"/>
      <w:bookmarkStart w:id="476" w:name="_Toc30699779"/>
      <w:bookmarkStart w:id="477" w:name="_Toc30700934"/>
      <w:bookmarkStart w:id="478" w:name="_Toc30701321"/>
      <w:bookmarkStart w:id="479" w:name="_Toc30743932"/>
      <w:bookmarkStart w:id="480" w:name="_Toc30754755"/>
      <w:bookmarkStart w:id="481" w:name="_Toc30757196"/>
      <w:bookmarkStart w:id="482" w:name="_Toc30757744"/>
      <w:bookmarkStart w:id="483" w:name="_Toc30758144"/>
      <w:bookmarkStart w:id="484" w:name="_Toc30762905"/>
      <w:bookmarkStart w:id="485" w:name="_Toc30767559"/>
      <w:bookmarkStart w:id="486" w:name="_Toc34823577"/>
      <w:bookmarkEnd w:id="463"/>
      <w:r w:rsidRPr="00F51496">
        <w:rPr>
          <w:rFonts w:ascii="Arial" w:hAnsi="Arial" w:cs="Arial"/>
          <w:b/>
          <w:bCs/>
          <w:color w:val="000000"/>
        </w:rPr>
        <w:t>7.10</w:t>
      </w:r>
      <w:r w:rsidRPr="00F51496">
        <w:rPr>
          <w:rFonts w:ascii="Arial" w:hAnsi="Arial" w:cs="Arial"/>
          <w:b/>
          <w:bCs/>
          <w:color w:val="000000"/>
        </w:rPr>
        <w:tab/>
        <w:t>Referral for investigation by protective services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14:paraId="583B14CB" w14:textId="77777777" w:rsidR="00B22584" w:rsidRPr="00F51496" w:rsidRDefault="00B22584">
      <w:pPr>
        <w:rPr>
          <w:rFonts w:ascii="Arial" w:hAnsi="Arial" w:cs="Arial"/>
          <w:color w:val="000000"/>
          <w:sz w:val="20"/>
        </w:rPr>
      </w:pPr>
    </w:p>
    <w:p w14:paraId="2D20EF25" w14:textId="59F6D549" w:rsidR="00E44455" w:rsidRDefault="00B22584" w:rsidP="00E44455">
      <w:pPr>
        <w:jc w:val="both"/>
        <w:rPr>
          <w:rFonts w:ascii="Arial" w:hAnsi="Arial" w:cs="Arial"/>
          <w:color w:val="000000"/>
          <w:sz w:val="20"/>
        </w:rPr>
      </w:pPr>
      <w:r w:rsidRPr="00F51496">
        <w:rPr>
          <w:rFonts w:ascii="Arial" w:hAnsi="Arial" w:cs="Arial"/>
          <w:color w:val="000000"/>
          <w:sz w:val="20"/>
        </w:rPr>
        <w:t xml:space="preserve">By and large the 2 Divisions of the </w:t>
      </w:r>
      <w:r w:rsidR="007E1344">
        <w:rPr>
          <w:rFonts w:ascii="Arial" w:hAnsi="Arial" w:cs="Arial"/>
          <w:color w:val="000000"/>
          <w:sz w:val="20"/>
        </w:rPr>
        <w:t xml:space="preserve">Children’s </w:t>
      </w:r>
      <w:r w:rsidRPr="00F51496">
        <w:rPr>
          <w:rFonts w:ascii="Arial" w:hAnsi="Arial" w:cs="Arial"/>
          <w:color w:val="000000"/>
          <w:sz w:val="20"/>
        </w:rPr>
        <w:t xml:space="preserve">Court are mutually exclusive. The only area of overlap is to be found in the </w:t>
      </w:r>
      <w:r w:rsidR="00E44455">
        <w:rPr>
          <w:rFonts w:ascii="Arial" w:hAnsi="Arial" w:cs="Arial"/>
          <w:color w:val="000000"/>
          <w:sz w:val="20"/>
        </w:rPr>
        <w:t xml:space="preserve">two types of </w:t>
      </w:r>
      <w:r w:rsidRPr="00F51496">
        <w:rPr>
          <w:rFonts w:ascii="Arial" w:hAnsi="Arial" w:cs="Arial"/>
          <w:color w:val="000000"/>
          <w:sz w:val="20"/>
        </w:rPr>
        <w:t xml:space="preserve">"referral" provisions of </w:t>
      </w:r>
      <w:r w:rsidR="007E1344">
        <w:rPr>
          <w:rFonts w:ascii="Arial" w:hAnsi="Arial" w:cs="Arial"/>
          <w:color w:val="000000"/>
          <w:sz w:val="20"/>
        </w:rPr>
        <w:t xml:space="preserve">ss.181-190 YJA [previously in substantially similar terms in </w:t>
      </w:r>
      <w:r w:rsidRPr="00F51496">
        <w:rPr>
          <w:rFonts w:ascii="Arial" w:hAnsi="Arial" w:cs="Arial"/>
          <w:color w:val="000000"/>
          <w:sz w:val="20"/>
        </w:rPr>
        <w:t>ss.</w:t>
      </w:r>
      <w:r w:rsidR="00CF080A" w:rsidRPr="00F51496">
        <w:rPr>
          <w:rFonts w:ascii="Arial" w:hAnsi="Arial" w:cs="Arial"/>
          <w:color w:val="000000"/>
          <w:sz w:val="20"/>
        </w:rPr>
        <w:t>349-35</w:t>
      </w:r>
      <w:r w:rsidR="00A5510B" w:rsidRPr="00F51496">
        <w:rPr>
          <w:rFonts w:ascii="Arial" w:hAnsi="Arial" w:cs="Arial"/>
          <w:color w:val="000000"/>
          <w:sz w:val="20"/>
        </w:rPr>
        <w:t>5</w:t>
      </w:r>
      <w:r w:rsidRPr="00F51496">
        <w:rPr>
          <w:rFonts w:ascii="Arial" w:hAnsi="Arial" w:cs="Arial"/>
          <w:color w:val="000000"/>
          <w:sz w:val="20"/>
        </w:rPr>
        <w:t xml:space="preserve"> CY</w:t>
      </w:r>
      <w:r w:rsidR="00CF080A" w:rsidRPr="00F51496">
        <w:rPr>
          <w:rFonts w:ascii="Arial" w:hAnsi="Arial" w:cs="Arial"/>
          <w:color w:val="000000"/>
          <w:sz w:val="20"/>
        </w:rPr>
        <w:t>F</w:t>
      </w:r>
      <w:r w:rsidRPr="00F51496">
        <w:rPr>
          <w:rFonts w:ascii="Arial" w:hAnsi="Arial" w:cs="Arial"/>
          <w:color w:val="000000"/>
          <w:sz w:val="20"/>
        </w:rPr>
        <w:t>A</w:t>
      </w:r>
      <w:r w:rsidR="007E1344">
        <w:rPr>
          <w:rFonts w:ascii="Arial" w:hAnsi="Arial" w:cs="Arial"/>
          <w:color w:val="000000"/>
          <w:sz w:val="20"/>
        </w:rPr>
        <w:t>]</w:t>
      </w:r>
      <w:r w:rsidRPr="00F51496">
        <w:rPr>
          <w:rFonts w:ascii="Arial" w:hAnsi="Arial" w:cs="Arial"/>
          <w:color w:val="000000"/>
          <w:sz w:val="20"/>
        </w:rPr>
        <w:t>.</w:t>
      </w:r>
      <w:r w:rsidR="00264861" w:rsidRPr="00F51496">
        <w:rPr>
          <w:rFonts w:ascii="Arial" w:hAnsi="Arial" w:cs="Arial"/>
          <w:color w:val="000000"/>
          <w:sz w:val="20"/>
        </w:rPr>
        <w:t xml:space="preserve"> These provisions have no parallel in adult criminal procedure. They are a statutory recognition that addressing the welfare and rehabilitative needs of a child offender may ameliorate future criminal behaviour by the child. </w:t>
      </w:r>
    </w:p>
    <w:p w14:paraId="3CC25771" w14:textId="77777777" w:rsidR="00E44455" w:rsidRDefault="00E44455" w:rsidP="00E44455">
      <w:pPr>
        <w:jc w:val="both"/>
        <w:rPr>
          <w:rFonts w:ascii="Arial" w:hAnsi="Arial" w:cs="Arial"/>
          <w:color w:val="000000"/>
          <w:sz w:val="20"/>
        </w:rPr>
      </w:pPr>
    </w:p>
    <w:p w14:paraId="6D99A3A8" w14:textId="1B9B284F" w:rsidR="00264861" w:rsidRPr="00F51496" w:rsidRDefault="00264861" w:rsidP="00264861">
      <w:pPr>
        <w:jc w:val="both"/>
        <w:rPr>
          <w:rFonts w:ascii="Arial" w:hAnsi="Arial" w:cs="Arial"/>
          <w:color w:val="000000"/>
          <w:sz w:val="20"/>
        </w:rPr>
      </w:pPr>
      <w:r w:rsidRPr="00F51496">
        <w:rPr>
          <w:rFonts w:ascii="Arial" w:hAnsi="Arial" w:cs="Arial"/>
          <w:color w:val="000000"/>
          <w:sz w:val="20"/>
        </w:rPr>
        <w:t>A referral</w:t>
      </w:r>
      <w:r w:rsidR="00E44455">
        <w:rPr>
          <w:rFonts w:ascii="Arial" w:hAnsi="Arial" w:cs="Arial"/>
          <w:color w:val="000000"/>
          <w:sz w:val="20"/>
        </w:rPr>
        <w:t xml:space="preserve"> </w:t>
      </w:r>
      <w:r w:rsidRPr="00F51496">
        <w:rPr>
          <w:rFonts w:ascii="Arial" w:hAnsi="Arial" w:cs="Arial"/>
          <w:color w:val="000000"/>
          <w:sz w:val="20"/>
        </w:rPr>
        <w:t xml:space="preserve">is not restricted to any particular time in the proceeding, that is to say it is not limited to either before or after a child having been found guilty of the offence. Indeed the Court is often as likely to have the requisite </w:t>
      </w:r>
      <w:r w:rsidRPr="00F51496">
        <w:rPr>
          <w:rFonts w:ascii="Arial" w:hAnsi="Arial" w:cs="Arial"/>
          <w:i/>
          <w:iCs/>
          <w:color w:val="000000"/>
          <w:sz w:val="20"/>
        </w:rPr>
        <w:t>prima facie</w:t>
      </w:r>
      <w:r w:rsidRPr="00F51496">
        <w:rPr>
          <w:rFonts w:ascii="Arial" w:hAnsi="Arial" w:cs="Arial"/>
          <w:color w:val="000000"/>
          <w:sz w:val="20"/>
        </w:rPr>
        <w:t xml:space="preserve"> evidence of issues relating to the child at an early stage in the proceeding </w:t>
      </w:r>
      <w:r w:rsidR="00235652">
        <w:rPr>
          <w:rFonts w:ascii="Arial" w:hAnsi="Arial" w:cs="Arial"/>
          <w:color w:val="000000"/>
          <w:sz w:val="20"/>
        </w:rPr>
        <w:t>–</w:t>
      </w:r>
      <w:r w:rsidRPr="00F51496">
        <w:rPr>
          <w:rFonts w:ascii="Arial" w:hAnsi="Arial" w:cs="Arial"/>
          <w:color w:val="000000"/>
          <w:sz w:val="20"/>
        </w:rPr>
        <w:t xml:space="preserve"> for example in a bail application </w:t>
      </w:r>
      <w:r w:rsidR="00235652">
        <w:rPr>
          <w:rFonts w:ascii="Arial" w:hAnsi="Arial" w:cs="Arial"/>
          <w:color w:val="000000"/>
          <w:sz w:val="20"/>
        </w:rPr>
        <w:t>–</w:t>
      </w:r>
      <w:r w:rsidRPr="00F51496">
        <w:rPr>
          <w:rFonts w:ascii="Arial" w:hAnsi="Arial" w:cs="Arial"/>
          <w:color w:val="000000"/>
          <w:sz w:val="20"/>
        </w:rPr>
        <w:t xml:space="preserve"> as it is at the later stage of a finding of guilt. And since it is clear from the Second Reading Speech [Legislative Council, 15/11/2005] that part of the rationale of the therapeutic treatment order provisions is to be able to order treatment in cases where it may be difficult to prove the necessary mental intent by the child, it is probable that most referrals under s.</w:t>
      </w:r>
      <w:r w:rsidR="00E44455">
        <w:rPr>
          <w:rFonts w:ascii="Arial" w:hAnsi="Arial" w:cs="Arial"/>
          <w:color w:val="000000"/>
          <w:sz w:val="20"/>
        </w:rPr>
        <w:t>182</w:t>
      </w:r>
      <w:r w:rsidRPr="00F51496">
        <w:rPr>
          <w:rFonts w:ascii="Arial" w:hAnsi="Arial" w:cs="Arial"/>
          <w:color w:val="000000"/>
          <w:sz w:val="20"/>
        </w:rPr>
        <w:t>(</w:t>
      </w:r>
      <w:r w:rsidR="00E44455">
        <w:rPr>
          <w:rFonts w:ascii="Arial" w:hAnsi="Arial" w:cs="Arial"/>
          <w:color w:val="000000"/>
          <w:sz w:val="20"/>
        </w:rPr>
        <w:t>1</w:t>
      </w:r>
      <w:r w:rsidRPr="00F51496">
        <w:rPr>
          <w:rFonts w:ascii="Arial" w:hAnsi="Arial" w:cs="Arial"/>
          <w:color w:val="000000"/>
          <w:sz w:val="20"/>
        </w:rPr>
        <w:t>) will turn out to be pre</w:t>
      </w:r>
      <w:r w:rsidR="00235652">
        <w:rPr>
          <w:rFonts w:ascii="Arial" w:hAnsi="Arial" w:cs="Arial"/>
          <w:color w:val="000000"/>
          <w:sz w:val="20"/>
        </w:rPr>
        <w:t>–</w:t>
      </w:r>
      <w:r w:rsidRPr="00F51496">
        <w:rPr>
          <w:rFonts w:ascii="Arial" w:hAnsi="Arial" w:cs="Arial"/>
          <w:color w:val="000000"/>
          <w:sz w:val="20"/>
        </w:rPr>
        <w:t>proof.</w:t>
      </w:r>
    </w:p>
    <w:p w14:paraId="3A286429" w14:textId="77777777" w:rsidR="007707CE" w:rsidRDefault="007707CE">
      <w:pPr>
        <w:jc w:val="both"/>
        <w:rPr>
          <w:rFonts w:ascii="Arial" w:hAnsi="Arial" w:cs="Arial"/>
          <w:color w:val="000000"/>
          <w:sz w:val="20"/>
        </w:rPr>
      </w:pPr>
    </w:p>
    <w:p w14:paraId="3A9743C0" w14:textId="77777777" w:rsidR="006874D8" w:rsidRPr="00F51496" w:rsidRDefault="006D2E2D" w:rsidP="006874D8">
      <w:pPr>
        <w:pStyle w:val="Heading3"/>
        <w:keepNext/>
        <w:spacing w:line="240" w:lineRule="auto"/>
        <w:rPr>
          <w:rFonts w:ascii="Arial" w:hAnsi="Arial" w:cs="Arial"/>
          <w:b/>
          <w:bCs/>
          <w:color w:val="000000"/>
          <w:sz w:val="20"/>
        </w:rPr>
      </w:pPr>
      <w:bookmarkStart w:id="487" w:name="_7.10.1_Referral_re"/>
      <w:bookmarkEnd w:id="487"/>
      <w:r w:rsidRPr="00F51496">
        <w:rPr>
          <w:rFonts w:ascii="Arial" w:hAnsi="Arial" w:cs="Arial"/>
          <w:b/>
          <w:bCs/>
          <w:color w:val="000000"/>
          <w:sz w:val="20"/>
        </w:rPr>
        <w:t>7.10.1</w:t>
      </w:r>
      <w:r w:rsidRPr="00F51496">
        <w:rPr>
          <w:rFonts w:ascii="Arial" w:hAnsi="Arial" w:cs="Arial"/>
          <w:b/>
          <w:bCs/>
          <w:color w:val="000000"/>
          <w:sz w:val="20"/>
        </w:rPr>
        <w:tab/>
        <w:t>Referral re protection application</w:t>
      </w:r>
      <w:r w:rsidR="00452140" w:rsidRPr="00F51496">
        <w:rPr>
          <w:rFonts w:ascii="Arial" w:hAnsi="Arial" w:cs="Arial"/>
          <w:b/>
          <w:bCs/>
          <w:color w:val="000000"/>
          <w:sz w:val="20"/>
        </w:rPr>
        <w:t xml:space="preserve"> investigation</w:t>
      </w:r>
    </w:p>
    <w:p w14:paraId="580EE1D5" w14:textId="12BBACD8" w:rsidR="007707CE" w:rsidRPr="00F51496" w:rsidRDefault="007707CE" w:rsidP="006D2E2D">
      <w:pPr>
        <w:spacing w:before="120"/>
        <w:jc w:val="both"/>
        <w:rPr>
          <w:rFonts w:ascii="Arial" w:hAnsi="Arial" w:cs="Arial"/>
          <w:color w:val="000000"/>
          <w:sz w:val="20"/>
        </w:rPr>
      </w:pPr>
      <w:r w:rsidRPr="00F51496">
        <w:rPr>
          <w:rFonts w:ascii="Arial" w:hAnsi="Arial" w:cs="Arial"/>
          <w:color w:val="000000"/>
          <w:sz w:val="20"/>
        </w:rPr>
        <w:t xml:space="preserve">Section </w:t>
      </w:r>
      <w:r w:rsidR="00E44455">
        <w:rPr>
          <w:rFonts w:ascii="Arial" w:hAnsi="Arial" w:cs="Arial"/>
          <w:color w:val="000000"/>
          <w:sz w:val="20"/>
        </w:rPr>
        <w:t>181</w:t>
      </w:r>
      <w:r w:rsidRPr="00F51496">
        <w:rPr>
          <w:rFonts w:ascii="Arial" w:hAnsi="Arial" w:cs="Arial"/>
          <w:color w:val="000000"/>
          <w:sz w:val="20"/>
        </w:rPr>
        <w:t xml:space="preserve"> </w:t>
      </w:r>
      <w:r w:rsidR="00E44455">
        <w:rPr>
          <w:rFonts w:ascii="Arial" w:hAnsi="Arial" w:cs="Arial"/>
          <w:color w:val="000000"/>
          <w:sz w:val="20"/>
        </w:rPr>
        <w:t xml:space="preserve">YJA </w:t>
      </w:r>
      <w:r w:rsidRPr="00F51496">
        <w:rPr>
          <w:rFonts w:ascii="Arial" w:hAnsi="Arial" w:cs="Arial"/>
          <w:color w:val="000000"/>
          <w:sz w:val="20"/>
        </w:rPr>
        <w:t xml:space="preserve">provides that </w:t>
      </w:r>
      <w:r w:rsidR="00E44455" w:rsidRPr="00F51496">
        <w:rPr>
          <w:rFonts w:ascii="Arial" w:hAnsi="Arial" w:cs="Arial"/>
          <w:color w:val="000000"/>
          <w:sz w:val="20"/>
        </w:rPr>
        <w:t xml:space="preserve">the </w:t>
      </w:r>
      <w:r w:rsidR="00E44455">
        <w:rPr>
          <w:rFonts w:ascii="Arial" w:hAnsi="Arial" w:cs="Arial"/>
          <w:color w:val="000000"/>
          <w:sz w:val="20"/>
        </w:rPr>
        <w:t xml:space="preserve">Children’s </w:t>
      </w:r>
      <w:r w:rsidR="00E44455" w:rsidRPr="00F51496">
        <w:rPr>
          <w:rFonts w:ascii="Arial" w:hAnsi="Arial" w:cs="Arial"/>
          <w:color w:val="000000"/>
          <w:sz w:val="20"/>
        </w:rPr>
        <w:t xml:space="preserve">Court may refer the matter of an application to the </w:t>
      </w:r>
      <w:r w:rsidR="00202A49" w:rsidRPr="00F51496">
        <w:rPr>
          <w:rFonts w:ascii="Arial" w:hAnsi="Arial" w:cs="Arial"/>
          <w:color w:val="000000"/>
          <w:sz w:val="20"/>
        </w:rPr>
        <w:t>Department of Human Services (Protective Services Division)</w:t>
      </w:r>
      <w:r w:rsidR="00202A49">
        <w:rPr>
          <w:rFonts w:ascii="Arial" w:hAnsi="Arial" w:cs="Arial"/>
          <w:color w:val="000000"/>
          <w:sz w:val="20"/>
        </w:rPr>
        <w:t xml:space="preserve"> [‘DFFH Secretary’] </w:t>
      </w:r>
      <w:r w:rsidR="00E44455" w:rsidRPr="00F51496">
        <w:rPr>
          <w:rFonts w:ascii="Arial" w:hAnsi="Arial" w:cs="Arial"/>
          <w:color w:val="000000"/>
          <w:sz w:val="20"/>
        </w:rPr>
        <w:t>for investigation</w:t>
      </w:r>
      <w:r w:rsidR="00E44455">
        <w:rPr>
          <w:rFonts w:ascii="Arial" w:hAnsi="Arial" w:cs="Arial"/>
          <w:color w:val="000000"/>
          <w:sz w:val="20"/>
        </w:rPr>
        <w:t xml:space="preserve"> under the CYFA </w:t>
      </w:r>
      <w:r w:rsidRPr="00F51496">
        <w:rPr>
          <w:rFonts w:ascii="Arial" w:hAnsi="Arial" w:cs="Arial"/>
          <w:color w:val="000000"/>
          <w:sz w:val="20"/>
        </w:rPr>
        <w:t>if</w:t>
      </w:r>
      <w:r w:rsidR="00235652">
        <w:rPr>
          <w:rFonts w:ascii="Arial" w:hAnsi="Arial" w:cs="Arial"/>
          <w:color w:val="000000"/>
          <w:sz w:val="20"/>
        </w:rPr>
        <w:t>–</w:t>
      </w:r>
    </w:p>
    <w:p w14:paraId="4DFA945A" w14:textId="77777777" w:rsidR="007707CE" w:rsidRPr="00F51496" w:rsidRDefault="007707CE" w:rsidP="007707CE">
      <w:pPr>
        <w:ind w:left="363" w:hanging="363"/>
        <w:jc w:val="both"/>
        <w:rPr>
          <w:rFonts w:ascii="Arial" w:hAnsi="Arial" w:cs="Arial"/>
          <w:color w:val="000000"/>
          <w:sz w:val="20"/>
        </w:rPr>
      </w:pPr>
      <w:r w:rsidRPr="00F51496">
        <w:rPr>
          <w:rFonts w:ascii="Arial" w:hAnsi="Arial" w:cs="Arial"/>
          <w:color w:val="000000"/>
          <w:sz w:val="20"/>
        </w:rPr>
        <w:t>(a)</w:t>
      </w:r>
      <w:r w:rsidRPr="00F51496">
        <w:rPr>
          <w:rFonts w:ascii="Arial" w:hAnsi="Arial" w:cs="Arial"/>
          <w:color w:val="000000"/>
          <w:sz w:val="20"/>
        </w:rPr>
        <w:tab/>
        <w:t>a child appears as a</w:t>
      </w:r>
      <w:r w:rsidR="00ED51FD" w:rsidRPr="00F51496">
        <w:rPr>
          <w:rFonts w:ascii="Arial" w:hAnsi="Arial" w:cs="Arial"/>
          <w:color w:val="000000"/>
          <w:sz w:val="20"/>
        </w:rPr>
        <w:t>n accused</w:t>
      </w:r>
      <w:r w:rsidRPr="00F51496">
        <w:rPr>
          <w:rFonts w:ascii="Arial" w:hAnsi="Arial" w:cs="Arial"/>
          <w:color w:val="000000"/>
          <w:sz w:val="20"/>
        </w:rPr>
        <w:t xml:space="preserve"> in a criminal proceeding in the Court; and</w:t>
      </w:r>
    </w:p>
    <w:p w14:paraId="211A10B9" w14:textId="04B23C6A" w:rsidR="007707CE" w:rsidRPr="00F51496" w:rsidRDefault="007707CE" w:rsidP="007707CE">
      <w:pPr>
        <w:ind w:left="363" w:hanging="363"/>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t xml:space="preserve">the Court consider that there is </w:t>
      </w:r>
      <w:r w:rsidRPr="00F51496">
        <w:rPr>
          <w:rFonts w:ascii="Arial" w:hAnsi="Arial" w:cs="Arial"/>
          <w:i/>
          <w:iCs/>
          <w:color w:val="000000"/>
          <w:sz w:val="20"/>
        </w:rPr>
        <w:t>prima facie</w:t>
      </w:r>
      <w:r w:rsidRPr="00F51496">
        <w:rPr>
          <w:rFonts w:ascii="Arial" w:hAnsi="Arial" w:cs="Arial"/>
          <w:color w:val="000000"/>
          <w:sz w:val="20"/>
        </w:rPr>
        <w:t xml:space="preserve"> evidence that grounds exist for the making of a protection application in respect of the child</w:t>
      </w:r>
      <w:r w:rsidR="00235652">
        <w:rPr>
          <w:rFonts w:ascii="Arial" w:hAnsi="Arial" w:cs="Arial"/>
          <w:color w:val="000000"/>
          <w:sz w:val="20"/>
        </w:rPr>
        <w:t>–</w:t>
      </w:r>
    </w:p>
    <w:p w14:paraId="00003C63" w14:textId="16572B4B" w:rsidR="007707CE" w:rsidRPr="00F51496" w:rsidRDefault="007707CE" w:rsidP="007707CE">
      <w:pPr>
        <w:jc w:val="both"/>
        <w:rPr>
          <w:rFonts w:ascii="Arial" w:hAnsi="Arial" w:cs="Arial"/>
          <w:color w:val="000000"/>
          <w:sz w:val="20"/>
        </w:rPr>
      </w:pPr>
    </w:p>
    <w:p w14:paraId="7B48BDB6" w14:textId="4D37035A" w:rsidR="00264861" w:rsidRPr="00F51496" w:rsidRDefault="00264861" w:rsidP="00264861">
      <w:pPr>
        <w:jc w:val="both"/>
        <w:rPr>
          <w:rFonts w:ascii="Arial" w:hAnsi="Arial" w:cs="Arial"/>
          <w:color w:val="000000"/>
          <w:sz w:val="20"/>
        </w:rPr>
      </w:pPr>
      <w:r w:rsidRPr="00F51496">
        <w:rPr>
          <w:rFonts w:ascii="Arial" w:hAnsi="Arial" w:cs="Arial"/>
          <w:color w:val="000000"/>
          <w:sz w:val="20"/>
        </w:rPr>
        <w:t xml:space="preserve">Section </w:t>
      </w:r>
      <w:r w:rsidR="003325E5">
        <w:rPr>
          <w:rFonts w:ascii="Arial" w:hAnsi="Arial" w:cs="Arial"/>
          <w:color w:val="000000"/>
          <w:sz w:val="20"/>
        </w:rPr>
        <w:t>181</w:t>
      </w:r>
      <w:r w:rsidRPr="00F51496">
        <w:rPr>
          <w:rFonts w:ascii="Arial" w:hAnsi="Arial" w:cs="Arial"/>
          <w:color w:val="000000"/>
          <w:sz w:val="20"/>
        </w:rPr>
        <w:t xml:space="preserve"> ought</w:t>
      </w:r>
      <w:r w:rsidR="003325E5">
        <w:rPr>
          <w:rFonts w:ascii="Arial" w:hAnsi="Arial" w:cs="Arial"/>
          <w:color w:val="000000"/>
          <w:sz w:val="20"/>
        </w:rPr>
        <w:t xml:space="preserve"> to</w:t>
      </w:r>
      <w:r w:rsidRPr="00F51496">
        <w:rPr>
          <w:rFonts w:ascii="Arial" w:hAnsi="Arial" w:cs="Arial"/>
          <w:color w:val="000000"/>
          <w:sz w:val="20"/>
        </w:rPr>
        <w:t xml:space="preserve"> be able to be used to good purpose when it is clear that the root cause of a young person's offending relates to him or her being out of home, rejected by family and/or "living around" with no adult supervision, guidance or support. However, in the experience of members of the Melbourne Children's Court, it is uncommon for the </w:t>
      </w:r>
      <w:r w:rsidR="00E73FB5">
        <w:rPr>
          <w:rFonts w:ascii="Arial" w:hAnsi="Arial" w:cs="Arial"/>
          <w:color w:val="000000"/>
          <w:sz w:val="20"/>
        </w:rPr>
        <w:t xml:space="preserve">DFFH </w:t>
      </w:r>
      <w:r w:rsidRPr="00F51496">
        <w:rPr>
          <w:rFonts w:ascii="Arial" w:hAnsi="Arial" w:cs="Arial"/>
          <w:color w:val="000000"/>
          <w:sz w:val="20"/>
        </w:rPr>
        <w:t xml:space="preserve">Secretary to accept </w:t>
      </w:r>
      <w:r w:rsidR="003325E5">
        <w:rPr>
          <w:rFonts w:ascii="Arial" w:hAnsi="Arial" w:cs="Arial"/>
          <w:color w:val="000000"/>
          <w:sz w:val="20"/>
        </w:rPr>
        <w:t xml:space="preserve">such </w:t>
      </w:r>
      <w:r w:rsidRPr="00F51496">
        <w:rPr>
          <w:rFonts w:ascii="Arial" w:hAnsi="Arial" w:cs="Arial"/>
          <w:color w:val="000000"/>
          <w:sz w:val="20"/>
        </w:rPr>
        <w:t xml:space="preserve">a referral. In the event that the </w:t>
      </w:r>
      <w:r w:rsidR="00E73FB5">
        <w:rPr>
          <w:rFonts w:ascii="Arial" w:hAnsi="Arial" w:cs="Arial"/>
          <w:color w:val="000000"/>
          <w:sz w:val="20"/>
        </w:rPr>
        <w:t xml:space="preserve">DFFH </w:t>
      </w:r>
      <w:r w:rsidRPr="00F51496">
        <w:rPr>
          <w:rFonts w:ascii="Arial" w:hAnsi="Arial" w:cs="Arial"/>
          <w:color w:val="000000"/>
          <w:sz w:val="20"/>
        </w:rPr>
        <w:t>Secretary reports back to the referring Court that "no protection application is required" [s.</w:t>
      </w:r>
      <w:r w:rsidR="003325E5">
        <w:rPr>
          <w:rFonts w:ascii="Arial" w:hAnsi="Arial" w:cs="Arial"/>
          <w:color w:val="000000"/>
          <w:sz w:val="20"/>
        </w:rPr>
        <w:t>183</w:t>
      </w:r>
      <w:r w:rsidRPr="00F51496">
        <w:rPr>
          <w:rFonts w:ascii="Arial" w:hAnsi="Arial" w:cs="Arial"/>
          <w:color w:val="000000"/>
          <w:sz w:val="20"/>
        </w:rPr>
        <w:t>(2)(b)(i</w:t>
      </w:r>
      <w:r w:rsidR="006D2E2D" w:rsidRPr="00F51496">
        <w:rPr>
          <w:rFonts w:ascii="Arial" w:hAnsi="Arial" w:cs="Arial"/>
          <w:color w:val="000000"/>
          <w:sz w:val="20"/>
        </w:rPr>
        <w:t>i</w:t>
      </w:r>
      <w:r w:rsidRPr="00F51496">
        <w:rPr>
          <w:rFonts w:ascii="Arial" w:hAnsi="Arial" w:cs="Arial"/>
          <w:color w:val="000000"/>
          <w:sz w:val="20"/>
        </w:rPr>
        <w:t>i)], there is little that the Court can do except tailor a sentencing order to address any identified "welfare needs" of the child if such a sentencing order is otherwise appropriate.</w:t>
      </w:r>
    </w:p>
    <w:p w14:paraId="30A2EFFF" w14:textId="77777777" w:rsidR="00264861" w:rsidRPr="00F51496" w:rsidRDefault="00264861" w:rsidP="00264861">
      <w:pPr>
        <w:jc w:val="both"/>
        <w:rPr>
          <w:rFonts w:ascii="Arial" w:hAnsi="Arial" w:cs="Arial"/>
          <w:color w:val="000000"/>
          <w:sz w:val="20"/>
        </w:rPr>
      </w:pPr>
    </w:p>
    <w:p w14:paraId="75DDCD4B" w14:textId="77777777" w:rsidR="006874D8" w:rsidRPr="00F51496" w:rsidRDefault="006D2E2D" w:rsidP="006874D8">
      <w:pPr>
        <w:pStyle w:val="Heading3"/>
        <w:keepNext/>
        <w:spacing w:line="240" w:lineRule="auto"/>
        <w:rPr>
          <w:rFonts w:ascii="Arial" w:hAnsi="Arial" w:cs="Arial"/>
          <w:b/>
          <w:bCs/>
          <w:color w:val="000000"/>
          <w:sz w:val="20"/>
        </w:rPr>
      </w:pPr>
      <w:bookmarkStart w:id="488" w:name="_7.10.2_Referral_re"/>
      <w:bookmarkEnd w:id="488"/>
      <w:r w:rsidRPr="00F51496">
        <w:rPr>
          <w:rFonts w:ascii="Arial" w:hAnsi="Arial" w:cs="Arial"/>
          <w:b/>
          <w:bCs/>
          <w:color w:val="000000"/>
          <w:sz w:val="20"/>
        </w:rPr>
        <w:t>7.10.2</w:t>
      </w:r>
      <w:r w:rsidRPr="00F51496">
        <w:rPr>
          <w:rFonts w:ascii="Arial" w:hAnsi="Arial" w:cs="Arial"/>
          <w:b/>
          <w:bCs/>
          <w:color w:val="000000"/>
          <w:sz w:val="20"/>
        </w:rPr>
        <w:tab/>
      </w:r>
      <w:r w:rsidR="00452140" w:rsidRPr="00F51496">
        <w:rPr>
          <w:rFonts w:ascii="Arial" w:hAnsi="Arial" w:cs="Arial"/>
          <w:b/>
          <w:bCs/>
          <w:color w:val="000000"/>
          <w:sz w:val="20"/>
        </w:rPr>
        <w:t xml:space="preserve">Referral re </w:t>
      </w:r>
      <w:r w:rsidRPr="00F51496">
        <w:rPr>
          <w:rFonts w:ascii="Arial" w:hAnsi="Arial" w:cs="Arial"/>
          <w:b/>
          <w:bCs/>
          <w:color w:val="000000"/>
          <w:sz w:val="20"/>
        </w:rPr>
        <w:t xml:space="preserve">therapeutic treatment </w:t>
      </w:r>
      <w:r w:rsidR="00452140" w:rsidRPr="00F51496">
        <w:rPr>
          <w:rFonts w:ascii="Arial" w:hAnsi="Arial" w:cs="Arial"/>
          <w:b/>
          <w:bCs/>
          <w:color w:val="000000"/>
          <w:sz w:val="20"/>
        </w:rPr>
        <w:t>application investigation</w:t>
      </w:r>
    </w:p>
    <w:p w14:paraId="5919B745" w14:textId="67F0B273" w:rsidR="007707CE" w:rsidRPr="00F51496" w:rsidRDefault="007707CE" w:rsidP="006D2E2D">
      <w:pPr>
        <w:spacing w:before="120"/>
        <w:jc w:val="both"/>
        <w:rPr>
          <w:rFonts w:ascii="Arial" w:hAnsi="Arial" w:cs="Arial"/>
          <w:color w:val="000000"/>
          <w:sz w:val="20"/>
        </w:rPr>
      </w:pPr>
      <w:r w:rsidRPr="00F51496">
        <w:rPr>
          <w:rFonts w:ascii="Arial" w:hAnsi="Arial" w:cs="Arial"/>
          <w:color w:val="000000"/>
          <w:sz w:val="20"/>
        </w:rPr>
        <w:t xml:space="preserve">Section </w:t>
      </w:r>
      <w:r w:rsidR="00202A49">
        <w:rPr>
          <w:rFonts w:ascii="Arial" w:hAnsi="Arial" w:cs="Arial"/>
          <w:color w:val="000000"/>
          <w:sz w:val="20"/>
        </w:rPr>
        <w:t>182(1) YJA</w:t>
      </w:r>
      <w:r w:rsidRPr="00F51496">
        <w:rPr>
          <w:rFonts w:ascii="Arial" w:hAnsi="Arial" w:cs="Arial"/>
          <w:color w:val="000000"/>
          <w:sz w:val="20"/>
        </w:rPr>
        <w:t xml:space="preserve"> provides that</w:t>
      </w:r>
      <w:r w:rsidR="00202A49">
        <w:rPr>
          <w:rFonts w:ascii="Arial" w:hAnsi="Arial" w:cs="Arial"/>
          <w:color w:val="000000"/>
          <w:sz w:val="20"/>
        </w:rPr>
        <w:t xml:space="preserve"> </w:t>
      </w:r>
      <w:r w:rsidR="00202A49" w:rsidRPr="00F51496">
        <w:rPr>
          <w:rFonts w:ascii="Arial" w:hAnsi="Arial" w:cs="Arial"/>
          <w:color w:val="000000"/>
          <w:sz w:val="20"/>
        </w:rPr>
        <w:t xml:space="preserve">the </w:t>
      </w:r>
      <w:r w:rsidR="00202A49">
        <w:rPr>
          <w:rFonts w:ascii="Arial" w:hAnsi="Arial" w:cs="Arial"/>
          <w:color w:val="000000"/>
          <w:sz w:val="20"/>
        </w:rPr>
        <w:t xml:space="preserve">Children’s </w:t>
      </w:r>
      <w:r w:rsidR="00202A49" w:rsidRPr="00F51496">
        <w:rPr>
          <w:rFonts w:ascii="Arial" w:hAnsi="Arial" w:cs="Arial"/>
          <w:color w:val="000000"/>
          <w:sz w:val="20"/>
        </w:rPr>
        <w:t>Court may refer the matter of an application to the D</w:t>
      </w:r>
      <w:r w:rsidR="00E73FB5">
        <w:rPr>
          <w:rFonts w:ascii="Arial" w:hAnsi="Arial" w:cs="Arial"/>
          <w:color w:val="000000"/>
          <w:sz w:val="20"/>
        </w:rPr>
        <w:t xml:space="preserve">FFH Secretary </w:t>
      </w:r>
      <w:r w:rsidR="00202A49" w:rsidRPr="00F51496">
        <w:rPr>
          <w:rFonts w:ascii="Arial" w:hAnsi="Arial" w:cs="Arial"/>
          <w:color w:val="000000"/>
          <w:sz w:val="20"/>
        </w:rPr>
        <w:t>for investigation</w:t>
      </w:r>
      <w:r w:rsidRPr="00F51496">
        <w:rPr>
          <w:rFonts w:ascii="Arial" w:hAnsi="Arial" w:cs="Arial"/>
          <w:color w:val="000000"/>
          <w:sz w:val="20"/>
        </w:rPr>
        <w:t xml:space="preserve"> </w:t>
      </w:r>
      <w:r w:rsidR="00E73FB5">
        <w:rPr>
          <w:rFonts w:ascii="Arial" w:hAnsi="Arial" w:cs="Arial"/>
          <w:color w:val="000000"/>
          <w:sz w:val="20"/>
        </w:rPr>
        <w:t xml:space="preserve">under the CYFA </w:t>
      </w:r>
      <w:r w:rsidRPr="00F51496">
        <w:rPr>
          <w:rFonts w:ascii="Arial" w:hAnsi="Arial" w:cs="Arial"/>
          <w:color w:val="000000"/>
          <w:sz w:val="20"/>
        </w:rPr>
        <w:t>if</w:t>
      </w:r>
      <w:r w:rsidR="00235652">
        <w:rPr>
          <w:rFonts w:ascii="Arial" w:hAnsi="Arial" w:cs="Arial"/>
          <w:color w:val="000000"/>
          <w:sz w:val="20"/>
        </w:rPr>
        <w:t>–</w:t>
      </w:r>
    </w:p>
    <w:p w14:paraId="4A98CA2D" w14:textId="77777777" w:rsidR="007707CE" w:rsidRPr="00F51496" w:rsidRDefault="007707CE" w:rsidP="007707CE">
      <w:pPr>
        <w:ind w:left="363" w:hanging="363"/>
        <w:jc w:val="both"/>
        <w:rPr>
          <w:rFonts w:ascii="Arial" w:hAnsi="Arial" w:cs="Arial"/>
          <w:color w:val="000000"/>
          <w:sz w:val="20"/>
        </w:rPr>
      </w:pPr>
      <w:r w:rsidRPr="00F51496">
        <w:rPr>
          <w:rFonts w:ascii="Arial" w:hAnsi="Arial" w:cs="Arial"/>
          <w:color w:val="000000"/>
          <w:sz w:val="20"/>
        </w:rPr>
        <w:t>(a)</w:t>
      </w:r>
      <w:r w:rsidRPr="00F51496">
        <w:rPr>
          <w:rFonts w:ascii="Arial" w:hAnsi="Arial" w:cs="Arial"/>
          <w:color w:val="000000"/>
          <w:sz w:val="20"/>
        </w:rPr>
        <w:tab/>
        <w:t xml:space="preserve">a child appears as </w:t>
      </w:r>
      <w:r w:rsidR="00ED51FD" w:rsidRPr="00F51496">
        <w:rPr>
          <w:rFonts w:ascii="Arial" w:hAnsi="Arial" w:cs="Arial"/>
          <w:color w:val="000000"/>
          <w:sz w:val="20"/>
        </w:rPr>
        <w:t>an accused</w:t>
      </w:r>
      <w:r w:rsidRPr="00F51496">
        <w:rPr>
          <w:rFonts w:ascii="Arial" w:hAnsi="Arial" w:cs="Arial"/>
          <w:color w:val="000000"/>
          <w:sz w:val="20"/>
        </w:rPr>
        <w:t xml:space="preserve"> in a criminal proceeding in the Court; and</w:t>
      </w:r>
    </w:p>
    <w:p w14:paraId="629100B4" w14:textId="26802C74" w:rsidR="007707CE" w:rsidRPr="00F51496" w:rsidRDefault="007707CE" w:rsidP="007707CE">
      <w:pPr>
        <w:ind w:left="363" w:hanging="363"/>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t xml:space="preserve">the Court consider that there is </w:t>
      </w:r>
      <w:r w:rsidRPr="00F51496">
        <w:rPr>
          <w:rFonts w:ascii="Arial" w:hAnsi="Arial" w:cs="Arial"/>
          <w:i/>
          <w:iCs/>
          <w:color w:val="000000"/>
          <w:sz w:val="20"/>
        </w:rPr>
        <w:t>prima facie</w:t>
      </w:r>
      <w:r w:rsidRPr="00F51496">
        <w:rPr>
          <w:rFonts w:ascii="Arial" w:hAnsi="Arial" w:cs="Arial"/>
          <w:color w:val="000000"/>
          <w:sz w:val="20"/>
        </w:rPr>
        <w:t xml:space="preserve"> evidence that grounds exist for the making of an application for a therapeutic treatment order in respect of the child</w:t>
      </w:r>
      <w:r w:rsidR="00235652">
        <w:rPr>
          <w:rFonts w:ascii="Arial" w:hAnsi="Arial" w:cs="Arial"/>
          <w:color w:val="000000"/>
          <w:sz w:val="20"/>
        </w:rPr>
        <w:t>–</w:t>
      </w:r>
    </w:p>
    <w:p w14:paraId="76343C7B" w14:textId="77777777" w:rsidR="00E44455" w:rsidRPr="00F51496" w:rsidRDefault="00E44455">
      <w:pPr>
        <w:jc w:val="both"/>
        <w:rPr>
          <w:rFonts w:ascii="Arial" w:hAnsi="Arial" w:cs="Arial"/>
          <w:color w:val="000000"/>
          <w:sz w:val="20"/>
        </w:rPr>
      </w:pPr>
    </w:p>
    <w:p w14:paraId="1AF6E02E" w14:textId="77777777" w:rsidR="006874D8" w:rsidRPr="00F51496" w:rsidRDefault="006D2E2D" w:rsidP="006874D8">
      <w:pPr>
        <w:pStyle w:val="Heading3"/>
        <w:keepNext/>
        <w:spacing w:line="240" w:lineRule="auto"/>
        <w:rPr>
          <w:rFonts w:ascii="Arial" w:hAnsi="Arial" w:cs="Arial"/>
          <w:b/>
          <w:bCs/>
          <w:color w:val="000000"/>
          <w:sz w:val="20"/>
        </w:rPr>
      </w:pPr>
      <w:bookmarkStart w:id="489" w:name="_7.10.3_Report_of"/>
      <w:bookmarkEnd w:id="489"/>
      <w:r w:rsidRPr="00F51496">
        <w:rPr>
          <w:rFonts w:ascii="Arial" w:hAnsi="Arial" w:cs="Arial"/>
          <w:b/>
          <w:bCs/>
          <w:color w:val="000000"/>
          <w:sz w:val="20"/>
        </w:rPr>
        <w:t>7.10.3</w:t>
      </w:r>
      <w:r w:rsidRPr="00F51496">
        <w:rPr>
          <w:rFonts w:ascii="Arial" w:hAnsi="Arial" w:cs="Arial"/>
          <w:b/>
          <w:bCs/>
          <w:color w:val="000000"/>
          <w:sz w:val="20"/>
        </w:rPr>
        <w:tab/>
        <w:t>Report of investigation</w:t>
      </w:r>
    </w:p>
    <w:p w14:paraId="0C0310FE" w14:textId="110C2128" w:rsidR="00B22584" w:rsidRPr="00F51496" w:rsidRDefault="00B22584" w:rsidP="007679AD">
      <w:pPr>
        <w:spacing w:before="120"/>
        <w:jc w:val="both"/>
        <w:rPr>
          <w:rFonts w:ascii="Arial" w:hAnsi="Arial" w:cs="Arial"/>
          <w:color w:val="000000"/>
          <w:sz w:val="20"/>
        </w:rPr>
      </w:pPr>
      <w:r w:rsidRPr="00F51496">
        <w:rPr>
          <w:rFonts w:ascii="Arial" w:hAnsi="Arial" w:cs="Arial"/>
          <w:color w:val="000000"/>
          <w:sz w:val="20"/>
        </w:rPr>
        <w:t>Under ss.</w:t>
      </w:r>
      <w:r w:rsidR="00E73FB5">
        <w:rPr>
          <w:rFonts w:ascii="Arial" w:hAnsi="Arial" w:cs="Arial"/>
          <w:color w:val="000000"/>
          <w:sz w:val="20"/>
        </w:rPr>
        <w:t>183</w:t>
      </w:r>
      <w:r w:rsidR="00CF080A" w:rsidRPr="00F51496">
        <w:rPr>
          <w:rFonts w:ascii="Arial" w:hAnsi="Arial" w:cs="Arial"/>
          <w:color w:val="000000"/>
          <w:sz w:val="20"/>
        </w:rPr>
        <w:t>(1</w:t>
      </w:r>
      <w:r w:rsidRPr="00F51496">
        <w:rPr>
          <w:rFonts w:ascii="Arial" w:hAnsi="Arial" w:cs="Arial"/>
          <w:color w:val="000000"/>
          <w:sz w:val="20"/>
        </w:rPr>
        <w:t xml:space="preserve">) &amp; </w:t>
      </w:r>
      <w:r w:rsidR="00E73FB5">
        <w:rPr>
          <w:rFonts w:ascii="Arial" w:hAnsi="Arial" w:cs="Arial"/>
          <w:color w:val="000000"/>
          <w:sz w:val="20"/>
        </w:rPr>
        <w:t>183</w:t>
      </w:r>
      <w:r w:rsidRPr="00F51496">
        <w:rPr>
          <w:rFonts w:ascii="Arial" w:hAnsi="Arial" w:cs="Arial"/>
          <w:color w:val="000000"/>
          <w:sz w:val="20"/>
        </w:rPr>
        <w:t>(</w:t>
      </w:r>
      <w:r w:rsidR="00CF080A" w:rsidRPr="00F51496">
        <w:rPr>
          <w:rFonts w:ascii="Arial" w:hAnsi="Arial" w:cs="Arial"/>
          <w:color w:val="000000"/>
          <w:sz w:val="20"/>
        </w:rPr>
        <w:t>2</w:t>
      </w:r>
      <w:r w:rsidRPr="00F51496">
        <w:rPr>
          <w:rFonts w:ascii="Arial" w:hAnsi="Arial" w:cs="Arial"/>
          <w:color w:val="000000"/>
          <w:sz w:val="20"/>
        </w:rPr>
        <w:t xml:space="preserve">) </w:t>
      </w:r>
      <w:r w:rsidR="00E73FB5">
        <w:rPr>
          <w:rFonts w:ascii="Arial" w:hAnsi="Arial" w:cs="Arial"/>
          <w:color w:val="000000"/>
          <w:sz w:val="20"/>
        </w:rPr>
        <w:t>YJA</w:t>
      </w:r>
      <w:r w:rsidRPr="00F51496">
        <w:rPr>
          <w:rFonts w:ascii="Arial" w:hAnsi="Arial" w:cs="Arial"/>
          <w:color w:val="000000"/>
          <w:sz w:val="20"/>
        </w:rPr>
        <w:t xml:space="preserve"> the </w:t>
      </w:r>
      <w:r w:rsidR="00E73FB5">
        <w:rPr>
          <w:rFonts w:ascii="Arial" w:hAnsi="Arial" w:cs="Arial"/>
          <w:color w:val="000000"/>
          <w:sz w:val="20"/>
        </w:rPr>
        <w:t xml:space="preserve">DFFH </w:t>
      </w:r>
      <w:r w:rsidRPr="00F51496">
        <w:rPr>
          <w:rFonts w:ascii="Arial" w:hAnsi="Arial" w:cs="Arial"/>
          <w:color w:val="000000"/>
          <w:sz w:val="20"/>
        </w:rPr>
        <w:t xml:space="preserve">Secretary must enquire into a referred matter and provide a report to the Court within 21 days of the referral </w:t>
      </w:r>
      <w:r w:rsidR="00A5510B" w:rsidRPr="00F51496">
        <w:rPr>
          <w:rFonts w:ascii="Arial" w:hAnsi="Arial" w:cs="Arial"/>
          <w:color w:val="000000"/>
          <w:sz w:val="20"/>
        </w:rPr>
        <w:t xml:space="preserve">confirming that the </w:t>
      </w:r>
      <w:r w:rsidR="00E73FB5">
        <w:rPr>
          <w:rFonts w:ascii="Arial" w:hAnsi="Arial" w:cs="Arial"/>
          <w:color w:val="000000"/>
          <w:sz w:val="20"/>
        </w:rPr>
        <w:t xml:space="preserve">DFFH </w:t>
      </w:r>
      <w:r w:rsidR="00A5510B" w:rsidRPr="00F51496">
        <w:rPr>
          <w:rFonts w:ascii="Arial" w:hAnsi="Arial" w:cs="Arial"/>
          <w:color w:val="000000"/>
          <w:sz w:val="20"/>
        </w:rPr>
        <w:t xml:space="preserve">Secretary has enquired into the referred matter and </w:t>
      </w:r>
      <w:r w:rsidRPr="00F51496">
        <w:rPr>
          <w:rFonts w:ascii="Arial" w:hAnsi="Arial" w:cs="Arial"/>
          <w:color w:val="000000"/>
          <w:sz w:val="20"/>
        </w:rPr>
        <w:t>advising that</w:t>
      </w:r>
      <w:r w:rsidR="00235652">
        <w:rPr>
          <w:rFonts w:ascii="Arial" w:hAnsi="Arial" w:cs="Arial"/>
          <w:color w:val="000000"/>
          <w:sz w:val="20"/>
        </w:rPr>
        <w:t>–</w:t>
      </w:r>
    </w:p>
    <w:p w14:paraId="6CAF904D" w14:textId="4E2DF45D" w:rsidR="00B22584" w:rsidRPr="00F51496" w:rsidRDefault="00E73FB5" w:rsidP="00A766F1">
      <w:pPr>
        <w:numPr>
          <w:ilvl w:val="0"/>
          <w:numId w:val="4"/>
        </w:numPr>
        <w:rPr>
          <w:rFonts w:ascii="Arial" w:hAnsi="Arial" w:cs="Arial"/>
          <w:color w:val="000000"/>
          <w:sz w:val="20"/>
        </w:rPr>
      </w:pPr>
      <w:r>
        <w:rPr>
          <w:rFonts w:ascii="Arial" w:hAnsi="Arial" w:cs="Arial"/>
          <w:color w:val="000000"/>
          <w:sz w:val="20"/>
        </w:rPr>
        <w:t>the</w:t>
      </w:r>
      <w:r w:rsidR="00B22584" w:rsidRPr="00F51496">
        <w:rPr>
          <w:rFonts w:ascii="Arial" w:hAnsi="Arial" w:cs="Arial"/>
          <w:color w:val="000000"/>
          <w:sz w:val="20"/>
        </w:rPr>
        <w:t xml:space="preserve"> </w:t>
      </w:r>
      <w:r w:rsidR="00756DF0" w:rsidRPr="00F51496">
        <w:rPr>
          <w:rFonts w:ascii="Arial" w:hAnsi="Arial" w:cs="Arial"/>
          <w:color w:val="000000"/>
          <w:sz w:val="20"/>
        </w:rPr>
        <w:t>relevant</w:t>
      </w:r>
      <w:r w:rsidR="00B22584" w:rsidRPr="00F51496">
        <w:rPr>
          <w:rFonts w:ascii="Arial" w:hAnsi="Arial" w:cs="Arial"/>
          <w:color w:val="000000"/>
          <w:sz w:val="20"/>
        </w:rPr>
        <w:t xml:space="preserve"> application has been made by the </w:t>
      </w:r>
      <w:r>
        <w:rPr>
          <w:rFonts w:ascii="Arial" w:hAnsi="Arial" w:cs="Arial"/>
          <w:color w:val="000000"/>
          <w:sz w:val="20"/>
        </w:rPr>
        <w:t xml:space="preserve">DFFH </w:t>
      </w:r>
      <w:r w:rsidR="00B22584" w:rsidRPr="00F51496">
        <w:rPr>
          <w:rFonts w:ascii="Arial" w:hAnsi="Arial" w:cs="Arial"/>
          <w:color w:val="000000"/>
          <w:sz w:val="20"/>
        </w:rPr>
        <w:t>Secretary; or</w:t>
      </w:r>
    </w:p>
    <w:p w14:paraId="263FC45F" w14:textId="116566AF" w:rsidR="00B22584" w:rsidRPr="00F51496" w:rsidRDefault="00B22584" w:rsidP="00A766F1">
      <w:pPr>
        <w:numPr>
          <w:ilvl w:val="0"/>
          <w:numId w:val="4"/>
        </w:numPr>
        <w:rPr>
          <w:rFonts w:ascii="Arial" w:hAnsi="Arial" w:cs="Arial"/>
          <w:color w:val="000000"/>
          <w:sz w:val="20"/>
        </w:rPr>
      </w:pPr>
      <w:r w:rsidRPr="00F51496">
        <w:rPr>
          <w:rFonts w:ascii="Arial" w:hAnsi="Arial" w:cs="Arial"/>
          <w:color w:val="000000"/>
          <w:sz w:val="20"/>
        </w:rPr>
        <w:t xml:space="preserve">the </w:t>
      </w:r>
      <w:r w:rsidR="00E73FB5">
        <w:rPr>
          <w:rFonts w:ascii="Arial" w:hAnsi="Arial" w:cs="Arial"/>
          <w:color w:val="000000"/>
          <w:sz w:val="20"/>
        </w:rPr>
        <w:t xml:space="preserve">DFFH </w:t>
      </w:r>
      <w:r w:rsidRPr="00F51496">
        <w:rPr>
          <w:rFonts w:ascii="Arial" w:hAnsi="Arial" w:cs="Arial"/>
          <w:color w:val="000000"/>
          <w:sz w:val="20"/>
        </w:rPr>
        <w:t xml:space="preserve">Secretary is satisfied that no </w:t>
      </w:r>
      <w:r w:rsidR="00756DF0" w:rsidRPr="00F51496">
        <w:rPr>
          <w:rFonts w:ascii="Arial" w:hAnsi="Arial" w:cs="Arial"/>
          <w:color w:val="000000"/>
          <w:sz w:val="20"/>
        </w:rPr>
        <w:t>such</w:t>
      </w:r>
      <w:r w:rsidRPr="00F51496">
        <w:rPr>
          <w:rFonts w:ascii="Arial" w:hAnsi="Arial" w:cs="Arial"/>
          <w:color w:val="000000"/>
          <w:sz w:val="20"/>
        </w:rPr>
        <w:t xml:space="preserve"> application is required.</w:t>
      </w:r>
    </w:p>
    <w:p w14:paraId="386BD864" w14:textId="77777777" w:rsidR="00586D0D" w:rsidRPr="00F51496" w:rsidRDefault="00586D0D">
      <w:pPr>
        <w:rPr>
          <w:rFonts w:ascii="Arial" w:hAnsi="Arial" w:cs="Arial"/>
          <w:color w:val="000000"/>
          <w:sz w:val="20"/>
        </w:rPr>
      </w:pPr>
    </w:p>
    <w:p w14:paraId="5092B506" w14:textId="7C7B932D" w:rsidR="006874D8" w:rsidRPr="00F51496" w:rsidRDefault="006D2E2D" w:rsidP="006874D8">
      <w:pPr>
        <w:pStyle w:val="Heading3"/>
        <w:keepNext/>
        <w:spacing w:line="240" w:lineRule="auto"/>
        <w:rPr>
          <w:rFonts w:ascii="Arial" w:hAnsi="Arial" w:cs="Arial"/>
          <w:b/>
          <w:bCs/>
          <w:color w:val="000000"/>
          <w:sz w:val="20"/>
        </w:rPr>
      </w:pPr>
      <w:bookmarkStart w:id="490" w:name="_7.10.4_Report_on"/>
      <w:bookmarkEnd w:id="490"/>
      <w:r w:rsidRPr="00F51496">
        <w:rPr>
          <w:rFonts w:ascii="Arial" w:hAnsi="Arial" w:cs="Arial"/>
          <w:b/>
          <w:bCs/>
          <w:color w:val="000000"/>
          <w:sz w:val="20"/>
        </w:rPr>
        <w:t>7.10.4</w:t>
      </w:r>
      <w:r w:rsidRPr="00F51496">
        <w:rPr>
          <w:rFonts w:ascii="Arial" w:hAnsi="Arial" w:cs="Arial"/>
          <w:b/>
          <w:bCs/>
          <w:color w:val="000000"/>
          <w:sz w:val="20"/>
        </w:rPr>
        <w:tab/>
        <w:t>Report on outcome of application</w:t>
      </w:r>
    </w:p>
    <w:p w14:paraId="51F7236C" w14:textId="3C41F0A0" w:rsidR="00586D0D" w:rsidRDefault="001C432B" w:rsidP="00586D0D">
      <w:pPr>
        <w:spacing w:before="120"/>
        <w:jc w:val="both"/>
        <w:rPr>
          <w:rFonts w:ascii="Arial" w:hAnsi="Arial" w:cs="Arial"/>
          <w:color w:val="000000"/>
          <w:sz w:val="20"/>
        </w:rPr>
      </w:pPr>
      <w:r w:rsidRPr="00F51496">
        <w:rPr>
          <w:rFonts w:ascii="Arial" w:hAnsi="Arial" w:cs="Arial"/>
          <w:color w:val="000000"/>
          <w:sz w:val="20"/>
        </w:rPr>
        <w:t>Under s.</w:t>
      </w:r>
      <w:r w:rsidR="00E73FB5">
        <w:rPr>
          <w:rFonts w:ascii="Arial" w:hAnsi="Arial" w:cs="Arial"/>
          <w:color w:val="000000"/>
          <w:sz w:val="20"/>
        </w:rPr>
        <w:t>184 YJ</w:t>
      </w:r>
      <w:r w:rsidRPr="00F51496">
        <w:rPr>
          <w:rFonts w:ascii="Arial" w:hAnsi="Arial" w:cs="Arial"/>
          <w:color w:val="000000"/>
          <w:sz w:val="20"/>
        </w:rPr>
        <w:t xml:space="preserve">A the </w:t>
      </w:r>
      <w:r w:rsidR="00E73FB5">
        <w:rPr>
          <w:rFonts w:ascii="Arial" w:hAnsi="Arial" w:cs="Arial"/>
          <w:color w:val="000000"/>
          <w:sz w:val="20"/>
        </w:rPr>
        <w:t xml:space="preserve">DFFH </w:t>
      </w:r>
      <w:r w:rsidRPr="00F51496">
        <w:rPr>
          <w:rFonts w:ascii="Arial" w:hAnsi="Arial" w:cs="Arial"/>
          <w:color w:val="000000"/>
          <w:sz w:val="20"/>
        </w:rPr>
        <w:t>Secretary must, as soon as possible after the determination of a protection application or an application for a therapeutic treatment order (as the case may be), report to the Criminal Division the outcome of the application</w:t>
      </w:r>
      <w:r w:rsidR="00E73FB5">
        <w:rPr>
          <w:rFonts w:ascii="Arial" w:hAnsi="Arial" w:cs="Arial"/>
          <w:color w:val="000000"/>
          <w:sz w:val="20"/>
        </w:rPr>
        <w:t>, in doing so stating the terms of the order.</w:t>
      </w:r>
      <w:r w:rsidR="00586D0D">
        <w:rPr>
          <w:rFonts w:ascii="Arial" w:hAnsi="Arial" w:cs="Arial"/>
          <w:color w:val="000000"/>
          <w:sz w:val="20"/>
        </w:rPr>
        <w:t xml:space="preserve"> Under s.186 YJA if a therapeutic treatment order has been made in respect of a child, the DFFH Secretary must report to the Children’s Court–</w:t>
      </w:r>
    </w:p>
    <w:p w14:paraId="301892FB" w14:textId="4F1E4045" w:rsidR="00586D0D" w:rsidRDefault="00586D0D">
      <w:pPr>
        <w:pStyle w:val="ListParagraph"/>
        <w:numPr>
          <w:ilvl w:val="0"/>
          <w:numId w:val="123"/>
        </w:numPr>
        <w:spacing w:after="0" w:line="240" w:lineRule="auto"/>
        <w:ind w:left="357" w:hanging="357"/>
        <w:contextualSpacing w:val="0"/>
        <w:jc w:val="both"/>
        <w:rPr>
          <w:rFonts w:ascii="Arial" w:hAnsi="Arial" w:cs="Arial"/>
          <w:color w:val="000000"/>
          <w:sz w:val="20"/>
        </w:rPr>
      </w:pPr>
      <w:r>
        <w:rPr>
          <w:rFonts w:ascii="Arial" w:hAnsi="Arial" w:cs="Arial"/>
          <w:color w:val="000000"/>
          <w:sz w:val="20"/>
        </w:rPr>
        <w:t>at any time required by the Court; and</w:t>
      </w:r>
    </w:p>
    <w:p w14:paraId="161E5894" w14:textId="1A3366B0" w:rsidR="00586D0D" w:rsidRPr="00586D0D" w:rsidRDefault="00586D0D">
      <w:pPr>
        <w:pStyle w:val="ListParagraph"/>
        <w:numPr>
          <w:ilvl w:val="0"/>
          <w:numId w:val="123"/>
        </w:numPr>
        <w:spacing w:after="0" w:line="240" w:lineRule="auto"/>
        <w:ind w:left="357" w:hanging="357"/>
        <w:contextualSpacing w:val="0"/>
        <w:jc w:val="both"/>
        <w:rPr>
          <w:rFonts w:ascii="Arial" w:hAnsi="Arial" w:cs="Arial"/>
          <w:color w:val="000000"/>
          <w:sz w:val="20"/>
        </w:rPr>
      </w:pPr>
      <w:r>
        <w:rPr>
          <w:rFonts w:ascii="Arial" w:hAnsi="Arial" w:cs="Arial"/>
          <w:color w:val="000000"/>
          <w:sz w:val="20"/>
        </w:rPr>
        <w:t>if a criminal proceeding in which the child is an accused is adjourned, on the completion or revocation of the therapeutic treatment order.</w:t>
      </w:r>
    </w:p>
    <w:p w14:paraId="27862B66" w14:textId="0D138990" w:rsidR="00586D0D" w:rsidRDefault="00586D0D" w:rsidP="003A4D50">
      <w:pPr>
        <w:jc w:val="both"/>
        <w:rPr>
          <w:rFonts w:ascii="Arial" w:hAnsi="Arial" w:cs="Arial"/>
          <w:color w:val="000000"/>
          <w:sz w:val="20"/>
        </w:rPr>
      </w:pPr>
      <w:r>
        <w:rPr>
          <w:rFonts w:ascii="Arial" w:hAnsi="Arial" w:cs="Arial"/>
          <w:color w:val="000000"/>
          <w:sz w:val="20"/>
        </w:rPr>
        <w:lastRenderedPageBreak/>
        <w:t xml:space="preserve">The </w:t>
      </w:r>
      <w:r w:rsidR="0028642C">
        <w:rPr>
          <w:rFonts w:ascii="Arial" w:hAnsi="Arial" w:cs="Arial"/>
          <w:color w:val="000000"/>
          <w:sz w:val="20"/>
        </w:rPr>
        <w:t xml:space="preserve">statutory </w:t>
      </w:r>
      <w:r>
        <w:rPr>
          <w:rFonts w:ascii="Arial" w:hAnsi="Arial" w:cs="Arial"/>
          <w:color w:val="000000"/>
          <w:sz w:val="20"/>
        </w:rPr>
        <w:t xml:space="preserve">effect of a therapeutic treatment order or similar voluntary </w:t>
      </w:r>
      <w:r w:rsidR="0028642C">
        <w:rPr>
          <w:rFonts w:ascii="Arial" w:hAnsi="Arial" w:cs="Arial"/>
          <w:color w:val="000000"/>
          <w:sz w:val="20"/>
        </w:rPr>
        <w:t xml:space="preserve">therapeutic </w:t>
      </w:r>
      <w:r>
        <w:rPr>
          <w:rFonts w:ascii="Arial" w:hAnsi="Arial" w:cs="Arial"/>
          <w:color w:val="000000"/>
          <w:sz w:val="20"/>
        </w:rPr>
        <w:t xml:space="preserve">treatment on related criminal proceedings is set out in ss.185 &amp; 187-189 YJA and is discussed in detail in </w:t>
      </w:r>
      <w:r w:rsidRPr="00586D0D">
        <w:rPr>
          <w:rFonts w:ascii="Arial" w:hAnsi="Arial" w:cs="Arial"/>
          <w:b/>
          <w:bCs/>
          <w:color w:val="000000"/>
          <w:sz w:val="20"/>
          <w:shd w:val="clear" w:color="auto" w:fill="C5E0B3" w:themeFill="accent6" w:themeFillTint="66"/>
        </w:rPr>
        <w:t>Part 10.5</w:t>
      </w:r>
      <w:r>
        <w:rPr>
          <w:rFonts w:ascii="Arial" w:hAnsi="Arial" w:cs="Arial"/>
          <w:color w:val="000000"/>
          <w:sz w:val="20"/>
        </w:rPr>
        <w:t>.</w:t>
      </w:r>
    </w:p>
    <w:p w14:paraId="261A7180" w14:textId="77777777" w:rsidR="00F7047F" w:rsidRPr="00F51496" w:rsidRDefault="00F7047F" w:rsidP="003A4D50">
      <w:pPr>
        <w:jc w:val="both"/>
        <w:rPr>
          <w:rFonts w:ascii="Arial" w:hAnsi="Arial" w:cs="Arial"/>
          <w:color w:val="000000"/>
          <w:sz w:val="20"/>
        </w:rPr>
      </w:pPr>
    </w:p>
    <w:p w14:paraId="7296C2AB" w14:textId="77777777" w:rsidR="006874D8" w:rsidRPr="00F51496" w:rsidRDefault="006D2E2D" w:rsidP="006874D8">
      <w:pPr>
        <w:pStyle w:val="Heading3"/>
        <w:keepNext/>
        <w:spacing w:line="240" w:lineRule="auto"/>
        <w:rPr>
          <w:rFonts w:ascii="Arial" w:hAnsi="Arial" w:cs="Arial"/>
          <w:b/>
          <w:bCs/>
          <w:color w:val="000000"/>
          <w:sz w:val="20"/>
        </w:rPr>
      </w:pPr>
      <w:bookmarkStart w:id="491" w:name="_7.10.5_Pre-sentence_report"/>
      <w:bookmarkEnd w:id="491"/>
      <w:r w:rsidRPr="003C0CE9">
        <w:rPr>
          <w:rFonts w:ascii="Arial" w:hAnsi="Arial" w:cs="Arial"/>
          <w:b/>
          <w:bCs/>
          <w:color w:val="000000"/>
          <w:sz w:val="20"/>
        </w:rPr>
        <w:t>7.10.5</w:t>
      </w:r>
      <w:r w:rsidRPr="003C0CE9">
        <w:rPr>
          <w:rFonts w:ascii="Arial" w:hAnsi="Arial" w:cs="Arial"/>
          <w:b/>
          <w:bCs/>
          <w:color w:val="000000"/>
          <w:sz w:val="20"/>
        </w:rPr>
        <w:tab/>
        <w:t>Pre-sentence report</w:t>
      </w:r>
    </w:p>
    <w:p w14:paraId="1CB71A1A" w14:textId="41F2144F" w:rsidR="001C432B" w:rsidRPr="00F51496" w:rsidRDefault="001C432B" w:rsidP="007679AD">
      <w:pPr>
        <w:spacing w:before="120"/>
        <w:jc w:val="both"/>
        <w:rPr>
          <w:rFonts w:ascii="Arial" w:hAnsi="Arial" w:cs="Arial"/>
          <w:color w:val="000000"/>
          <w:sz w:val="20"/>
        </w:rPr>
      </w:pPr>
      <w:r w:rsidRPr="00F51496">
        <w:rPr>
          <w:rFonts w:ascii="Arial" w:hAnsi="Arial" w:cs="Arial"/>
          <w:color w:val="000000"/>
          <w:sz w:val="20"/>
        </w:rPr>
        <w:t>Under s.</w:t>
      </w:r>
      <w:r w:rsidR="00E73FB5">
        <w:rPr>
          <w:rFonts w:ascii="Arial" w:hAnsi="Arial" w:cs="Arial"/>
          <w:color w:val="000000"/>
          <w:sz w:val="20"/>
        </w:rPr>
        <w:t>1</w:t>
      </w:r>
      <w:r w:rsidR="0028642C">
        <w:rPr>
          <w:rFonts w:ascii="Arial" w:hAnsi="Arial" w:cs="Arial"/>
          <w:color w:val="000000"/>
          <w:sz w:val="20"/>
        </w:rPr>
        <w:t>90</w:t>
      </w:r>
      <w:r w:rsidRPr="00F51496">
        <w:rPr>
          <w:rFonts w:ascii="Arial" w:hAnsi="Arial" w:cs="Arial"/>
          <w:color w:val="000000"/>
          <w:sz w:val="20"/>
        </w:rPr>
        <w:t>(1)</w:t>
      </w:r>
      <w:r w:rsidR="0028642C">
        <w:rPr>
          <w:rFonts w:ascii="Arial" w:hAnsi="Arial" w:cs="Arial"/>
          <w:color w:val="000000"/>
          <w:sz w:val="20"/>
        </w:rPr>
        <w:t xml:space="preserve"> YJA</w:t>
      </w:r>
      <w:r w:rsidRPr="00F51496">
        <w:rPr>
          <w:rFonts w:ascii="Arial" w:hAnsi="Arial" w:cs="Arial"/>
          <w:color w:val="000000"/>
          <w:sz w:val="20"/>
        </w:rPr>
        <w:t xml:space="preserve">, if a matter is referred to the </w:t>
      </w:r>
      <w:r w:rsidR="00824A91">
        <w:rPr>
          <w:rFonts w:ascii="Arial" w:hAnsi="Arial" w:cs="Arial"/>
          <w:color w:val="000000"/>
          <w:sz w:val="20"/>
        </w:rPr>
        <w:t xml:space="preserve">DFFH </w:t>
      </w:r>
      <w:r w:rsidRPr="00F51496">
        <w:rPr>
          <w:rFonts w:ascii="Arial" w:hAnsi="Arial" w:cs="Arial"/>
          <w:color w:val="000000"/>
          <w:sz w:val="20"/>
        </w:rPr>
        <w:t>Secretary under s</w:t>
      </w:r>
      <w:r w:rsidR="0028642C">
        <w:rPr>
          <w:rFonts w:ascii="Arial" w:hAnsi="Arial" w:cs="Arial"/>
          <w:color w:val="000000"/>
          <w:sz w:val="20"/>
        </w:rPr>
        <w:t>s</w:t>
      </w:r>
      <w:r w:rsidRPr="00F51496">
        <w:rPr>
          <w:rFonts w:ascii="Arial" w:hAnsi="Arial" w:cs="Arial"/>
          <w:color w:val="000000"/>
          <w:sz w:val="20"/>
        </w:rPr>
        <w:t>.</w:t>
      </w:r>
      <w:r w:rsidR="0028642C">
        <w:rPr>
          <w:rFonts w:ascii="Arial" w:hAnsi="Arial" w:cs="Arial"/>
          <w:color w:val="000000"/>
          <w:sz w:val="20"/>
        </w:rPr>
        <w:t>181 or 182(1)</w:t>
      </w:r>
      <w:r w:rsidRPr="00F51496">
        <w:rPr>
          <w:rFonts w:ascii="Arial" w:hAnsi="Arial" w:cs="Arial"/>
          <w:color w:val="000000"/>
          <w:sz w:val="20"/>
        </w:rPr>
        <w:t xml:space="preserve">, the Court may also order the Department of </w:t>
      </w:r>
      <w:r w:rsidR="00287BBD">
        <w:rPr>
          <w:rFonts w:ascii="Arial" w:hAnsi="Arial" w:cs="Arial"/>
          <w:color w:val="000000"/>
          <w:sz w:val="20"/>
        </w:rPr>
        <w:t>Justice and Community Safety</w:t>
      </w:r>
      <w:r w:rsidRPr="00F51496">
        <w:rPr>
          <w:rFonts w:ascii="Arial" w:hAnsi="Arial" w:cs="Arial"/>
          <w:color w:val="000000"/>
          <w:sz w:val="20"/>
        </w:rPr>
        <w:t xml:space="preserve"> (</w:t>
      </w:r>
      <w:r w:rsidR="00287BBD">
        <w:rPr>
          <w:rFonts w:ascii="Arial" w:hAnsi="Arial" w:cs="Arial"/>
          <w:color w:val="000000"/>
          <w:sz w:val="20"/>
        </w:rPr>
        <w:t>Youth</w:t>
      </w:r>
      <w:r w:rsidRPr="00F51496">
        <w:rPr>
          <w:rFonts w:ascii="Arial" w:hAnsi="Arial" w:cs="Arial"/>
          <w:color w:val="000000"/>
          <w:sz w:val="20"/>
        </w:rPr>
        <w:t xml:space="preserve"> Justice Division) to prepare a pre</w:t>
      </w:r>
      <w:r w:rsidR="0028642C">
        <w:rPr>
          <w:rFonts w:ascii="Arial" w:hAnsi="Arial" w:cs="Arial"/>
          <w:color w:val="000000"/>
          <w:sz w:val="20"/>
        </w:rPr>
        <w:noBreakHyphen/>
      </w:r>
      <w:r w:rsidRPr="00F51496">
        <w:rPr>
          <w:rFonts w:ascii="Arial" w:hAnsi="Arial" w:cs="Arial"/>
          <w:color w:val="000000"/>
          <w:sz w:val="20"/>
        </w:rPr>
        <w:t>sentence report in respect of the child and may, subject to s.</w:t>
      </w:r>
      <w:r w:rsidR="0028642C">
        <w:rPr>
          <w:rFonts w:ascii="Arial" w:hAnsi="Arial" w:cs="Arial"/>
          <w:color w:val="000000"/>
          <w:sz w:val="20"/>
        </w:rPr>
        <w:t>190</w:t>
      </w:r>
      <w:r w:rsidRPr="00F51496">
        <w:rPr>
          <w:rFonts w:ascii="Arial" w:hAnsi="Arial" w:cs="Arial"/>
          <w:color w:val="000000"/>
          <w:sz w:val="20"/>
        </w:rPr>
        <w:t xml:space="preserve">(2), defer sentencing the child until </w:t>
      </w:r>
      <w:r w:rsidR="00287BBD">
        <w:rPr>
          <w:rFonts w:ascii="Arial" w:hAnsi="Arial" w:cs="Arial"/>
          <w:color w:val="000000"/>
          <w:sz w:val="20"/>
        </w:rPr>
        <w:t>DJCS</w:t>
      </w:r>
      <w:r w:rsidRPr="00F51496">
        <w:rPr>
          <w:rFonts w:ascii="Arial" w:hAnsi="Arial" w:cs="Arial"/>
          <w:color w:val="000000"/>
          <w:sz w:val="20"/>
        </w:rPr>
        <w:t xml:space="preserve"> provides the pre-sentence report (if any) together with a report under either:</w:t>
      </w:r>
    </w:p>
    <w:p w14:paraId="37711437" w14:textId="616C014C" w:rsidR="001C432B" w:rsidRPr="00F51496" w:rsidRDefault="001C432B" w:rsidP="00A766F1">
      <w:pPr>
        <w:numPr>
          <w:ilvl w:val="0"/>
          <w:numId w:val="4"/>
        </w:numPr>
        <w:rPr>
          <w:rFonts w:ascii="Arial" w:hAnsi="Arial" w:cs="Arial"/>
          <w:color w:val="000000"/>
          <w:sz w:val="20"/>
        </w:rPr>
      </w:pPr>
      <w:r w:rsidRPr="00F51496">
        <w:rPr>
          <w:rFonts w:ascii="Arial" w:hAnsi="Arial" w:cs="Arial"/>
          <w:color w:val="000000"/>
          <w:sz w:val="20"/>
        </w:rPr>
        <w:t>s.</w:t>
      </w:r>
      <w:r w:rsidR="0028642C">
        <w:rPr>
          <w:rFonts w:ascii="Arial" w:hAnsi="Arial" w:cs="Arial"/>
          <w:color w:val="000000"/>
          <w:sz w:val="20"/>
        </w:rPr>
        <w:t>183</w:t>
      </w:r>
      <w:r w:rsidRPr="00F51496">
        <w:rPr>
          <w:rFonts w:ascii="Arial" w:hAnsi="Arial" w:cs="Arial"/>
          <w:color w:val="000000"/>
          <w:sz w:val="20"/>
        </w:rPr>
        <w:t xml:space="preserve">(2)(b)(iii) [if the </w:t>
      </w:r>
      <w:r w:rsidR="0028642C">
        <w:rPr>
          <w:rFonts w:ascii="Arial" w:hAnsi="Arial" w:cs="Arial"/>
          <w:color w:val="000000"/>
          <w:sz w:val="20"/>
        </w:rPr>
        <w:t xml:space="preserve">DFFH </w:t>
      </w:r>
      <w:r w:rsidRPr="00F51496">
        <w:rPr>
          <w:rFonts w:ascii="Arial" w:hAnsi="Arial" w:cs="Arial"/>
          <w:color w:val="000000"/>
          <w:sz w:val="20"/>
        </w:rPr>
        <w:t>Secretary is satisfied that no application is required]; or</w:t>
      </w:r>
    </w:p>
    <w:p w14:paraId="08214160" w14:textId="663577F9" w:rsidR="001C432B" w:rsidRPr="00F51496" w:rsidRDefault="001C432B" w:rsidP="00A766F1">
      <w:pPr>
        <w:numPr>
          <w:ilvl w:val="0"/>
          <w:numId w:val="4"/>
        </w:numPr>
        <w:rPr>
          <w:rFonts w:ascii="Arial" w:hAnsi="Arial" w:cs="Arial"/>
          <w:color w:val="000000"/>
          <w:sz w:val="20"/>
        </w:rPr>
      </w:pPr>
      <w:r w:rsidRPr="00F51496">
        <w:rPr>
          <w:rFonts w:ascii="Arial" w:hAnsi="Arial" w:cs="Arial"/>
          <w:color w:val="000000"/>
          <w:sz w:val="20"/>
        </w:rPr>
        <w:t>s.</w:t>
      </w:r>
      <w:r w:rsidR="0028642C">
        <w:rPr>
          <w:rFonts w:ascii="Arial" w:hAnsi="Arial" w:cs="Arial"/>
          <w:color w:val="000000"/>
          <w:sz w:val="20"/>
        </w:rPr>
        <w:t>184</w:t>
      </w:r>
      <w:r w:rsidRPr="00F51496">
        <w:rPr>
          <w:rFonts w:ascii="Arial" w:hAnsi="Arial" w:cs="Arial"/>
          <w:color w:val="000000"/>
          <w:sz w:val="20"/>
        </w:rPr>
        <w:t xml:space="preserve">              [o</w:t>
      </w:r>
      <w:r w:rsidR="006D2E2D" w:rsidRPr="00F51496">
        <w:rPr>
          <w:rFonts w:ascii="Arial" w:hAnsi="Arial" w:cs="Arial"/>
          <w:color w:val="000000"/>
          <w:sz w:val="20"/>
        </w:rPr>
        <w:t xml:space="preserve">n the outcome of any relevant </w:t>
      </w:r>
      <w:r w:rsidRPr="00F51496">
        <w:rPr>
          <w:rFonts w:ascii="Arial" w:hAnsi="Arial" w:cs="Arial"/>
          <w:color w:val="000000"/>
          <w:sz w:val="20"/>
        </w:rPr>
        <w:t xml:space="preserve">application made by the </w:t>
      </w:r>
      <w:r w:rsidR="0028642C">
        <w:rPr>
          <w:rFonts w:ascii="Arial" w:hAnsi="Arial" w:cs="Arial"/>
          <w:color w:val="000000"/>
          <w:sz w:val="20"/>
        </w:rPr>
        <w:t xml:space="preserve">DFFH </w:t>
      </w:r>
      <w:r w:rsidRPr="00F51496">
        <w:rPr>
          <w:rFonts w:ascii="Arial" w:hAnsi="Arial" w:cs="Arial"/>
          <w:color w:val="000000"/>
          <w:sz w:val="20"/>
        </w:rPr>
        <w:t>Secretary].</w:t>
      </w:r>
    </w:p>
    <w:p w14:paraId="7ED5A69C" w14:textId="77777777" w:rsidR="001C432B" w:rsidRPr="00F51496" w:rsidRDefault="001C432B" w:rsidP="003A4D50">
      <w:pPr>
        <w:jc w:val="both"/>
        <w:rPr>
          <w:rFonts w:ascii="Arial" w:hAnsi="Arial" w:cs="Arial"/>
          <w:color w:val="000000"/>
          <w:sz w:val="20"/>
        </w:rPr>
      </w:pPr>
    </w:p>
    <w:p w14:paraId="6565AB5A" w14:textId="77777777" w:rsidR="00246340" w:rsidRPr="00F51496" w:rsidRDefault="00B22584">
      <w:pPr>
        <w:pStyle w:val="Heading2"/>
        <w:keepNext/>
        <w:keepLines/>
        <w:tabs>
          <w:tab w:val="left" w:pos="567"/>
        </w:tabs>
        <w:spacing w:line="240" w:lineRule="auto"/>
        <w:ind w:left="567" w:hanging="567"/>
        <w:rPr>
          <w:rFonts w:ascii="Arial" w:hAnsi="Arial" w:cs="Arial"/>
          <w:b/>
          <w:bCs/>
          <w:color w:val="000000"/>
        </w:rPr>
      </w:pPr>
      <w:bookmarkStart w:id="492" w:name="_7.11_The_Children’s"/>
      <w:bookmarkStart w:id="493" w:name="_Toc58901923"/>
      <w:bookmarkEnd w:id="492"/>
      <w:r w:rsidRPr="00F51496">
        <w:rPr>
          <w:rFonts w:ascii="Arial" w:hAnsi="Arial" w:cs="Arial"/>
          <w:b/>
          <w:bCs/>
          <w:color w:val="000000"/>
        </w:rPr>
        <w:t>7.1</w:t>
      </w:r>
      <w:r w:rsidR="00357E48" w:rsidRPr="00F51496">
        <w:rPr>
          <w:rFonts w:ascii="Arial" w:hAnsi="Arial" w:cs="Arial"/>
          <w:b/>
          <w:bCs/>
          <w:color w:val="000000"/>
        </w:rPr>
        <w:t>1</w:t>
      </w:r>
      <w:r w:rsidRPr="00F51496">
        <w:rPr>
          <w:rFonts w:ascii="Arial" w:hAnsi="Arial" w:cs="Arial"/>
          <w:b/>
          <w:bCs/>
          <w:color w:val="000000"/>
        </w:rPr>
        <w:tab/>
      </w:r>
      <w:r w:rsidR="00246340" w:rsidRPr="00F51496">
        <w:rPr>
          <w:rFonts w:ascii="Arial" w:hAnsi="Arial" w:cs="Arial"/>
          <w:b/>
          <w:bCs/>
          <w:color w:val="000000"/>
        </w:rPr>
        <w:t xml:space="preserve">The Children’s </w:t>
      </w:r>
      <w:smartTag w:uri="urn:schemas-microsoft-com:office:smarttags" w:element="Street">
        <w:smartTag w:uri="urn:schemas-microsoft-com:office:smarttags" w:element="address">
          <w:r w:rsidR="00246340" w:rsidRPr="00F51496">
            <w:rPr>
              <w:rFonts w:ascii="Arial" w:hAnsi="Arial" w:cs="Arial"/>
              <w:b/>
              <w:bCs/>
              <w:color w:val="000000"/>
            </w:rPr>
            <w:t>Koori Court</w:t>
          </w:r>
        </w:smartTag>
      </w:smartTag>
      <w:r w:rsidR="004F457D" w:rsidRPr="00F51496">
        <w:rPr>
          <w:rFonts w:ascii="Arial" w:hAnsi="Arial" w:cs="Arial"/>
          <w:b/>
          <w:bCs/>
          <w:color w:val="000000"/>
        </w:rPr>
        <w:t xml:space="preserve"> (Criminal Division)</w:t>
      </w:r>
    </w:p>
    <w:p w14:paraId="086B7F21" w14:textId="77777777" w:rsidR="00246340" w:rsidRPr="00F51496" w:rsidRDefault="00246340" w:rsidP="00F85DE2">
      <w:pPr>
        <w:jc w:val="both"/>
        <w:rPr>
          <w:rFonts w:ascii="Arial" w:hAnsi="Arial" w:cs="Arial"/>
          <w:color w:val="000000"/>
          <w:sz w:val="20"/>
        </w:rPr>
      </w:pPr>
    </w:p>
    <w:p w14:paraId="1EF8C9E4" w14:textId="0994F421" w:rsidR="00E27787" w:rsidRPr="00F51496" w:rsidRDefault="00E27787" w:rsidP="00F85DE2">
      <w:pPr>
        <w:jc w:val="both"/>
        <w:rPr>
          <w:rFonts w:ascii="Arial" w:hAnsi="Arial" w:cs="Arial"/>
          <w:color w:val="000000"/>
          <w:sz w:val="20"/>
        </w:rPr>
      </w:pPr>
      <w:r w:rsidRPr="00F51496">
        <w:rPr>
          <w:rFonts w:ascii="Arial" w:hAnsi="Arial" w:cs="Arial"/>
          <w:color w:val="000000"/>
          <w:sz w:val="20"/>
        </w:rPr>
        <w:t xml:space="preserve">One important challenge for the Criminal Division of the Children’s Court of Victoria – as also throughout Australia – is the alarming over-representation of </w:t>
      </w:r>
      <w:r w:rsidR="00F16FEB">
        <w:rPr>
          <w:rFonts w:ascii="Arial" w:hAnsi="Arial" w:cs="Arial"/>
          <w:color w:val="000000"/>
          <w:sz w:val="20"/>
        </w:rPr>
        <w:t>First Peoples</w:t>
      </w:r>
      <w:r w:rsidRPr="00F51496">
        <w:rPr>
          <w:rFonts w:ascii="Arial" w:hAnsi="Arial" w:cs="Arial"/>
          <w:color w:val="000000"/>
          <w:sz w:val="20"/>
        </w:rPr>
        <w:t xml:space="preserve"> children.  The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Pr="00F51496">
        <w:rPr>
          <w:rFonts w:ascii="Arial" w:hAnsi="Arial" w:cs="Arial"/>
          <w:color w:val="000000"/>
          <w:sz w:val="20"/>
        </w:rPr>
        <w:t xml:space="preserve"> is one part of a comprehensive response developed by government and the koori community to try to tackle this issue.</w:t>
      </w:r>
    </w:p>
    <w:p w14:paraId="4965EC72" w14:textId="77777777" w:rsidR="00E27787" w:rsidRPr="00F51496" w:rsidRDefault="00E27787" w:rsidP="00F85DE2">
      <w:pPr>
        <w:jc w:val="both"/>
        <w:rPr>
          <w:rFonts w:ascii="Arial" w:hAnsi="Arial" w:cs="Arial"/>
          <w:color w:val="000000"/>
          <w:sz w:val="20"/>
        </w:rPr>
      </w:pPr>
    </w:p>
    <w:p w14:paraId="662CA93A" w14:textId="3E0AAC50" w:rsidR="00F85DE2" w:rsidRPr="00F51496" w:rsidRDefault="00246340" w:rsidP="00F85DE2">
      <w:pPr>
        <w:jc w:val="both"/>
        <w:rPr>
          <w:rFonts w:ascii="Arial" w:hAnsi="Arial" w:cs="Arial"/>
          <w:color w:val="000000"/>
          <w:sz w:val="20"/>
        </w:rPr>
      </w:pPr>
      <w:r w:rsidRPr="00F51496">
        <w:rPr>
          <w:rFonts w:ascii="Arial" w:hAnsi="Arial" w:cs="Arial"/>
          <w:color w:val="000000"/>
          <w:sz w:val="20"/>
        </w:rPr>
        <w:t xml:space="preserve">The </w:t>
      </w:r>
      <w:r w:rsidRPr="008102AC">
        <w:rPr>
          <w:rFonts w:ascii="Arial" w:hAnsi="Arial" w:cs="Arial"/>
          <w:i/>
          <w:iCs/>
          <w:color w:val="000000"/>
          <w:sz w:val="20"/>
        </w:rPr>
        <w:t>Children and Young Persons (Koori Court) Act 2004</w:t>
      </w:r>
      <w:r w:rsidRPr="00F51496">
        <w:rPr>
          <w:rFonts w:ascii="Arial" w:hAnsi="Arial" w:cs="Arial"/>
          <w:color w:val="000000"/>
          <w:sz w:val="20"/>
        </w:rPr>
        <w:t xml:space="preserve"> </w:t>
      </w:r>
      <w:r w:rsidR="009D2411" w:rsidRPr="00F51496">
        <w:rPr>
          <w:rFonts w:ascii="Arial" w:hAnsi="Arial" w:cs="Arial"/>
          <w:color w:val="000000"/>
          <w:sz w:val="20"/>
        </w:rPr>
        <w:t xml:space="preserve">[No.89/2004] </w:t>
      </w:r>
      <w:r w:rsidRPr="00F51496">
        <w:rPr>
          <w:rFonts w:ascii="Arial" w:hAnsi="Arial" w:cs="Arial"/>
          <w:color w:val="000000"/>
          <w:sz w:val="20"/>
        </w:rPr>
        <w:t xml:space="preserve">was assented to on 07/12/2004.  </w:t>
      </w:r>
      <w:r w:rsidR="004F457D" w:rsidRPr="00F51496">
        <w:rPr>
          <w:rFonts w:ascii="Arial" w:hAnsi="Arial" w:cs="Arial"/>
          <w:color w:val="000000"/>
          <w:sz w:val="20"/>
        </w:rPr>
        <w:t>Section 1 provides that the purposes of the Act are</w:t>
      </w:r>
      <w:r w:rsidR="00235652">
        <w:rPr>
          <w:rFonts w:ascii="Arial" w:hAnsi="Arial" w:cs="Arial"/>
          <w:color w:val="000000"/>
          <w:sz w:val="20"/>
        </w:rPr>
        <w:t>–</w:t>
      </w:r>
    </w:p>
    <w:p w14:paraId="5A6511C7" w14:textId="77777777" w:rsidR="004F457D" w:rsidRPr="00F51496" w:rsidRDefault="004F457D" w:rsidP="00591749">
      <w:pPr>
        <w:numPr>
          <w:ilvl w:val="0"/>
          <w:numId w:val="12"/>
        </w:numPr>
        <w:tabs>
          <w:tab w:val="left" w:pos="363"/>
        </w:tabs>
        <w:ind w:left="357" w:hanging="357"/>
        <w:jc w:val="both"/>
        <w:rPr>
          <w:rFonts w:ascii="Arial" w:hAnsi="Arial" w:cs="Arial"/>
          <w:color w:val="000000"/>
          <w:sz w:val="20"/>
        </w:rPr>
      </w:pPr>
      <w:r w:rsidRPr="00F51496">
        <w:rPr>
          <w:rFonts w:ascii="Arial" w:hAnsi="Arial" w:cs="Arial"/>
          <w:color w:val="000000"/>
          <w:sz w:val="20"/>
        </w:rPr>
        <w:t xml:space="preserve">to establish a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Pr="00F51496">
        <w:rPr>
          <w:rFonts w:ascii="Arial" w:hAnsi="Arial" w:cs="Arial"/>
          <w:color w:val="000000"/>
          <w:sz w:val="20"/>
        </w:rPr>
        <w:t xml:space="preserve"> (Criminal Division) of the Children’s Court; and</w:t>
      </w:r>
    </w:p>
    <w:p w14:paraId="7267D4DC" w14:textId="0FDD2801" w:rsidR="004F457D" w:rsidRPr="00F51496" w:rsidRDefault="004F457D" w:rsidP="00591749">
      <w:pPr>
        <w:numPr>
          <w:ilvl w:val="0"/>
          <w:numId w:val="12"/>
        </w:numPr>
        <w:tabs>
          <w:tab w:val="left" w:pos="363"/>
        </w:tabs>
        <w:ind w:left="357" w:hanging="357"/>
        <w:jc w:val="both"/>
        <w:rPr>
          <w:rFonts w:ascii="Arial" w:hAnsi="Arial" w:cs="Arial"/>
          <w:color w:val="000000"/>
          <w:sz w:val="20"/>
        </w:rPr>
      </w:pPr>
      <w:r w:rsidRPr="00F51496">
        <w:rPr>
          <w:rFonts w:ascii="Arial" w:hAnsi="Arial" w:cs="Arial"/>
          <w:color w:val="000000"/>
          <w:sz w:val="20"/>
        </w:rPr>
        <w:t>to provide for the jurisdiction and procedure of that Division</w:t>
      </w:r>
      <w:r w:rsidR="00235652">
        <w:rPr>
          <w:rFonts w:ascii="Arial" w:hAnsi="Arial" w:cs="Arial"/>
          <w:color w:val="000000"/>
          <w:sz w:val="20"/>
        </w:rPr>
        <w:t>–</w:t>
      </w:r>
    </w:p>
    <w:p w14:paraId="145DE666" w14:textId="77777777" w:rsidR="00F85DE2" w:rsidRPr="00F51496" w:rsidRDefault="004F457D" w:rsidP="00F85DE2">
      <w:pPr>
        <w:jc w:val="both"/>
        <w:rPr>
          <w:rFonts w:ascii="Arial" w:hAnsi="Arial" w:cs="Arial"/>
          <w:color w:val="000000"/>
          <w:sz w:val="20"/>
        </w:rPr>
      </w:pPr>
      <w:r w:rsidRPr="00F51496">
        <w:rPr>
          <w:rFonts w:ascii="Arial" w:hAnsi="Arial" w:cs="Arial"/>
          <w:color w:val="000000"/>
          <w:sz w:val="20"/>
        </w:rPr>
        <w:t>with the objective of ensuring greater participation of the Aboriginal community in the sentencing process of the Children’s Court through the role to be played in that process by the Aboriginal elder or respected person and others so as to assist in achieving more culturally appropriate sentences for young Aboriginal persons.</w:t>
      </w:r>
    </w:p>
    <w:p w14:paraId="715C8EE0" w14:textId="77777777" w:rsidR="00F85DE2" w:rsidRPr="00F51496" w:rsidRDefault="00F85DE2" w:rsidP="00F85DE2">
      <w:pPr>
        <w:jc w:val="both"/>
        <w:rPr>
          <w:rFonts w:ascii="Arial" w:hAnsi="Arial" w:cs="Arial"/>
          <w:color w:val="000000"/>
          <w:sz w:val="20"/>
        </w:rPr>
      </w:pPr>
    </w:p>
    <w:p w14:paraId="06E20D95" w14:textId="16DD3463" w:rsidR="009850D8" w:rsidRPr="00F51496" w:rsidRDefault="009850D8" w:rsidP="007679AD">
      <w:pPr>
        <w:jc w:val="both"/>
        <w:rPr>
          <w:rFonts w:ascii="Arial" w:hAnsi="Arial" w:cs="Arial"/>
          <w:color w:val="000000"/>
          <w:sz w:val="20"/>
        </w:rPr>
      </w:pPr>
      <w:r w:rsidRPr="00F51496">
        <w:rPr>
          <w:rFonts w:ascii="Arial" w:hAnsi="Arial" w:cs="Arial"/>
          <w:color w:val="000000"/>
          <w:sz w:val="20"/>
        </w:rPr>
        <w:t xml:space="preserve">Under s.3(1) of the </w:t>
      </w:r>
      <w:r w:rsidR="001E4633">
        <w:rPr>
          <w:rFonts w:ascii="Arial" w:hAnsi="Arial" w:cs="Arial"/>
          <w:color w:val="000000"/>
          <w:sz w:val="20"/>
        </w:rPr>
        <w:t>YJA</w:t>
      </w:r>
      <w:r w:rsidRPr="00F51496">
        <w:rPr>
          <w:rFonts w:ascii="Arial" w:hAnsi="Arial" w:cs="Arial"/>
          <w:color w:val="000000"/>
          <w:sz w:val="20"/>
        </w:rPr>
        <w:t xml:space="preserve"> “</w:t>
      </w:r>
      <w:r w:rsidRPr="00A6264E">
        <w:rPr>
          <w:rFonts w:ascii="Arial" w:hAnsi="Arial" w:cs="Arial"/>
          <w:b/>
          <w:bCs/>
          <w:color w:val="000000"/>
          <w:sz w:val="20"/>
        </w:rPr>
        <w:t>Aborigin</w:t>
      </w:r>
      <w:r w:rsidR="00AF4627" w:rsidRPr="00A6264E">
        <w:rPr>
          <w:rFonts w:ascii="Arial" w:hAnsi="Arial" w:cs="Arial"/>
          <w:b/>
          <w:bCs/>
          <w:color w:val="000000"/>
          <w:sz w:val="20"/>
        </w:rPr>
        <w:t>al person</w:t>
      </w:r>
      <w:r w:rsidRPr="00F51496">
        <w:rPr>
          <w:rFonts w:ascii="Arial" w:hAnsi="Arial" w:cs="Arial"/>
          <w:color w:val="000000"/>
          <w:sz w:val="20"/>
        </w:rPr>
        <w:t xml:space="preserve">” </w:t>
      </w:r>
      <w:r w:rsidR="00AF4627" w:rsidRPr="00F51496">
        <w:rPr>
          <w:rFonts w:ascii="Arial" w:hAnsi="Arial" w:cs="Arial"/>
          <w:color w:val="000000"/>
          <w:sz w:val="20"/>
        </w:rPr>
        <w:t>mean</w:t>
      </w:r>
      <w:r w:rsidR="00B33570" w:rsidRPr="00F51496">
        <w:rPr>
          <w:rFonts w:ascii="Arial" w:hAnsi="Arial" w:cs="Arial"/>
          <w:color w:val="000000"/>
          <w:sz w:val="20"/>
        </w:rPr>
        <w:t>s</w:t>
      </w:r>
      <w:r w:rsidRPr="00F51496">
        <w:rPr>
          <w:rFonts w:ascii="Arial" w:hAnsi="Arial" w:cs="Arial"/>
          <w:color w:val="000000"/>
          <w:sz w:val="20"/>
        </w:rPr>
        <w:t xml:space="preserve"> a person who:</w:t>
      </w:r>
    </w:p>
    <w:p w14:paraId="292FB751" w14:textId="6ED6713A" w:rsidR="009850D8" w:rsidRPr="00F51496" w:rsidRDefault="009850D8" w:rsidP="00591749">
      <w:pPr>
        <w:numPr>
          <w:ilvl w:val="0"/>
          <w:numId w:val="13"/>
        </w:numPr>
        <w:tabs>
          <w:tab w:val="left" w:pos="363"/>
        </w:tabs>
        <w:ind w:left="357" w:hanging="357"/>
        <w:jc w:val="both"/>
        <w:rPr>
          <w:rFonts w:ascii="Arial" w:hAnsi="Arial" w:cs="Arial"/>
          <w:color w:val="000000"/>
          <w:sz w:val="20"/>
        </w:rPr>
      </w:pPr>
      <w:r w:rsidRPr="00F51496">
        <w:rPr>
          <w:rFonts w:ascii="Arial" w:hAnsi="Arial" w:cs="Arial"/>
          <w:color w:val="000000"/>
          <w:sz w:val="20"/>
        </w:rPr>
        <w:t>is descended from an Aborigin</w:t>
      </w:r>
      <w:r w:rsidR="00D61E11">
        <w:rPr>
          <w:rFonts w:ascii="Arial" w:hAnsi="Arial" w:cs="Arial"/>
          <w:color w:val="000000"/>
          <w:sz w:val="20"/>
        </w:rPr>
        <w:t>al person</w:t>
      </w:r>
      <w:r w:rsidR="00AF4627" w:rsidRPr="00F51496">
        <w:rPr>
          <w:rFonts w:ascii="Arial" w:hAnsi="Arial" w:cs="Arial"/>
          <w:color w:val="000000"/>
          <w:sz w:val="20"/>
        </w:rPr>
        <w:t xml:space="preserve"> or Torres Strait Islander</w:t>
      </w:r>
      <w:r w:rsidRPr="00F51496">
        <w:rPr>
          <w:rFonts w:ascii="Arial" w:hAnsi="Arial" w:cs="Arial"/>
          <w:color w:val="000000"/>
          <w:sz w:val="20"/>
        </w:rPr>
        <w:t>; and</w:t>
      </w:r>
    </w:p>
    <w:p w14:paraId="26985C05" w14:textId="6AFB0B43" w:rsidR="009850D8" w:rsidRPr="00F51496" w:rsidRDefault="009850D8" w:rsidP="00591749">
      <w:pPr>
        <w:numPr>
          <w:ilvl w:val="0"/>
          <w:numId w:val="13"/>
        </w:numPr>
        <w:tabs>
          <w:tab w:val="left" w:pos="363"/>
        </w:tabs>
        <w:ind w:left="357" w:hanging="357"/>
        <w:jc w:val="both"/>
        <w:rPr>
          <w:rFonts w:ascii="Arial" w:hAnsi="Arial" w:cs="Arial"/>
          <w:color w:val="000000"/>
          <w:sz w:val="20"/>
        </w:rPr>
      </w:pPr>
      <w:r w:rsidRPr="00F51496">
        <w:rPr>
          <w:rFonts w:ascii="Arial" w:hAnsi="Arial" w:cs="Arial"/>
          <w:color w:val="000000"/>
          <w:sz w:val="20"/>
        </w:rPr>
        <w:t>identifies as an Aborigin</w:t>
      </w:r>
      <w:r w:rsidR="00D61E11">
        <w:rPr>
          <w:rFonts w:ascii="Arial" w:hAnsi="Arial" w:cs="Arial"/>
          <w:color w:val="000000"/>
          <w:sz w:val="20"/>
        </w:rPr>
        <w:t>al person</w:t>
      </w:r>
      <w:r w:rsidR="00AF4627" w:rsidRPr="00F51496">
        <w:rPr>
          <w:rFonts w:ascii="Arial" w:hAnsi="Arial" w:cs="Arial"/>
          <w:color w:val="000000"/>
          <w:sz w:val="20"/>
        </w:rPr>
        <w:t xml:space="preserve"> or Torres Strait Islander</w:t>
      </w:r>
      <w:r w:rsidRPr="00F51496">
        <w:rPr>
          <w:rFonts w:ascii="Arial" w:hAnsi="Arial" w:cs="Arial"/>
          <w:color w:val="000000"/>
          <w:sz w:val="20"/>
        </w:rPr>
        <w:t>; and</w:t>
      </w:r>
    </w:p>
    <w:p w14:paraId="3E0EEB22" w14:textId="4CF75E5C" w:rsidR="009850D8" w:rsidRPr="00F51496" w:rsidRDefault="009850D8" w:rsidP="00591749">
      <w:pPr>
        <w:numPr>
          <w:ilvl w:val="0"/>
          <w:numId w:val="13"/>
        </w:numPr>
        <w:tabs>
          <w:tab w:val="left" w:pos="363"/>
        </w:tabs>
        <w:ind w:left="357" w:hanging="357"/>
        <w:jc w:val="both"/>
        <w:rPr>
          <w:rFonts w:ascii="Arial" w:hAnsi="Arial" w:cs="Arial"/>
          <w:color w:val="000000"/>
          <w:sz w:val="20"/>
        </w:rPr>
      </w:pPr>
      <w:r w:rsidRPr="00F51496">
        <w:rPr>
          <w:rFonts w:ascii="Arial" w:hAnsi="Arial" w:cs="Arial"/>
          <w:color w:val="000000"/>
          <w:sz w:val="20"/>
        </w:rPr>
        <w:t>is accepted as an Aborigin</w:t>
      </w:r>
      <w:r w:rsidR="00D61E11">
        <w:rPr>
          <w:rFonts w:ascii="Arial" w:hAnsi="Arial" w:cs="Arial"/>
          <w:color w:val="000000"/>
          <w:sz w:val="20"/>
        </w:rPr>
        <w:t>al person</w:t>
      </w:r>
      <w:r w:rsidRPr="00F51496">
        <w:rPr>
          <w:rFonts w:ascii="Arial" w:hAnsi="Arial" w:cs="Arial"/>
          <w:color w:val="000000"/>
          <w:sz w:val="20"/>
        </w:rPr>
        <w:t xml:space="preserve"> </w:t>
      </w:r>
      <w:r w:rsidR="00AF4627" w:rsidRPr="00F51496">
        <w:rPr>
          <w:rFonts w:ascii="Arial" w:hAnsi="Arial" w:cs="Arial"/>
          <w:color w:val="000000"/>
          <w:sz w:val="20"/>
        </w:rPr>
        <w:t xml:space="preserve">or Torres Strait Islander </w:t>
      </w:r>
      <w:r w:rsidRPr="00F51496">
        <w:rPr>
          <w:rFonts w:ascii="Arial" w:hAnsi="Arial" w:cs="Arial"/>
          <w:color w:val="000000"/>
          <w:sz w:val="20"/>
        </w:rPr>
        <w:t xml:space="preserve">by an Aboriginal </w:t>
      </w:r>
      <w:r w:rsidR="00AF4627" w:rsidRPr="00F51496">
        <w:rPr>
          <w:rFonts w:ascii="Arial" w:hAnsi="Arial" w:cs="Arial"/>
          <w:color w:val="000000"/>
          <w:sz w:val="20"/>
        </w:rPr>
        <w:t xml:space="preserve">or Torres Strait Islander </w:t>
      </w:r>
      <w:r w:rsidRPr="00F51496">
        <w:rPr>
          <w:rFonts w:ascii="Arial" w:hAnsi="Arial" w:cs="Arial"/>
          <w:color w:val="000000"/>
          <w:sz w:val="20"/>
        </w:rPr>
        <w:t>community.</w:t>
      </w:r>
    </w:p>
    <w:p w14:paraId="5D5F3D7C" w14:textId="77777777" w:rsidR="004F457D" w:rsidRDefault="004F457D" w:rsidP="004F457D">
      <w:pPr>
        <w:rPr>
          <w:rFonts w:ascii="Arial" w:hAnsi="Arial" w:cs="Arial"/>
          <w:color w:val="000000"/>
          <w:sz w:val="20"/>
        </w:rPr>
      </w:pPr>
    </w:p>
    <w:p w14:paraId="2DDE2BED" w14:textId="75DC607D" w:rsidR="00A6264E" w:rsidRDefault="00A6264E" w:rsidP="00A6264E">
      <w:pPr>
        <w:jc w:val="both"/>
        <w:rPr>
          <w:rFonts w:ascii="Arial" w:hAnsi="Arial" w:cs="Arial"/>
          <w:color w:val="000000"/>
          <w:sz w:val="20"/>
        </w:rPr>
      </w:pPr>
      <w:r>
        <w:rPr>
          <w:rFonts w:ascii="Arial" w:hAnsi="Arial" w:cs="Arial"/>
          <w:color w:val="000000"/>
          <w:sz w:val="20"/>
        </w:rPr>
        <w:t>Under s.3(1) of the YJA “</w:t>
      </w:r>
      <w:r w:rsidRPr="00A6264E">
        <w:rPr>
          <w:rFonts w:ascii="Arial" w:hAnsi="Arial" w:cs="Arial"/>
          <w:b/>
          <w:bCs/>
          <w:color w:val="000000"/>
          <w:sz w:val="20"/>
        </w:rPr>
        <w:t>Criminal Division</w:t>
      </w:r>
      <w:r>
        <w:rPr>
          <w:rFonts w:ascii="Arial" w:hAnsi="Arial" w:cs="Arial"/>
          <w:color w:val="000000"/>
          <w:sz w:val="20"/>
        </w:rPr>
        <w:t xml:space="preserve">” means the </w:t>
      </w:r>
      <w:r w:rsidRPr="00A6264E">
        <w:rPr>
          <w:rFonts w:ascii="Arial" w:hAnsi="Arial" w:cs="Arial"/>
          <w:sz w:val="20"/>
          <w:szCs w:val="16"/>
        </w:rPr>
        <w:t>Criminal Division of the Children's Court established under s</w:t>
      </w:r>
      <w:r>
        <w:rPr>
          <w:rFonts w:ascii="Arial" w:hAnsi="Arial" w:cs="Arial"/>
          <w:sz w:val="20"/>
          <w:szCs w:val="16"/>
        </w:rPr>
        <w:t>.</w:t>
      </w:r>
      <w:r w:rsidRPr="00A6264E">
        <w:rPr>
          <w:rFonts w:ascii="Arial" w:hAnsi="Arial" w:cs="Arial"/>
          <w:sz w:val="20"/>
          <w:szCs w:val="16"/>
        </w:rPr>
        <w:t>504(3)(b) of the</w:t>
      </w:r>
      <w:r>
        <w:rPr>
          <w:rFonts w:ascii="Arial" w:hAnsi="Arial" w:cs="Arial"/>
          <w:sz w:val="20"/>
          <w:szCs w:val="16"/>
        </w:rPr>
        <w:t xml:space="preserve"> CYFA and, </w:t>
      </w:r>
      <w:r w:rsidRPr="00A6264E">
        <w:rPr>
          <w:rFonts w:ascii="Arial" w:hAnsi="Arial" w:cs="Arial"/>
          <w:sz w:val="20"/>
          <w:szCs w:val="16"/>
        </w:rPr>
        <w:t>unless the context otherwise requires, includes</w:t>
      </w:r>
      <w:r>
        <w:rPr>
          <w:rFonts w:ascii="Arial" w:hAnsi="Arial" w:cs="Arial"/>
          <w:sz w:val="20"/>
          <w:szCs w:val="16"/>
        </w:rPr>
        <w:t xml:space="preserve"> the Koori Court (Criminal Division).</w:t>
      </w:r>
    </w:p>
    <w:p w14:paraId="464C858B" w14:textId="77777777" w:rsidR="00A6264E" w:rsidRPr="00F51496" w:rsidRDefault="00A6264E" w:rsidP="004F457D">
      <w:pPr>
        <w:rPr>
          <w:rFonts w:ascii="Arial" w:hAnsi="Arial" w:cs="Arial"/>
          <w:color w:val="000000"/>
          <w:sz w:val="20"/>
        </w:rPr>
      </w:pPr>
    </w:p>
    <w:p w14:paraId="29C6987D" w14:textId="4BB43507" w:rsidR="00B33570" w:rsidRPr="00F51496" w:rsidRDefault="00B33570" w:rsidP="00B33570">
      <w:pPr>
        <w:jc w:val="both"/>
        <w:rPr>
          <w:rFonts w:ascii="Arial" w:hAnsi="Arial" w:cs="Arial"/>
          <w:color w:val="000000"/>
          <w:sz w:val="20"/>
        </w:rPr>
      </w:pPr>
      <w:r w:rsidRPr="00F51496">
        <w:rPr>
          <w:rFonts w:ascii="Arial" w:hAnsi="Arial" w:cs="Arial"/>
          <w:color w:val="000000"/>
          <w:sz w:val="20"/>
        </w:rPr>
        <w:t>Under s.</w:t>
      </w:r>
      <w:r w:rsidR="00AF4627" w:rsidRPr="00F51496">
        <w:rPr>
          <w:rFonts w:ascii="Arial" w:hAnsi="Arial" w:cs="Arial"/>
          <w:color w:val="000000"/>
          <w:sz w:val="20"/>
        </w:rPr>
        <w:t>536</w:t>
      </w:r>
      <w:r w:rsidRPr="00F51496">
        <w:rPr>
          <w:rFonts w:ascii="Arial" w:hAnsi="Arial" w:cs="Arial"/>
          <w:color w:val="000000"/>
          <w:sz w:val="20"/>
        </w:rPr>
        <w:t>(1) of the CY</w:t>
      </w:r>
      <w:r w:rsidR="00AF4627" w:rsidRPr="00F51496">
        <w:rPr>
          <w:rFonts w:ascii="Arial" w:hAnsi="Arial" w:cs="Arial"/>
          <w:color w:val="000000"/>
          <w:sz w:val="20"/>
        </w:rPr>
        <w:t>F</w:t>
      </w:r>
      <w:r w:rsidRPr="00F51496">
        <w:rPr>
          <w:rFonts w:ascii="Arial" w:hAnsi="Arial" w:cs="Arial"/>
          <w:color w:val="000000"/>
          <w:sz w:val="20"/>
        </w:rPr>
        <w:t xml:space="preserve">A the </w:t>
      </w:r>
      <w:r w:rsidR="00A6264E">
        <w:rPr>
          <w:rFonts w:ascii="Arial" w:hAnsi="Arial" w:cs="Arial"/>
          <w:color w:val="000000"/>
          <w:sz w:val="20"/>
        </w:rPr>
        <w:t xml:space="preserve">Chief Executive Officer of Court Services Victoria </w:t>
      </w:r>
      <w:r w:rsidRPr="00F51496">
        <w:rPr>
          <w:rFonts w:ascii="Arial" w:hAnsi="Arial" w:cs="Arial"/>
          <w:color w:val="000000"/>
          <w:sz w:val="20"/>
        </w:rPr>
        <w:t xml:space="preserve">may appoint a person who is a member of the Aboriginal community as an </w:t>
      </w:r>
      <w:r w:rsidR="00A77562" w:rsidRPr="00F51496">
        <w:rPr>
          <w:rFonts w:ascii="Arial" w:hAnsi="Arial" w:cs="Arial"/>
          <w:color w:val="000000"/>
          <w:sz w:val="20"/>
        </w:rPr>
        <w:t xml:space="preserve">Aboriginal elder or respected person for the purpose of performing functions in relation to the Koori Court (Criminal Division) as set out in the </w:t>
      </w:r>
      <w:r w:rsidR="00310CA9" w:rsidRPr="00F51496">
        <w:rPr>
          <w:rFonts w:ascii="Arial" w:hAnsi="Arial" w:cs="Arial"/>
          <w:color w:val="000000"/>
          <w:sz w:val="20"/>
        </w:rPr>
        <w:t>CY</w:t>
      </w:r>
      <w:r w:rsidR="00AF4627" w:rsidRPr="00F51496">
        <w:rPr>
          <w:rFonts w:ascii="Arial" w:hAnsi="Arial" w:cs="Arial"/>
          <w:color w:val="000000"/>
          <w:sz w:val="20"/>
        </w:rPr>
        <w:t>F</w:t>
      </w:r>
      <w:r w:rsidR="00310CA9" w:rsidRPr="00F51496">
        <w:rPr>
          <w:rFonts w:ascii="Arial" w:hAnsi="Arial" w:cs="Arial"/>
          <w:color w:val="000000"/>
          <w:sz w:val="20"/>
        </w:rPr>
        <w:t>A</w:t>
      </w:r>
      <w:r w:rsidR="00A6264E">
        <w:rPr>
          <w:rFonts w:ascii="Arial" w:hAnsi="Arial" w:cs="Arial"/>
          <w:color w:val="000000"/>
          <w:sz w:val="20"/>
        </w:rPr>
        <w:t xml:space="preserve"> or the YJA.</w:t>
      </w:r>
    </w:p>
    <w:p w14:paraId="2C583964" w14:textId="77777777" w:rsidR="001E4633" w:rsidRDefault="001E4633" w:rsidP="00BE4B7B">
      <w:pPr>
        <w:jc w:val="both"/>
        <w:rPr>
          <w:rFonts w:ascii="Arial" w:hAnsi="Arial" w:cs="Arial"/>
          <w:color w:val="000000"/>
          <w:sz w:val="20"/>
        </w:rPr>
      </w:pPr>
    </w:p>
    <w:p w14:paraId="0D795EFA" w14:textId="77777777" w:rsidR="004F457D" w:rsidRPr="00F51496" w:rsidRDefault="004F457D" w:rsidP="004F457D">
      <w:pPr>
        <w:pStyle w:val="Heading3"/>
        <w:keepNext/>
        <w:spacing w:line="240" w:lineRule="auto"/>
        <w:rPr>
          <w:rFonts w:ascii="Arial" w:hAnsi="Arial" w:cs="Arial"/>
          <w:b/>
          <w:bCs/>
          <w:color w:val="000000"/>
          <w:sz w:val="20"/>
        </w:rPr>
      </w:pPr>
      <w:bookmarkStart w:id="494" w:name="_7.11.1_Jurisdiction_&amp;"/>
      <w:bookmarkEnd w:id="494"/>
      <w:r w:rsidRPr="00F51496">
        <w:rPr>
          <w:rFonts w:ascii="Arial" w:hAnsi="Arial" w:cs="Arial"/>
          <w:b/>
          <w:bCs/>
          <w:color w:val="000000"/>
          <w:sz w:val="20"/>
        </w:rPr>
        <w:t>7.11.1</w:t>
      </w:r>
      <w:r w:rsidRPr="00F51496">
        <w:rPr>
          <w:rFonts w:ascii="Arial" w:hAnsi="Arial" w:cs="Arial"/>
          <w:b/>
          <w:bCs/>
          <w:color w:val="000000"/>
          <w:sz w:val="20"/>
        </w:rPr>
        <w:tab/>
        <w:t>Jurisdiction</w:t>
      </w:r>
      <w:r w:rsidR="00C61F6B" w:rsidRPr="00F51496">
        <w:rPr>
          <w:rFonts w:ascii="Arial" w:hAnsi="Arial" w:cs="Arial"/>
          <w:b/>
          <w:bCs/>
          <w:color w:val="000000"/>
          <w:sz w:val="20"/>
        </w:rPr>
        <w:t xml:space="preserve"> &amp; powers</w:t>
      </w:r>
    </w:p>
    <w:p w14:paraId="043D5D6A" w14:textId="77777777" w:rsidR="004F457D" w:rsidRDefault="004F457D" w:rsidP="00C61F6B">
      <w:pPr>
        <w:jc w:val="both"/>
        <w:rPr>
          <w:rFonts w:ascii="Arial" w:hAnsi="Arial" w:cs="Arial"/>
          <w:color w:val="000000"/>
          <w:sz w:val="20"/>
        </w:rPr>
      </w:pPr>
    </w:p>
    <w:p w14:paraId="57DACA4A" w14:textId="4319CA4C" w:rsidR="00E01FDD" w:rsidRDefault="00E01FDD" w:rsidP="00C61F6B">
      <w:pPr>
        <w:jc w:val="both"/>
        <w:rPr>
          <w:rFonts w:ascii="Arial" w:hAnsi="Arial" w:cs="Arial"/>
          <w:color w:val="000000"/>
          <w:sz w:val="20"/>
        </w:rPr>
      </w:pPr>
      <w:r>
        <w:rPr>
          <w:rFonts w:ascii="Arial" w:hAnsi="Arial" w:cs="Arial"/>
          <w:color w:val="000000"/>
          <w:sz w:val="20"/>
        </w:rPr>
        <w:t xml:space="preserve">The jurisdiction of the Koori Court (Criminal Division) is limited </w:t>
      </w:r>
      <w:r w:rsidR="00AE7F5A">
        <w:rPr>
          <w:rFonts w:ascii="Arial" w:hAnsi="Arial" w:cs="Arial"/>
          <w:color w:val="000000"/>
          <w:sz w:val="20"/>
        </w:rPr>
        <w:t>by</w:t>
      </w:r>
      <w:r>
        <w:rPr>
          <w:rFonts w:ascii="Arial" w:hAnsi="Arial" w:cs="Arial"/>
          <w:color w:val="000000"/>
          <w:sz w:val="20"/>
        </w:rPr>
        <w:t xml:space="preserve"> </w:t>
      </w:r>
      <w:r w:rsidRPr="00C50288">
        <w:rPr>
          <w:rFonts w:ascii="Arial" w:hAnsi="Arial" w:cs="Arial"/>
          <w:b/>
          <w:bCs/>
          <w:color w:val="000000"/>
          <w:sz w:val="20"/>
        </w:rPr>
        <w:t>s.518</w:t>
      </w:r>
      <w:r>
        <w:rPr>
          <w:rFonts w:ascii="Arial" w:hAnsi="Arial" w:cs="Arial"/>
          <w:color w:val="000000"/>
          <w:sz w:val="20"/>
        </w:rPr>
        <w:t xml:space="preserve"> of the CYFA</w:t>
      </w:r>
      <w:r w:rsidR="00AE7F5A">
        <w:rPr>
          <w:rFonts w:ascii="Arial" w:hAnsi="Arial" w:cs="Arial"/>
          <w:color w:val="000000"/>
          <w:sz w:val="20"/>
        </w:rPr>
        <w:t xml:space="preserve"> to the following categories:</w:t>
      </w:r>
    </w:p>
    <w:p w14:paraId="66767957" w14:textId="5B17D7FB" w:rsidR="00E01FDD" w:rsidRDefault="00E01FDD">
      <w:pPr>
        <w:numPr>
          <w:ilvl w:val="0"/>
          <w:numId w:val="124"/>
        </w:numPr>
        <w:tabs>
          <w:tab w:val="clear" w:pos="360"/>
        </w:tabs>
        <w:ind w:left="454" w:hanging="454"/>
        <w:rPr>
          <w:rFonts w:ascii="Arial" w:hAnsi="Arial" w:cs="Arial"/>
          <w:color w:val="000000"/>
          <w:sz w:val="20"/>
        </w:rPr>
      </w:pPr>
      <w:r>
        <w:rPr>
          <w:rFonts w:ascii="Arial" w:hAnsi="Arial" w:cs="Arial"/>
          <w:color w:val="000000"/>
          <w:sz w:val="20"/>
        </w:rPr>
        <w:t xml:space="preserve">jurisdiction to deal with a proceeding for an offence given to it by </w:t>
      </w:r>
      <w:r w:rsidRPr="00C50288">
        <w:rPr>
          <w:rFonts w:ascii="Arial" w:hAnsi="Arial" w:cs="Arial"/>
          <w:b/>
          <w:bCs/>
          <w:color w:val="000000"/>
          <w:sz w:val="20"/>
        </w:rPr>
        <w:t>s.519</w:t>
      </w:r>
      <w:r>
        <w:rPr>
          <w:rFonts w:ascii="Arial" w:hAnsi="Arial" w:cs="Arial"/>
          <w:color w:val="000000"/>
          <w:sz w:val="20"/>
        </w:rPr>
        <w:t>;</w:t>
      </w:r>
    </w:p>
    <w:p w14:paraId="123B154D" w14:textId="32ED3B99" w:rsidR="00DB3B4B" w:rsidRDefault="00E01FDD">
      <w:pPr>
        <w:numPr>
          <w:ilvl w:val="0"/>
          <w:numId w:val="124"/>
        </w:numPr>
        <w:tabs>
          <w:tab w:val="clear" w:pos="360"/>
        </w:tabs>
        <w:ind w:left="454" w:hanging="454"/>
        <w:jc w:val="both"/>
        <w:rPr>
          <w:rFonts w:ascii="Arial" w:hAnsi="Arial" w:cs="Arial"/>
          <w:color w:val="000000"/>
          <w:sz w:val="20"/>
        </w:rPr>
      </w:pPr>
      <w:r>
        <w:rPr>
          <w:rFonts w:ascii="Arial" w:hAnsi="Arial" w:cs="Arial"/>
          <w:color w:val="000000"/>
          <w:sz w:val="20"/>
        </w:rPr>
        <w:t>jurisdi</w:t>
      </w:r>
      <w:r w:rsidR="0050717C">
        <w:rPr>
          <w:rFonts w:ascii="Arial" w:hAnsi="Arial" w:cs="Arial"/>
          <w:color w:val="000000"/>
          <w:sz w:val="20"/>
        </w:rPr>
        <w:t>c</w:t>
      </w:r>
      <w:r>
        <w:rPr>
          <w:rFonts w:ascii="Arial" w:hAnsi="Arial" w:cs="Arial"/>
          <w:color w:val="000000"/>
          <w:sz w:val="20"/>
        </w:rPr>
        <w:t xml:space="preserve">tion to deal with a contravention </w:t>
      </w:r>
      <w:r w:rsidR="00E44D69">
        <w:rPr>
          <w:rFonts w:ascii="Arial" w:hAnsi="Arial" w:cs="Arial"/>
          <w:color w:val="000000"/>
          <w:sz w:val="20"/>
        </w:rPr>
        <w:t xml:space="preserve">(including any offence constituted by such a contravention) </w:t>
      </w:r>
      <w:r w:rsidR="00AE7F5A">
        <w:rPr>
          <w:rFonts w:ascii="Arial" w:hAnsi="Arial" w:cs="Arial"/>
          <w:color w:val="000000"/>
          <w:sz w:val="20"/>
        </w:rPr>
        <w:t xml:space="preserve">or variation </w:t>
      </w:r>
      <w:r>
        <w:rPr>
          <w:rFonts w:ascii="Arial" w:hAnsi="Arial" w:cs="Arial"/>
          <w:color w:val="000000"/>
          <w:sz w:val="20"/>
        </w:rPr>
        <w:t>of a sentence imposed by it</w:t>
      </w:r>
      <w:r w:rsidR="00DB3B4B">
        <w:rPr>
          <w:rFonts w:ascii="Arial" w:hAnsi="Arial" w:cs="Arial"/>
          <w:color w:val="000000"/>
          <w:sz w:val="20"/>
        </w:rPr>
        <w:t xml:space="preserve"> in the circumstances set out in </w:t>
      </w:r>
      <w:r w:rsidR="00DB3B4B" w:rsidRPr="00C50288">
        <w:rPr>
          <w:rFonts w:ascii="Arial" w:hAnsi="Arial" w:cs="Arial"/>
          <w:b/>
          <w:bCs/>
          <w:color w:val="000000"/>
          <w:sz w:val="20"/>
        </w:rPr>
        <w:t>s.518A</w:t>
      </w:r>
      <w:r w:rsidR="00DB3B4B">
        <w:rPr>
          <w:rFonts w:ascii="Arial" w:hAnsi="Arial" w:cs="Arial"/>
          <w:color w:val="000000"/>
          <w:sz w:val="20"/>
        </w:rPr>
        <w:t>; and</w:t>
      </w:r>
    </w:p>
    <w:p w14:paraId="064E3604" w14:textId="5DA22F80" w:rsidR="00E01FDD" w:rsidRDefault="00DB3B4B" w:rsidP="0050717C">
      <w:pPr>
        <w:ind w:left="454" w:hanging="454"/>
        <w:jc w:val="both"/>
        <w:rPr>
          <w:rFonts w:ascii="Arial" w:hAnsi="Arial" w:cs="Arial"/>
          <w:color w:val="000000"/>
          <w:sz w:val="20"/>
        </w:rPr>
      </w:pPr>
      <w:r>
        <w:rPr>
          <w:rFonts w:ascii="Arial" w:hAnsi="Arial" w:cs="Arial"/>
          <w:color w:val="000000"/>
          <w:sz w:val="20"/>
        </w:rPr>
        <w:t>(ba)</w:t>
      </w:r>
      <w:r w:rsidR="0050717C">
        <w:rPr>
          <w:rFonts w:ascii="Arial" w:hAnsi="Arial" w:cs="Arial"/>
          <w:color w:val="000000"/>
          <w:sz w:val="20"/>
        </w:rPr>
        <w:tab/>
      </w:r>
      <w:r>
        <w:rPr>
          <w:rFonts w:ascii="Arial" w:hAnsi="Arial" w:cs="Arial"/>
          <w:color w:val="000000"/>
          <w:sz w:val="20"/>
        </w:rPr>
        <w:t xml:space="preserve">jurisdiction </w:t>
      </w:r>
      <w:r w:rsidR="0050717C">
        <w:rPr>
          <w:rFonts w:ascii="Arial" w:hAnsi="Arial" w:cs="Arial"/>
          <w:color w:val="000000"/>
          <w:sz w:val="20"/>
        </w:rPr>
        <w:t xml:space="preserve">to deal with a contravention of a sentence imposed by </w:t>
      </w:r>
      <w:r w:rsidR="00E01FDD">
        <w:rPr>
          <w:rFonts w:ascii="Arial" w:hAnsi="Arial" w:cs="Arial"/>
          <w:color w:val="000000"/>
          <w:sz w:val="20"/>
        </w:rPr>
        <w:t>the Children’s Court</w:t>
      </w:r>
      <w:r w:rsidR="00E44D69">
        <w:rPr>
          <w:rFonts w:ascii="Arial" w:hAnsi="Arial" w:cs="Arial"/>
          <w:color w:val="000000"/>
          <w:sz w:val="20"/>
        </w:rPr>
        <w:t xml:space="preserve"> </w:t>
      </w:r>
      <w:r w:rsidR="0050717C">
        <w:rPr>
          <w:rFonts w:ascii="Arial" w:hAnsi="Arial" w:cs="Arial"/>
          <w:color w:val="000000"/>
          <w:sz w:val="20"/>
        </w:rPr>
        <w:t xml:space="preserve">(including any offence constituted by such a contravention) or variation of such a sentence imposed </w:t>
      </w:r>
      <w:r w:rsidR="00E44D69">
        <w:rPr>
          <w:rFonts w:ascii="Arial" w:hAnsi="Arial" w:cs="Arial"/>
          <w:color w:val="000000"/>
          <w:sz w:val="20"/>
        </w:rPr>
        <w:t xml:space="preserve">in the circumstances set out in </w:t>
      </w:r>
      <w:r w:rsidR="00E44D69" w:rsidRPr="00C50288">
        <w:rPr>
          <w:rFonts w:ascii="Arial" w:hAnsi="Arial" w:cs="Arial"/>
          <w:b/>
          <w:bCs/>
          <w:color w:val="000000"/>
          <w:sz w:val="20"/>
        </w:rPr>
        <w:t>s.518A</w:t>
      </w:r>
      <w:r w:rsidR="00E44D69">
        <w:rPr>
          <w:rFonts w:ascii="Arial" w:hAnsi="Arial" w:cs="Arial"/>
          <w:color w:val="000000"/>
          <w:sz w:val="20"/>
        </w:rPr>
        <w:t>;</w:t>
      </w:r>
      <w:r w:rsidR="00E01FDD">
        <w:rPr>
          <w:rFonts w:ascii="Arial" w:hAnsi="Arial" w:cs="Arial"/>
          <w:color w:val="000000"/>
          <w:sz w:val="20"/>
        </w:rPr>
        <w:t xml:space="preserve"> and</w:t>
      </w:r>
    </w:p>
    <w:p w14:paraId="77E0051A" w14:textId="5ADDA3ED" w:rsidR="00E01FDD" w:rsidRPr="00F51496" w:rsidRDefault="00E01FDD">
      <w:pPr>
        <w:numPr>
          <w:ilvl w:val="0"/>
          <w:numId w:val="124"/>
        </w:numPr>
        <w:ind w:left="567" w:hanging="567"/>
        <w:rPr>
          <w:rFonts w:ascii="Arial" w:hAnsi="Arial" w:cs="Arial"/>
          <w:color w:val="000000"/>
          <w:sz w:val="20"/>
        </w:rPr>
      </w:pPr>
      <w:r>
        <w:rPr>
          <w:rFonts w:ascii="Arial" w:hAnsi="Arial" w:cs="Arial"/>
          <w:color w:val="000000"/>
          <w:sz w:val="20"/>
        </w:rPr>
        <w:t xml:space="preserve">any other jurisdiction </w:t>
      </w:r>
      <w:r w:rsidR="00E44D69">
        <w:rPr>
          <w:rFonts w:ascii="Arial" w:hAnsi="Arial" w:cs="Arial"/>
          <w:color w:val="000000"/>
          <w:sz w:val="20"/>
        </w:rPr>
        <w:t>given to it by or under the CYFA, the YJA or any other Act.</w:t>
      </w:r>
    </w:p>
    <w:p w14:paraId="391A6CBB" w14:textId="77777777" w:rsidR="00E01FDD" w:rsidRDefault="00E01FDD" w:rsidP="00C61F6B">
      <w:pPr>
        <w:jc w:val="both"/>
        <w:rPr>
          <w:rFonts w:ascii="Arial" w:hAnsi="Arial" w:cs="Arial"/>
          <w:color w:val="000000"/>
          <w:sz w:val="20"/>
        </w:rPr>
      </w:pPr>
    </w:p>
    <w:p w14:paraId="20A0A082" w14:textId="0B801834" w:rsidR="00E44D69" w:rsidRPr="00F51496" w:rsidRDefault="00E44D69" w:rsidP="00E44D69">
      <w:pPr>
        <w:jc w:val="both"/>
        <w:rPr>
          <w:rFonts w:ascii="Arial" w:hAnsi="Arial" w:cs="Arial"/>
          <w:color w:val="000000"/>
          <w:sz w:val="20"/>
        </w:rPr>
      </w:pPr>
      <w:r>
        <w:rPr>
          <w:rFonts w:ascii="Arial" w:hAnsi="Arial" w:cs="Arial"/>
          <w:color w:val="000000"/>
          <w:sz w:val="20"/>
        </w:rPr>
        <w:t xml:space="preserve">Under </w:t>
      </w:r>
      <w:r w:rsidRPr="00C50288">
        <w:rPr>
          <w:rFonts w:ascii="Arial" w:hAnsi="Arial" w:cs="Arial"/>
          <w:b/>
          <w:bCs/>
          <w:color w:val="000000"/>
          <w:sz w:val="20"/>
        </w:rPr>
        <w:t>s.519(1)</w:t>
      </w:r>
      <w:r w:rsidRPr="00F51496">
        <w:rPr>
          <w:rFonts w:ascii="Arial" w:hAnsi="Arial" w:cs="Arial"/>
          <w:color w:val="000000"/>
          <w:sz w:val="20"/>
        </w:rPr>
        <w:t xml:space="preserve"> CYFA, the Koori Court (Criminal Division) </w:t>
      </w:r>
      <w:r>
        <w:rPr>
          <w:rFonts w:ascii="Arial" w:hAnsi="Arial" w:cs="Arial"/>
          <w:color w:val="000000"/>
          <w:sz w:val="20"/>
        </w:rPr>
        <w:t>may deal with certain offences only in the following circumstances:</w:t>
      </w:r>
    </w:p>
    <w:p w14:paraId="52FDE923" w14:textId="4C2D2A74" w:rsidR="00E44D69" w:rsidRPr="00F51496" w:rsidRDefault="00E44D69" w:rsidP="00E44D69">
      <w:pPr>
        <w:tabs>
          <w:tab w:val="left" w:pos="363"/>
        </w:tabs>
        <w:jc w:val="both"/>
        <w:rPr>
          <w:rFonts w:ascii="Arial" w:hAnsi="Arial" w:cs="Arial"/>
          <w:color w:val="000000"/>
          <w:sz w:val="20"/>
        </w:rPr>
      </w:pPr>
      <w:r w:rsidRPr="00F51496">
        <w:rPr>
          <w:rFonts w:ascii="Arial" w:hAnsi="Arial" w:cs="Arial"/>
          <w:color w:val="000000"/>
          <w:sz w:val="20"/>
        </w:rPr>
        <w:t>(a)</w:t>
      </w:r>
      <w:r w:rsidRPr="00F51496">
        <w:rPr>
          <w:rFonts w:ascii="Arial" w:hAnsi="Arial" w:cs="Arial"/>
          <w:color w:val="000000"/>
          <w:sz w:val="20"/>
        </w:rPr>
        <w:tab/>
        <w:t>the child is Aboriginal; and</w:t>
      </w:r>
    </w:p>
    <w:p w14:paraId="71E5C1F9" w14:textId="7BC27A61" w:rsidR="00E44D69" w:rsidRPr="00F51496" w:rsidRDefault="00E44D69" w:rsidP="00E44D69">
      <w:pPr>
        <w:tabs>
          <w:tab w:val="left" w:pos="363"/>
        </w:tabs>
        <w:ind w:left="357" w:hanging="357"/>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t xml:space="preserve">the offence is within the jurisdiction of the Criminal Division, other than a sexual offence as defined in s.6B(1) of the </w:t>
      </w:r>
      <w:r w:rsidRPr="008102AC">
        <w:rPr>
          <w:rFonts w:ascii="Arial" w:hAnsi="Arial" w:cs="Arial"/>
          <w:i/>
          <w:iCs/>
          <w:color w:val="000000"/>
          <w:sz w:val="20"/>
        </w:rPr>
        <w:t>Sentencing Act 1991</w:t>
      </w:r>
      <w:r w:rsidRPr="00F51496">
        <w:rPr>
          <w:rFonts w:ascii="Arial" w:hAnsi="Arial" w:cs="Arial"/>
          <w:color w:val="000000"/>
          <w:sz w:val="20"/>
        </w:rPr>
        <w:t>; and</w:t>
      </w:r>
    </w:p>
    <w:p w14:paraId="164F5AA1" w14:textId="116B2098" w:rsidR="00E44D69" w:rsidRPr="00F51496" w:rsidRDefault="00E44D69" w:rsidP="00E44D69">
      <w:pPr>
        <w:tabs>
          <w:tab w:val="left" w:pos="363"/>
        </w:tabs>
        <w:jc w:val="both"/>
        <w:rPr>
          <w:rFonts w:ascii="Arial" w:hAnsi="Arial" w:cs="Arial"/>
          <w:color w:val="000000"/>
          <w:sz w:val="20"/>
        </w:rPr>
      </w:pPr>
      <w:r w:rsidRPr="00F51496">
        <w:rPr>
          <w:rFonts w:ascii="Arial" w:hAnsi="Arial" w:cs="Arial"/>
          <w:color w:val="000000"/>
          <w:sz w:val="20"/>
        </w:rPr>
        <w:t>(c)</w:t>
      </w:r>
      <w:r w:rsidRPr="00F51496">
        <w:rPr>
          <w:rFonts w:ascii="Arial" w:hAnsi="Arial" w:cs="Arial"/>
          <w:color w:val="000000"/>
          <w:sz w:val="20"/>
        </w:rPr>
        <w:tab/>
        <w:t>the child</w:t>
      </w:r>
      <w:r>
        <w:rPr>
          <w:rFonts w:ascii="Arial" w:hAnsi="Arial" w:cs="Arial"/>
          <w:color w:val="000000"/>
          <w:sz w:val="20"/>
        </w:rPr>
        <w:t>–</w:t>
      </w:r>
    </w:p>
    <w:p w14:paraId="7D549EFD" w14:textId="10E721C8" w:rsidR="00E44D69" w:rsidRPr="00F51496" w:rsidRDefault="00E44D69" w:rsidP="00DB3B4B">
      <w:pPr>
        <w:tabs>
          <w:tab w:val="left" w:pos="720"/>
          <w:tab w:val="left" w:pos="1174"/>
        </w:tabs>
        <w:ind w:left="714" w:hanging="357"/>
        <w:jc w:val="both"/>
        <w:rPr>
          <w:rFonts w:ascii="Arial" w:hAnsi="Arial" w:cs="Arial"/>
          <w:color w:val="000000"/>
          <w:sz w:val="20"/>
        </w:rPr>
      </w:pPr>
      <w:r w:rsidRPr="00F51496">
        <w:rPr>
          <w:rFonts w:ascii="Arial" w:hAnsi="Arial" w:cs="Arial"/>
          <w:color w:val="000000"/>
          <w:sz w:val="20"/>
        </w:rPr>
        <w:t>(i)</w:t>
      </w:r>
      <w:r w:rsidRPr="00F51496">
        <w:rPr>
          <w:rFonts w:ascii="Arial" w:hAnsi="Arial" w:cs="Arial"/>
          <w:color w:val="000000"/>
          <w:sz w:val="20"/>
        </w:rPr>
        <w:tab/>
        <w:t>intends to plead guilty to the offence; or</w:t>
      </w:r>
    </w:p>
    <w:p w14:paraId="32643B35" w14:textId="0E07B799" w:rsidR="00E44D69" w:rsidRPr="00F51496" w:rsidRDefault="00E44D69" w:rsidP="00DB3B4B">
      <w:pPr>
        <w:tabs>
          <w:tab w:val="left" w:pos="720"/>
          <w:tab w:val="left" w:pos="1174"/>
        </w:tabs>
        <w:ind w:left="714" w:hanging="357"/>
        <w:jc w:val="both"/>
        <w:rPr>
          <w:rFonts w:ascii="Arial" w:hAnsi="Arial" w:cs="Arial"/>
          <w:color w:val="000000"/>
          <w:sz w:val="20"/>
        </w:rPr>
      </w:pPr>
      <w:r w:rsidRPr="00F51496">
        <w:rPr>
          <w:rFonts w:ascii="Arial" w:hAnsi="Arial" w:cs="Arial"/>
          <w:color w:val="000000"/>
          <w:sz w:val="20"/>
        </w:rPr>
        <w:t>(ii)</w:t>
      </w:r>
      <w:r w:rsidRPr="00F51496">
        <w:rPr>
          <w:rFonts w:ascii="Arial" w:hAnsi="Arial" w:cs="Arial"/>
          <w:color w:val="000000"/>
          <w:sz w:val="20"/>
        </w:rPr>
        <w:tab/>
        <w:t>pleads guilty to the offence; or</w:t>
      </w:r>
    </w:p>
    <w:p w14:paraId="4A403E4A" w14:textId="591B1610" w:rsidR="00E44D69" w:rsidRDefault="00E44D69" w:rsidP="00DB3B4B">
      <w:pPr>
        <w:tabs>
          <w:tab w:val="left" w:pos="720"/>
          <w:tab w:val="left" w:pos="1174"/>
        </w:tabs>
        <w:ind w:left="714" w:hanging="357"/>
        <w:jc w:val="both"/>
        <w:rPr>
          <w:rFonts w:ascii="Arial" w:hAnsi="Arial" w:cs="Arial"/>
          <w:color w:val="000000"/>
          <w:sz w:val="20"/>
        </w:rPr>
      </w:pPr>
      <w:r w:rsidRPr="00F51496">
        <w:rPr>
          <w:rFonts w:ascii="Arial" w:hAnsi="Arial" w:cs="Arial"/>
          <w:color w:val="000000"/>
          <w:sz w:val="20"/>
        </w:rPr>
        <w:t>(iii)</w:t>
      </w:r>
      <w:r w:rsidRPr="00F51496">
        <w:rPr>
          <w:rFonts w:ascii="Arial" w:hAnsi="Arial" w:cs="Arial"/>
          <w:color w:val="000000"/>
          <w:sz w:val="20"/>
        </w:rPr>
        <w:tab/>
        <w:t xml:space="preserve">has been found guilty of the offence by the Criminal Division; </w:t>
      </w:r>
      <w:r>
        <w:rPr>
          <w:rFonts w:ascii="Arial" w:hAnsi="Arial" w:cs="Arial"/>
          <w:color w:val="000000"/>
          <w:sz w:val="20"/>
        </w:rPr>
        <w:t>or</w:t>
      </w:r>
    </w:p>
    <w:p w14:paraId="1DA27527" w14:textId="5A764B61" w:rsidR="00E44D69" w:rsidRPr="00F51496" w:rsidRDefault="00E44D69" w:rsidP="00DB3B4B">
      <w:pPr>
        <w:tabs>
          <w:tab w:val="left" w:pos="720"/>
          <w:tab w:val="left" w:pos="1174"/>
        </w:tabs>
        <w:ind w:left="714" w:hanging="357"/>
        <w:jc w:val="both"/>
        <w:rPr>
          <w:rFonts w:ascii="Arial" w:hAnsi="Arial" w:cs="Arial"/>
          <w:color w:val="000000"/>
          <w:sz w:val="20"/>
        </w:rPr>
      </w:pPr>
      <w:r>
        <w:rPr>
          <w:rFonts w:ascii="Arial" w:hAnsi="Arial" w:cs="Arial"/>
          <w:color w:val="000000"/>
          <w:sz w:val="20"/>
        </w:rPr>
        <w:lastRenderedPageBreak/>
        <w:t>(iv)</w:t>
      </w:r>
      <w:r>
        <w:rPr>
          <w:rFonts w:ascii="Arial" w:hAnsi="Arial" w:cs="Arial"/>
          <w:color w:val="000000"/>
          <w:sz w:val="20"/>
        </w:rPr>
        <w:tab/>
        <w:t>intends to consent to the adjournment of the proceeding under s.</w:t>
      </w:r>
      <w:r w:rsidR="00DB3B4B">
        <w:rPr>
          <w:rFonts w:ascii="Arial" w:hAnsi="Arial" w:cs="Arial"/>
          <w:color w:val="000000"/>
          <w:sz w:val="20"/>
        </w:rPr>
        <w:t>193 YJA</w:t>
      </w:r>
      <w:r>
        <w:rPr>
          <w:rFonts w:ascii="Arial" w:hAnsi="Arial" w:cs="Arial"/>
          <w:color w:val="000000"/>
          <w:sz w:val="20"/>
        </w:rPr>
        <w:t xml:space="preserve"> to enable the child to participate in a diversion program; </w:t>
      </w:r>
      <w:r w:rsidRPr="00F51496">
        <w:rPr>
          <w:rFonts w:ascii="Arial" w:hAnsi="Arial" w:cs="Arial"/>
          <w:color w:val="000000"/>
          <w:sz w:val="20"/>
        </w:rPr>
        <w:t>and</w:t>
      </w:r>
    </w:p>
    <w:p w14:paraId="7C750B97" w14:textId="0736A0CF" w:rsidR="00E44D69" w:rsidRPr="00F51496" w:rsidRDefault="00E44D69" w:rsidP="00DB3B4B">
      <w:pPr>
        <w:tabs>
          <w:tab w:val="left" w:pos="363"/>
        </w:tabs>
        <w:ind w:left="357" w:hanging="357"/>
        <w:jc w:val="both"/>
        <w:rPr>
          <w:rFonts w:ascii="Arial" w:hAnsi="Arial" w:cs="Arial"/>
          <w:color w:val="000000"/>
          <w:sz w:val="20"/>
        </w:rPr>
      </w:pPr>
      <w:r w:rsidRPr="00F51496">
        <w:rPr>
          <w:rFonts w:ascii="Arial" w:hAnsi="Arial" w:cs="Arial"/>
          <w:color w:val="000000"/>
          <w:sz w:val="20"/>
        </w:rPr>
        <w:t>(d)</w:t>
      </w:r>
      <w:r w:rsidRPr="00F51496">
        <w:rPr>
          <w:rFonts w:ascii="Arial" w:hAnsi="Arial" w:cs="Arial"/>
          <w:color w:val="000000"/>
          <w:sz w:val="20"/>
        </w:rPr>
        <w:tab/>
        <w:t>the child consents to the proceeding being dealt with by the Koori Court (Criminal Division).</w:t>
      </w:r>
    </w:p>
    <w:p w14:paraId="47B1B39D" w14:textId="77777777" w:rsidR="00E44D69" w:rsidRDefault="00E44D69" w:rsidP="00E44D69">
      <w:pPr>
        <w:jc w:val="both"/>
        <w:rPr>
          <w:rFonts w:ascii="Arial" w:hAnsi="Arial" w:cs="Arial"/>
          <w:color w:val="000000"/>
          <w:sz w:val="20"/>
        </w:rPr>
      </w:pPr>
    </w:p>
    <w:p w14:paraId="1699E03C" w14:textId="207F9BB5" w:rsidR="00E44D69" w:rsidRPr="00F51496" w:rsidRDefault="00DB3B4B" w:rsidP="00E44D69">
      <w:pPr>
        <w:jc w:val="both"/>
        <w:rPr>
          <w:rFonts w:ascii="Arial" w:hAnsi="Arial" w:cs="Arial"/>
          <w:color w:val="000000"/>
          <w:sz w:val="20"/>
        </w:rPr>
      </w:pPr>
      <w:r>
        <w:rPr>
          <w:rFonts w:ascii="Arial" w:hAnsi="Arial" w:cs="Arial"/>
          <w:color w:val="000000"/>
          <w:sz w:val="20"/>
        </w:rPr>
        <w:t xml:space="preserve">Under </w:t>
      </w:r>
      <w:r w:rsidR="00E44D69" w:rsidRPr="00C50288">
        <w:rPr>
          <w:rFonts w:ascii="Arial" w:hAnsi="Arial" w:cs="Arial"/>
          <w:b/>
          <w:bCs/>
          <w:color w:val="000000"/>
          <w:sz w:val="20"/>
        </w:rPr>
        <w:t>s</w:t>
      </w:r>
      <w:r w:rsidRPr="00C50288">
        <w:rPr>
          <w:rFonts w:ascii="Arial" w:hAnsi="Arial" w:cs="Arial"/>
          <w:b/>
          <w:bCs/>
          <w:color w:val="000000"/>
          <w:sz w:val="20"/>
        </w:rPr>
        <w:t>.</w:t>
      </w:r>
      <w:r w:rsidR="00E44D69" w:rsidRPr="00C50288">
        <w:rPr>
          <w:rFonts w:ascii="Arial" w:hAnsi="Arial" w:cs="Arial"/>
          <w:b/>
          <w:bCs/>
          <w:color w:val="000000"/>
          <w:sz w:val="20"/>
        </w:rPr>
        <w:t>518A</w:t>
      </w:r>
      <w:r w:rsidR="00E44D69" w:rsidRPr="00F51496">
        <w:rPr>
          <w:rFonts w:ascii="Arial" w:hAnsi="Arial" w:cs="Arial"/>
          <w:color w:val="000000"/>
          <w:sz w:val="20"/>
        </w:rPr>
        <w:t xml:space="preserve"> of the CYFA, the Koori Court (Criminal Division) </w:t>
      </w:r>
      <w:r>
        <w:rPr>
          <w:rFonts w:ascii="Arial" w:hAnsi="Arial" w:cs="Arial"/>
          <w:color w:val="000000"/>
          <w:sz w:val="20"/>
        </w:rPr>
        <w:t>may deal with contravention of a sentence imposed by it or by another Division of the Children’s Court only in the following circumstances:</w:t>
      </w:r>
    </w:p>
    <w:p w14:paraId="72D7389E" w14:textId="77777777" w:rsidR="00DB3B4B" w:rsidRPr="00F51496" w:rsidRDefault="00DB3B4B" w:rsidP="00DB3B4B">
      <w:pPr>
        <w:tabs>
          <w:tab w:val="left" w:pos="363"/>
        </w:tabs>
        <w:jc w:val="both"/>
        <w:rPr>
          <w:rFonts w:ascii="Arial" w:hAnsi="Arial" w:cs="Arial"/>
          <w:color w:val="000000"/>
          <w:sz w:val="20"/>
        </w:rPr>
      </w:pPr>
      <w:r w:rsidRPr="00F51496">
        <w:rPr>
          <w:rFonts w:ascii="Arial" w:hAnsi="Arial" w:cs="Arial"/>
          <w:color w:val="000000"/>
          <w:sz w:val="20"/>
        </w:rPr>
        <w:t>(a)</w:t>
      </w:r>
      <w:r w:rsidRPr="00F51496">
        <w:rPr>
          <w:rFonts w:ascii="Arial" w:hAnsi="Arial" w:cs="Arial"/>
          <w:color w:val="000000"/>
          <w:sz w:val="20"/>
        </w:rPr>
        <w:tab/>
        <w:t>the child is Aboriginal; and</w:t>
      </w:r>
    </w:p>
    <w:p w14:paraId="45A400A8" w14:textId="7C6A729D" w:rsidR="00DB3B4B" w:rsidRPr="00F51496" w:rsidRDefault="00DB3B4B" w:rsidP="00DB3B4B">
      <w:pPr>
        <w:tabs>
          <w:tab w:val="left" w:pos="363"/>
        </w:tabs>
        <w:ind w:left="357" w:hanging="357"/>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t xml:space="preserve">the offence </w:t>
      </w:r>
      <w:r>
        <w:rPr>
          <w:rFonts w:ascii="Arial" w:hAnsi="Arial" w:cs="Arial"/>
          <w:color w:val="000000"/>
          <w:sz w:val="20"/>
        </w:rPr>
        <w:t xml:space="preserve">to which the sentence relates </w:t>
      </w:r>
      <w:r w:rsidRPr="00F51496">
        <w:rPr>
          <w:rFonts w:ascii="Arial" w:hAnsi="Arial" w:cs="Arial"/>
          <w:color w:val="000000"/>
          <w:sz w:val="20"/>
        </w:rPr>
        <w:t xml:space="preserve">is within the jurisdiction of the Criminal Division, other than a sexual offence as defined in s.6B(1) of the </w:t>
      </w:r>
      <w:r w:rsidRPr="008102AC">
        <w:rPr>
          <w:rFonts w:ascii="Arial" w:hAnsi="Arial" w:cs="Arial"/>
          <w:i/>
          <w:iCs/>
          <w:color w:val="000000"/>
          <w:sz w:val="20"/>
        </w:rPr>
        <w:t>Sentencing Act 1991</w:t>
      </w:r>
      <w:r w:rsidRPr="00F51496">
        <w:rPr>
          <w:rFonts w:ascii="Arial" w:hAnsi="Arial" w:cs="Arial"/>
          <w:color w:val="000000"/>
          <w:sz w:val="20"/>
        </w:rPr>
        <w:t>; and</w:t>
      </w:r>
    </w:p>
    <w:p w14:paraId="3FB9FF3A" w14:textId="40CD58FC" w:rsidR="00DB3B4B" w:rsidRPr="00F51496" w:rsidRDefault="00DB3B4B" w:rsidP="00DB3B4B">
      <w:pPr>
        <w:tabs>
          <w:tab w:val="left" w:pos="363"/>
        </w:tabs>
        <w:ind w:left="363" w:hanging="363"/>
        <w:jc w:val="both"/>
        <w:rPr>
          <w:rFonts w:ascii="Arial" w:hAnsi="Arial" w:cs="Arial"/>
          <w:color w:val="000000"/>
          <w:sz w:val="20"/>
        </w:rPr>
      </w:pPr>
      <w:r w:rsidRPr="00F51496">
        <w:rPr>
          <w:rFonts w:ascii="Arial" w:hAnsi="Arial" w:cs="Arial"/>
          <w:color w:val="000000"/>
          <w:sz w:val="20"/>
        </w:rPr>
        <w:t>(c)</w:t>
      </w:r>
      <w:r w:rsidRPr="00F51496">
        <w:rPr>
          <w:rFonts w:ascii="Arial" w:hAnsi="Arial" w:cs="Arial"/>
          <w:color w:val="000000"/>
          <w:sz w:val="20"/>
        </w:rPr>
        <w:tab/>
      </w:r>
      <w:r>
        <w:rPr>
          <w:rFonts w:ascii="Arial" w:hAnsi="Arial" w:cs="Arial"/>
          <w:color w:val="000000"/>
          <w:sz w:val="20"/>
        </w:rPr>
        <w:t xml:space="preserve">in the case of an offence constituted by a contravention of a sentence referred to in s.518(b) or (ba) </w:t>
      </w:r>
      <w:r w:rsidRPr="00F51496">
        <w:rPr>
          <w:rFonts w:ascii="Arial" w:hAnsi="Arial" w:cs="Arial"/>
          <w:color w:val="000000"/>
          <w:sz w:val="20"/>
        </w:rPr>
        <w:t>the child</w:t>
      </w:r>
      <w:r>
        <w:rPr>
          <w:rFonts w:ascii="Arial" w:hAnsi="Arial" w:cs="Arial"/>
          <w:color w:val="000000"/>
          <w:sz w:val="20"/>
        </w:rPr>
        <w:t>–</w:t>
      </w:r>
    </w:p>
    <w:p w14:paraId="5D8137E0" w14:textId="77777777" w:rsidR="00DB3B4B" w:rsidRPr="00F51496" w:rsidRDefault="00DB3B4B" w:rsidP="00DB3B4B">
      <w:pPr>
        <w:tabs>
          <w:tab w:val="left" w:pos="720"/>
          <w:tab w:val="left" w:pos="1174"/>
        </w:tabs>
        <w:ind w:left="714" w:hanging="357"/>
        <w:jc w:val="both"/>
        <w:rPr>
          <w:rFonts w:ascii="Arial" w:hAnsi="Arial" w:cs="Arial"/>
          <w:color w:val="000000"/>
          <w:sz w:val="20"/>
        </w:rPr>
      </w:pPr>
      <w:r w:rsidRPr="00F51496">
        <w:rPr>
          <w:rFonts w:ascii="Arial" w:hAnsi="Arial" w:cs="Arial"/>
          <w:color w:val="000000"/>
          <w:sz w:val="20"/>
        </w:rPr>
        <w:t>(i)</w:t>
      </w:r>
      <w:r w:rsidRPr="00F51496">
        <w:rPr>
          <w:rFonts w:ascii="Arial" w:hAnsi="Arial" w:cs="Arial"/>
          <w:color w:val="000000"/>
          <w:sz w:val="20"/>
        </w:rPr>
        <w:tab/>
        <w:t>intends to plead guilty to the offence; or</w:t>
      </w:r>
    </w:p>
    <w:p w14:paraId="4149641E" w14:textId="77777777" w:rsidR="00DB3B4B" w:rsidRPr="00F51496" w:rsidRDefault="00DB3B4B" w:rsidP="00DB3B4B">
      <w:pPr>
        <w:tabs>
          <w:tab w:val="left" w:pos="720"/>
          <w:tab w:val="left" w:pos="1174"/>
        </w:tabs>
        <w:ind w:left="714" w:hanging="357"/>
        <w:jc w:val="both"/>
        <w:rPr>
          <w:rFonts w:ascii="Arial" w:hAnsi="Arial" w:cs="Arial"/>
          <w:color w:val="000000"/>
          <w:sz w:val="20"/>
        </w:rPr>
      </w:pPr>
      <w:r w:rsidRPr="00F51496">
        <w:rPr>
          <w:rFonts w:ascii="Arial" w:hAnsi="Arial" w:cs="Arial"/>
          <w:color w:val="000000"/>
          <w:sz w:val="20"/>
        </w:rPr>
        <w:t>(ii)</w:t>
      </w:r>
      <w:r w:rsidRPr="00F51496">
        <w:rPr>
          <w:rFonts w:ascii="Arial" w:hAnsi="Arial" w:cs="Arial"/>
          <w:color w:val="000000"/>
          <w:sz w:val="20"/>
        </w:rPr>
        <w:tab/>
        <w:t>pleads guilty to the offence; or</w:t>
      </w:r>
    </w:p>
    <w:p w14:paraId="3792A146" w14:textId="77777777" w:rsidR="00DB3B4B" w:rsidRDefault="00DB3B4B" w:rsidP="00DB3B4B">
      <w:pPr>
        <w:tabs>
          <w:tab w:val="left" w:pos="720"/>
          <w:tab w:val="left" w:pos="1174"/>
        </w:tabs>
        <w:ind w:left="714" w:hanging="357"/>
        <w:jc w:val="both"/>
        <w:rPr>
          <w:rFonts w:ascii="Arial" w:hAnsi="Arial" w:cs="Arial"/>
          <w:color w:val="000000"/>
          <w:sz w:val="20"/>
        </w:rPr>
      </w:pPr>
      <w:r w:rsidRPr="00F51496">
        <w:rPr>
          <w:rFonts w:ascii="Arial" w:hAnsi="Arial" w:cs="Arial"/>
          <w:color w:val="000000"/>
          <w:sz w:val="20"/>
        </w:rPr>
        <w:t>(iii)</w:t>
      </w:r>
      <w:r w:rsidRPr="00F51496">
        <w:rPr>
          <w:rFonts w:ascii="Arial" w:hAnsi="Arial" w:cs="Arial"/>
          <w:color w:val="000000"/>
          <w:sz w:val="20"/>
        </w:rPr>
        <w:tab/>
        <w:t xml:space="preserve">has been found guilty of the offence by the Criminal Division; </w:t>
      </w:r>
      <w:r>
        <w:rPr>
          <w:rFonts w:ascii="Arial" w:hAnsi="Arial" w:cs="Arial"/>
          <w:color w:val="000000"/>
          <w:sz w:val="20"/>
        </w:rPr>
        <w:t>or</w:t>
      </w:r>
    </w:p>
    <w:p w14:paraId="0F41D41F" w14:textId="77777777" w:rsidR="00DB3B4B" w:rsidRPr="00F51496" w:rsidRDefault="00DB3B4B" w:rsidP="00DB3B4B">
      <w:pPr>
        <w:tabs>
          <w:tab w:val="left" w:pos="720"/>
          <w:tab w:val="left" w:pos="1174"/>
        </w:tabs>
        <w:ind w:left="714" w:hanging="357"/>
        <w:jc w:val="both"/>
        <w:rPr>
          <w:rFonts w:ascii="Arial" w:hAnsi="Arial" w:cs="Arial"/>
          <w:color w:val="000000"/>
          <w:sz w:val="20"/>
        </w:rPr>
      </w:pPr>
      <w:r>
        <w:rPr>
          <w:rFonts w:ascii="Arial" w:hAnsi="Arial" w:cs="Arial"/>
          <w:color w:val="000000"/>
          <w:sz w:val="20"/>
        </w:rPr>
        <w:t>(iv)</w:t>
      </w:r>
      <w:r>
        <w:rPr>
          <w:rFonts w:ascii="Arial" w:hAnsi="Arial" w:cs="Arial"/>
          <w:color w:val="000000"/>
          <w:sz w:val="20"/>
        </w:rPr>
        <w:tab/>
        <w:t xml:space="preserve">intends to consent to the adjournment of the proceeding under s.193 YJA to enable the child to participate in a diversion program; </w:t>
      </w:r>
      <w:r w:rsidRPr="00F51496">
        <w:rPr>
          <w:rFonts w:ascii="Arial" w:hAnsi="Arial" w:cs="Arial"/>
          <w:color w:val="000000"/>
          <w:sz w:val="20"/>
        </w:rPr>
        <w:t>and</w:t>
      </w:r>
    </w:p>
    <w:p w14:paraId="6B736CFF" w14:textId="77777777" w:rsidR="00DB3B4B" w:rsidRPr="00F51496" w:rsidRDefault="00DB3B4B" w:rsidP="00DB3B4B">
      <w:pPr>
        <w:tabs>
          <w:tab w:val="left" w:pos="363"/>
        </w:tabs>
        <w:ind w:left="357" w:hanging="357"/>
        <w:jc w:val="both"/>
        <w:rPr>
          <w:rFonts w:ascii="Arial" w:hAnsi="Arial" w:cs="Arial"/>
          <w:color w:val="000000"/>
          <w:sz w:val="20"/>
        </w:rPr>
      </w:pPr>
      <w:r w:rsidRPr="00F51496">
        <w:rPr>
          <w:rFonts w:ascii="Arial" w:hAnsi="Arial" w:cs="Arial"/>
          <w:color w:val="000000"/>
          <w:sz w:val="20"/>
        </w:rPr>
        <w:t>(d)</w:t>
      </w:r>
      <w:r w:rsidRPr="00F51496">
        <w:rPr>
          <w:rFonts w:ascii="Arial" w:hAnsi="Arial" w:cs="Arial"/>
          <w:color w:val="000000"/>
          <w:sz w:val="20"/>
        </w:rPr>
        <w:tab/>
        <w:t>the child consents to the proceeding being dealt with by the Koori Court (Criminal Division).</w:t>
      </w:r>
    </w:p>
    <w:p w14:paraId="46295445" w14:textId="77777777" w:rsidR="00DB3B4B" w:rsidRDefault="00DB3B4B" w:rsidP="00DB3B4B">
      <w:pPr>
        <w:jc w:val="both"/>
        <w:rPr>
          <w:rFonts w:ascii="Arial" w:hAnsi="Arial" w:cs="Arial"/>
          <w:color w:val="000000"/>
          <w:sz w:val="20"/>
        </w:rPr>
      </w:pPr>
    </w:p>
    <w:p w14:paraId="18AEA7A0" w14:textId="77777777" w:rsidR="007E39DD" w:rsidRPr="00F51496" w:rsidRDefault="00C61F6B" w:rsidP="00C61F6B">
      <w:pPr>
        <w:jc w:val="both"/>
        <w:rPr>
          <w:rFonts w:ascii="Arial" w:hAnsi="Arial" w:cs="Arial"/>
          <w:color w:val="000000"/>
          <w:sz w:val="20"/>
        </w:rPr>
      </w:pPr>
      <w:r w:rsidRPr="00F51496">
        <w:rPr>
          <w:rFonts w:ascii="Arial" w:hAnsi="Arial" w:cs="Arial"/>
          <w:color w:val="000000"/>
          <w:sz w:val="20"/>
        </w:rPr>
        <w:t>By s.</w:t>
      </w:r>
      <w:r w:rsidR="00AF4627" w:rsidRPr="00F51496">
        <w:rPr>
          <w:rFonts w:ascii="Arial" w:hAnsi="Arial" w:cs="Arial"/>
          <w:color w:val="000000"/>
          <w:sz w:val="20"/>
        </w:rPr>
        <w:t>517</w:t>
      </w:r>
      <w:r w:rsidRPr="00F51496">
        <w:rPr>
          <w:rFonts w:ascii="Arial" w:hAnsi="Arial" w:cs="Arial"/>
          <w:color w:val="000000"/>
          <w:sz w:val="20"/>
        </w:rPr>
        <w:t>(1) of the CY</w:t>
      </w:r>
      <w:r w:rsidR="00AF4627" w:rsidRPr="00F51496">
        <w:rPr>
          <w:rFonts w:ascii="Arial" w:hAnsi="Arial" w:cs="Arial"/>
          <w:color w:val="000000"/>
          <w:sz w:val="20"/>
        </w:rPr>
        <w:t>F</w:t>
      </w:r>
      <w:r w:rsidRPr="00F51496">
        <w:rPr>
          <w:rFonts w:ascii="Arial" w:hAnsi="Arial" w:cs="Arial"/>
          <w:color w:val="000000"/>
          <w:sz w:val="20"/>
        </w:rPr>
        <w:t>A the Koori Court has all of the powers of the Court that are necessary to enable it to exercise its jurisdiction.</w:t>
      </w:r>
    </w:p>
    <w:p w14:paraId="7F616D94" w14:textId="77777777" w:rsidR="00C61F6B" w:rsidRPr="00F51496" w:rsidRDefault="00C61F6B" w:rsidP="00C61F6B">
      <w:pPr>
        <w:jc w:val="both"/>
        <w:rPr>
          <w:rFonts w:ascii="Arial" w:hAnsi="Arial" w:cs="Arial"/>
          <w:color w:val="000000"/>
          <w:sz w:val="20"/>
        </w:rPr>
      </w:pPr>
    </w:p>
    <w:p w14:paraId="57B5B968" w14:textId="18BB579D" w:rsidR="00C61F6B" w:rsidRPr="00F51496" w:rsidRDefault="00C61F6B" w:rsidP="00C61F6B">
      <w:pPr>
        <w:jc w:val="both"/>
        <w:rPr>
          <w:rFonts w:ascii="Arial" w:hAnsi="Arial" w:cs="Arial"/>
          <w:color w:val="000000"/>
          <w:sz w:val="20"/>
        </w:rPr>
      </w:pPr>
      <w:r w:rsidRPr="00F51496">
        <w:rPr>
          <w:rFonts w:ascii="Arial" w:hAnsi="Arial" w:cs="Arial"/>
          <w:color w:val="000000"/>
          <w:sz w:val="20"/>
        </w:rPr>
        <w:t xml:space="preserve">Sections </w:t>
      </w:r>
      <w:r w:rsidR="00AF4627" w:rsidRPr="00F51496">
        <w:rPr>
          <w:rFonts w:ascii="Arial" w:hAnsi="Arial" w:cs="Arial"/>
          <w:color w:val="000000"/>
          <w:sz w:val="20"/>
        </w:rPr>
        <w:t>519</w:t>
      </w:r>
      <w:r w:rsidRPr="00F51496">
        <w:rPr>
          <w:rFonts w:ascii="Arial" w:hAnsi="Arial" w:cs="Arial"/>
          <w:color w:val="000000"/>
          <w:sz w:val="20"/>
        </w:rPr>
        <w:t xml:space="preserve">(2)(a) &amp; </w:t>
      </w:r>
      <w:r w:rsidR="00AF4627" w:rsidRPr="00F51496">
        <w:rPr>
          <w:rFonts w:ascii="Arial" w:hAnsi="Arial" w:cs="Arial"/>
          <w:color w:val="000000"/>
          <w:sz w:val="20"/>
        </w:rPr>
        <w:t>519</w:t>
      </w:r>
      <w:r w:rsidRPr="00F51496">
        <w:rPr>
          <w:rFonts w:ascii="Arial" w:hAnsi="Arial" w:cs="Arial"/>
          <w:color w:val="000000"/>
          <w:sz w:val="20"/>
        </w:rPr>
        <w:t>(2)(b) of the CY</w:t>
      </w:r>
      <w:r w:rsidR="00AF4627" w:rsidRPr="00F51496">
        <w:rPr>
          <w:rFonts w:ascii="Arial" w:hAnsi="Arial" w:cs="Arial"/>
          <w:color w:val="000000"/>
          <w:sz w:val="20"/>
        </w:rPr>
        <w:t>F</w:t>
      </w:r>
      <w:r w:rsidRPr="00F51496">
        <w:rPr>
          <w:rFonts w:ascii="Arial" w:hAnsi="Arial" w:cs="Arial"/>
          <w:color w:val="000000"/>
          <w:sz w:val="20"/>
        </w:rPr>
        <w:t xml:space="preserve">A permit a proceeding to be transferred from the Criminal Division of the Court to the Koori Court (Criminal Division) or vice versa, whether sitting at </w:t>
      </w:r>
      <w:r w:rsidR="00310CA9" w:rsidRPr="00F51496">
        <w:rPr>
          <w:rFonts w:ascii="Arial" w:hAnsi="Arial" w:cs="Arial"/>
          <w:color w:val="000000"/>
          <w:sz w:val="20"/>
        </w:rPr>
        <w:t>the same or a different venue. Under s.</w:t>
      </w:r>
      <w:r w:rsidR="00AF4627" w:rsidRPr="00F51496">
        <w:rPr>
          <w:rFonts w:ascii="Arial" w:hAnsi="Arial" w:cs="Arial"/>
          <w:color w:val="000000"/>
          <w:sz w:val="20"/>
        </w:rPr>
        <w:t>519</w:t>
      </w:r>
      <w:r w:rsidR="00310CA9" w:rsidRPr="00F51496">
        <w:rPr>
          <w:rFonts w:ascii="Arial" w:hAnsi="Arial" w:cs="Arial"/>
          <w:color w:val="000000"/>
          <w:sz w:val="20"/>
        </w:rPr>
        <w:t>(3) the transferee venue of the Court becomes the proper venue of the Court for the purposes of the CY</w:t>
      </w:r>
      <w:r w:rsidR="00354923" w:rsidRPr="00F51496">
        <w:rPr>
          <w:rFonts w:ascii="Arial" w:hAnsi="Arial" w:cs="Arial"/>
          <w:color w:val="000000"/>
          <w:sz w:val="20"/>
        </w:rPr>
        <w:t>F</w:t>
      </w:r>
      <w:r w:rsidR="00310CA9" w:rsidRPr="00F51496">
        <w:rPr>
          <w:rFonts w:ascii="Arial" w:hAnsi="Arial" w:cs="Arial"/>
          <w:color w:val="000000"/>
          <w:sz w:val="20"/>
        </w:rPr>
        <w:t>A</w:t>
      </w:r>
      <w:r w:rsidR="00C50288">
        <w:rPr>
          <w:rFonts w:ascii="Arial" w:hAnsi="Arial" w:cs="Arial"/>
          <w:color w:val="000000"/>
          <w:sz w:val="20"/>
        </w:rPr>
        <w:t xml:space="preserve"> or the YJA</w:t>
      </w:r>
      <w:r w:rsidR="00310CA9" w:rsidRPr="00F51496">
        <w:rPr>
          <w:rFonts w:ascii="Arial" w:hAnsi="Arial" w:cs="Arial"/>
          <w:color w:val="000000"/>
          <w:sz w:val="20"/>
        </w:rPr>
        <w:t>.</w:t>
      </w:r>
      <w:r w:rsidR="007D56B7">
        <w:rPr>
          <w:rFonts w:ascii="Arial" w:hAnsi="Arial" w:cs="Arial"/>
          <w:color w:val="000000"/>
          <w:sz w:val="20"/>
        </w:rPr>
        <w:t xml:space="preserve"> See the judgment of Ginanne J in </w:t>
      </w:r>
      <w:r w:rsidR="007D56B7" w:rsidRPr="00626EB1">
        <w:rPr>
          <w:rFonts w:ascii="Arial" w:hAnsi="Arial" w:cs="Arial"/>
          <w:i/>
          <w:color w:val="000000"/>
          <w:sz w:val="20"/>
        </w:rPr>
        <w:t>Cemino v Cannan</w:t>
      </w:r>
      <w:r w:rsidR="007D56B7">
        <w:rPr>
          <w:rFonts w:ascii="Arial" w:hAnsi="Arial" w:cs="Arial"/>
          <w:color w:val="000000"/>
          <w:sz w:val="20"/>
        </w:rPr>
        <w:t xml:space="preserve"> [2018] VSC 535 discussed in </w:t>
      </w:r>
      <w:r w:rsidR="00D04051" w:rsidRPr="00D04051">
        <w:rPr>
          <w:rFonts w:ascii="Arial" w:hAnsi="Arial" w:cs="Arial"/>
          <w:b/>
          <w:bCs/>
          <w:color w:val="000000"/>
          <w:sz w:val="20"/>
          <w:shd w:val="clear" w:color="auto" w:fill="C5E0B3"/>
        </w:rPr>
        <w:t>sub</w:t>
      </w:r>
      <w:r w:rsidR="007D56B7" w:rsidRPr="00D04051">
        <w:rPr>
          <w:rFonts w:ascii="Arial" w:hAnsi="Arial" w:cs="Arial"/>
          <w:b/>
          <w:bCs/>
          <w:color w:val="000000"/>
          <w:sz w:val="20"/>
          <w:shd w:val="clear" w:color="auto" w:fill="C5E0B3"/>
        </w:rPr>
        <w:t>section 7.11.5.1</w:t>
      </w:r>
      <w:r w:rsidR="007D56B7">
        <w:rPr>
          <w:rFonts w:ascii="Arial" w:hAnsi="Arial" w:cs="Arial"/>
          <w:color w:val="000000"/>
          <w:sz w:val="20"/>
        </w:rPr>
        <w:t xml:space="preserve"> below.</w:t>
      </w:r>
    </w:p>
    <w:p w14:paraId="7196A152" w14:textId="77777777" w:rsidR="00C61F6B" w:rsidRPr="00F51496" w:rsidRDefault="00C61F6B" w:rsidP="00C61F6B">
      <w:pPr>
        <w:jc w:val="both"/>
        <w:rPr>
          <w:rFonts w:ascii="Arial" w:hAnsi="Arial" w:cs="Arial"/>
          <w:color w:val="000000"/>
          <w:sz w:val="20"/>
        </w:rPr>
      </w:pPr>
    </w:p>
    <w:p w14:paraId="3AB7BF20" w14:textId="06D6C35D" w:rsidR="00311B3D" w:rsidRPr="00F51496" w:rsidRDefault="00310CA9" w:rsidP="00C61F6B">
      <w:pPr>
        <w:jc w:val="both"/>
        <w:rPr>
          <w:rFonts w:ascii="Arial" w:hAnsi="Arial" w:cs="Arial"/>
          <w:color w:val="000000"/>
          <w:sz w:val="20"/>
        </w:rPr>
      </w:pPr>
      <w:r w:rsidRPr="00F51496">
        <w:rPr>
          <w:rFonts w:ascii="Arial" w:hAnsi="Arial" w:cs="Arial"/>
          <w:color w:val="000000"/>
          <w:sz w:val="20"/>
        </w:rPr>
        <w:t xml:space="preserve">Unlike the adult Koori Court, a </w:t>
      </w:r>
      <w:r w:rsidR="00AF4627" w:rsidRPr="00F51496">
        <w:rPr>
          <w:rFonts w:ascii="Arial" w:hAnsi="Arial" w:cs="Arial"/>
          <w:color w:val="000000"/>
          <w:sz w:val="20"/>
        </w:rPr>
        <w:t>K</w:t>
      </w:r>
      <w:r w:rsidRPr="00F51496">
        <w:rPr>
          <w:rFonts w:ascii="Arial" w:hAnsi="Arial" w:cs="Arial"/>
          <w:color w:val="000000"/>
          <w:sz w:val="20"/>
        </w:rPr>
        <w:t>oori child who has pleaded not guilty but has been found guilty by the Criminal Division, may have his or her case transferred to the Koori Court (Criminal Division) for sentencing: see s.</w:t>
      </w:r>
      <w:r w:rsidR="00AF4627" w:rsidRPr="00F51496">
        <w:rPr>
          <w:rFonts w:ascii="Arial" w:hAnsi="Arial" w:cs="Arial"/>
          <w:color w:val="000000"/>
          <w:sz w:val="20"/>
        </w:rPr>
        <w:t>519</w:t>
      </w:r>
      <w:r w:rsidRPr="00F51496">
        <w:rPr>
          <w:rFonts w:ascii="Arial" w:hAnsi="Arial" w:cs="Arial"/>
          <w:color w:val="000000"/>
          <w:sz w:val="20"/>
        </w:rPr>
        <w:t>(1)(c)(iii)</w:t>
      </w:r>
      <w:r w:rsidR="00C50288">
        <w:rPr>
          <w:rFonts w:ascii="Arial" w:hAnsi="Arial" w:cs="Arial"/>
          <w:color w:val="000000"/>
          <w:sz w:val="20"/>
        </w:rPr>
        <w:t xml:space="preserve"> CYFA</w:t>
      </w:r>
      <w:r w:rsidRPr="00F51496">
        <w:rPr>
          <w:rFonts w:ascii="Arial" w:hAnsi="Arial" w:cs="Arial"/>
          <w:color w:val="000000"/>
          <w:sz w:val="20"/>
        </w:rPr>
        <w:t>.</w:t>
      </w:r>
    </w:p>
    <w:p w14:paraId="362BFDAD" w14:textId="77777777" w:rsidR="00C61F6B" w:rsidRPr="00F51496" w:rsidRDefault="00C61F6B" w:rsidP="00C61F6B">
      <w:pPr>
        <w:jc w:val="both"/>
        <w:rPr>
          <w:rFonts w:ascii="Arial" w:hAnsi="Arial" w:cs="Arial"/>
          <w:color w:val="000000"/>
          <w:sz w:val="20"/>
        </w:rPr>
      </w:pPr>
    </w:p>
    <w:p w14:paraId="50AFA186" w14:textId="77777777" w:rsidR="004F457D" w:rsidRPr="00F51496" w:rsidRDefault="004F457D" w:rsidP="00376808">
      <w:pPr>
        <w:pStyle w:val="Heading3"/>
        <w:keepNext/>
        <w:keepLines/>
        <w:widowControl/>
        <w:spacing w:line="240" w:lineRule="auto"/>
        <w:rPr>
          <w:rFonts w:ascii="Arial" w:hAnsi="Arial" w:cs="Arial"/>
          <w:b/>
          <w:bCs/>
          <w:color w:val="000000"/>
          <w:sz w:val="20"/>
        </w:rPr>
      </w:pPr>
      <w:bookmarkStart w:id="495" w:name="_7.11.2_Procedure"/>
      <w:bookmarkEnd w:id="495"/>
      <w:r w:rsidRPr="00F51496">
        <w:rPr>
          <w:rFonts w:ascii="Arial" w:hAnsi="Arial" w:cs="Arial"/>
          <w:b/>
          <w:bCs/>
          <w:color w:val="000000"/>
          <w:sz w:val="20"/>
        </w:rPr>
        <w:t>7.11.2</w:t>
      </w:r>
      <w:r w:rsidRPr="00F51496">
        <w:rPr>
          <w:rFonts w:ascii="Arial" w:hAnsi="Arial" w:cs="Arial"/>
          <w:b/>
          <w:bCs/>
          <w:color w:val="000000"/>
          <w:sz w:val="20"/>
        </w:rPr>
        <w:tab/>
        <w:t>Procedure</w:t>
      </w:r>
    </w:p>
    <w:p w14:paraId="7CD47D0C" w14:textId="77777777" w:rsidR="007E39DD" w:rsidRPr="00F51496" w:rsidRDefault="007E39DD" w:rsidP="006C6722">
      <w:pPr>
        <w:jc w:val="both"/>
        <w:rPr>
          <w:rFonts w:ascii="Arial" w:hAnsi="Arial" w:cs="Arial"/>
          <w:color w:val="000000"/>
          <w:sz w:val="20"/>
        </w:rPr>
      </w:pPr>
    </w:p>
    <w:p w14:paraId="7ECE40B9" w14:textId="186922B4" w:rsidR="007E39DD" w:rsidRPr="00F51496" w:rsidRDefault="007406EC" w:rsidP="00376808">
      <w:pPr>
        <w:jc w:val="both"/>
        <w:rPr>
          <w:rFonts w:ascii="Arial" w:hAnsi="Arial" w:cs="Arial"/>
          <w:color w:val="000000"/>
          <w:sz w:val="20"/>
        </w:rPr>
      </w:pPr>
      <w:r w:rsidRPr="00F51496">
        <w:rPr>
          <w:rFonts w:ascii="Arial" w:hAnsi="Arial" w:cs="Arial"/>
          <w:color w:val="000000"/>
          <w:sz w:val="20"/>
        </w:rPr>
        <w:t xml:space="preserve">Section </w:t>
      </w:r>
      <w:r w:rsidR="00AF4627" w:rsidRPr="00F51496">
        <w:rPr>
          <w:rFonts w:ascii="Arial" w:hAnsi="Arial" w:cs="Arial"/>
          <w:color w:val="000000"/>
          <w:sz w:val="20"/>
        </w:rPr>
        <w:t>517</w:t>
      </w:r>
      <w:r w:rsidRPr="00F51496">
        <w:rPr>
          <w:rFonts w:ascii="Arial" w:hAnsi="Arial" w:cs="Arial"/>
          <w:color w:val="000000"/>
          <w:sz w:val="20"/>
        </w:rPr>
        <w:t>(3) of the CY</w:t>
      </w:r>
      <w:r w:rsidR="00AF4627" w:rsidRPr="00F51496">
        <w:rPr>
          <w:rFonts w:ascii="Arial" w:hAnsi="Arial" w:cs="Arial"/>
          <w:color w:val="000000"/>
          <w:sz w:val="20"/>
        </w:rPr>
        <w:t>F</w:t>
      </w:r>
      <w:r w:rsidRPr="00F51496">
        <w:rPr>
          <w:rFonts w:ascii="Arial" w:hAnsi="Arial" w:cs="Arial"/>
          <w:color w:val="000000"/>
          <w:sz w:val="20"/>
        </w:rPr>
        <w:t xml:space="preserve">A requires the Koori Court (Criminal Division) to exercise its jurisdiction with as little formality and technicality, and with as much expedition, as the requirements of the </w:t>
      </w:r>
      <w:r w:rsidR="00CE420B">
        <w:rPr>
          <w:rFonts w:ascii="Arial" w:hAnsi="Arial" w:cs="Arial"/>
          <w:color w:val="000000"/>
          <w:sz w:val="20"/>
        </w:rPr>
        <w:t xml:space="preserve">CYFA and the </w:t>
      </w:r>
      <w:r w:rsidR="00C50288">
        <w:rPr>
          <w:rFonts w:ascii="Arial" w:hAnsi="Arial" w:cs="Arial"/>
          <w:color w:val="000000"/>
          <w:sz w:val="20"/>
        </w:rPr>
        <w:t xml:space="preserve">YJA </w:t>
      </w:r>
      <w:r w:rsidRPr="00F51496">
        <w:rPr>
          <w:rFonts w:ascii="Arial" w:hAnsi="Arial" w:cs="Arial"/>
          <w:color w:val="000000"/>
          <w:sz w:val="20"/>
        </w:rPr>
        <w:t>and the proper consideration of the matters before the Court permit.</w:t>
      </w:r>
    </w:p>
    <w:p w14:paraId="4995F3B7" w14:textId="77777777" w:rsidR="007406EC" w:rsidRPr="00F51496" w:rsidRDefault="007406EC" w:rsidP="00C61F6B">
      <w:pPr>
        <w:jc w:val="both"/>
        <w:rPr>
          <w:rFonts w:ascii="Arial" w:hAnsi="Arial" w:cs="Arial"/>
          <w:color w:val="000000"/>
          <w:sz w:val="20"/>
        </w:rPr>
      </w:pPr>
    </w:p>
    <w:p w14:paraId="18B38CB9" w14:textId="249F2326" w:rsidR="007406EC" w:rsidRPr="00F51496" w:rsidRDefault="003B1B32" w:rsidP="00C61F6B">
      <w:pPr>
        <w:jc w:val="both"/>
        <w:rPr>
          <w:rFonts w:ascii="Arial" w:hAnsi="Arial" w:cs="Arial"/>
          <w:color w:val="000000"/>
          <w:sz w:val="20"/>
        </w:rPr>
      </w:pPr>
      <w:r w:rsidRPr="00F51496">
        <w:rPr>
          <w:rFonts w:ascii="Arial" w:hAnsi="Arial" w:cs="Arial"/>
          <w:color w:val="000000"/>
          <w:sz w:val="20"/>
        </w:rPr>
        <w:t xml:space="preserve">Section </w:t>
      </w:r>
      <w:r w:rsidR="00AF4627" w:rsidRPr="00F51496">
        <w:rPr>
          <w:rFonts w:ascii="Arial" w:hAnsi="Arial" w:cs="Arial"/>
          <w:color w:val="000000"/>
          <w:sz w:val="20"/>
        </w:rPr>
        <w:t>517</w:t>
      </w:r>
      <w:r w:rsidRPr="00F51496">
        <w:rPr>
          <w:rFonts w:ascii="Arial" w:hAnsi="Arial" w:cs="Arial"/>
          <w:color w:val="000000"/>
          <w:sz w:val="20"/>
        </w:rPr>
        <w:t>(4) requires the Koori Court (Criminal Division) to take steps to ensure that, so far as practicable, any proceeding before it is conducted in a way which it considers will make it comprehensible to</w:t>
      </w:r>
      <w:r w:rsidR="00235652">
        <w:rPr>
          <w:rFonts w:ascii="Arial" w:hAnsi="Arial" w:cs="Arial"/>
          <w:color w:val="000000"/>
          <w:sz w:val="20"/>
        </w:rPr>
        <w:t>–</w:t>
      </w:r>
    </w:p>
    <w:p w14:paraId="3B2A557F" w14:textId="77777777" w:rsidR="003B1B32" w:rsidRPr="00F51496" w:rsidRDefault="003B1B32" w:rsidP="002D23FB">
      <w:pPr>
        <w:tabs>
          <w:tab w:val="left" w:pos="363"/>
        </w:tabs>
        <w:jc w:val="both"/>
        <w:rPr>
          <w:rFonts w:ascii="Arial" w:hAnsi="Arial" w:cs="Arial"/>
          <w:color w:val="000000"/>
          <w:sz w:val="20"/>
        </w:rPr>
      </w:pPr>
      <w:r w:rsidRPr="00F51496">
        <w:rPr>
          <w:rFonts w:ascii="Arial" w:hAnsi="Arial" w:cs="Arial"/>
          <w:color w:val="000000"/>
          <w:sz w:val="20"/>
        </w:rPr>
        <w:t>(a)</w:t>
      </w:r>
      <w:r w:rsidRPr="00F51496">
        <w:rPr>
          <w:rFonts w:ascii="Arial" w:hAnsi="Arial" w:cs="Arial"/>
          <w:color w:val="000000"/>
          <w:sz w:val="20"/>
        </w:rPr>
        <w:tab/>
        <w:t>the child; and</w:t>
      </w:r>
    </w:p>
    <w:p w14:paraId="621EBD21" w14:textId="77777777" w:rsidR="003B1B32" w:rsidRPr="00F51496" w:rsidRDefault="003B1B32" w:rsidP="00376808">
      <w:pPr>
        <w:tabs>
          <w:tab w:val="left" w:pos="363"/>
        </w:tabs>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t>a family member of the child; and</w:t>
      </w:r>
    </w:p>
    <w:p w14:paraId="504A8C94" w14:textId="77777777" w:rsidR="003B1B32" w:rsidRPr="00F51496" w:rsidRDefault="003B1B32" w:rsidP="003B1B32">
      <w:pPr>
        <w:tabs>
          <w:tab w:val="left" w:pos="363"/>
        </w:tabs>
        <w:jc w:val="both"/>
        <w:rPr>
          <w:rFonts w:ascii="Arial" w:hAnsi="Arial" w:cs="Arial"/>
          <w:color w:val="000000"/>
          <w:sz w:val="20"/>
        </w:rPr>
      </w:pPr>
      <w:r w:rsidRPr="00F51496">
        <w:rPr>
          <w:rFonts w:ascii="Arial" w:hAnsi="Arial" w:cs="Arial"/>
          <w:color w:val="000000"/>
          <w:sz w:val="20"/>
        </w:rPr>
        <w:t>(c)</w:t>
      </w:r>
      <w:r w:rsidRPr="00F51496">
        <w:rPr>
          <w:rFonts w:ascii="Arial" w:hAnsi="Arial" w:cs="Arial"/>
          <w:color w:val="000000"/>
          <w:sz w:val="20"/>
        </w:rPr>
        <w:tab/>
        <w:t>any member of the Aboriginal community who is present in court.</w:t>
      </w:r>
    </w:p>
    <w:p w14:paraId="56FFF1B1" w14:textId="77777777" w:rsidR="004F457D" w:rsidRPr="00F51496" w:rsidRDefault="004F457D" w:rsidP="00C61F6B">
      <w:pPr>
        <w:jc w:val="both"/>
        <w:rPr>
          <w:rFonts w:ascii="Arial" w:hAnsi="Arial" w:cs="Arial"/>
          <w:color w:val="000000"/>
          <w:sz w:val="20"/>
        </w:rPr>
      </w:pPr>
    </w:p>
    <w:p w14:paraId="33E7EAAB" w14:textId="03B88420" w:rsidR="003B1B32" w:rsidRPr="00F51496" w:rsidRDefault="003B1B32" w:rsidP="00C61F6B">
      <w:pPr>
        <w:jc w:val="both"/>
        <w:rPr>
          <w:rFonts w:ascii="Arial" w:hAnsi="Arial" w:cs="Arial"/>
          <w:color w:val="000000"/>
          <w:sz w:val="20"/>
        </w:rPr>
      </w:pPr>
      <w:r w:rsidRPr="00F51496">
        <w:rPr>
          <w:rFonts w:ascii="Arial" w:hAnsi="Arial" w:cs="Arial"/>
          <w:color w:val="000000"/>
          <w:sz w:val="20"/>
        </w:rPr>
        <w:t xml:space="preserve">Section </w:t>
      </w:r>
      <w:r w:rsidR="00AF4627" w:rsidRPr="00F51496">
        <w:rPr>
          <w:rFonts w:ascii="Arial" w:hAnsi="Arial" w:cs="Arial"/>
          <w:color w:val="000000"/>
          <w:sz w:val="20"/>
        </w:rPr>
        <w:t>517</w:t>
      </w:r>
      <w:r w:rsidRPr="00F51496">
        <w:rPr>
          <w:rFonts w:ascii="Arial" w:hAnsi="Arial" w:cs="Arial"/>
          <w:color w:val="000000"/>
          <w:sz w:val="20"/>
        </w:rPr>
        <w:t xml:space="preserve">(5) provides that subject to the </w:t>
      </w:r>
      <w:r w:rsidR="00CE420B">
        <w:rPr>
          <w:rFonts w:ascii="Arial" w:hAnsi="Arial" w:cs="Arial"/>
          <w:color w:val="000000"/>
          <w:sz w:val="20"/>
        </w:rPr>
        <w:t>CYFA and the YJA</w:t>
      </w:r>
      <w:r w:rsidRPr="00F51496">
        <w:rPr>
          <w:rFonts w:ascii="Arial" w:hAnsi="Arial" w:cs="Arial"/>
          <w:color w:val="000000"/>
          <w:sz w:val="20"/>
        </w:rPr>
        <w:t>, the regulations and the rules, the Koori Court (Criminal Division) may regulate its own procedure.</w:t>
      </w:r>
    </w:p>
    <w:p w14:paraId="63227404" w14:textId="77777777" w:rsidR="003B1B32" w:rsidRPr="00F51496" w:rsidRDefault="003B1B32" w:rsidP="00C61F6B">
      <w:pPr>
        <w:jc w:val="both"/>
        <w:rPr>
          <w:rFonts w:ascii="Arial" w:hAnsi="Arial" w:cs="Arial"/>
          <w:color w:val="000000"/>
          <w:sz w:val="20"/>
        </w:rPr>
      </w:pPr>
    </w:p>
    <w:p w14:paraId="3BC9ABC0" w14:textId="77777777" w:rsidR="003B1B32" w:rsidRPr="00F51496" w:rsidRDefault="003B1B32" w:rsidP="00C61F6B">
      <w:pPr>
        <w:jc w:val="both"/>
        <w:rPr>
          <w:rFonts w:ascii="Arial" w:hAnsi="Arial" w:cs="Arial"/>
          <w:color w:val="000000"/>
          <w:sz w:val="20"/>
        </w:rPr>
      </w:pPr>
      <w:r w:rsidRPr="00F51496">
        <w:rPr>
          <w:rFonts w:ascii="Arial" w:hAnsi="Arial" w:cs="Arial"/>
          <w:color w:val="000000"/>
          <w:sz w:val="20"/>
        </w:rPr>
        <w:t xml:space="preserve">Section </w:t>
      </w:r>
      <w:r w:rsidR="00AF4627" w:rsidRPr="00F51496">
        <w:rPr>
          <w:rFonts w:ascii="Arial" w:hAnsi="Arial" w:cs="Arial"/>
          <w:color w:val="000000"/>
          <w:sz w:val="20"/>
        </w:rPr>
        <w:t>517</w:t>
      </w:r>
      <w:r w:rsidRPr="00F51496">
        <w:rPr>
          <w:rFonts w:ascii="Arial" w:hAnsi="Arial" w:cs="Arial"/>
          <w:color w:val="000000"/>
          <w:sz w:val="20"/>
        </w:rPr>
        <w:t xml:space="preserve">(6) </w:t>
      </w:r>
      <w:r w:rsidR="00011BE3" w:rsidRPr="00F51496">
        <w:rPr>
          <w:rFonts w:ascii="Arial" w:hAnsi="Arial" w:cs="Arial"/>
          <w:color w:val="000000"/>
          <w:sz w:val="20"/>
        </w:rPr>
        <w:t>provides that nothing in s.</w:t>
      </w:r>
      <w:r w:rsidR="00AF4627" w:rsidRPr="00F51496">
        <w:rPr>
          <w:rFonts w:ascii="Arial" w:hAnsi="Arial" w:cs="Arial"/>
          <w:color w:val="000000"/>
          <w:sz w:val="20"/>
        </w:rPr>
        <w:t>517</w:t>
      </w:r>
      <w:r w:rsidR="00011BE3" w:rsidRPr="00F51496">
        <w:rPr>
          <w:rFonts w:ascii="Arial" w:hAnsi="Arial" w:cs="Arial"/>
          <w:color w:val="000000"/>
          <w:sz w:val="20"/>
        </w:rPr>
        <w:t xml:space="preserve"> limits the general procedural </w:t>
      </w:r>
      <w:r w:rsidR="00B04B4F" w:rsidRPr="00F51496">
        <w:rPr>
          <w:rFonts w:ascii="Arial" w:hAnsi="Arial" w:cs="Arial"/>
          <w:color w:val="000000"/>
          <w:sz w:val="20"/>
        </w:rPr>
        <w:t>guidelines</w:t>
      </w:r>
      <w:r w:rsidR="00011BE3" w:rsidRPr="00F51496">
        <w:rPr>
          <w:rFonts w:ascii="Arial" w:hAnsi="Arial" w:cs="Arial"/>
          <w:color w:val="000000"/>
          <w:sz w:val="20"/>
        </w:rPr>
        <w:t xml:space="preserve"> set out in </w:t>
      </w:r>
      <w:r w:rsidR="00AF4627" w:rsidRPr="00F51496">
        <w:rPr>
          <w:rFonts w:ascii="Arial" w:hAnsi="Arial" w:cs="Arial"/>
          <w:color w:val="000000"/>
          <w:sz w:val="20"/>
        </w:rPr>
        <w:t>Part</w:t>
      </w:r>
      <w:r w:rsidR="00011BE3" w:rsidRPr="006C6722">
        <w:rPr>
          <w:rFonts w:ascii="Arial" w:hAnsi="Arial" w:cs="Arial"/>
          <w:color w:val="FFFFFF" w:themeColor="background1"/>
          <w:sz w:val="20"/>
        </w:rPr>
        <w:t> </w:t>
      </w:r>
      <w:r w:rsidR="00AF4627" w:rsidRPr="00F51496">
        <w:rPr>
          <w:rFonts w:ascii="Arial" w:hAnsi="Arial" w:cs="Arial"/>
          <w:color w:val="000000"/>
          <w:sz w:val="20"/>
        </w:rPr>
        <w:t>7.</w:t>
      </w:r>
      <w:r w:rsidR="00011BE3" w:rsidRPr="00F51496">
        <w:rPr>
          <w:rFonts w:ascii="Arial" w:hAnsi="Arial" w:cs="Arial"/>
          <w:color w:val="000000"/>
          <w:sz w:val="20"/>
        </w:rPr>
        <w:t>3 [ss.</w:t>
      </w:r>
      <w:r w:rsidR="00AF4627" w:rsidRPr="00F51496">
        <w:rPr>
          <w:rFonts w:ascii="Arial" w:hAnsi="Arial" w:cs="Arial"/>
          <w:color w:val="000000"/>
          <w:sz w:val="20"/>
        </w:rPr>
        <w:t>522-527</w:t>
      </w:r>
      <w:r w:rsidR="00011BE3" w:rsidRPr="00F51496">
        <w:rPr>
          <w:rFonts w:ascii="Arial" w:hAnsi="Arial" w:cs="Arial"/>
          <w:color w:val="000000"/>
          <w:sz w:val="20"/>
        </w:rPr>
        <w:t>] of the CY</w:t>
      </w:r>
      <w:r w:rsidR="00645221" w:rsidRPr="00F51496">
        <w:rPr>
          <w:rFonts w:ascii="Arial" w:hAnsi="Arial" w:cs="Arial"/>
          <w:color w:val="000000"/>
          <w:sz w:val="20"/>
        </w:rPr>
        <w:t>F</w:t>
      </w:r>
      <w:r w:rsidR="00011BE3" w:rsidRPr="00F51496">
        <w:rPr>
          <w:rFonts w:ascii="Arial" w:hAnsi="Arial" w:cs="Arial"/>
          <w:color w:val="000000"/>
          <w:sz w:val="20"/>
        </w:rPr>
        <w:t>A.</w:t>
      </w:r>
    </w:p>
    <w:p w14:paraId="42CEA69D" w14:textId="77777777" w:rsidR="003B1B32" w:rsidRPr="00F51496" w:rsidRDefault="003B1B32" w:rsidP="00C61F6B">
      <w:pPr>
        <w:jc w:val="both"/>
        <w:rPr>
          <w:rFonts w:ascii="Arial" w:hAnsi="Arial" w:cs="Arial"/>
          <w:color w:val="000000"/>
          <w:sz w:val="20"/>
        </w:rPr>
      </w:pPr>
    </w:p>
    <w:p w14:paraId="4F269CF3" w14:textId="50EF644C" w:rsidR="003565B0" w:rsidRDefault="0032623F" w:rsidP="00C61F6B">
      <w:pPr>
        <w:jc w:val="both"/>
        <w:rPr>
          <w:rFonts w:ascii="Arial" w:hAnsi="Arial" w:cs="Arial"/>
          <w:color w:val="000000"/>
          <w:sz w:val="20"/>
        </w:rPr>
      </w:pPr>
      <w:r w:rsidRPr="00F51496">
        <w:rPr>
          <w:rFonts w:ascii="Arial" w:hAnsi="Arial" w:cs="Arial"/>
          <w:color w:val="000000"/>
          <w:sz w:val="20"/>
        </w:rPr>
        <w:t xml:space="preserve">At Melbourne Children’s Court the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Pr="00F51496">
        <w:rPr>
          <w:rFonts w:ascii="Arial" w:hAnsi="Arial" w:cs="Arial"/>
          <w:color w:val="000000"/>
          <w:sz w:val="20"/>
        </w:rPr>
        <w:t xml:space="preserve"> sits in a courtroom with an oval bar table at which all persons involved in the case (including the judicial officer) are seated.  The Court is constituted by a judicial officer and two </w:t>
      </w:r>
      <w:r w:rsidR="00A80CC1" w:rsidRPr="00F51496">
        <w:rPr>
          <w:rFonts w:ascii="Arial" w:hAnsi="Arial" w:cs="Arial"/>
          <w:color w:val="000000"/>
          <w:sz w:val="20"/>
        </w:rPr>
        <w:t>Aboriginal elders or respected persons</w:t>
      </w:r>
      <w:r w:rsidR="003565B0">
        <w:rPr>
          <w:rFonts w:ascii="Arial" w:hAnsi="Arial" w:cs="Arial"/>
          <w:color w:val="000000"/>
          <w:sz w:val="20"/>
        </w:rPr>
        <w:t xml:space="preserve"> about whom the </w:t>
      </w:r>
      <w:r w:rsidR="003565B0" w:rsidRPr="00D24154">
        <w:rPr>
          <w:rFonts w:ascii="Arial" w:hAnsi="Arial" w:cs="Arial"/>
          <w:sz w:val="20"/>
          <w:szCs w:val="32"/>
        </w:rPr>
        <w:t>Children’s Court of Victoria 20</w:t>
      </w:r>
      <w:r w:rsidR="003565B0">
        <w:rPr>
          <w:rFonts w:ascii="Arial" w:hAnsi="Arial" w:cs="Arial"/>
          <w:sz w:val="20"/>
          <w:szCs w:val="32"/>
        </w:rPr>
        <w:t>22</w:t>
      </w:r>
      <w:r w:rsidR="003565B0" w:rsidRPr="00D24154">
        <w:rPr>
          <w:rFonts w:ascii="Arial" w:hAnsi="Arial" w:cs="Arial"/>
          <w:sz w:val="20"/>
          <w:szCs w:val="32"/>
        </w:rPr>
        <w:t>/</w:t>
      </w:r>
      <w:r w:rsidR="003565B0">
        <w:rPr>
          <w:rFonts w:ascii="Arial" w:hAnsi="Arial" w:cs="Arial"/>
          <w:sz w:val="20"/>
          <w:szCs w:val="32"/>
        </w:rPr>
        <w:t>23</w:t>
      </w:r>
      <w:r w:rsidR="003565B0" w:rsidRPr="00D24154">
        <w:rPr>
          <w:rFonts w:ascii="Arial" w:hAnsi="Arial" w:cs="Arial"/>
          <w:sz w:val="20"/>
          <w:szCs w:val="32"/>
        </w:rPr>
        <w:t xml:space="preserve"> Annual Report</w:t>
      </w:r>
      <w:r w:rsidR="003565B0">
        <w:rPr>
          <w:rFonts w:ascii="Arial" w:hAnsi="Arial" w:cs="Arial"/>
          <w:sz w:val="20"/>
          <w:szCs w:val="32"/>
        </w:rPr>
        <w:t xml:space="preserve"> notes at p.23:</w:t>
      </w:r>
    </w:p>
    <w:p w14:paraId="2B68F05F" w14:textId="7BD66E0D" w:rsidR="003565B0" w:rsidRPr="00F51496" w:rsidRDefault="003565B0" w:rsidP="003565B0">
      <w:pPr>
        <w:tabs>
          <w:tab w:val="left" w:pos="363"/>
        </w:tabs>
        <w:spacing w:before="80"/>
        <w:ind w:left="567" w:right="567"/>
        <w:jc w:val="both"/>
        <w:rPr>
          <w:rFonts w:ascii="Arial" w:hAnsi="Arial" w:cs="Arial"/>
          <w:color w:val="000000"/>
          <w:sz w:val="20"/>
        </w:rPr>
      </w:pPr>
      <w:r>
        <w:rPr>
          <w:rFonts w:ascii="Arial" w:hAnsi="Arial" w:cs="Arial"/>
          <w:color w:val="000000"/>
          <w:sz w:val="20"/>
        </w:rPr>
        <w:t>“The Elders and Respected Persons (ERPs) play a significant role in the Children’s Koori Court hearings.  They provide cultural advice to Koori Court magistrates while helping participants acknowledge the underlying issues contributing to their offending and its impact on the community.  This extends to engaging and communicating with young people to ensure they do not have to tell their story multiple times at each separate hearing.  This helps to deliver better justice outcomes for the Koori community.”</w:t>
      </w:r>
    </w:p>
    <w:p w14:paraId="0CDAA1EA" w14:textId="136003BD" w:rsidR="0032623F" w:rsidRPr="00F51496" w:rsidRDefault="00A80CC1" w:rsidP="003565B0">
      <w:pPr>
        <w:spacing w:before="60"/>
        <w:jc w:val="both"/>
        <w:rPr>
          <w:rFonts w:ascii="Arial" w:hAnsi="Arial" w:cs="Arial"/>
          <w:color w:val="000000"/>
          <w:sz w:val="20"/>
        </w:rPr>
      </w:pPr>
      <w:r w:rsidRPr="00F51496">
        <w:rPr>
          <w:rFonts w:ascii="Arial" w:hAnsi="Arial" w:cs="Arial"/>
          <w:color w:val="000000"/>
          <w:sz w:val="20"/>
        </w:rPr>
        <w:t xml:space="preserve">In addition, seated at the oval table during the hearing are the Koori Court officer, the prosecutor, a Youth Justice worker, the accused and his/her lawyer and family members.  The procedure is not easy for the accused as Judge Grant has </w:t>
      </w:r>
      <w:r w:rsidR="000B25A8" w:rsidRPr="00F51496">
        <w:rPr>
          <w:rFonts w:ascii="Arial" w:hAnsi="Arial" w:cs="Arial"/>
          <w:color w:val="000000"/>
          <w:sz w:val="20"/>
        </w:rPr>
        <w:t>explaine</w:t>
      </w:r>
      <w:r w:rsidRPr="00F51496">
        <w:rPr>
          <w:rFonts w:ascii="Arial" w:hAnsi="Arial" w:cs="Arial"/>
          <w:color w:val="000000"/>
          <w:sz w:val="20"/>
        </w:rPr>
        <w:t>d:</w:t>
      </w:r>
    </w:p>
    <w:p w14:paraId="3A824F6C" w14:textId="77777777" w:rsidR="00A80CC1" w:rsidRPr="00F51496" w:rsidRDefault="00A80CC1" w:rsidP="00A80CC1">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lastRenderedPageBreak/>
        <w:t xml:space="preserve">“In my experience, proceedings in the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Pr="00F51496">
        <w:rPr>
          <w:rFonts w:ascii="Arial" w:hAnsi="Arial" w:cs="Arial"/>
          <w:color w:val="000000"/>
          <w:sz w:val="20"/>
        </w:rPr>
        <w:t xml:space="preserve"> are often dynamic and confronting.  The voice of the [accused], family and community are always present and central.  There is no escape from acceptance of responsibility and particular problems that should be addressed are discussed openly and honestly.  The open exchange of information that occurs within the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Pr="00F51496">
        <w:rPr>
          <w:rFonts w:ascii="Arial" w:hAnsi="Arial" w:cs="Arial"/>
          <w:color w:val="000000"/>
          <w:sz w:val="20"/>
        </w:rPr>
        <w:t xml:space="preserve"> gives the judicial officer a better understanding of the [accused’s] circumstances, the context of the offending and the prospects for rehabilitation.  The sentencing decision is a fully informed one.</w:t>
      </w:r>
    </w:p>
    <w:p w14:paraId="342DABAA" w14:textId="77777777" w:rsidR="000B25A8" w:rsidRPr="00F51496" w:rsidRDefault="000B25A8" w:rsidP="00A80CC1">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t xml:space="preserve">Sometimes the issues before the court extending as they do beyond the individual and into the social and economic life of our community, are hard for the law to address.  This means the work is challenging.  The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Pr="00F51496">
        <w:rPr>
          <w:rFonts w:ascii="Arial" w:hAnsi="Arial" w:cs="Arial"/>
          <w:color w:val="000000"/>
          <w:sz w:val="20"/>
        </w:rPr>
        <w:t xml:space="preserve"> is not a magic solution to the problem of over-representation.  Some offenders come from backgrounds of significant disadvantage with well-established offending histories and often require support services that are not always available.”</w:t>
      </w:r>
    </w:p>
    <w:p w14:paraId="571F72E5" w14:textId="77777777" w:rsidR="0032623F" w:rsidRDefault="0032623F" w:rsidP="00C61F6B">
      <w:pPr>
        <w:jc w:val="both"/>
        <w:rPr>
          <w:rFonts w:ascii="Arial" w:hAnsi="Arial" w:cs="Arial"/>
          <w:color w:val="000000"/>
          <w:sz w:val="20"/>
        </w:rPr>
      </w:pPr>
    </w:p>
    <w:p w14:paraId="6C87A8BC" w14:textId="77777777" w:rsidR="00C550FA" w:rsidRDefault="00082624" w:rsidP="00C61F6B">
      <w:pPr>
        <w:jc w:val="both"/>
        <w:rPr>
          <w:rFonts w:ascii="Arial" w:hAnsi="Arial" w:cs="Arial"/>
          <w:color w:val="000000"/>
          <w:sz w:val="20"/>
        </w:rPr>
      </w:pPr>
      <w:r>
        <w:rPr>
          <w:rFonts w:ascii="Arial" w:hAnsi="Arial" w:cs="Arial"/>
          <w:color w:val="000000"/>
          <w:sz w:val="20"/>
        </w:rPr>
        <w:t xml:space="preserve">In </w:t>
      </w:r>
      <w:r w:rsidR="00C550FA" w:rsidRPr="00C550FA">
        <w:rPr>
          <w:rFonts w:ascii="Arial" w:hAnsi="Arial" w:cs="Arial"/>
          <w:i/>
          <w:color w:val="000000"/>
          <w:sz w:val="20"/>
        </w:rPr>
        <w:t>Honeysett v The Queen</w:t>
      </w:r>
      <w:r w:rsidR="00C550FA">
        <w:rPr>
          <w:rFonts w:ascii="Arial" w:hAnsi="Arial" w:cs="Arial"/>
          <w:color w:val="000000"/>
          <w:sz w:val="20"/>
        </w:rPr>
        <w:t xml:space="preserve"> [2018] VSCA 214 at [47] the Court of Appeal noted that in </w:t>
      </w:r>
      <w:r w:rsidR="00C550FA" w:rsidRPr="00B1331F">
        <w:rPr>
          <w:rFonts w:ascii="Arial" w:hAnsi="Arial" w:cs="Arial"/>
          <w:i/>
          <w:color w:val="000000"/>
          <w:sz w:val="20"/>
        </w:rPr>
        <w:t>R v Morgan</w:t>
      </w:r>
      <w:r w:rsidR="00C550FA">
        <w:rPr>
          <w:rFonts w:ascii="Arial" w:hAnsi="Arial" w:cs="Arial"/>
          <w:color w:val="000000"/>
          <w:sz w:val="20"/>
        </w:rPr>
        <w:t xml:space="preserve"> (2010) 24 VR 230 </w:t>
      </w:r>
      <w:r w:rsidR="00E10F90">
        <w:rPr>
          <w:rFonts w:ascii="Arial" w:hAnsi="Arial" w:cs="Arial"/>
          <w:color w:val="000000"/>
          <w:sz w:val="20"/>
        </w:rPr>
        <w:t xml:space="preserve">at [20]-[31] </w:t>
      </w:r>
      <w:r w:rsidR="00C550FA">
        <w:rPr>
          <w:rFonts w:ascii="Arial" w:hAnsi="Arial" w:cs="Arial"/>
          <w:color w:val="000000"/>
          <w:sz w:val="20"/>
        </w:rPr>
        <w:t>the Court of Appeal had accepted as correct the following description of a plea hearing in the Koori Court as conducted in the County Court:</w:t>
      </w:r>
    </w:p>
    <w:p w14:paraId="2B612391" w14:textId="77777777" w:rsidR="00C550FA" w:rsidRDefault="00C550FA" w:rsidP="00E10F90">
      <w:pPr>
        <w:spacing w:before="120"/>
        <w:ind w:left="567" w:right="567"/>
        <w:jc w:val="both"/>
        <w:rPr>
          <w:rFonts w:ascii="Arial" w:hAnsi="Arial" w:cs="Arial"/>
          <w:color w:val="000000"/>
          <w:sz w:val="20"/>
        </w:rPr>
      </w:pPr>
      <w:r>
        <w:rPr>
          <w:rFonts w:ascii="Arial" w:hAnsi="Arial" w:cs="Arial"/>
          <w:color w:val="000000"/>
          <w:sz w:val="20"/>
        </w:rPr>
        <w:t xml:space="preserve">“A Koori Court plea hearing is conducted in a three stage process.  </w:t>
      </w:r>
      <w:r w:rsidRPr="00E10F90">
        <w:rPr>
          <w:rFonts w:ascii="Arial" w:hAnsi="Arial" w:cs="Arial"/>
          <w:b/>
          <w:color w:val="000000"/>
          <w:sz w:val="20"/>
        </w:rPr>
        <w:t>Stage 1</w:t>
      </w:r>
      <w:r>
        <w:rPr>
          <w:rFonts w:ascii="Arial" w:hAnsi="Arial" w:cs="Arial"/>
          <w:color w:val="000000"/>
          <w:sz w:val="20"/>
        </w:rPr>
        <w:t xml:space="preserve"> is a formal arraignment.  Guilty pleas are entered…[and] the matter will then be given a plea date in the County Court.</w:t>
      </w:r>
    </w:p>
    <w:p w14:paraId="489E4179" w14:textId="77777777" w:rsidR="00C550FA" w:rsidRDefault="00C550FA" w:rsidP="00E10F90">
      <w:pPr>
        <w:spacing w:before="120"/>
        <w:ind w:left="567" w:right="567"/>
        <w:jc w:val="both"/>
        <w:rPr>
          <w:rFonts w:ascii="Arial" w:hAnsi="Arial" w:cs="Arial"/>
          <w:color w:val="000000"/>
          <w:sz w:val="20"/>
        </w:rPr>
      </w:pPr>
      <w:r w:rsidRPr="00E10F90">
        <w:rPr>
          <w:rFonts w:ascii="Arial" w:hAnsi="Arial" w:cs="Arial"/>
          <w:b/>
          <w:color w:val="000000"/>
          <w:sz w:val="20"/>
        </w:rPr>
        <w:t>Stage 2</w:t>
      </w:r>
      <w:r>
        <w:rPr>
          <w:rFonts w:ascii="Arial" w:hAnsi="Arial" w:cs="Arial"/>
          <w:color w:val="000000"/>
          <w:sz w:val="20"/>
        </w:rPr>
        <w:t xml:space="preserve"> is the sentencing conversation.  </w:t>
      </w:r>
      <w:r w:rsidR="002C03F8">
        <w:rPr>
          <w:rFonts w:ascii="Arial" w:hAnsi="Arial" w:cs="Arial"/>
          <w:color w:val="000000"/>
          <w:sz w:val="20"/>
        </w:rPr>
        <w:t xml:space="preserve">This procedure is different from the </w:t>
      </w:r>
      <w:r w:rsidR="00801496">
        <w:rPr>
          <w:rFonts w:ascii="Arial" w:hAnsi="Arial" w:cs="Arial"/>
          <w:color w:val="000000"/>
          <w:sz w:val="20"/>
        </w:rPr>
        <w:t>usual plea hearing conducted in the County Court.  The sentencing conversation is carried out as a discussion around a table.  The Judge sits at the table with an Aboriginal Elder or respected person on either side of him or her.  Also seated at the table are the offender, the Koori Court officer, the offender’s legal representative and prosecutor.  Each participant has the opportunity to participate in the sentencing conversation.</w:t>
      </w:r>
    </w:p>
    <w:p w14:paraId="7A42A9F4" w14:textId="77777777" w:rsidR="00801496" w:rsidRDefault="002D23FB" w:rsidP="00C550FA">
      <w:pPr>
        <w:spacing w:before="80"/>
        <w:ind w:left="567" w:right="567"/>
        <w:jc w:val="both"/>
        <w:rPr>
          <w:rFonts w:ascii="Arial" w:hAnsi="Arial" w:cs="Arial"/>
          <w:color w:val="000000"/>
          <w:sz w:val="20"/>
        </w:rPr>
      </w:pPr>
      <w:r>
        <w:rPr>
          <w:rFonts w:ascii="Arial" w:hAnsi="Arial" w:cs="Arial"/>
          <w:color w:val="000000"/>
          <w:sz w:val="20"/>
        </w:rPr>
        <w:t>The first part of the sentencing conversation concerns aspects of cultural significance and is repeated with every offender.  The sentencing conversation begins with an acknowledgment of country.  The Judge explains to the offender that the Court respects Aboriginal people and culture and that the room has been smoked in accordance with tradition.  The Judge introduces the participants or asks them to introduce themselves and explain to the offender their role in the process.</w:t>
      </w:r>
    </w:p>
    <w:p w14:paraId="6A7EDE2A" w14:textId="77777777" w:rsidR="002D23FB" w:rsidRDefault="002D23FB" w:rsidP="00C550FA">
      <w:pPr>
        <w:spacing w:before="80"/>
        <w:ind w:left="567" w:right="567"/>
        <w:jc w:val="both"/>
        <w:rPr>
          <w:rFonts w:ascii="Arial" w:hAnsi="Arial" w:cs="Arial"/>
          <w:color w:val="000000"/>
          <w:sz w:val="20"/>
        </w:rPr>
      </w:pPr>
      <w:r>
        <w:rPr>
          <w:rFonts w:ascii="Arial" w:hAnsi="Arial" w:cs="Arial"/>
          <w:color w:val="000000"/>
          <w:sz w:val="20"/>
        </w:rPr>
        <w:t>The second part of the conversation deals with the law.  The prosecutor provides a summary of the offending, details the maximum penalty applicable and makes submissions on penalty.  The defence lawyer will then outline the offender’s situation, placing before the Court the plea material, and make submissions about penalty.  The offender is asked to speak to the court about their offending and about themselves.  Family members, support persons, or counsellors are also invited to contribute to the conversation.</w:t>
      </w:r>
    </w:p>
    <w:p w14:paraId="201DDA16" w14:textId="77777777" w:rsidR="002D23FB" w:rsidRDefault="002D23FB" w:rsidP="00C550FA">
      <w:pPr>
        <w:spacing w:before="80"/>
        <w:ind w:left="567" w:right="567"/>
        <w:jc w:val="both"/>
        <w:rPr>
          <w:rFonts w:ascii="Arial" w:hAnsi="Arial" w:cs="Arial"/>
          <w:color w:val="000000"/>
          <w:sz w:val="20"/>
        </w:rPr>
      </w:pPr>
      <w:r>
        <w:rPr>
          <w:rFonts w:ascii="Arial" w:hAnsi="Arial" w:cs="Arial"/>
          <w:color w:val="000000"/>
          <w:sz w:val="20"/>
        </w:rPr>
        <w:t>The Aboriginal Elders or respected persons may then speak to the offender.  The Elders or respected persons may provide information on the background of the offender and possible reasons for the offending behaviour.  They may also explain relevant kinship connections and how a particular crime has affected the indigenous community, and may provide advice on cultural practices, protocols and perspectives relevant to sentencing.  They may also speak to the offender about his or her behaviour and its effect upon the community.</w:t>
      </w:r>
    </w:p>
    <w:p w14:paraId="344435E4" w14:textId="77777777" w:rsidR="002D23FB" w:rsidRDefault="00E10F90" w:rsidP="00C550FA">
      <w:pPr>
        <w:spacing w:before="80"/>
        <w:ind w:left="567" w:right="567"/>
        <w:jc w:val="both"/>
        <w:rPr>
          <w:rFonts w:ascii="Arial" w:hAnsi="Arial" w:cs="Arial"/>
          <w:color w:val="000000"/>
          <w:sz w:val="20"/>
        </w:rPr>
      </w:pPr>
      <w:r>
        <w:rPr>
          <w:rFonts w:ascii="Arial" w:hAnsi="Arial" w:cs="Arial"/>
          <w:color w:val="000000"/>
          <w:sz w:val="20"/>
        </w:rPr>
        <w:t>The victim will be offered the opportunity to be heard.  The victim can attend the conversation and speak or a Victim Impact Statement may be read aloud in court at their request.</w:t>
      </w:r>
    </w:p>
    <w:p w14:paraId="37D432A3" w14:textId="77777777" w:rsidR="00E10F90" w:rsidRPr="00E10F90" w:rsidRDefault="00E10F90" w:rsidP="00C550FA">
      <w:pPr>
        <w:spacing w:before="80"/>
        <w:ind w:left="567" w:right="567"/>
        <w:jc w:val="both"/>
        <w:rPr>
          <w:rFonts w:ascii="Arial" w:hAnsi="Arial" w:cs="Arial"/>
          <w:i/>
          <w:color w:val="000000"/>
          <w:sz w:val="20"/>
        </w:rPr>
      </w:pPr>
      <w:r w:rsidRPr="00E10F90">
        <w:rPr>
          <w:rFonts w:ascii="Arial" w:hAnsi="Arial" w:cs="Arial"/>
          <w:i/>
          <w:color w:val="000000"/>
          <w:sz w:val="20"/>
        </w:rPr>
        <w:t>During the sentencing conversation the Judge may ask the Koori Court officer about the availability of local services and programs appropriate to the offender.  The corrections officer can also provide advice about indigenous programs offered by Corrections Victoria, either in custody or with the offender remaining in the community.  The aim of this approach is to maximise the rehabilitation prospects of the offender.</w:t>
      </w:r>
    </w:p>
    <w:p w14:paraId="62A763A4" w14:textId="77777777" w:rsidR="00E10F90" w:rsidRDefault="00E10F90" w:rsidP="00C550FA">
      <w:pPr>
        <w:spacing w:before="80"/>
        <w:ind w:left="567" w:right="567"/>
        <w:jc w:val="both"/>
        <w:rPr>
          <w:rFonts w:ascii="Arial" w:hAnsi="Arial" w:cs="Arial"/>
          <w:color w:val="000000"/>
          <w:sz w:val="20"/>
        </w:rPr>
      </w:pPr>
      <w:r>
        <w:rPr>
          <w:rFonts w:ascii="Arial" w:hAnsi="Arial" w:cs="Arial"/>
          <w:color w:val="000000"/>
          <w:sz w:val="20"/>
        </w:rPr>
        <w:t>The Judge may discuss community and family considerations openly with the Aboriginal Elders or respected persons and other participants at the table.</w:t>
      </w:r>
    </w:p>
    <w:p w14:paraId="4AA66EE8" w14:textId="77777777" w:rsidR="00E10F90" w:rsidRDefault="00E10F90" w:rsidP="00E10F90">
      <w:pPr>
        <w:spacing w:before="120"/>
        <w:ind w:left="567" w:right="567"/>
        <w:jc w:val="both"/>
        <w:rPr>
          <w:rFonts w:ascii="Arial" w:hAnsi="Arial" w:cs="Arial"/>
          <w:color w:val="000000"/>
          <w:sz w:val="20"/>
        </w:rPr>
      </w:pPr>
      <w:r w:rsidRPr="00E10F90">
        <w:rPr>
          <w:rFonts w:ascii="Arial" w:hAnsi="Arial" w:cs="Arial"/>
          <w:b/>
          <w:color w:val="000000"/>
          <w:sz w:val="20"/>
        </w:rPr>
        <w:t>Stage 3</w:t>
      </w:r>
      <w:r>
        <w:rPr>
          <w:rFonts w:ascii="Arial" w:hAnsi="Arial" w:cs="Arial"/>
          <w:color w:val="000000"/>
          <w:sz w:val="20"/>
        </w:rPr>
        <w:t xml:space="preserve"> is the sentence.  The usual sentencing procedures are followed.  The procedure is formal with the Judge sitting alone at the bench to deliver the sentence.”</w:t>
      </w:r>
    </w:p>
    <w:p w14:paraId="6DF99C6F" w14:textId="77777777" w:rsidR="00C550FA" w:rsidRDefault="00C550FA" w:rsidP="00C61F6B">
      <w:pPr>
        <w:jc w:val="both"/>
        <w:rPr>
          <w:rFonts w:ascii="Arial" w:hAnsi="Arial" w:cs="Arial"/>
          <w:color w:val="000000"/>
          <w:sz w:val="20"/>
        </w:rPr>
      </w:pPr>
    </w:p>
    <w:p w14:paraId="78E1E593" w14:textId="1674D2E5" w:rsidR="00E0378E" w:rsidRDefault="00E0378E" w:rsidP="00C61F6B">
      <w:pPr>
        <w:jc w:val="both"/>
        <w:rPr>
          <w:rFonts w:ascii="Arial" w:hAnsi="Arial" w:cs="Arial"/>
          <w:color w:val="000000"/>
          <w:sz w:val="20"/>
        </w:rPr>
      </w:pPr>
      <w:r>
        <w:rPr>
          <w:rFonts w:ascii="Arial" w:hAnsi="Arial" w:cs="Arial"/>
          <w:color w:val="000000"/>
          <w:sz w:val="20"/>
        </w:rPr>
        <w:t xml:space="preserve">See also </w:t>
      </w:r>
      <w:r w:rsidRPr="00E0378E">
        <w:rPr>
          <w:rFonts w:ascii="Arial" w:hAnsi="Arial" w:cs="Arial"/>
          <w:i/>
          <w:iCs/>
          <w:color w:val="000000"/>
          <w:sz w:val="20"/>
        </w:rPr>
        <w:t>Kowski v The King</w:t>
      </w:r>
      <w:r>
        <w:rPr>
          <w:rFonts w:ascii="Arial" w:hAnsi="Arial" w:cs="Arial"/>
          <w:color w:val="000000"/>
          <w:sz w:val="20"/>
        </w:rPr>
        <w:t xml:space="preserve"> [2024] VSCA 3 at [14]-[19]</w:t>
      </w:r>
      <w:r w:rsidR="005B04A3">
        <w:rPr>
          <w:rFonts w:ascii="Arial" w:hAnsi="Arial" w:cs="Arial"/>
          <w:color w:val="000000"/>
          <w:sz w:val="20"/>
        </w:rPr>
        <w:t xml:space="preserve">; </w:t>
      </w:r>
      <w:r w:rsidR="005B04A3" w:rsidRPr="005B04A3">
        <w:rPr>
          <w:rFonts w:ascii="Arial" w:hAnsi="Arial" w:cs="Arial"/>
          <w:i/>
          <w:iCs/>
          <w:color w:val="000000"/>
          <w:sz w:val="20"/>
        </w:rPr>
        <w:t>Leslie v The King</w:t>
      </w:r>
      <w:r w:rsidR="005B04A3">
        <w:rPr>
          <w:rFonts w:ascii="Arial" w:hAnsi="Arial" w:cs="Arial"/>
          <w:color w:val="000000"/>
          <w:sz w:val="20"/>
        </w:rPr>
        <w:t xml:space="preserve"> [2025] VSCA 13 at [59]</w:t>
      </w:r>
      <w:r>
        <w:rPr>
          <w:rFonts w:ascii="Arial" w:hAnsi="Arial" w:cs="Arial"/>
          <w:color w:val="000000"/>
          <w:sz w:val="20"/>
        </w:rPr>
        <w:t>.</w:t>
      </w:r>
    </w:p>
    <w:p w14:paraId="33023351" w14:textId="77777777" w:rsidR="00E0378E" w:rsidRDefault="00E0378E" w:rsidP="00C61F6B">
      <w:pPr>
        <w:jc w:val="both"/>
        <w:rPr>
          <w:rFonts w:ascii="Arial" w:hAnsi="Arial" w:cs="Arial"/>
          <w:color w:val="000000"/>
          <w:sz w:val="20"/>
        </w:rPr>
      </w:pPr>
    </w:p>
    <w:p w14:paraId="1BF34C95" w14:textId="77777777" w:rsidR="003B1B32" w:rsidRPr="00F51496" w:rsidRDefault="003B1B32" w:rsidP="003B1B32">
      <w:pPr>
        <w:pStyle w:val="Heading3"/>
        <w:keepNext/>
        <w:spacing w:line="240" w:lineRule="auto"/>
        <w:rPr>
          <w:rFonts w:ascii="Arial" w:hAnsi="Arial" w:cs="Arial"/>
          <w:b/>
          <w:bCs/>
          <w:color w:val="000000"/>
          <w:sz w:val="20"/>
        </w:rPr>
      </w:pPr>
      <w:bookmarkStart w:id="496" w:name="_7.11.3_Sentencing_Procedure"/>
      <w:bookmarkEnd w:id="496"/>
      <w:r w:rsidRPr="00F51496">
        <w:rPr>
          <w:rFonts w:ascii="Arial" w:hAnsi="Arial" w:cs="Arial"/>
          <w:b/>
          <w:bCs/>
          <w:color w:val="000000"/>
          <w:sz w:val="20"/>
        </w:rPr>
        <w:t>7.11.3</w:t>
      </w:r>
      <w:r w:rsidRPr="00F51496">
        <w:rPr>
          <w:rFonts w:ascii="Arial" w:hAnsi="Arial" w:cs="Arial"/>
          <w:b/>
          <w:bCs/>
          <w:color w:val="000000"/>
          <w:sz w:val="20"/>
        </w:rPr>
        <w:tab/>
        <w:t>Sentencing Procedure</w:t>
      </w:r>
    </w:p>
    <w:p w14:paraId="5FCDA627" w14:textId="77777777" w:rsidR="00875BEC" w:rsidRPr="00F51496" w:rsidRDefault="00875BEC" w:rsidP="00875BEC">
      <w:pPr>
        <w:jc w:val="both"/>
        <w:rPr>
          <w:rFonts w:ascii="Arial" w:hAnsi="Arial" w:cs="Arial"/>
          <w:color w:val="000000"/>
          <w:sz w:val="20"/>
        </w:rPr>
      </w:pPr>
    </w:p>
    <w:p w14:paraId="6F6BFE95" w14:textId="25D287CF" w:rsidR="00875BEC" w:rsidRPr="00F51496" w:rsidRDefault="00F621DC" w:rsidP="00875BEC">
      <w:pPr>
        <w:jc w:val="both"/>
        <w:rPr>
          <w:rFonts w:ascii="Arial" w:hAnsi="Arial" w:cs="Arial"/>
          <w:color w:val="000000"/>
          <w:sz w:val="20"/>
        </w:rPr>
      </w:pPr>
      <w:r w:rsidRPr="00F51496">
        <w:rPr>
          <w:rFonts w:ascii="Arial" w:hAnsi="Arial" w:cs="Arial"/>
          <w:color w:val="000000"/>
          <w:sz w:val="20"/>
        </w:rPr>
        <w:t xml:space="preserve">Section </w:t>
      </w:r>
      <w:r w:rsidR="00645221" w:rsidRPr="00F51496">
        <w:rPr>
          <w:rFonts w:ascii="Arial" w:hAnsi="Arial" w:cs="Arial"/>
          <w:color w:val="000000"/>
          <w:sz w:val="20"/>
        </w:rPr>
        <w:t>520</w:t>
      </w:r>
      <w:r w:rsidRPr="00F51496">
        <w:rPr>
          <w:rFonts w:ascii="Arial" w:hAnsi="Arial" w:cs="Arial"/>
          <w:color w:val="000000"/>
          <w:sz w:val="20"/>
        </w:rPr>
        <w:t xml:space="preserve"> </w:t>
      </w:r>
      <w:r w:rsidR="00C01631" w:rsidRPr="00F51496">
        <w:rPr>
          <w:rFonts w:ascii="Arial" w:hAnsi="Arial" w:cs="Arial"/>
          <w:color w:val="000000"/>
          <w:sz w:val="20"/>
        </w:rPr>
        <w:t>of the CY</w:t>
      </w:r>
      <w:r w:rsidR="00645221" w:rsidRPr="00F51496">
        <w:rPr>
          <w:rFonts w:ascii="Arial" w:hAnsi="Arial" w:cs="Arial"/>
          <w:color w:val="000000"/>
          <w:sz w:val="20"/>
        </w:rPr>
        <w:t>F</w:t>
      </w:r>
      <w:r w:rsidR="00C01631" w:rsidRPr="00F51496">
        <w:rPr>
          <w:rFonts w:ascii="Arial" w:hAnsi="Arial" w:cs="Arial"/>
          <w:color w:val="000000"/>
          <w:sz w:val="20"/>
        </w:rPr>
        <w:t xml:space="preserve">A </w:t>
      </w:r>
      <w:r w:rsidRPr="00F51496">
        <w:rPr>
          <w:rFonts w:ascii="Arial" w:hAnsi="Arial" w:cs="Arial"/>
          <w:color w:val="000000"/>
          <w:sz w:val="20"/>
        </w:rPr>
        <w:t xml:space="preserve">governs sentencing procedure in the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Pr="00F51496">
        <w:rPr>
          <w:rFonts w:ascii="Arial" w:hAnsi="Arial" w:cs="Arial"/>
          <w:color w:val="000000"/>
          <w:sz w:val="20"/>
        </w:rPr>
        <w:t xml:space="preserve"> (Criminal Division). Nothing in that section affects the requirement to observe the rules of natural justice</w:t>
      </w:r>
      <w:r w:rsidR="005715E3" w:rsidRPr="00F51496">
        <w:rPr>
          <w:rFonts w:ascii="Arial" w:hAnsi="Arial" w:cs="Arial"/>
          <w:color w:val="000000"/>
          <w:sz w:val="20"/>
        </w:rPr>
        <w:t xml:space="preserve"> [s.</w:t>
      </w:r>
      <w:r w:rsidR="00645221" w:rsidRPr="00F51496">
        <w:rPr>
          <w:rFonts w:ascii="Arial" w:hAnsi="Arial" w:cs="Arial"/>
          <w:color w:val="000000"/>
          <w:sz w:val="20"/>
        </w:rPr>
        <w:t>520</w:t>
      </w:r>
      <w:r w:rsidR="005715E3" w:rsidRPr="00F51496">
        <w:rPr>
          <w:rFonts w:ascii="Arial" w:hAnsi="Arial" w:cs="Arial"/>
          <w:color w:val="000000"/>
          <w:sz w:val="20"/>
        </w:rPr>
        <w:t>(4)]</w:t>
      </w:r>
      <w:r w:rsidRPr="00F51496">
        <w:rPr>
          <w:rFonts w:ascii="Arial" w:hAnsi="Arial" w:cs="Arial"/>
          <w:color w:val="000000"/>
          <w:sz w:val="20"/>
        </w:rPr>
        <w:t>. The section does not limit any other power or any other specific provision under the CY</w:t>
      </w:r>
      <w:r w:rsidR="00354923" w:rsidRPr="00F51496">
        <w:rPr>
          <w:rFonts w:ascii="Arial" w:hAnsi="Arial" w:cs="Arial"/>
          <w:color w:val="000000"/>
          <w:sz w:val="20"/>
        </w:rPr>
        <w:t>F</w:t>
      </w:r>
      <w:r w:rsidRPr="00F51496">
        <w:rPr>
          <w:rFonts w:ascii="Arial" w:hAnsi="Arial" w:cs="Arial"/>
          <w:color w:val="000000"/>
          <w:sz w:val="20"/>
        </w:rPr>
        <w:t>A or any other Act</w:t>
      </w:r>
      <w:r w:rsidR="005715E3" w:rsidRPr="00F51496">
        <w:rPr>
          <w:rFonts w:ascii="Arial" w:hAnsi="Arial" w:cs="Arial"/>
          <w:color w:val="000000"/>
          <w:sz w:val="20"/>
        </w:rPr>
        <w:t xml:space="preserve"> [s.</w:t>
      </w:r>
      <w:r w:rsidR="00645221" w:rsidRPr="00F51496">
        <w:rPr>
          <w:rFonts w:ascii="Arial" w:hAnsi="Arial" w:cs="Arial"/>
          <w:color w:val="000000"/>
          <w:sz w:val="20"/>
        </w:rPr>
        <w:t>520</w:t>
      </w:r>
      <w:r w:rsidR="005715E3" w:rsidRPr="00F51496">
        <w:rPr>
          <w:rFonts w:ascii="Arial" w:hAnsi="Arial" w:cs="Arial"/>
          <w:color w:val="000000"/>
          <w:sz w:val="20"/>
        </w:rPr>
        <w:t>(5)]</w:t>
      </w:r>
      <w:r w:rsidRPr="00F51496">
        <w:rPr>
          <w:rFonts w:ascii="Arial" w:hAnsi="Arial" w:cs="Arial"/>
          <w:color w:val="000000"/>
          <w:sz w:val="20"/>
        </w:rPr>
        <w:t>.  Conversely, nothing in s.</w:t>
      </w:r>
      <w:r w:rsidR="00645221" w:rsidRPr="00F51496">
        <w:rPr>
          <w:rFonts w:ascii="Arial" w:hAnsi="Arial" w:cs="Arial"/>
          <w:color w:val="000000"/>
          <w:sz w:val="20"/>
        </w:rPr>
        <w:t>358</w:t>
      </w:r>
      <w:r w:rsidRPr="00F51496">
        <w:rPr>
          <w:rFonts w:ascii="Arial" w:hAnsi="Arial" w:cs="Arial"/>
          <w:color w:val="000000"/>
          <w:sz w:val="20"/>
        </w:rPr>
        <w:t xml:space="preserve"> of t</w:t>
      </w:r>
      <w:r w:rsidR="005715E3" w:rsidRPr="00F51496">
        <w:rPr>
          <w:rFonts w:ascii="Arial" w:hAnsi="Arial" w:cs="Arial"/>
          <w:color w:val="000000"/>
          <w:sz w:val="20"/>
        </w:rPr>
        <w:t>he CY</w:t>
      </w:r>
      <w:r w:rsidR="00645221" w:rsidRPr="00F51496">
        <w:rPr>
          <w:rFonts w:ascii="Arial" w:hAnsi="Arial" w:cs="Arial"/>
          <w:color w:val="000000"/>
          <w:sz w:val="20"/>
        </w:rPr>
        <w:t>F</w:t>
      </w:r>
      <w:r w:rsidR="005715E3" w:rsidRPr="00F51496">
        <w:rPr>
          <w:rFonts w:ascii="Arial" w:hAnsi="Arial" w:cs="Arial"/>
          <w:color w:val="000000"/>
          <w:sz w:val="20"/>
        </w:rPr>
        <w:t>A operates to limit s.</w:t>
      </w:r>
      <w:r w:rsidR="00645221" w:rsidRPr="00F51496">
        <w:rPr>
          <w:rFonts w:ascii="Arial" w:hAnsi="Arial" w:cs="Arial"/>
          <w:color w:val="000000"/>
          <w:sz w:val="20"/>
        </w:rPr>
        <w:t>520</w:t>
      </w:r>
      <w:r w:rsidR="005715E3" w:rsidRPr="00F51496">
        <w:rPr>
          <w:rFonts w:ascii="Arial" w:hAnsi="Arial" w:cs="Arial"/>
          <w:color w:val="000000"/>
          <w:sz w:val="20"/>
        </w:rPr>
        <w:t xml:space="preserve"> [s.</w:t>
      </w:r>
      <w:r w:rsidR="00645221" w:rsidRPr="00F51496">
        <w:rPr>
          <w:rFonts w:ascii="Arial" w:hAnsi="Arial" w:cs="Arial"/>
          <w:color w:val="000000"/>
          <w:sz w:val="20"/>
        </w:rPr>
        <w:t>520</w:t>
      </w:r>
      <w:r w:rsidR="005715E3" w:rsidRPr="00F51496">
        <w:rPr>
          <w:rFonts w:ascii="Arial" w:hAnsi="Arial" w:cs="Arial"/>
          <w:color w:val="000000"/>
          <w:sz w:val="20"/>
        </w:rPr>
        <w:t>(6)].</w:t>
      </w:r>
    </w:p>
    <w:p w14:paraId="1D1280DC" w14:textId="77777777" w:rsidR="00F621DC" w:rsidRPr="00F51496" w:rsidRDefault="00F621DC" w:rsidP="00875BEC">
      <w:pPr>
        <w:jc w:val="both"/>
        <w:rPr>
          <w:rFonts w:ascii="Arial" w:hAnsi="Arial" w:cs="Arial"/>
          <w:color w:val="000000"/>
          <w:sz w:val="20"/>
        </w:rPr>
      </w:pPr>
    </w:p>
    <w:p w14:paraId="69E62C98" w14:textId="49FAABDA" w:rsidR="00F621DC" w:rsidRPr="00F51496" w:rsidRDefault="00F621DC" w:rsidP="00875BEC">
      <w:pPr>
        <w:jc w:val="both"/>
        <w:rPr>
          <w:rFonts w:ascii="Arial" w:hAnsi="Arial" w:cs="Arial"/>
          <w:color w:val="000000"/>
          <w:sz w:val="20"/>
        </w:rPr>
      </w:pPr>
      <w:r w:rsidRPr="00F51496">
        <w:rPr>
          <w:rFonts w:ascii="Arial" w:hAnsi="Arial" w:cs="Arial"/>
          <w:color w:val="000000"/>
          <w:sz w:val="20"/>
        </w:rPr>
        <w:t xml:space="preserve">In considering which sentencing order to make in respect of a </w:t>
      </w:r>
      <w:r w:rsidR="00645221" w:rsidRPr="00F51496">
        <w:rPr>
          <w:rFonts w:ascii="Arial" w:hAnsi="Arial" w:cs="Arial"/>
          <w:color w:val="000000"/>
          <w:sz w:val="20"/>
        </w:rPr>
        <w:t>K</w:t>
      </w:r>
      <w:r w:rsidRPr="00F51496">
        <w:rPr>
          <w:rFonts w:ascii="Arial" w:hAnsi="Arial" w:cs="Arial"/>
          <w:color w:val="000000"/>
          <w:sz w:val="20"/>
        </w:rPr>
        <w:t>oori child, the Koori Court (Criminal Division)</w:t>
      </w:r>
      <w:r w:rsidR="00963DE1">
        <w:rPr>
          <w:rFonts w:ascii="Arial" w:hAnsi="Arial" w:cs="Arial"/>
          <w:color w:val="000000"/>
          <w:sz w:val="20"/>
        </w:rPr>
        <w:t>–</w:t>
      </w:r>
    </w:p>
    <w:p w14:paraId="3E49B7A8" w14:textId="77777777" w:rsidR="00F621DC" w:rsidRPr="00F51496" w:rsidRDefault="005715E3" w:rsidP="00591749">
      <w:pPr>
        <w:numPr>
          <w:ilvl w:val="0"/>
          <w:numId w:val="14"/>
        </w:numPr>
        <w:ind w:left="357" w:hanging="357"/>
        <w:jc w:val="both"/>
        <w:rPr>
          <w:rFonts w:ascii="Arial" w:hAnsi="Arial" w:cs="Arial"/>
          <w:color w:val="000000"/>
          <w:sz w:val="20"/>
        </w:rPr>
      </w:pPr>
      <w:r w:rsidRPr="00F51496">
        <w:rPr>
          <w:rFonts w:ascii="Arial" w:hAnsi="Arial" w:cs="Arial"/>
          <w:color w:val="000000"/>
          <w:sz w:val="20"/>
        </w:rPr>
        <w:t>[s.</w:t>
      </w:r>
      <w:r w:rsidR="00645221" w:rsidRPr="00F51496">
        <w:rPr>
          <w:rFonts w:ascii="Arial" w:hAnsi="Arial" w:cs="Arial"/>
          <w:color w:val="000000"/>
          <w:sz w:val="20"/>
        </w:rPr>
        <w:t>520</w:t>
      </w:r>
      <w:r w:rsidRPr="00F51496">
        <w:rPr>
          <w:rFonts w:ascii="Arial" w:hAnsi="Arial" w:cs="Arial"/>
          <w:color w:val="000000"/>
          <w:sz w:val="20"/>
        </w:rPr>
        <w:t xml:space="preserve">(2)] </w:t>
      </w:r>
      <w:r w:rsidR="00F621DC" w:rsidRPr="00F51496">
        <w:rPr>
          <w:rFonts w:ascii="Arial" w:hAnsi="Arial" w:cs="Arial"/>
          <w:color w:val="000000"/>
          <w:sz w:val="20"/>
        </w:rPr>
        <w:t>may consider any oral statement made to it by an Aboriginal elder or respected person; and</w:t>
      </w:r>
    </w:p>
    <w:p w14:paraId="2D178C36" w14:textId="75EC2FE1" w:rsidR="00F621DC" w:rsidRPr="00F51496" w:rsidRDefault="005715E3" w:rsidP="00591749">
      <w:pPr>
        <w:numPr>
          <w:ilvl w:val="0"/>
          <w:numId w:val="14"/>
        </w:numPr>
        <w:ind w:left="357" w:hanging="357"/>
        <w:jc w:val="both"/>
        <w:rPr>
          <w:rFonts w:ascii="Arial" w:hAnsi="Arial" w:cs="Arial"/>
          <w:color w:val="000000"/>
          <w:sz w:val="20"/>
        </w:rPr>
      </w:pPr>
      <w:r w:rsidRPr="00F51496">
        <w:rPr>
          <w:rFonts w:ascii="Arial" w:hAnsi="Arial" w:cs="Arial"/>
          <w:color w:val="000000"/>
          <w:sz w:val="20"/>
        </w:rPr>
        <w:t>[s.</w:t>
      </w:r>
      <w:r w:rsidR="00645221" w:rsidRPr="00F51496">
        <w:rPr>
          <w:rFonts w:ascii="Arial" w:hAnsi="Arial" w:cs="Arial"/>
          <w:color w:val="000000"/>
          <w:sz w:val="20"/>
        </w:rPr>
        <w:t>520</w:t>
      </w:r>
      <w:r w:rsidRPr="00F51496">
        <w:rPr>
          <w:rFonts w:ascii="Arial" w:hAnsi="Arial" w:cs="Arial"/>
          <w:color w:val="000000"/>
          <w:sz w:val="20"/>
        </w:rPr>
        <w:t xml:space="preserve">(3)] </w:t>
      </w:r>
      <w:r w:rsidR="00F621DC" w:rsidRPr="00F51496">
        <w:rPr>
          <w:rFonts w:ascii="Arial" w:hAnsi="Arial" w:cs="Arial"/>
          <w:color w:val="000000"/>
          <w:sz w:val="20"/>
        </w:rPr>
        <w:t xml:space="preserve">may inform </w:t>
      </w:r>
      <w:r w:rsidRPr="00F51496">
        <w:rPr>
          <w:rFonts w:ascii="Arial" w:hAnsi="Arial" w:cs="Arial"/>
          <w:color w:val="000000"/>
          <w:sz w:val="20"/>
        </w:rPr>
        <w:t>itself in any way it thinks fit, including by considering a report prepared by, or a statement or submission prepared or made to it by, or evidence given to it by</w:t>
      </w:r>
      <w:r w:rsidR="00963DE1">
        <w:rPr>
          <w:rFonts w:ascii="Arial" w:hAnsi="Arial" w:cs="Arial"/>
          <w:color w:val="000000"/>
          <w:sz w:val="20"/>
        </w:rPr>
        <w:t>–</w:t>
      </w:r>
    </w:p>
    <w:p w14:paraId="7B6AC7D5" w14:textId="77777777" w:rsidR="00F621DC" w:rsidRPr="00F51496" w:rsidRDefault="005715E3" w:rsidP="007679AD">
      <w:pPr>
        <w:tabs>
          <w:tab w:val="left" w:pos="363"/>
          <w:tab w:val="left" w:pos="720"/>
        </w:tabs>
        <w:ind w:left="1077" w:hanging="720"/>
        <w:jc w:val="both"/>
        <w:rPr>
          <w:rFonts w:ascii="Arial" w:hAnsi="Arial" w:cs="Arial"/>
          <w:color w:val="000000"/>
          <w:sz w:val="20"/>
        </w:rPr>
      </w:pPr>
      <w:r w:rsidRPr="00F51496">
        <w:rPr>
          <w:rFonts w:ascii="Arial" w:hAnsi="Arial" w:cs="Arial"/>
          <w:color w:val="000000"/>
          <w:sz w:val="20"/>
        </w:rPr>
        <w:t>(a)</w:t>
      </w:r>
      <w:r w:rsidRPr="00F51496">
        <w:rPr>
          <w:rFonts w:ascii="Arial" w:hAnsi="Arial" w:cs="Arial"/>
          <w:color w:val="000000"/>
          <w:sz w:val="20"/>
        </w:rPr>
        <w:tab/>
        <w:t xml:space="preserve">a Children’s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00193A97" w:rsidRPr="00F51496">
        <w:rPr>
          <w:rFonts w:ascii="Arial" w:hAnsi="Arial" w:cs="Arial"/>
          <w:color w:val="000000"/>
          <w:sz w:val="20"/>
        </w:rPr>
        <w:t xml:space="preserve"> officer [</w:t>
      </w:r>
      <w:r w:rsidR="000C4068" w:rsidRPr="00F51496">
        <w:rPr>
          <w:rFonts w:ascii="Arial" w:hAnsi="Arial" w:cs="Arial"/>
          <w:color w:val="000000"/>
          <w:sz w:val="20"/>
        </w:rPr>
        <w:t>as defined</w:t>
      </w:r>
      <w:r w:rsidR="00193A97" w:rsidRPr="00F51496">
        <w:rPr>
          <w:rFonts w:ascii="Arial" w:hAnsi="Arial" w:cs="Arial"/>
          <w:color w:val="000000"/>
          <w:sz w:val="20"/>
        </w:rPr>
        <w:t xml:space="preserve"> in s.3(1)];</w:t>
      </w:r>
    </w:p>
    <w:p w14:paraId="4A813CE0" w14:textId="6F05E965" w:rsidR="00193A97" w:rsidRPr="00F51496" w:rsidRDefault="00193A97" w:rsidP="005715E3">
      <w:pPr>
        <w:tabs>
          <w:tab w:val="left" w:pos="363"/>
          <w:tab w:val="left" w:pos="720"/>
        </w:tabs>
        <w:ind w:left="1077" w:hanging="720"/>
        <w:jc w:val="both"/>
        <w:rPr>
          <w:rFonts w:ascii="Arial" w:hAnsi="Arial" w:cs="Arial"/>
          <w:color w:val="000000"/>
          <w:sz w:val="20"/>
        </w:rPr>
      </w:pPr>
      <w:r w:rsidRPr="00F51496">
        <w:rPr>
          <w:rFonts w:ascii="Arial" w:hAnsi="Arial" w:cs="Arial"/>
          <w:color w:val="000000"/>
          <w:sz w:val="20"/>
        </w:rPr>
        <w:t>(b)</w:t>
      </w:r>
      <w:r w:rsidRPr="00F51496">
        <w:rPr>
          <w:rFonts w:ascii="Arial" w:hAnsi="Arial" w:cs="Arial"/>
          <w:color w:val="000000"/>
          <w:sz w:val="20"/>
        </w:rPr>
        <w:tab/>
        <w:t xml:space="preserve">a </w:t>
      </w:r>
      <w:r w:rsidR="006C6722">
        <w:rPr>
          <w:rFonts w:ascii="Arial" w:hAnsi="Arial" w:cs="Arial"/>
          <w:color w:val="000000"/>
          <w:sz w:val="20"/>
        </w:rPr>
        <w:t>youth</w:t>
      </w:r>
      <w:r w:rsidRPr="00F51496">
        <w:rPr>
          <w:rFonts w:ascii="Arial" w:hAnsi="Arial" w:cs="Arial"/>
          <w:color w:val="000000"/>
          <w:sz w:val="20"/>
        </w:rPr>
        <w:t xml:space="preserve"> justice </w:t>
      </w:r>
      <w:r w:rsidR="006C6722">
        <w:rPr>
          <w:rFonts w:ascii="Arial" w:hAnsi="Arial" w:cs="Arial"/>
          <w:color w:val="000000"/>
          <w:sz w:val="20"/>
        </w:rPr>
        <w:t xml:space="preserve">custodial </w:t>
      </w:r>
      <w:r w:rsidRPr="00F51496">
        <w:rPr>
          <w:rFonts w:ascii="Arial" w:hAnsi="Arial" w:cs="Arial"/>
          <w:color w:val="000000"/>
          <w:sz w:val="20"/>
        </w:rPr>
        <w:t>worker</w:t>
      </w:r>
      <w:r w:rsidR="006C6722">
        <w:rPr>
          <w:rFonts w:ascii="Arial" w:hAnsi="Arial" w:cs="Arial"/>
          <w:color w:val="000000"/>
          <w:sz w:val="20"/>
        </w:rPr>
        <w:t xml:space="preserve"> or a youth justice community worker</w:t>
      </w:r>
      <w:r w:rsidRPr="00F51496">
        <w:rPr>
          <w:rFonts w:ascii="Arial" w:hAnsi="Arial" w:cs="Arial"/>
          <w:color w:val="000000"/>
          <w:sz w:val="20"/>
        </w:rPr>
        <w:t>;</w:t>
      </w:r>
    </w:p>
    <w:p w14:paraId="5B093903" w14:textId="77777777" w:rsidR="00193A97" w:rsidRPr="00F51496" w:rsidRDefault="00193A97" w:rsidP="005715E3">
      <w:pPr>
        <w:tabs>
          <w:tab w:val="left" w:pos="363"/>
          <w:tab w:val="left" w:pos="720"/>
        </w:tabs>
        <w:ind w:left="1077" w:hanging="720"/>
        <w:jc w:val="both"/>
        <w:rPr>
          <w:rFonts w:ascii="Arial" w:hAnsi="Arial" w:cs="Arial"/>
          <w:color w:val="000000"/>
          <w:sz w:val="20"/>
        </w:rPr>
      </w:pPr>
      <w:r w:rsidRPr="00F51496">
        <w:rPr>
          <w:rFonts w:ascii="Arial" w:hAnsi="Arial" w:cs="Arial"/>
          <w:color w:val="000000"/>
          <w:sz w:val="20"/>
        </w:rPr>
        <w:t>(c)</w:t>
      </w:r>
      <w:r w:rsidRPr="00F51496">
        <w:rPr>
          <w:rFonts w:ascii="Arial" w:hAnsi="Arial" w:cs="Arial"/>
          <w:color w:val="000000"/>
          <w:sz w:val="20"/>
        </w:rPr>
        <w:tab/>
        <w:t>a health service provider;</w:t>
      </w:r>
    </w:p>
    <w:p w14:paraId="0BDD078D" w14:textId="77777777" w:rsidR="00193A97" w:rsidRPr="00F51496" w:rsidRDefault="00193A97" w:rsidP="005715E3">
      <w:pPr>
        <w:tabs>
          <w:tab w:val="left" w:pos="363"/>
          <w:tab w:val="left" w:pos="720"/>
        </w:tabs>
        <w:ind w:left="1077" w:hanging="720"/>
        <w:jc w:val="both"/>
        <w:rPr>
          <w:rFonts w:ascii="Arial" w:hAnsi="Arial" w:cs="Arial"/>
          <w:color w:val="000000"/>
          <w:sz w:val="20"/>
        </w:rPr>
      </w:pPr>
      <w:r w:rsidRPr="00F51496">
        <w:rPr>
          <w:rFonts w:ascii="Arial" w:hAnsi="Arial" w:cs="Arial"/>
          <w:color w:val="000000"/>
          <w:sz w:val="20"/>
        </w:rPr>
        <w:t>(d)</w:t>
      </w:r>
      <w:r w:rsidRPr="00F51496">
        <w:rPr>
          <w:rFonts w:ascii="Arial" w:hAnsi="Arial" w:cs="Arial"/>
          <w:color w:val="000000"/>
          <w:sz w:val="20"/>
        </w:rPr>
        <w:tab/>
        <w:t>a victim of the offence;</w:t>
      </w:r>
    </w:p>
    <w:p w14:paraId="39776F6F" w14:textId="77777777" w:rsidR="00193A97" w:rsidRPr="00F51496" w:rsidRDefault="00193A97" w:rsidP="005715E3">
      <w:pPr>
        <w:tabs>
          <w:tab w:val="left" w:pos="363"/>
          <w:tab w:val="left" w:pos="720"/>
        </w:tabs>
        <w:ind w:left="1077" w:hanging="720"/>
        <w:jc w:val="both"/>
        <w:rPr>
          <w:rFonts w:ascii="Arial" w:hAnsi="Arial" w:cs="Arial"/>
          <w:color w:val="000000"/>
          <w:sz w:val="20"/>
        </w:rPr>
      </w:pPr>
      <w:r w:rsidRPr="00F51496">
        <w:rPr>
          <w:rFonts w:ascii="Arial" w:hAnsi="Arial" w:cs="Arial"/>
          <w:color w:val="000000"/>
          <w:sz w:val="20"/>
        </w:rPr>
        <w:t>(e)</w:t>
      </w:r>
      <w:r w:rsidRPr="00F51496">
        <w:rPr>
          <w:rFonts w:ascii="Arial" w:hAnsi="Arial" w:cs="Arial"/>
          <w:color w:val="000000"/>
          <w:sz w:val="20"/>
        </w:rPr>
        <w:tab/>
        <w:t>a family member of the child</w:t>
      </w:r>
      <w:r w:rsidR="000C4068" w:rsidRPr="00F51496">
        <w:rPr>
          <w:rFonts w:ascii="Arial" w:hAnsi="Arial" w:cs="Arial"/>
          <w:color w:val="000000"/>
          <w:sz w:val="20"/>
        </w:rPr>
        <w:t xml:space="preserve"> [as defined in s.3(1)]</w:t>
      </w:r>
      <w:r w:rsidRPr="00F51496">
        <w:rPr>
          <w:rFonts w:ascii="Arial" w:hAnsi="Arial" w:cs="Arial"/>
          <w:color w:val="000000"/>
          <w:sz w:val="20"/>
        </w:rPr>
        <w:t>; or</w:t>
      </w:r>
    </w:p>
    <w:p w14:paraId="35FACC8B" w14:textId="77777777" w:rsidR="00193A97" w:rsidRPr="00F51496" w:rsidRDefault="00193A97" w:rsidP="005715E3">
      <w:pPr>
        <w:tabs>
          <w:tab w:val="left" w:pos="363"/>
          <w:tab w:val="left" w:pos="720"/>
        </w:tabs>
        <w:ind w:left="1077" w:hanging="720"/>
        <w:jc w:val="both"/>
        <w:rPr>
          <w:rFonts w:ascii="Arial" w:hAnsi="Arial" w:cs="Arial"/>
          <w:color w:val="000000"/>
          <w:sz w:val="20"/>
        </w:rPr>
      </w:pPr>
      <w:r w:rsidRPr="00F51496">
        <w:rPr>
          <w:rFonts w:ascii="Arial" w:hAnsi="Arial" w:cs="Arial"/>
          <w:color w:val="000000"/>
          <w:sz w:val="20"/>
        </w:rPr>
        <w:t>(f)</w:t>
      </w:r>
      <w:r w:rsidRPr="00F51496">
        <w:rPr>
          <w:rFonts w:ascii="Arial" w:hAnsi="Arial" w:cs="Arial"/>
          <w:color w:val="000000"/>
          <w:sz w:val="20"/>
        </w:rPr>
        <w:tab/>
        <w:t xml:space="preserve">anyone else whom the </w:t>
      </w:r>
      <w:smartTag w:uri="urn:schemas-microsoft-com:office:smarttags" w:element="Street">
        <w:smartTag w:uri="urn:schemas-microsoft-com:office:smarttags" w:element="address">
          <w:r w:rsidRPr="00F51496">
            <w:rPr>
              <w:rFonts w:ascii="Arial" w:hAnsi="Arial" w:cs="Arial"/>
              <w:color w:val="000000"/>
              <w:sz w:val="20"/>
            </w:rPr>
            <w:t>Koori Court</w:t>
          </w:r>
        </w:smartTag>
      </w:smartTag>
      <w:r w:rsidRPr="00F51496">
        <w:rPr>
          <w:rFonts w:ascii="Arial" w:hAnsi="Arial" w:cs="Arial"/>
          <w:color w:val="000000"/>
          <w:sz w:val="20"/>
        </w:rPr>
        <w:t xml:space="preserve"> (Criminal Division) considers appropriate.</w:t>
      </w:r>
    </w:p>
    <w:p w14:paraId="579A3F74" w14:textId="77777777" w:rsidR="006C6722" w:rsidRPr="00D81EFC" w:rsidRDefault="006C6722" w:rsidP="003B1B32">
      <w:pPr>
        <w:jc w:val="both"/>
        <w:rPr>
          <w:rFonts w:ascii="Arial" w:hAnsi="Arial" w:cs="Arial"/>
          <w:color w:val="000000"/>
          <w:sz w:val="20"/>
        </w:rPr>
      </w:pPr>
    </w:p>
    <w:p w14:paraId="3168BCAE" w14:textId="77777777" w:rsidR="004F457D" w:rsidRPr="00933EA3" w:rsidRDefault="004F457D" w:rsidP="00C61F6B">
      <w:pPr>
        <w:pStyle w:val="Heading3"/>
        <w:keepNext/>
        <w:spacing w:line="240" w:lineRule="auto"/>
        <w:rPr>
          <w:rFonts w:ascii="Arial" w:hAnsi="Arial" w:cs="Arial"/>
          <w:b/>
          <w:bCs/>
          <w:color w:val="000000"/>
          <w:sz w:val="20"/>
        </w:rPr>
      </w:pPr>
      <w:bookmarkStart w:id="497" w:name="_7.11.4_Sitting_times"/>
      <w:bookmarkEnd w:id="497"/>
      <w:r w:rsidRPr="00933EA3">
        <w:rPr>
          <w:rFonts w:ascii="Arial" w:hAnsi="Arial" w:cs="Arial"/>
          <w:b/>
          <w:bCs/>
          <w:color w:val="000000"/>
          <w:sz w:val="20"/>
        </w:rPr>
        <w:t>7.11.</w:t>
      </w:r>
      <w:r w:rsidR="003B1B32" w:rsidRPr="00933EA3">
        <w:rPr>
          <w:rFonts w:ascii="Arial" w:hAnsi="Arial" w:cs="Arial"/>
          <w:b/>
          <w:bCs/>
          <w:color w:val="000000"/>
          <w:sz w:val="20"/>
        </w:rPr>
        <w:t>4</w:t>
      </w:r>
      <w:r w:rsidRPr="00933EA3">
        <w:rPr>
          <w:rFonts w:ascii="Arial" w:hAnsi="Arial" w:cs="Arial"/>
          <w:b/>
          <w:bCs/>
          <w:color w:val="000000"/>
          <w:sz w:val="20"/>
        </w:rPr>
        <w:tab/>
      </w:r>
      <w:r w:rsidR="00B37D68" w:rsidRPr="00933EA3">
        <w:rPr>
          <w:rFonts w:ascii="Arial" w:hAnsi="Arial" w:cs="Arial"/>
          <w:b/>
          <w:bCs/>
          <w:color w:val="000000"/>
          <w:sz w:val="20"/>
        </w:rPr>
        <w:t>Sitting times</w:t>
      </w:r>
      <w:r w:rsidR="000B25A8" w:rsidRPr="00933EA3">
        <w:rPr>
          <w:rFonts w:ascii="Arial" w:hAnsi="Arial" w:cs="Arial"/>
          <w:b/>
          <w:bCs/>
          <w:color w:val="000000"/>
          <w:sz w:val="20"/>
        </w:rPr>
        <w:t xml:space="preserve"> and </w:t>
      </w:r>
      <w:r w:rsidR="002E1BF0" w:rsidRPr="00933EA3">
        <w:rPr>
          <w:rFonts w:ascii="Arial" w:hAnsi="Arial" w:cs="Arial"/>
          <w:b/>
          <w:bCs/>
          <w:color w:val="000000"/>
          <w:sz w:val="20"/>
        </w:rPr>
        <w:t>locations</w:t>
      </w:r>
    </w:p>
    <w:p w14:paraId="1A1B207A" w14:textId="77777777" w:rsidR="004F457D" w:rsidRPr="00933EA3" w:rsidRDefault="004F457D" w:rsidP="00C61F6B">
      <w:pPr>
        <w:jc w:val="both"/>
        <w:rPr>
          <w:rFonts w:ascii="Arial" w:hAnsi="Arial" w:cs="Arial"/>
          <w:color w:val="000000"/>
          <w:sz w:val="20"/>
        </w:rPr>
      </w:pPr>
    </w:p>
    <w:p w14:paraId="1F8F8DBC" w14:textId="05074F23" w:rsidR="005D1409" w:rsidRDefault="00A77ACA" w:rsidP="000B25A8">
      <w:pPr>
        <w:autoSpaceDE w:val="0"/>
        <w:autoSpaceDN w:val="0"/>
        <w:adjustRightInd w:val="0"/>
        <w:jc w:val="both"/>
        <w:rPr>
          <w:rFonts w:ascii="Arial" w:hAnsi="Arial" w:cs="Arial"/>
          <w:color w:val="000000"/>
          <w:sz w:val="20"/>
          <w:szCs w:val="20"/>
          <w:lang w:eastAsia="en-AU"/>
        </w:rPr>
      </w:pPr>
      <w:r>
        <w:rPr>
          <w:rFonts w:ascii="Arial" w:hAnsi="Arial" w:cs="Arial"/>
          <w:color w:val="000000"/>
          <w:sz w:val="20"/>
          <w:szCs w:val="20"/>
          <w:lang w:eastAsia="en-AU"/>
        </w:rPr>
        <w:t>As at 30/06/2026 t</w:t>
      </w:r>
      <w:r w:rsidRPr="00933EA3">
        <w:rPr>
          <w:rFonts w:ascii="Arial" w:hAnsi="Arial" w:cs="Arial"/>
          <w:color w:val="000000"/>
          <w:sz w:val="20"/>
          <w:szCs w:val="20"/>
          <w:lang w:eastAsia="en-AU"/>
        </w:rPr>
        <w:t>he</w:t>
      </w:r>
      <w:r>
        <w:rPr>
          <w:rFonts w:ascii="Arial" w:hAnsi="Arial" w:cs="Arial"/>
          <w:color w:val="000000"/>
          <w:sz w:val="20"/>
          <w:szCs w:val="20"/>
          <w:lang w:eastAsia="en-AU"/>
        </w:rPr>
        <w:t xml:space="preserve"> Children’s Koori Court </w:t>
      </w:r>
      <w:r w:rsidR="006C6722">
        <w:rPr>
          <w:rFonts w:ascii="Arial" w:hAnsi="Arial" w:cs="Arial"/>
          <w:color w:val="000000"/>
          <w:sz w:val="20"/>
          <w:szCs w:val="20"/>
          <w:lang w:eastAsia="en-AU"/>
        </w:rPr>
        <w:t>[</w:t>
      </w:r>
      <w:r>
        <w:rPr>
          <w:rFonts w:ascii="Arial" w:hAnsi="Arial" w:cs="Arial"/>
          <w:color w:val="000000"/>
          <w:sz w:val="20"/>
          <w:szCs w:val="20"/>
          <w:lang w:eastAsia="en-AU"/>
        </w:rPr>
        <w:t>CKC</w:t>
      </w:r>
      <w:r w:rsidR="006C6722">
        <w:rPr>
          <w:rFonts w:ascii="Arial" w:hAnsi="Arial" w:cs="Arial"/>
          <w:color w:val="000000"/>
          <w:sz w:val="20"/>
          <w:szCs w:val="20"/>
          <w:lang w:eastAsia="en-AU"/>
        </w:rPr>
        <w:t>]</w:t>
      </w:r>
      <w:r>
        <w:rPr>
          <w:rFonts w:ascii="Arial" w:hAnsi="Arial" w:cs="Arial"/>
          <w:color w:val="000000"/>
          <w:sz w:val="20"/>
          <w:szCs w:val="20"/>
          <w:lang w:eastAsia="en-AU"/>
        </w:rPr>
        <w:t xml:space="preserve"> is gazetted pursuant to s.517(2) of the CYFA to sit at 12 locations </w:t>
      </w:r>
      <w:r w:rsidR="003565B0">
        <w:rPr>
          <w:rFonts w:ascii="Arial" w:hAnsi="Arial" w:cs="Arial"/>
          <w:color w:val="000000"/>
          <w:sz w:val="20"/>
          <w:szCs w:val="20"/>
          <w:lang w:eastAsia="en-AU"/>
        </w:rPr>
        <w:t>across</w:t>
      </w:r>
      <w:r w:rsidR="000B25A8" w:rsidRPr="00933EA3">
        <w:rPr>
          <w:rFonts w:ascii="Arial" w:hAnsi="Arial" w:cs="Arial"/>
          <w:color w:val="000000"/>
          <w:sz w:val="20"/>
          <w:szCs w:val="20"/>
          <w:lang w:eastAsia="en-AU"/>
        </w:rPr>
        <w:t xml:space="preserve"> Victoria. The </w:t>
      </w:r>
      <w:r>
        <w:rPr>
          <w:rFonts w:ascii="Arial" w:hAnsi="Arial" w:cs="Arial"/>
          <w:color w:val="000000"/>
          <w:sz w:val="20"/>
          <w:szCs w:val="20"/>
          <w:lang w:eastAsia="en-AU"/>
        </w:rPr>
        <w:t>CKC</w:t>
      </w:r>
      <w:r w:rsidR="003565B0">
        <w:rPr>
          <w:rFonts w:ascii="Arial" w:hAnsi="Arial" w:cs="Arial"/>
          <w:color w:val="000000"/>
          <w:sz w:val="20"/>
          <w:szCs w:val="20"/>
          <w:lang w:eastAsia="en-AU"/>
        </w:rPr>
        <w:t xml:space="preserve">’s </w:t>
      </w:r>
      <w:r w:rsidR="000B25A8" w:rsidRPr="00933EA3">
        <w:rPr>
          <w:rFonts w:ascii="Arial" w:hAnsi="Arial" w:cs="Arial"/>
          <w:color w:val="000000"/>
          <w:sz w:val="20"/>
          <w:szCs w:val="20"/>
          <w:lang w:eastAsia="en-AU"/>
        </w:rPr>
        <w:t xml:space="preserve">first </w:t>
      </w:r>
      <w:r w:rsidR="003565B0">
        <w:rPr>
          <w:rFonts w:ascii="Arial" w:hAnsi="Arial" w:cs="Arial"/>
          <w:color w:val="000000"/>
          <w:sz w:val="20"/>
          <w:szCs w:val="20"/>
          <w:lang w:eastAsia="en-AU"/>
        </w:rPr>
        <w:t xml:space="preserve">location </w:t>
      </w:r>
      <w:r w:rsidR="000B25A8" w:rsidRPr="00933EA3">
        <w:rPr>
          <w:rFonts w:ascii="Arial" w:hAnsi="Arial" w:cs="Arial"/>
          <w:color w:val="000000"/>
          <w:sz w:val="20"/>
          <w:szCs w:val="20"/>
          <w:lang w:eastAsia="en-AU"/>
        </w:rPr>
        <w:t>commenced at Melbourne Children’s Court on 06/10/2005</w:t>
      </w:r>
      <w:r w:rsidR="00DC44A4">
        <w:rPr>
          <w:rFonts w:ascii="Arial" w:hAnsi="Arial" w:cs="Arial"/>
          <w:color w:val="000000"/>
          <w:sz w:val="20"/>
          <w:szCs w:val="20"/>
          <w:lang w:eastAsia="en-AU"/>
        </w:rPr>
        <w:t xml:space="preserve"> and was expanded to Heidelberg &amp; Dandenong Children’s Courts in 2014.</w:t>
      </w:r>
    </w:p>
    <w:p w14:paraId="03A68AAB" w14:textId="77777777" w:rsidR="005D1409" w:rsidRDefault="005D1409" w:rsidP="000B25A8">
      <w:pPr>
        <w:autoSpaceDE w:val="0"/>
        <w:autoSpaceDN w:val="0"/>
        <w:adjustRightInd w:val="0"/>
        <w:jc w:val="both"/>
        <w:rPr>
          <w:rFonts w:ascii="Arial" w:hAnsi="Arial" w:cs="Arial"/>
          <w:color w:val="000000"/>
          <w:sz w:val="20"/>
          <w:szCs w:val="20"/>
          <w:lang w:eastAsia="en-AU"/>
        </w:rPr>
      </w:pPr>
    </w:p>
    <w:p w14:paraId="1DB9A3D1" w14:textId="33F77AC6" w:rsidR="00DC44A4" w:rsidRDefault="00A77ACA" w:rsidP="000B25A8">
      <w:pPr>
        <w:autoSpaceDE w:val="0"/>
        <w:autoSpaceDN w:val="0"/>
        <w:adjustRightInd w:val="0"/>
        <w:jc w:val="both"/>
        <w:rPr>
          <w:rFonts w:ascii="Arial" w:hAnsi="Arial" w:cs="Arial"/>
          <w:color w:val="000000"/>
          <w:sz w:val="20"/>
          <w:szCs w:val="20"/>
          <w:lang w:eastAsia="en-AU"/>
        </w:rPr>
      </w:pPr>
      <w:r>
        <w:rPr>
          <w:rFonts w:ascii="Arial" w:hAnsi="Arial" w:cs="Arial"/>
          <w:color w:val="000000"/>
          <w:sz w:val="20"/>
          <w:szCs w:val="20"/>
          <w:lang w:eastAsia="en-AU"/>
        </w:rPr>
        <w:t xml:space="preserve">As and from 02/07/2026 the CKC is also gazetted to sit and act at </w:t>
      </w:r>
      <w:r w:rsidRPr="00A77ACA">
        <w:rPr>
          <w:rFonts w:ascii="Arial" w:hAnsi="Arial" w:cs="Arial"/>
          <w:color w:val="000000"/>
          <w:sz w:val="20"/>
          <w:szCs w:val="20"/>
          <w:lang w:eastAsia="en-AU"/>
        </w:rPr>
        <w:t>Broadmeadows</w:t>
      </w:r>
      <w:r>
        <w:rPr>
          <w:rFonts w:ascii="Arial" w:hAnsi="Arial" w:cs="Arial"/>
          <w:color w:val="000000"/>
          <w:sz w:val="20"/>
          <w:szCs w:val="20"/>
          <w:lang w:eastAsia="en-AU"/>
        </w:rPr>
        <w:t xml:space="preserve">, </w:t>
      </w:r>
      <w:r w:rsidRPr="00A77ACA">
        <w:rPr>
          <w:rFonts w:ascii="Arial" w:hAnsi="Arial" w:cs="Arial"/>
          <w:color w:val="000000"/>
          <w:sz w:val="20"/>
          <w:szCs w:val="20"/>
          <w:lang w:eastAsia="en-AU"/>
        </w:rPr>
        <w:t xml:space="preserve">Wyndham </w:t>
      </w:r>
      <w:r>
        <w:rPr>
          <w:rFonts w:ascii="Arial" w:hAnsi="Arial" w:cs="Arial"/>
          <w:color w:val="000000"/>
          <w:sz w:val="20"/>
          <w:szCs w:val="20"/>
          <w:lang w:eastAsia="en-AU"/>
        </w:rPr>
        <w:t xml:space="preserve">&amp; </w:t>
      </w:r>
      <w:r w:rsidRPr="00A77ACA">
        <w:rPr>
          <w:rFonts w:ascii="Arial" w:hAnsi="Arial" w:cs="Arial"/>
          <w:color w:val="000000"/>
          <w:sz w:val="20"/>
          <w:szCs w:val="20"/>
          <w:lang w:eastAsia="en-AU"/>
        </w:rPr>
        <w:t>Moorabbin Children’s Court</w:t>
      </w:r>
      <w:r>
        <w:rPr>
          <w:rFonts w:ascii="Arial" w:hAnsi="Arial" w:cs="Arial"/>
          <w:color w:val="000000"/>
          <w:sz w:val="20"/>
          <w:szCs w:val="20"/>
          <w:lang w:eastAsia="en-AU"/>
        </w:rPr>
        <w:t xml:space="preserve">s. </w:t>
      </w:r>
      <w:r w:rsidR="00DC44A4">
        <w:rPr>
          <w:rFonts w:ascii="Arial" w:hAnsi="Arial" w:cs="Arial"/>
          <w:color w:val="000000"/>
          <w:sz w:val="20"/>
          <w:szCs w:val="20"/>
          <w:lang w:eastAsia="en-AU"/>
        </w:rPr>
        <w:t xml:space="preserve">Koori children who reside in </w:t>
      </w:r>
      <w:r w:rsidR="00ED3874" w:rsidRPr="00933EA3">
        <w:rPr>
          <w:rFonts w:ascii="Arial" w:hAnsi="Arial" w:cs="Arial"/>
          <w:color w:val="000000"/>
          <w:sz w:val="20"/>
          <w:szCs w:val="20"/>
          <w:lang w:eastAsia="en-AU"/>
        </w:rPr>
        <w:t>metropolitan Melbourne</w:t>
      </w:r>
      <w:r w:rsidR="000B25A8" w:rsidRPr="00933EA3">
        <w:rPr>
          <w:rFonts w:ascii="Arial" w:hAnsi="Arial" w:cs="Arial"/>
          <w:color w:val="000000"/>
          <w:sz w:val="20"/>
          <w:szCs w:val="20"/>
          <w:lang w:eastAsia="en-AU"/>
        </w:rPr>
        <w:t xml:space="preserve"> are eligible to have their cases heard in </w:t>
      </w:r>
      <w:r w:rsidR="00DC44A4">
        <w:rPr>
          <w:rFonts w:ascii="Arial" w:hAnsi="Arial" w:cs="Arial"/>
          <w:color w:val="000000"/>
          <w:sz w:val="20"/>
          <w:szCs w:val="20"/>
          <w:lang w:eastAsia="en-AU"/>
        </w:rPr>
        <w:t xml:space="preserve">one of these </w:t>
      </w:r>
      <w:r>
        <w:rPr>
          <w:rFonts w:ascii="Arial" w:hAnsi="Arial" w:cs="Arial"/>
          <w:color w:val="000000"/>
          <w:sz w:val="20"/>
          <w:szCs w:val="20"/>
          <w:lang w:eastAsia="en-AU"/>
        </w:rPr>
        <w:t>CKCs</w:t>
      </w:r>
      <w:r w:rsidR="000B25A8" w:rsidRPr="00933EA3">
        <w:rPr>
          <w:rFonts w:ascii="Arial" w:hAnsi="Arial" w:cs="Arial"/>
          <w:color w:val="000000"/>
          <w:sz w:val="20"/>
          <w:szCs w:val="20"/>
          <w:lang w:eastAsia="en-AU"/>
        </w:rPr>
        <w:t>.</w:t>
      </w:r>
      <w:r w:rsidR="00FD1861">
        <w:rPr>
          <w:rFonts w:ascii="Arial" w:hAnsi="Arial" w:cs="Arial"/>
          <w:color w:val="000000"/>
          <w:sz w:val="20"/>
          <w:szCs w:val="20"/>
          <w:lang w:eastAsia="en-AU"/>
        </w:rPr>
        <w:t xml:space="preserve"> </w:t>
      </w:r>
      <w:r w:rsidR="000B25A8" w:rsidRPr="00933EA3">
        <w:rPr>
          <w:rFonts w:ascii="Arial" w:hAnsi="Arial" w:cs="Arial"/>
          <w:color w:val="000000"/>
          <w:sz w:val="20"/>
          <w:szCs w:val="20"/>
          <w:lang w:eastAsia="en-AU"/>
        </w:rPr>
        <w:t xml:space="preserve">This means that those cases which are listed at </w:t>
      </w:r>
      <w:r w:rsidR="00ED3874" w:rsidRPr="00933EA3">
        <w:rPr>
          <w:rFonts w:ascii="Arial" w:hAnsi="Arial" w:cs="Arial"/>
          <w:color w:val="000000"/>
          <w:sz w:val="20"/>
          <w:szCs w:val="20"/>
          <w:lang w:eastAsia="en-AU"/>
        </w:rPr>
        <w:t xml:space="preserve">the Neighbourhood Justice Centre and at </w:t>
      </w:r>
      <w:r w:rsidR="000B25A8" w:rsidRPr="00933EA3">
        <w:rPr>
          <w:rFonts w:ascii="Arial" w:hAnsi="Arial" w:cs="Arial"/>
          <w:color w:val="000000"/>
          <w:sz w:val="20"/>
          <w:szCs w:val="20"/>
          <w:lang w:eastAsia="en-AU"/>
        </w:rPr>
        <w:t>Heidelberg, Sunshine</w:t>
      </w:r>
      <w:r>
        <w:rPr>
          <w:rFonts w:ascii="Arial" w:hAnsi="Arial" w:cs="Arial"/>
          <w:color w:val="000000"/>
          <w:sz w:val="20"/>
          <w:szCs w:val="20"/>
          <w:lang w:eastAsia="en-AU"/>
        </w:rPr>
        <w:t xml:space="preserve"> &amp; </w:t>
      </w:r>
      <w:r w:rsidR="00ED3874" w:rsidRPr="00933EA3">
        <w:rPr>
          <w:rFonts w:ascii="Arial" w:hAnsi="Arial" w:cs="Arial"/>
          <w:color w:val="000000"/>
          <w:sz w:val="20"/>
          <w:szCs w:val="20"/>
          <w:lang w:eastAsia="en-AU"/>
        </w:rPr>
        <w:t>Frankston</w:t>
      </w:r>
      <w:r w:rsidR="000B25A8" w:rsidRPr="00933EA3">
        <w:rPr>
          <w:rFonts w:ascii="Arial" w:hAnsi="Arial" w:cs="Arial"/>
          <w:color w:val="000000"/>
          <w:sz w:val="20"/>
          <w:szCs w:val="20"/>
          <w:lang w:eastAsia="en-AU"/>
        </w:rPr>
        <w:t xml:space="preserve"> Children’s Courts are eligible for transfer into </w:t>
      </w:r>
      <w:r w:rsidR="00DC44A4">
        <w:rPr>
          <w:rFonts w:ascii="Arial" w:hAnsi="Arial" w:cs="Arial"/>
          <w:color w:val="000000"/>
          <w:sz w:val="20"/>
          <w:szCs w:val="20"/>
          <w:lang w:eastAsia="en-AU"/>
        </w:rPr>
        <w:t xml:space="preserve">the relevant </w:t>
      </w:r>
      <w:r>
        <w:rPr>
          <w:rFonts w:ascii="Arial" w:hAnsi="Arial" w:cs="Arial"/>
          <w:color w:val="000000"/>
          <w:sz w:val="20"/>
          <w:szCs w:val="20"/>
          <w:lang w:eastAsia="en-AU"/>
        </w:rPr>
        <w:t>CKC</w:t>
      </w:r>
      <w:r w:rsidR="000B25A8" w:rsidRPr="00933EA3">
        <w:rPr>
          <w:rFonts w:ascii="Arial" w:hAnsi="Arial" w:cs="Arial"/>
          <w:color w:val="000000"/>
          <w:sz w:val="20"/>
          <w:szCs w:val="20"/>
          <w:lang w:eastAsia="en-AU"/>
        </w:rPr>
        <w:t xml:space="preserve"> pursuant to s.519(2) of the CYFA.</w:t>
      </w:r>
      <w:r w:rsidR="00DC44A4">
        <w:rPr>
          <w:rFonts w:ascii="Arial" w:hAnsi="Arial" w:cs="Arial"/>
          <w:color w:val="000000"/>
          <w:sz w:val="20"/>
          <w:szCs w:val="20"/>
          <w:lang w:eastAsia="en-AU"/>
        </w:rPr>
        <w:t xml:space="preserve"> </w:t>
      </w:r>
      <w:r w:rsidR="000B25A8" w:rsidRPr="00933EA3">
        <w:rPr>
          <w:rFonts w:ascii="Arial" w:hAnsi="Arial" w:cs="Arial"/>
          <w:color w:val="000000"/>
          <w:sz w:val="20"/>
          <w:szCs w:val="20"/>
          <w:lang w:eastAsia="en-AU"/>
        </w:rPr>
        <w:t>The tran</w:t>
      </w:r>
      <w:r w:rsidR="00DC44A4">
        <w:rPr>
          <w:rFonts w:ascii="Arial" w:hAnsi="Arial" w:cs="Arial"/>
          <w:color w:val="000000"/>
          <w:sz w:val="20"/>
          <w:szCs w:val="20"/>
          <w:lang w:eastAsia="en-AU"/>
        </w:rPr>
        <w:t xml:space="preserve">sfer of cases </w:t>
      </w:r>
      <w:r w:rsidR="000B25A8" w:rsidRPr="00933EA3">
        <w:rPr>
          <w:rFonts w:ascii="Arial" w:hAnsi="Arial" w:cs="Arial"/>
          <w:color w:val="000000"/>
          <w:sz w:val="20"/>
          <w:szCs w:val="20"/>
          <w:lang w:eastAsia="en-AU"/>
        </w:rPr>
        <w:t xml:space="preserve">to the </w:t>
      </w:r>
      <w:r>
        <w:rPr>
          <w:rFonts w:ascii="Arial" w:hAnsi="Arial" w:cs="Arial"/>
          <w:color w:val="000000"/>
          <w:sz w:val="20"/>
          <w:szCs w:val="20"/>
          <w:lang w:eastAsia="en-AU"/>
        </w:rPr>
        <w:t>CKC</w:t>
      </w:r>
      <w:r w:rsidR="00DC44A4">
        <w:rPr>
          <w:rFonts w:ascii="Arial" w:hAnsi="Arial" w:cs="Arial"/>
          <w:color w:val="000000"/>
          <w:sz w:val="20"/>
          <w:szCs w:val="20"/>
          <w:lang w:eastAsia="en-AU"/>
        </w:rPr>
        <w:t xml:space="preserve"> </w:t>
      </w:r>
      <w:r w:rsidR="000B25A8" w:rsidRPr="00933EA3">
        <w:rPr>
          <w:rFonts w:ascii="Arial" w:hAnsi="Arial" w:cs="Arial"/>
          <w:color w:val="000000"/>
          <w:sz w:val="20"/>
          <w:szCs w:val="20"/>
          <w:lang w:eastAsia="en-AU"/>
        </w:rPr>
        <w:t>is handled by the court coordinators in conjunction with the Koori Court Officer.</w:t>
      </w:r>
    </w:p>
    <w:p w14:paraId="75CE44F1" w14:textId="77777777" w:rsidR="00DC44A4" w:rsidRDefault="00DC44A4" w:rsidP="000B25A8">
      <w:pPr>
        <w:autoSpaceDE w:val="0"/>
        <w:autoSpaceDN w:val="0"/>
        <w:adjustRightInd w:val="0"/>
        <w:jc w:val="both"/>
        <w:rPr>
          <w:rFonts w:ascii="Arial" w:hAnsi="Arial" w:cs="Arial"/>
          <w:color w:val="000000"/>
          <w:sz w:val="20"/>
          <w:szCs w:val="20"/>
          <w:lang w:eastAsia="en-AU"/>
        </w:rPr>
      </w:pPr>
    </w:p>
    <w:p w14:paraId="0537BE5A" w14:textId="35E30D4A" w:rsidR="000B25A8" w:rsidRPr="00933EA3" w:rsidRDefault="005A2CED" w:rsidP="000B25A8">
      <w:pPr>
        <w:autoSpaceDE w:val="0"/>
        <w:autoSpaceDN w:val="0"/>
        <w:adjustRightInd w:val="0"/>
        <w:jc w:val="both"/>
        <w:rPr>
          <w:rFonts w:ascii="Helv" w:hAnsi="Helv" w:cs="Helv"/>
          <w:color w:val="000000"/>
          <w:sz w:val="20"/>
          <w:szCs w:val="20"/>
          <w:lang w:eastAsia="en-AU"/>
        </w:rPr>
      </w:pPr>
      <w:r>
        <w:rPr>
          <w:rFonts w:ascii="Arial" w:hAnsi="Arial" w:cs="Arial"/>
          <w:color w:val="000000"/>
          <w:sz w:val="20"/>
          <w:szCs w:val="20"/>
          <w:lang w:eastAsia="en-AU"/>
        </w:rPr>
        <w:t xml:space="preserve">In regional Victoria the </w:t>
      </w:r>
      <w:r w:rsidR="00A77ACA">
        <w:rPr>
          <w:rFonts w:ascii="Helv" w:hAnsi="Helv" w:cs="Helv"/>
          <w:color w:val="000000"/>
          <w:sz w:val="20"/>
          <w:szCs w:val="20"/>
          <w:lang w:eastAsia="en-AU"/>
        </w:rPr>
        <w:t>CKC</w:t>
      </w:r>
      <w:r>
        <w:rPr>
          <w:rFonts w:ascii="Helv" w:hAnsi="Helv" w:cs="Helv"/>
          <w:color w:val="000000"/>
          <w:sz w:val="20"/>
          <w:szCs w:val="20"/>
          <w:lang w:eastAsia="en-AU"/>
        </w:rPr>
        <w:t xml:space="preserve"> sits at Mildura, Swan Hill, Shepparton, Warrnambool region (</w:t>
      </w:r>
      <w:r w:rsidR="00ED3874" w:rsidRPr="00933EA3">
        <w:rPr>
          <w:rFonts w:ascii="Helv" w:hAnsi="Helv" w:cs="Helv"/>
          <w:color w:val="000000"/>
          <w:sz w:val="20"/>
          <w:szCs w:val="20"/>
          <w:lang w:eastAsia="en-AU"/>
        </w:rPr>
        <w:t>Warrnambool, Portland and Hamilton courts</w:t>
      </w:r>
      <w:r>
        <w:rPr>
          <w:rFonts w:ascii="Helv" w:hAnsi="Helv" w:cs="Helv"/>
          <w:color w:val="000000"/>
          <w:sz w:val="20"/>
          <w:szCs w:val="20"/>
          <w:lang w:eastAsia="en-AU"/>
        </w:rPr>
        <w:t>). Latrobe Valley (Morwell), Bairnsdale and Geelong</w:t>
      </w:r>
      <w:r w:rsidR="00DC44A4">
        <w:rPr>
          <w:rFonts w:ascii="Helv" w:hAnsi="Helv" w:cs="Helv"/>
          <w:color w:val="000000"/>
          <w:sz w:val="20"/>
          <w:szCs w:val="20"/>
          <w:lang w:eastAsia="en-AU"/>
        </w:rPr>
        <w:t>.</w:t>
      </w:r>
    </w:p>
    <w:p w14:paraId="468E2C48" w14:textId="77777777" w:rsidR="000B25A8" w:rsidRDefault="000B25A8" w:rsidP="00C61F6B">
      <w:pPr>
        <w:jc w:val="both"/>
        <w:rPr>
          <w:rFonts w:ascii="Arial" w:hAnsi="Arial" w:cs="Arial"/>
          <w:color w:val="000000"/>
          <w:sz w:val="20"/>
        </w:rPr>
      </w:pPr>
    </w:p>
    <w:p w14:paraId="10539ACA" w14:textId="509726E2" w:rsidR="00E8714E" w:rsidRPr="00011E27" w:rsidRDefault="00E8714E" w:rsidP="00E8714E">
      <w:pPr>
        <w:jc w:val="both"/>
        <w:rPr>
          <w:rFonts w:ascii="Arial" w:hAnsi="Arial" w:cs="Arial"/>
          <w:sz w:val="20"/>
        </w:rPr>
      </w:pPr>
      <w:r>
        <w:rPr>
          <w:rFonts w:ascii="Arial" w:hAnsi="Arial" w:cs="Arial"/>
          <w:sz w:val="20"/>
        </w:rPr>
        <w:t xml:space="preserve">The Children’s Court of Victoria announced in February 2026 that it will expand the availability of the Children’s Koori Court </w:t>
      </w:r>
      <w:r w:rsidR="006C6722">
        <w:rPr>
          <w:rFonts w:ascii="Arial" w:hAnsi="Arial" w:cs="Arial"/>
          <w:sz w:val="20"/>
        </w:rPr>
        <w:t>[</w:t>
      </w:r>
      <w:r>
        <w:rPr>
          <w:rFonts w:ascii="Arial" w:hAnsi="Arial" w:cs="Arial"/>
          <w:sz w:val="20"/>
        </w:rPr>
        <w:t>CKC</w:t>
      </w:r>
      <w:r w:rsidR="006C6722">
        <w:rPr>
          <w:rFonts w:ascii="Arial" w:hAnsi="Arial" w:cs="Arial"/>
          <w:sz w:val="20"/>
        </w:rPr>
        <w:t>]</w:t>
      </w:r>
      <w:r>
        <w:rPr>
          <w:rFonts w:ascii="Arial" w:hAnsi="Arial" w:cs="Arial"/>
          <w:sz w:val="20"/>
        </w:rPr>
        <w:t xml:space="preserve"> to all Melbourne Metropolitan venues by September 2026. This expansion will be led by the Koori Services and Programs Team and represents an important step in strengthening the Court’s commitment to self-determination and the implementation of innovative approaches to better meet the needs of First Nations people. Additional Koori staff will be recruited as part of the expansion.</w:t>
      </w:r>
    </w:p>
    <w:p w14:paraId="7BE1BE0C" w14:textId="77777777" w:rsidR="00A77ACA" w:rsidRPr="00F51496" w:rsidRDefault="00A77ACA" w:rsidP="00C61F6B">
      <w:pPr>
        <w:jc w:val="both"/>
        <w:rPr>
          <w:rFonts w:ascii="Arial" w:hAnsi="Arial" w:cs="Arial"/>
          <w:color w:val="000000"/>
          <w:sz w:val="20"/>
        </w:rPr>
      </w:pPr>
      <w:bookmarkStart w:id="498" w:name="_7.11.5_Case_law"/>
      <w:bookmarkEnd w:id="498"/>
    </w:p>
    <w:p w14:paraId="54314FB2" w14:textId="77777777" w:rsidR="00626EB1" w:rsidRPr="00933EA3" w:rsidRDefault="00626EB1" w:rsidP="00626EB1">
      <w:pPr>
        <w:pStyle w:val="Heading3"/>
        <w:keepNext/>
        <w:spacing w:line="240" w:lineRule="auto"/>
        <w:rPr>
          <w:rFonts w:ascii="Arial" w:hAnsi="Arial" w:cs="Arial"/>
          <w:b/>
          <w:bCs/>
          <w:color w:val="000000"/>
          <w:sz w:val="20"/>
        </w:rPr>
      </w:pPr>
      <w:r w:rsidRPr="00933EA3">
        <w:rPr>
          <w:rFonts w:ascii="Arial" w:hAnsi="Arial" w:cs="Arial"/>
          <w:b/>
          <w:bCs/>
          <w:color w:val="000000"/>
          <w:sz w:val="20"/>
        </w:rPr>
        <w:t>7.11.</w:t>
      </w:r>
      <w:r>
        <w:rPr>
          <w:rFonts w:ascii="Arial" w:hAnsi="Arial" w:cs="Arial"/>
          <w:b/>
          <w:bCs/>
          <w:color w:val="000000"/>
          <w:sz w:val="20"/>
        </w:rPr>
        <w:t>5</w:t>
      </w:r>
      <w:r w:rsidRPr="00933EA3">
        <w:rPr>
          <w:rFonts w:ascii="Arial" w:hAnsi="Arial" w:cs="Arial"/>
          <w:b/>
          <w:bCs/>
          <w:color w:val="000000"/>
          <w:sz w:val="20"/>
        </w:rPr>
        <w:tab/>
      </w:r>
      <w:r>
        <w:rPr>
          <w:rFonts w:ascii="Arial" w:hAnsi="Arial" w:cs="Arial"/>
          <w:b/>
          <w:bCs/>
          <w:color w:val="000000"/>
          <w:sz w:val="20"/>
        </w:rPr>
        <w:t>Case law</w:t>
      </w:r>
    </w:p>
    <w:p w14:paraId="02CB2FEB" w14:textId="77777777" w:rsidR="00626EB1" w:rsidRPr="00933EA3" w:rsidRDefault="00626EB1" w:rsidP="00FD1861">
      <w:pPr>
        <w:keepNext/>
        <w:keepLines/>
        <w:jc w:val="both"/>
        <w:rPr>
          <w:rFonts w:ascii="Arial" w:hAnsi="Arial" w:cs="Arial"/>
          <w:color w:val="000000"/>
          <w:sz w:val="20"/>
        </w:rPr>
      </w:pPr>
    </w:p>
    <w:p w14:paraId="47F9EC17" w14:textId="77777777" w:rsidR="00766B43" w:rsidRDefault="00074CAF" w:rsidP="00FD1861">
      <w:pPr>
        <w:keepNext/>
        <w:keepLines/>
        <w:jc w:val="both"/>
        <w:rPr>
          <w:rFonts w:ascii="Arial" w:hAnsi="Arial" w:cs="Arial"/>
          <w:color w:val="000000"/>
          <w:sz w:val="20"/>
        </w:rPr>
      </w:pPr>
      <w:r>
        <w:rPr>
          <w:rFonts w:ascii="Arial" w:hAnsi="Arial" w:cs="Arial"/>
          <w:b/>
          <w:color w:val="000000"/>
          <w:sz w:val="20"/>
          <w:bdr w:val="single" w:sz="4" w:space="0" w:color="auto"/>
          <w:shd w:val="clear" w:color="auto" w:fill="DDDDDD"/>
        </w:rPr>
        <w:t xml:space="preserve">7.11.5.1 </w:t>
      </w:r>
      <w:r w:rsidR="00626EB1" w:rsidRPr="00626EB1">
        <w:rPr>
          <w:rFonts w:ascii="Arial" w:hAnsi="Arial" w:cs="Arial"/>
          <w:b/>
          <w:color w:val="000000"/>
          <w:sz w:val="20"/>
          <w:bdr w:val="single" w:sz="4" w:space="0" w:color="auto"/>
          <w:shd w:val="clear" w:color="auto" w:fill="DDDDDD"/>
        </w:rPr>
        <w:t>TRANSFER TO KOORI COURT</w:t>
      </w:r>
    </w:p>
    <w:p w14:paraId="59E2FE28" w14:textId="77777777" w:rsidR="00626EB1" w:rsidRDefault="00626EB1" w:rsidP="003565B0">
      <w:pPr>
        <w:spacing w:before="60"/>
        <w:jc w:val="both"/>
        <w:rPr>
          <w:rFonts w:ascii="Arial" w:hAnsi="Arial" w:cs="Arial"/>
          <w:color w:val="000000"/>
          <w:sz w:val="20"/>
        </w:rPr>
      </w:pPr>
      <w:r>
        <w:rPr>
          <w:rFonts w:ascii="Arial" w:hAnsi="Arial" w:cs="Arial"/>
          <w:color w:val="000000"/>
          <w:sz w:val="20"/>
        </w:rPr>
        <w:t xml:space="preserve">In </w:t>
      </w:r>
      <w:r w:rsidRPr="00626EB1">
        <w:rPr>
          <w:rFonts w:ascii="Arial" w:hAnsi="Arial" w:cs="Arial"/>
          <w:i/>
          <w:color w:val="000000"/>
          <w:sz w:val="20"/>
        </w:rPr>
        <w:t>Cemino v Cannan</w:t>
      </w:r>
      <w:r>
        <w:rPr>
          <w:rFonts w:ascii="Arial" w:hAnsi="Arial" w:cs="Arial"/>
          <w:color w:val="000000"/>
          <w:sz w:val="20"/>
        </w:rPr>
        <w:t xml:space="preserve"> [2018] VSC 535 the </w:t>
      </w:r>
      <w:r w:rsidR="00935042">
        <w:rPr>
          <w:rFonts w:ascii="Arial" w:hAnsi="Arial" w:cs="Arial"/>
          <w:color w:val="000000"/>
          <w:sz w:val="20"/>
        </w:rPr>
        <w:t>plaintiff</w:t>
      </w:r>
      <w:r>
        <w:rPr>
          <w:rFonts w:ascii="Arial" w:hAnsi="Arial" w:cs="Arial"/>
          <w:color w:val="000000"/>
          <w:sz w:val="20"/>
        </w:rPr>
        <w:t xml:space="preserve"> was a </w:t>
      </w:r>
      <w:r w:rsidR="00972049">
        <w:rPr>
          <w:rFonts w:ascii="Arial" w:hAnsi="Arial" w:cs="Arial"/>
          <w:color w:val="000000"/>
          <w:sz w:val="20"/>
        </w:rPr>
        <w:t>Yorta Yorta</w:t>
      </w:r>
      <w:r>
        <w:rPr>
          <w:rFonts w:ascii="Arial" w:hAnsi="Arial" w:cs="Arial"/>
          <w:color w:val="000000"/>
          <w:sz w:val="20"/>
        </w:rPr>
        <w:t xml:space="preserve"> man who had been charged with a number of criminal offences which were listed for hearing at Echuca Magistrates’ Court.  In refusing his application to transfer the criminal proceedings to the Koori Court Division of the Magistrates’ Court at Shepparton (the nearest Koori Court to Echuca), a </w:t>
      </w:r>
      <w:r w:rsidR="00935042">
        <w:rPr>
          <w:rFonts w:ascii="Arial" w:hAnsi="Arial" w:cs="Arial"/>
          <w:color w:val="000000"/>
          <w:sz w:val="20"/>
        </w:rPr>
        <w:t>m</w:t>
      </w:r>
      <w:r>
        <w:rPr>
          <w:rFonts w:ascii="Arial" w:hAnsi="Arial" w:cs="Arial"/>
          <w:color w:val="000000"/>
          <w:sz w:val="20"/>
        </w:rPr>
        <w:t xml:space="preserve">agistrate relied on the decision of Mandie J in </w:t>
      </w:r>
      <w:r w:rsidR="00935042" w:rsidRPr="00935042">
        <w:rPr>
          <w:rFonts w:ascii="Arial" w:hAnsi="Arial" w:cs="Arial"/>
          <w:i/>
          <w:color w:val="000000"/>
          <w:sz w:val="20"/>
        </w:rPr>
        <w:t>Rossi v Martland</w:t>
      </w:r>
      <w:r w:rsidR="00935042">
        <w:rPr>
          <w:rFonts w:ascii="Arial" w:hAnsi="Arial" w:cs="Arial"/>
          <w:color w:val="000000"/>
          <w:sz w:val="20"/>
        </w:rPr>
        <w:t xml:space="preserve"> (1994) 75</w:t>
      </w:r>
      <w:r w:rsidR="00AA051D">
        <w:rPr>
          <w:rFonts w:ascii="Arial" w:hAnsi="Arial" w:cs="Arial"/>
          <w:color w:val="000000"/>
          <w:sz w:val="20"/>
        </w:rPr>
        <w:t> </w:t>
      </w:r>
      <w:r w:rsidR="00935042">
        <w:rPr>
          <w:rFonts w:ascii="Arial" w:hAnsi="Arial" w:cs="Arial"/>
          <w:color w:val="000000"/>
          <w:sz w:val="20"/>
        </w:rPr>
        <w:t>A</w:t>
      </w:r>
      <w:r w:rsidR="00AA051D">
        <w:rPr>
          <w:rFonts w:ascii="Arial" w:hAnsi="Arial" w:cs="Arial"/>
          <w:color w:val="000000"/>
          <w:sz w:val="20"/>
        </w:rPr>
        <w:t> </w:t>
      </w:r>
      <w:r w:rsidR="00935042">
        <w:rPr>
          <w:rFonts w:ascii="Arial" w:hAnsi="Arial" w:cs="Arial"/>
          <w:color w:val="000000"/>
          <w:sz w:val="20"/>
        </w:rPr>
        <w:t xml:space="preserve">Crim R 411 that “generally speaking, serious indictable offences should be dealt with in the locality at which they occur, especially then the defendant’s address was in that locality”.  But </w:t>
      </w:r>
      <w:r w:rsidR="00935042" w:rsidRPr="00935042">
        <w:rPr>
          <w:rFonts w:ascii="Arial" w:hAnsi="Arial" w:cs="Arial"/>
          <w:i/>
          <w:color w:val="000000"/>
          <w:sz w:val="20"/>
        </w:rPr>
        <w:t>Rossi’s Case</w:t>
      </w:r>
      <w:r w:rsidR="00935042">
        <w:rPr>
          <w:rFonts w:ascii="Arial" w:hAnsi="Arial" w:cs="Arial"/>
          <w:color w:val="000000"/>
          <w:sz w:val="20"/>
        </w:rPr>
        <w:t xml:space="preserve"> did not involve a Koori Court.  It involved an application by the defendant </w:t>
      </w:r>
      <w:r w:rsidR="00AA051D">
        <w:rPr>
          <w:rFonts w:ascii="Arial" w:hAnsi="Arial" w:cs="Arial"/>
          <w:color w:val="000000"/>
          <w:sz w:val="20"/>
        </w:rPr>
        <w:t xml:space="preserve">– unopposed by the prosecution – </w:t>
      </w:r>
      <w:r w:rsidR="00935042">
        <w:rPr>
          <w:rFonts w:ascii="Arial" w:hAnsi="Arial" w:cs="Arial"/>
          <w:color w:val="000000"/>
          <w:sz w:val="20"/>
        </w:rPr>
        <w:t>to</w:t>
      </w:r>
      <w:r w:rsidR="00AA051D">
        <w:rPr>
          <w:rFonts w:ascii="Arial" w:hAnsi="Arial" w:cs="Arial"/>
          <w:color w:val="000000"/>
          <w:sz w:val="20"/>
        </w:rPr>
        <w:t xml:space="preserve"> </w:t>
      </w:r>
      <w:r w:rsidR="00935042">
        <w:rPr>
          <w:rFonts w:ascii="Arial" w:hAnsi="Arial" w:cs="Arial"/>
          <w:color w:val="000000"/>
          <w:sz w:val="20"/>
        </w:rPr>
        <w:t>transfer proceedings from the Ballarat Magistrates’ Court to the Melbourne Magistrates’ Court to meet the convenience of a number of professional witnesses.</w:t>
      </w:r>
    </w:p>
    <w:p w14:paraId="743D202A" w14:textId="66FBFE0B" w:rsidR="00935042" w:rsidRDefault="00935042" w:rsidP="00766B43">
      <w:pPr>
        <w:spacing w:before="120"/>
        <w:jc w:val="both"/>
        <w:rPr>
          <w:rFonts w:ascii="Arial" w:hAnsi="Arial" w:cs="Arial"/>
          <w:color w:val="000000"/>
          <w:sz w:val="20"/>
        </w:rPr>
      </w:pPr>
      <w:r>
        <w:rPr>
          <w:rFonts w:ascii="Arial" w:hAnsi="Arial" w:cs="Arial"/>
          <w:color w:val="000000"/>
          <w:sz w:val="20"/>
        </w:rPr>
        <w:t>In quashing the mag</w:t>
      </w:r>
      <w:r w:rsidR="00074CAF">
        <w:rPr>
          <w:rFonts w:ascii="Arial" w:hAnsi="Arial" w:cs="Arial"/>
          <w:color w:val="000000"/>
          <w:sz w:val="20"/>
        </w:rPr>
        <w:t>istrate’s</w:t>
      </w:r>
      <w:r>
        <w:rPr>
          <w:rFonts w:ascii="Arial" w:hAnsi="Arial" w:cs="Arial"/>
          <w:color w:val="000000"/>
          <w:sz w:val="20"/>
        </w:rPr>
        <w:t xml:space="preserve"> decision refusing the plaintiff’s application made under s.4F of the </w:t>
      </w:r>
      <w:r w:rsidRPr="008102AC">
        <w:rPr>
          <w:rFonts w:ascii="Arial" w:hAnsi="Arial" w:cs="Arial"/>
          <w:i/>
          <w:iCs/>
          <w:color w:val="000000"/>
          <w:sz w:val="20"/>
        </w:rPr>
        <w:t>Magistrates’ Court Act 1989</w:t>
      </w:r>
      <w:r>
        <w:rPr>
          <w:rFonts w:ascii="Arial" w:hAnsi="Arial" w:cs="Arial"/>
          <w:color w:val="000000"/>
          <w:sz w:val="20"/>
        </w:rPr>
        <w:t xml:space="preserve"> to transfer the criminal proceedings to Shepparton Koori Court, Ginnane J held that the magistrate had made errors of law on the face of the record, namely “the failure to properly exercise the discretion in s.4F(2), both in respect of the provision itself and the effect of the </w:t>
      </w:r>
      <w:r w:rsidRPr="008102AC">
        <w:rPr>
          <w:rFonts w:ascii="Arial" w:hAnsi="Arial" w:cs="Arial"/>
          <w:i/>
          <w:iCs/>
          <w:color w:val="000000"/>
          <w:sz w:val="20"/>
        </w:rPr>
        <w:t>Charter [of Human Rights and R</w:t>
      </w:r>
      <w:r w:rsidR="00074CAF" w:rsidRPr="008102AC">
        <w:rPr>
          <w:rFonts w:ascii="Arial" w:hAnsi="Arial" w:cs="Arial"/>
          <w:i/>
          <w:iCs/>
          <w:color w:val="000000"/>
          <w:sz w:val="20"/>
        </w:rPr>
        <w:t>esponsibilities Act 2006]</w:t>
      </w:r>
      <w:r w:rsidR="00074CAF">
        <w:rPr>
          <w:rFonts w:ascii="Arial" w:hAnsi="Arial" w:cs="Arial"/>
          <w:color w:val="000000"/>
          <w:sz w:val="20"/>
        </w:rPr>
        <w:t>, pursuant to s.6(2)(b), on the proper exercise of the discretion contained in s.4F(2).”</w:t>
      </w:r>
    </w:p>
    <w:p w14:paraId="6807F114" w14:textId="70D06D5C" w:rsidR="00972049" w:rsidRDefault="00972049" w:rsidP="00766B43">
      <w:pPr>
        <w:spacing w:before="120"/>
        <w:jc w:val="both"/>
        <w:rPr>
          <w:rFonts w:ascii="Arial" w:hAnsi="Arial" w:cs="Arial"/>
          <w:color w:val="000000"/>
          <w:sz w:val="20"/>
        </w:rPr>
      </w:pPr>
      <w:r>
        <w:rPr>
          <w:rFonts w:ascii="Arial" w:hAnsi="Arial" w:cs="Arial"/>
          <w:color w:val="000000"/>
          <w:sz w:val="20"/>
        </w:rPr>
        <w:t>Section 4F(2) provides: “</w:t>
      </w:r>
      <w:r w:rsidR="009529BA">
        <w:rPr>
          <w:rFonts w:ascii="Arial" w:hAnsi="Arial" w:cs="Arial"/>
          <w:color w:val="000000"/>
          <w:sz w:val="20"/>
        </w:rPr>
        <w:t>Subject to and in accordance with the rules</w:t>
      </w:r>
      <w:r w:rsidR="00963DE1">
        <w:rPr>
          <w:rFonts w:ascii="Arial" w:hAnsi="Arial" w:cs="Arial"/>
          <w:color w:val="000000"/>
          <w:sz w:val="20"/>
        </w:rPr>
        <w:t>–</w:t>
      </w:r>
    </w:p>
    <w:p w14:paraId="13B875FE" w14:textId="77777777" w:rsidR="009529BA" w:rsidRDefault="009529BA" w:rsidP="00591749">
      <w:pPr>
        <w:numPr>
          <w:ilvl w:val="0"/>
          <w:numId w:val="19"/>
        </w:numPr>
        <w:spacing w:before="60"/>
        <w:ind w:left="924" w:right="567" w:hanging="357"/>
        <w:jc w:val="both"/>
        <w:rPr>
          <w:rFonts w:ascii="Arial" w:hAnsi="Arial" w:cs="Arial"/>
          <w:color w:val="000000"/>
          <w:sz w:val="20"/>
        </w:rPr>
      </w:pPr>
      <w:r>
        <w:rPr>
          <w:rFonts w:ascii="Arial" w:hAnsi="Arial" w:cs="Arial"/>
          <w:color w:val="000000"/>
          <w:sz w:val="20"/>
        </w:rPr>
        <w:lastRenderedPageBreak/>
        <w:t>a proceeding may be transferred to the Koori Court, whether sitting at the same or a different venue; and</w:t>
      </w:r>
    </w:p>
    <w:p w14:paraId="26935011" w14:textId="77777777" w:rsidR="009529BA" w:rsidRDefault="009529BA" w:rsidP="00591749">
      <w:pPr>
        <w:numPr>
          <w:ilvl w:val="0"/>
          <w:numId w:val="19"/>
        </w:numPr>
        <w:spacing w:before="60"/>
        <w:ind w:left="924" w:right="567" w:hanging="357"/>
        <w:jc w:val="both"/>
        <w:rPr>
          <w:rFonts w:ascii="Arial" w:hAnsi="Arial" w:cs="Arial"/>
          <w:color w:val="000000"/>
          <w:sz w:val="20"/>
        </w:rPr>
      </w:pPr>
      <w:r>
        <w:rPr>
          <w:rFonts w:ascii="Arial" w:hAnsi="Arial" w:cs="Arial"/>
          <w:color w:val="000000"/>
          <w:sz w:val="20"/>
        </w:rPr>
        <w:t>the Koori Court Division may transfer a proceeding (including a proceeding transferred by it under paragraph (a)) to the Court, sitting other than as the Koori Court Division, at the same or a different venue.”</w:t>
      </w:r>
    </w:p>
    <w:p w14:paraId="7C7357E4" w14:textId="77777777" w:rsidR="00074CAF" w:rsidRDefault="00074CAF" w:rsidP="00766B43">
      <w:pPr>
        <w:spacing w:before="120"/>
        <w:jc w:val="both"/>
        <w:rPr>
          <w:rFonts w:ascii="Arial" w:hAnsi="Arial" w:cs="Arial"/>
          <w:color w:val="000000"/>
          <w:sz w:val="20"/>
        </w:rPr>
      </w:pPr>
      <w:r>
        <w:rPr>
          <w:rFonts w:ascii="Arial" w:hAnsi="Arial" w:cs="Arial"/>
          <w:color w:val="000000"/>
          <w:sz w:val="20"/>
        </w:rPr>
        <w:t xml:space="preserve">At </w:t>
      </w:r>
      <w:r w:rsidR="00AA051D">
        <w:rPr>
          <w:rFonts w:ascii="Arial" w:hAnsi="Arial" w:cs="Arial"/>
          <w:color w:val="000000"/>
          <w:sz w:val="20"/>
        </w:rPr>
        <w:t xml:space="preserve">[7]-[8] &amp; </w:t>
      </w:r>
      <w:r>
        <w:rPr>
          <w:rFonts w:ascii="Arial" w:hAnsi="Arial" w:cs="Arial"/>
          <w:color w:val="000000"/>
          <w:sz w:val="20"/>
        </w:rPr>
        <w:t>[72]-[74] Ginnane J said:</w:t>
      </w:r>
    </w:p>
    <w:p w14:paraId="6FFFBD1D" w14:textId="77777777" w:rsidR="00AA051D" w:rsidRDefault="00AA051D" w:rsidP="00766B43">
      <w:pPr>
        <w:spacing w:before="120"/>
        <w:ind w:left="567" w:right="567"/>
        <w:jc w:val="both"/>
        <w:rPr>
          <w:rFonts w:ascii="Arial" w:hAnsi="Arial" w:cs="Arial"/>
          <w:color w:val="000000"/>
          <w:sz w:val="20"/>
        </w:rPr>
      </w:pPr>
      <w:r>
        <w:rPr>
          <w:rFonts w:ascii="Arial" w:hAnsi="Arial" w:cs="Arial"/>
          <w:color w:val="000000"/>
          <w:sz w:val="20"/>
        </w:rPr>
        <w:t xml:space="preserve">[7] “The valid exercise of the s.4F(2) discretion required the Magistrate to give proper consideration to the purpose of the Koori Court legislation [contained in] s.1 of the </w:t>
      </w:r>
      <w:r w:rsidRPr="008102AC">
        <w:rPr>
          <w:rFonts w:ascii="Arial" w:hAnsi="Arial" w:cs="Arial"/>
          <w:i/>
          <w:iCs/>
          <w:color w:val="000000"/>
          <w:sz w:val="20"/>
        </w:rPr>
        <w:t>Magistrates’ Court (Koori Court) Act 2002</w:t>
      </w:r>
      <w:r>
        <w:rPr>
          <w:rFonts w:ascii="Arial" w:hAnsi="Arial" w:cs="Arial"/>
          <w:color w:val="000000"/>
          <w:sz w:val="20"/>
        </w:rPr>
        <w:t>:</w:t>
      </w:r>
    </w:p>
    <w:p w14:paraId="4106E1F8" w14:textId="77777777" w:rsidR="00AA051D" w:rsidRDefault="00AA051D" w:rsidP="00766B43">
      <w:pPr>
        <w:spacing w:before="120"/>
        <w:ind w:left="1134" w:right="1134"/>
        <w:jc w:val="both"/>
        <w:rPr>
          <w:rFonts w:ascii="Arial" w:hAnsi="Arial" w:cs="Arial"/>
          <w:color w:val="000000"/>
          <w:sz w:val="20"/>
        </w:rPr>
      </w:pPr>
      <w:r>
        <w:rPr>
          <w:rFonts w:ascii="Arial" w:hAnsi="Arial" w:cs="Arial"/>
          <w:color w:val="000000"/>
          <w:sz w:val="20"/>
        </w:rPr>
        <w:t>‘To ensure greater participation of the aboriginal community in the sentencing process of the Magistrates’ Court through the role to be played in that process by the Aboriginal elder or respected persons and others.’</w:t>
      </w:r>
    </w:p>
    <w:p w14:paraId="4017B83E" w14:textId="77777777" w:rsidR="00AA051D" w:rsidRDefault="00AA051D" w:rsidP="00766B43">
      <w:pPr>
        <w:spacing w:before="120"/>
        <w:ind w:left="567" w:right="567"/>
        <w:jc w:val="both"/>
        <w:rPr>
          <w:rFonts w:ascii="Arial" w:hAnsi="Arial" w:cs="Arial"/>
          <w:color w:val="000000"/>
          <w:sz w:val="20"/>
        </w:rPr>
      </w:pPr>
      <w:r>
        <w:rPr>
          <w:rFonts w:ascii="Arial" w:hAnsi="Arial" w:cs="Arial"/>
          <w:color w:val="000000"/>
          <w:sz w:val="20"/>
        </w:rPr>
        <w:t>[8] While the Magistrate referred to the benefits of the Koori Court, I do not consider, with respect, that he properly exercised the discretion contained in s.4F(2).  A key basis of the Magistrate’s decision</w:t>
      </w:r>
      <w:r w:rsidR="007D56B7">
        <w:rPr>
          <w:rFonts w:ascii="Arial" w:hAnsi="Arial" w:cs="Arial"/>
          <w:color w:val="000000"/>
          <w:sz w:val="20"/>
        </w:rPr>
        <w:t xml:space="preserve"> was his understanding of the i</w:t>
      </w:r>
      <w:r>
        <w:rPr>
          <w:rFonts w:ascii="Arial" w:hAnsi="Arial" w:cs="Arial"/>
          <w:color w:val="000000"/>
          <w:sz w:val="20"/>
        </w:rPr>
        <w:t xml:space="preserve">mportance of the ‘proper venue’ principle as discussed in </w:t>
      </w:r>
      <w:r w:rsidRPr="00AA051D">
        <w:rPr>
          <w:rFonts w:ascii="Arial" w:hAnsi="Arial" w:cs="Arial"/>
          <w:i/>
          <w:color w:val="000000"/>
          <w:sz w:val="20"/>
        </w:rPr>
        <w:t>Rossi</w:t>
      </w:r>
      <w:r>
        <w:rPr>
          <w:rFonts w:ascii="Arial" w:hAnsi="Arial" w:cs="Arial"/>
          <w:color w:val="000000"/>
          <w:sz w:val="20"/>
        </w:rPr>
        <w:t>.  His emphasis on the importance of the proper venue meant that he did not give appropriate consideration to the purposes of the Koori Court legislation.  He therefore failed to properly exercise the discretion.”</w:t>
      </w:r>
    </w:p>
    <w:p w14:paraId="6903F17F" w14:textId="77777777" w:rsidR="00626EB1" w:rsidRDefault="00972049" w:rsidP="00766B43">
      <w:pPr>
        <w:spacing w:before="120"/>
        <w:ind w:left="567" w:right="567"/>
        <w:jc w:val="both"/>
        <w:rPr>
          <w:rFonts w:ascii="Arial" w:hAnsi="Arial" w:cs="Arial"/>
          <w:color w:val="000000"/>
          <w:sz w:val="20"/>
        </w:rPr>
      </w:pPr>
      <w:r>
        <w:rPr>
          <w:rFonts w:ascii="Arial" w:hAnsi="Arial" w:cs="Arial"/>
          <w:color w:val="000000"/>
          <w:sz w:val="20"/>
        </w:rPr>
        <w:t xml:space="preserve">[72] </w:t>
      </w:r>
      <w:r w:rsidR="00074CAF">
        <w:rPr>
          <w:rFonts w:ascii="Arial" w:hAnsi="Arial" w:cs="Arial"/>
          <w:color w:val="000000"/>
          <w:sz w:val="20"/>
        </w:rPr>
        <w:t>“The result of these authorities [</w:t>
      </w:r>
      <w:r w:rsidR="00074CAF" w:rsidRPr="00074CAF">
        <w:rPr>
          <w:rFonts w:ascii="Arial" w:hAnsi="Arial" w:cs="Arial"/>
          <w:i/>
          <w:color w:val="000000"/>
          <w:sz w:val="20"/>
        </w:rPr>
        <w:t>R v Trebilco; Ex parte F S Falkiner &amp; Sons Ltd</w:t>
      </w:r>
      <w:r w:rsidR="00074CAF">
        <w:rPr>
          <w:rFonts w:ascii="Arial" w:hAnsi="Arial" w:cs="Arial"/>
          <w:color w:val="000000"/>
          <w:sz w:val="20"/>
        </w:rPr>
        <w:t xml:space="preserve"> (1935) 56 CLR 20 at 32, </w:t>
      </w:r>
      <w:r w:rsidR="00074CAF" w:rsidRPr="00074CAF">
        <w:rPr>
          <w:rFonts w:ascii="Arial" w:hAnsi="Arial" w:cs="Arial"/>
          <w:i/>
          <w:color w:val="000000"/>
          <w:sz w:val="20"/>
        </w:rPr>
        <w:t>Swan Hill Corporation v Bradbury</w:t>
      </w:r>
      <w:r w:rsidR="00074CAF">
        <w:rPr>
          <w:rFonts w:ascii="Arial" w:hAnsi="Arial" w:cs="Arial"/>
          <w:color w:val="000000"/>
          <w:sz w:val="20"/>
        </w:rPr>
        <w:t xml:space="preserve"> (1937) 56 CLR 746 at 757-8, </w:t>
      </w:r>
      <w:r w:rsidR="00074CAF" w:rsidRPr="00074CAF">
        <w:rPr>
          <w:rFonts w:ascii="Arial" w:hAnsi="Arial" w:cs="Arial"/>
          <w:i/>
          <w:color w:val="000000"/>
          <w:sz w:val="20"/>
        </w:rPr>
        <w:t>Minister for Aboriginal Affairs v Peko-Wallsend Ltd</w:t>
      </w:r>
      <w:r w:rsidR="00074CAF">
        <w:rPr>
          <w:rFonts w:ascii="Arial" w:hAnsi="Arial" w:cs="Arial"/>
          <w:color w:val="000000"/>
          <w:sz w:val="20"/>
        </w:rPr>
        <w:t xml:space="preserve"> (1986) 162 CLR 24 at 39-40) is that in determining the matters relevant to the discretion that the Magistrate exercised under s.4F, attention must primarily be given to the subject-matter, scope and purpose of the Koori Court legislation.</w:t>
      </w:r>
    </w:p>
    <w:p w14:paraId="57548035" w14:textId="77777777" w:rsidR="00074CAF" w:rsidRDefault="00972049" w:rsidP="00766B43">
      <w:pPr>
        <w:spacing w:before="120"/>
        <w:ind w:left="567" w:right="567"/>
        <w:jc w:val="both"/>
        <w:rPr>
          <w:rFonts w:ascii="Arial" w:hAnsi="Arial" w:cs="Arial"/>
          <w:color w:val="000000"/>
          <w:sz w:val="20"/>
        </w:rPr>
      </w:pPr>
      <w:r>
        <w:rPr>
          <w:rFonts w:ascii="Arial" w:hAnsi="Arial" w:cs="Arial"/>
          <w:color w:val="000000"/>
          <w:sz w:val="20"/>
        </w:rPr>
        <w:t xml:space="preserve">[73] </w:t>
      </w:r>
      <w:r w:rsidR="00074CAF">
        <w:rPr>
          <w:rFonts w:ascii="Arial" w:hAnsi="Arial" w:cs="Arial"/>
          <w:color w:val="000000"/>
          <w:sz w:val="20"/>
        </w:rPr>
        <w:t xml:space="preserve">Without attempting an exhaustive list of the relevant considerations to the proper exercise of the s.4F(2) discretion, a few potentially relevant matters can be identified.  First is the </w:t>
      </w:r>
      <w:r w:rsidR="005A6C90">
        <w:rPr>
          <w:rFonts w:ascii="Arial" w:hAnsi="Arial" w:cs="Arial"/>
          <w:color w:val="000000"/>
          <w:sz w:val="20"/>
        </w:rPr>
        <w:t xml:space="preserve">greater participation of the Aboriginal community in the sentencing process </w:t>
      </w:r>
      <w:r>
        <w:rPr>
          <w:rFonts w:ascii="Arial" w:hAnsi="Arial" w:cs="Arial"/>
          <w:color w:val="000000"/>
          <w:sz w:val="20"/>
        </w:rPr>
        <w:t>through the role played by Aboriginal Elders and Respected Persons in the Koori Court.  Other relevant factors might be whether the Elders or Respected Persons who are likely to participate in the proposed Koori Court hearing are from the same nation as the accused, in this case the Yorta Yorta nation, the distance of the Koori Court from the accused’s residence and the location of the alleged offences.  The nature of the offences may also be relevant as may the previous sentencing of the accused by the Koori Court or the General Division of the Court and the accused’s conduct after such sentence.  The fact that the accused is said to have reoffended after having been sentenced by the Magistrates’ Court is no reason by itself why the further offences cannot be determined by the Koori Court, it will all depend on the circumstances…</w:t>
      </w:r>
    </w:p>
    <w:p w14:paraId="5FC760BF" w14:textId="77777777" w:rsidR="00972049" w:rsidRDefault="00972049" w:rsidP="00E10F90">
      <w:pPr>
        <w:spacing w:before="120"/>
        <w:ind w:left="567" w:right="567"/>
        <w:jc w:val="both"/>
        <w:rPr>
          <w:rFonts w:ascii="Arial" w:hAnsi="Arial" w:cs="Arial"/>
          <w:color w:val="000000"/>
          <w:sz w:val="20"/>
        </w:rPr>
      </w:pPr>
      <w:r>
        <w:rPr>
          <w:rFonts w:ascii="Arial" w:hAnsi="Arial" w:cs="Arial"/>
          <w:color w:val="000000"/>
          <w:sz w:val="20"/>
        </w:rPr>
        <w:t xml:space="preserve">[74] In my respectful opinion, the Magistrate erred by giving primacy in his consideration of relevant factors to ‘proper venue’ and the principles in </w:t>
      </w:r>
      <w:r w:rsidRPr="00972049">
        <w:rPr>
          <w:rFonts w:ascii="Arial" w:hAnsi="Arial" w:cs="Arial"/>
          <w:i/>
          <w:color w:val="000000"/>
          <w:sz w:val="20"/>
        </w:rPr>
        <w:t>Rossi</w:t>
      </w:r>
      <w:r>
        <w:rPr>
          <w:rFonts w:ascii="Arial" w:hAnsi="Arial" w:cs="Arial"/>
          <w:color w:val="000000"/>
          <w:sz w:val="20"/>
        </w:rPr>
        <w:t>.  As I</w:t>
      </w:r>
      <w:r w:rsidR="007C0B91">
        <w:rPr>
          <w:rFonts w:ascii="Arial" w:hAnsi="Arial" w:cs="Arial"/>
          <w:color w:val="000000"/>
          <w:sz w:val="20"/>
        </w:rPr>
        <w:t> </w:t>
      </w:r>
      <w:r>
        <w:rPr>
          <w:rFonts w:ascii="Arial" w:hAnsi="Arial" w:cs="Arial"/>
          <w:color w:val="000000"/>
          <w:sz w:val="20"/>
        </w:rPr>
        <w:t>have mentioned, in many if not most instances, an application for a criminal proceeding to be transferred to the Koori Court will be made when proceedings have been commenced in the initial proper venue that is the closest court to the location of the alleged offences or the residence of the accused.  Transfer applications to the Koori Court will only be made when that has occurred, so the traditional proper venue consideration and any public interest in the hearing of the charges in the locality of their commission should generally be given less weight than the purpose of the creation of the Koori Court.  That Court becomes the proper venue if the transfer application is successful.”</w:t>
      </w:r>
    </w:p>
    <w:p w14:paraId="7ED76403" w14:textId="77777777" w:rsidR="00970737" w:rsidRDefault="00970737" w:rsidP="00766B43">
      <w:pPr>
        <w:spacing w:before="120"/>
        <w:jc w:val="both"/>
        <w:rPr>
          <w:rFonts w:ascii="Arial" w:hAnsi="Arial" w:cs="Arial"/>
          <w:color w:val="000000"/>
          <w:sz w:val="20"/>
        </w:rPr>
      </w:pPr>
      <w:r>
        <w:rPr>
          <w:rFonts w:ascii="Arial" w:hAnsi="Arial" w:cs="Arial"/>
          <w:color w:val="000000"/>
          <w:sz w:val="20"/>
        </w:rPr>
        <w:t>For his Honour’s discussion of and findings in relation to the relevant Charter provisions see especially [79]-[99] &amp; [139]-[150].</w:t>
      </w:r>
    </w:p>
    <w:p w14:paraId="2824C51F" w14:textId="77777777" w:rsidR="007C0B91" w:rsidRDefault="007C0B91" w:rsidP="00766B43">
      <w:pPr>
        <w:spacing w:before="120"/>
        <w:jc w:val="both"/>
        <w:rPr>
          <w:rFonts w:ascii="Arial" w:hAnsi="Arial" w:cs="Arial"/>
          <w:color w:val="000000"/>
          <w:sz w:val="20"/>
        </w:rPr>
      </w:pPr>
      <w:r>
        <w:rPr>
          <w:rFonts w:ascii="Arial" w:hAnsi="Arial" w:cs="Arial"/>
          <w:color w:val="000000"/>
          <w:sz w:val="20"/>
        </w:rPr>
        <w:t xml:space="preserve">The relevant statutory provisions relating to ‘proper venue’ in the Children’s Court generally and to the transfer of proceedings to and from the Children’s Koori Court are set out respectively in ss.3 &amp; 519 of the CYFA and are in substantially similar terms to the equivalent provisions in the </w:t>
      </w:r>
      <w:r w:rsidRPr="008102AC">
        <w:rPr>
          <w:rFonts w:ascii="Arial" w:hAnsi="Arial" w:cs="Arial"/>
          <w:i/>
          <w:iCs/>
          <w:color w:val="000000"/>
          <w:sz w:val="20"/>
        </w:rPr>
        <w:t>Magistrates Court Act 1989</w:t>
      </w:r>
      <w:r>
        <w:rPr>
          <w:rFonts w:ascii="Arial" w:hAnsi="Arial" w:cs="Arial"/>
          <w:color w:val="000000"/>
          <w:sz w:val="20"/>
        </w:rPr>
        <w:t>.  Accor</w:t>
      </w:r>
      <w:r w:rsidRPr="007C0B91">
        <w:rPr>
          <w:rFonts w:ascii="Arial" w:hAnsi="Arial" w:cs="Arial"/>
          <w:color w:val="000000"/>
          <w:sz w:val="20"/>
        </w:rPr>
        <w:t xml:space="preserve">dingly the decision of Ginnane J in </w:t>
      </w:r>
      <w:r w:rsidRPr="007C0B91">
        <w:rPr>
          <w:rFonts w:ascii="Arial" w:hAnsi="Arial" w:cs="Arial"/>
          <w:i/>
          <w:color w:val="000000"/>
          <w:sz w:val="20"/>
        </w:rPr>
        <w:t>Cemino v Cannan</w:t>
      </w:r>
      <w:r w:rsidRPr="007C0B91">
        <w:rPr>
          <w:rFonts w:ascii="Arial" w:hAnsi="Arial" w:cs="Arial"/>
          <w:color w:val="000000"/>
          <w:sz w:val="20"/>
        </w:rPr>
        <w:t xml:space="preserve"> is equally applicable to the Children’s Court.</w:t>
      </w:r>
    </w:p>
    <w:p w14:paraId="25AAFDD2" w14:textId="77777777" w:rsidR="009529BA" w:rsidRDefault="009529BA" w:rsidP="00970737">
      <w:pPr>
        <w:jc w:val="both"/>
        <w:rPr>
          <w:rFonts w:ascii="Arial" w:hAnsi="Arial" w:cs="Arial"/>
          <w:color w:val="000000"/>
          <w:sz w:val="20"/>
        </w:rPr>
      </w:pPr>
    </w:p>
    <w:p w14:paraId="2BD826AD" w14:textId="77777777" w:rsidR="00766B43" w:rsidRDefault="00B1331F" w:rsidP="00766B43">
      <w:pPr>
        <w:jc w:val="both"/>
        <w:rPr>
          <w:rFonts w:ascii="Arial" w:hAnsi="Arial" w:cs="Arial"/>
          <w:color w:val="000000"/>
          <w:sz w:val="20"/>
        </w:rPr>
      </w:pPr>
      <w:r w:rsidRPr="00B1331F">
        <w:rPr>
          <w:rFonts w:ascii="Arial" w:hAnsi="Arial" w:cs="Arial"/>
          <w:b/>
          <w:color w:val="000000"/>
          <w:sz w:val="20"/>
          <w:bdr w:val="single" w:sz="4" w:space="0" w:color="auto"/>
          <w:shd w:val="clear" w:color="auto" w:fill="DDDDDD"/>
        </w:rPr>
        <w:t xml:space="preserve">7.11.5.2 </w:t>
      </w:r>
      <w:r w:rsidR="00970737" w:rsidRPr="00B1331F">
        <w:rPr>
          <w:rFonts w:ascii="Arial" w:hAnsi="Arial" w:cs="Arial"/>
          <w:b/>
          <w:color w:val="000000"/>
          <w:sz w:val="20"/>
          <w:bdr w:val="single" w:sz="4" w:space="0" w:color="auto"/>
          <w:shd w:val="clear" w:color="auto" w:fill="DDDDDD"/>
        </w:rPr>
        <w:t>THE KOORI COURT IS NOT A SOFT OPTION</w:t>
      </w:r>
    </w:p>
    <w:p w14:paraId="1E5075F8" w14:textId="77777777" w:rsidR="00970737" w:rsidRPr="00970737" w:rsidRDefault="00970737" w:rsidP="003565B0">
      <w:pPr>
        <w:spacing w:before="60"/>
        <w:jc w:val="both"/>
        <w:rPr>
          <w:rFonts w:ascii="Arial" w:hAnsi="Arial" w:cs="Arial"/>
          <w:b/>
          <w:color w:val="000000"/>
          <w:sz w:val="20"/>
        </w:rPr>
      </w:pPr>
      <w:r w:rsidRPr="007C0B91">
        <w:rPr>
          <w:rFonts w:ascii="Arial" w:hAnsi="Arial" w:cs="Arial"/>
          <w:color w:val="000000"/>
          <w:sz w:val="20"/>
        </w:rPr>
        <w:t>In</w:t>
      </w:r>
      <w:r>
        <w:rPr>
          <w:rFonts w:ascii="Arial" w:hAnsi="Arial" w:cs="Arial"/>
          <w:b/>
          <w:color w:val="000000"/>
          <w:sz w:val="20"/>
        </w:rPr>
        <w:t xml:space="preserve"> </w:t>
      </w:r>
      <w:r w:rsidR="00B1331F" w:rsidRPr="00626EB1">
        <w:rPr>
          <w:rFonts w:ascii="Arial" w:hAnsi="Arial" w:cs="Arial"/>
          <w:i/>
          <w:color w:val="000000"/>
          <w:sz w:val="20"/>
        </w:rPr>
        <w:t>Cemino v Cannan</w:t>
      </w:r>
      <w:r w:rsidR="00B1331F">
        <w:rPr>
          <w:rFonts w:ascii="Arial" w:hAnsi="Arial" w:cs="Arial"/>
          <w:color w:val="000000"/>
          <w:sz w:val="20"/>
        </w:rPr>
        <w:t xml:space="preserve"> [2018] VSC 535 at [54] Ginnane J said:</w:t>
      </w:r>
    </w:p>
    <w:p w14:paraId="0FCA6AA3" w14:textId="77777777" w:rsidR="00B1331F" w:rsidRDefault="00B1331F" w:rsidP="005C48CF">
      <w:pPr>
        <w:spacing w:before="120"/>
        <w:ind w:left="567" w:right="567"/>
        <w:jc w:val="both"/>
        <w:rPr>
          <w:rFonts w:ascii="Arial" w:hAnsi="Arial" w:cs="Arial"/>
          <w:color w:val="000000"/>
          <w:sz w:val="20"/>
        </w:rPr>
      </w:pPr>
      <w:r>
        <w:rPr>
          <w:rFonts w:ascii="Arial" w:hAnsi="Arial" w:cs="Arial"/>
          <w:color w:val="000000"/>
          <w:sz w:val="20"/>
        </w:rPr>
        <w:lastRenderedPageBreak/>
        <w:t xml:space="preserve">“It is important to note that participation in the Koori Court process can be more burdensome than a traditional plea hearing.  </w:t>
      </w:r>
      <w:r w:rsidR="00EF727F">
        <w:rPr>
          <w:rFonts w:ascii="Arial" w:hAnsi="Arial" w:cs="Arial"/>
          <w:color w:val="000000"/>
          <w:sz w:val="20"/>
        </w:rPr>
        <w:t xml:space="preserve">The Koori Court is not designed to be, nor is it actually, a soft avenue for offenders.  This was discussed by Maxwell P and Buchanan JA in the Court of appeal decision of </w:t>
      </w:r>
      <w:r w:rsidR="00EF727F" w:rsidRPr="00B1331F">
        <w:rPr>
          <w:rFonts w:ascii="Arial" w:hAnsi="Arial" w:cs="Arial"/>
          <w:i/>
          <w:color w:val="000000"/>
          <w:sz w:val="20"/>
        </w:rPr>
        <w:t>R v Morgan</w:t>
      </w:r>
      <w:r w:rsidR="00EF727F">
        <w:rPr>
          <w:rFonts w:ascii="Arial" w:hAnsi="Arial" w:cs="Arial"/>
          <w:color w:val="000000"/>
          <w:sz w:val="20"/>
        </w:rPr>
        <w:t xml:space="preserve"> (2010) 24 VR 230.  They noted, in contrast to a plea hearing in the mainstream Court, in the Koori Court offenders cannot ‘hide behind counsel’ [at p.237].  Further in </w:t>
      </w:r>
      <w:r w:rsidR="00EF727F" w:rsidRPr="00EF727F">
        <w:rPr>
          <w:rFonts w:ascii="Arial" w:hAnsi="Arial" w:cs="Arial"/>
          <w:i/>
          <w:color w:val="000000"/>
          <w:sz w:val="20"/>
        </w:rPr>
        <w:t xml:space="preserve">Honeysett v The Queen </w:t>
      </w:r>
      <w:r w:rsidR="00EF727F">
        <w:rPr>
          <w:rFonts w:ascii="Arial" w:hAnsi="Arial" w:cs="Arial"/>
          <w:color w:val="000000"/>
          <w:sz w:val="20"/>
        </w:rPr>
        <w:t xml:space="preserve">[2018] VSCA 214 at [20], Priest, Beach and Hargrave JJA noted that in the Koori Court offenders are required to engage in ‘sentencing conversations’ with Elders that are ‘challenging’ and can involve ‘firm admonishments’.  Offenders are often ‘shamed’ for their conduct during a hearing – a traditional punishment that is an important part of maintaining order in Aboriginal communities, and one that is considered effective with administered by Elders: see </w:t>
      </w:r>
      <w:r w:rsidR="00EF727F" w:rsidRPr="00EF727F">
        <w:rPr>
          <w:rFonts w:ascii="Arial" w:hAnsi="Arial" w:cs="Arial"/>
          <w:i/>
          <w:color w:val="000000"/>
          <w:sz w:val="20"/>
        </w:rPr>
        <w:t>R v Morgan</w:t>
      </w:r>
      <w:r w:rsidR="00EF727F">
        <w:rPr>
          <w:rFonts w:ascii="Arial" w:hAnsi="Arial" w:cs="Arial"/>
          <w:color w:val="000000"/>
          <w:sz w:val="20"/>
        </w:rPr>
        <w:t xml:space="preserve"> at [35]; Australian Law Reform Commission, </w:t>
      </w:r>
      <w:r w:rsidR="00EF727F" w:rsidRPr="00EF727F">
        <w:rPr>
          <w:rFonts w:ascii="Arial" w:hAnsi="Arial" w:cs="Arial"/>
          <w:i/>
          <w:color w:val="000000"/>
          <w:sz w:val="20"/>
        </w:rPr>
        <w:t>The Recognition of Aboriginal Customary Laws</w:t>
      </w:r>
      <w:r w:rsidR="00EF727F">
        <w:rPr>
          <w:rFonts w:ascii="Arial" w:hAnsi="Arial" w:cs="Arial"/>
          <w:color w:val="000000"/>
          <w:sz w:val="20"/>
        </w:rPr>
        <w:t>, Report No.31 (1986) at [500]-[501].”</w:t>
      </w:r>
    </w:p>
    <w:p w14:paraId="6369A3E3" w14:textId="77777777" w:rsidR="0012709B" w:rsidRDefault="0012709B" w:rsidP="00D22128">
      <w:pPr>
        <w:jc w:val="both"/>
        <w:rPr>
          <w:rFonts w:ascii="Arial" w:hAnsi="Arial" w:cs="Arial"/>
          <w:color w:val="000000"/>
          <w:sz w:val="20"/>
        </w:rPr>
      </w:pPr>
    </w:p>
    <w:p w14:paraId="66C12FE7" w14:textId="77777777" w:rsidR="00D22128" w:rsidRDefault="00B1331F" w:rsidP="00A6499C">
      <w:pPr>
        <w:keepNext/>
        <w:keepLines/>
        <w:spacing w:before="40"/>
        <w:jc w:val="both"/>
        <w:rPr>
          <w:rFonts w:ascii="Arial" w:hAnsi="Arial" w:cs="Arial"/>
          <w:b/>
          <w:color w:val="000000"/>
          <w:sz w:val="20"/>
          <w:bdr w:val="single" w:sz="4" w:space="0" w:color="auto"/>
          <w:shd w:val="clear" w:color="auto" w:fill="DDDDDD"/>
        </w:rPr>
      </w:pPr>
      <w:r w:rsidRPr="00B1331F">
        <w:rPr>
          <w:rFonts w:ascii="Arial" w:hAnsi="Arial" w:cs="Arial"/>
          <w:b/>
          <w:color w:val="000000"/>
          <w:sz w:val="20"/>
          <w:bdr w:val="single" w:sz="4" w:space="0" w:color="auto"/>
          <w:shd w:val="clear" w:color="auto" w:fill="DDDDDD"/>
        </w:rPr>
        <w:t>7.11.5.</w:t>
      </w:r>
      <w:r>
        <w:rPr>
          <w:rFonts w:ascii="Arial" w:hAnsi="Arial" w:cs="Arial"/>
          <w:b/>
          <w:color w:val="000000"/>
          <w:sz w:val="20"/>
          <w:bdr w:val="single" w:sz="4" w:space="0" w:color="auto"/>
          <w:shd w:val="clear" w:color="auto" w:fill="DDDDDD"/>
        </w:rPr>
        <w:t>3</w:t>
      </w:r>
      <w:r w:rsidRPr="00B1331F">
        <w:rPr>
          <w:rFonts w:ascii="Arial" w:hAnsi="Arial" w:cs="Arial"/>
          <w:b/>
          <w:color w:val="000000"/>
          <w:sz w:val="20"/>
          <w:bdr w:val="single" w:sz="4" w:space="0" w:color="auto"/>
          <w:shd w:val="clear" w:color="auto" w:fill="DDDDDD"/>
        </w:rPr>
        <w:t xml:space="preserve"> </w:t>
      </w:r>
      <w:r w:rsidR="006B220C">
        <w:rPr>
          <w:rFonts w:ascii="Arial" w:hAnsi="Arial" w:cs="Arial"/>
          <w:b/>
          <w:color w:val="000000"/>
          <w:sz w:val="20"/>
          <w:bdr w:val="single" w:sz="4" w:space="0" w:color="auto"/>
          <w:shd w:val="clear" w:color="auto" w:fill="DDDDDD"/>
        </w:rPr>
        <w:t xml:space="preserve">WEIGHT TO BE GIVEN TO </w:t>
      </w:r>
      <w:r w:rsidRPr="00B1331F">
        <w:rPr>
          <w:rFonts w:ascii="Arial" w:hAnsi="Arial" w:cs="Arial"/>
          <w:b/>
          <w:color w:val="000000"/>
          <w:sz w:val="20"/>
          <w:bdr w:val="single" w:sz="4" w:space="0" w:color="auto"/>
          <w:shd w:val="clear" w:color="auto" w:fill="DDDDDD"/>
        </w:rPr>
        <w:t xml:space="preserve">THE </w:t>
      </w:r>
      <w:r w:rsidR="006E3FC6">
        <w:rPr>
          <w:rFonts w:ascii="Arial" w:hAnsi="Arial" w:cs="Arial"/>
          <w:b/>
          <w:color w:val="000000"/>
          <w:sz w:val="20"/>
          <w:bdr w:val="single" w:sz="4" w:space="0" w:color="auto"/>
          <w:shd w:val="clear" w:color="auto" w:fill="DDDDDD"/>
        </w:rPr>
        <w:t xml:space="preserve">ACCUSED’S PARTICIPATION IN </w:t>
      </w:r>
      <w:r w:rsidRPr="00B1331F">
        <w:rPr>
          <w:rFonts w:ascii="Arial" w:hAnsi="Arial" w:cs="Arial"/>
          <w:b/>
          <w:color w:val="000000"/>
          <w:sz w:val="20"/>
          <w:bdr w:val="single" w:sz="4" w:space="0" w:color="auto"/>
          <w:shd w:val="clear" w:color="auto" w:fill="DDDDDD"/>
        </w:rPr>
        <w:t>KOORI COURT</w:t>
      </w:r>
    </w:p>
    <w:p w14:paraId="1C579519" w14:textId="77777777" w:rsidR="00B1331F" w:rsidRPr="00766B43" w:rsidRDefault="00B1331F" w:rsidP="003565B0">
      <w:pPr>
        <w:spacing w:before="60"/>
        <w:jc w:val="both"/>
        <w:rPr>
          <w:rFonts w:ascii="Arial" w:hAnsi="Arial" w:cs="Arial"/>
          <w:b/>
          <w:color w:val="000000"/>
          <w:sz w:val="20"/>
        </w:rPr>
      </w:pPr>
      <w:r w:rsidRPr="007C0B91">
        <w:rPr>
          <w:rFonts w:ascii="Arial" w:hAnsi="Arial" w:cs="Arial"/>
          <w:color w:val="000000"/>
          <w:sz w:val="20"/>
        </w:rPr>
        <w:t>In</w:t>
      </w:r>
      <w:r w:rsidR="006E3FC6">
        <w:rPr>
          <w:rFonts w:ascii="Arial" w:hAnsi="Arial" w:cs="Arial"/>
          <w:color w:val="000000"/>
          <w:sz w:val="20"/>
        </w:rPr>
        <w:t> </w:t>
      </w:r>
      <w:r w:rsidR="007C0B91" w:rsidRPr="00EF727F">
        <w:rPr>
          <w:rFonts w:ascii="Arial" w:hAnsi="Arial" w:cs="Arial"/>
          <w:i/>
          <w:color w:val="000000"/>
          <w:sz w:val="20"/>
        </w:rPr>
        <w:t xml:space="preserve">Honeysett v The Queen </w:t>
      </w:r>
      <w:r w:rsidR="007C0B91">
        <w:rPr>
          <w:rFonts w:ascii="Arial" w:hAnsi="Arial" w:cs="Arial"/>
          <w:color w:val="000000"/>
          <w:sz w:val="20"/>
        </w:rPr>
        <w:t xml:space="preserve">[2018] VSCA 214 </w:t>
      </w:r>
      <w:r w:rsidR="006E3FC6">
        <w:rPr>
          <w:rFonts w:ascii="Arial" w:hAnsi="Arial" w:cs="Arial"/>
          <w:color w:val="000000"/>
          <w:sz w:val="20"/>
        </w:rPr>
        <w:t xml:space="preserve">the applicant had been granted leave to appeal against a sentence of 5 years imprisonment with a non-parole period of 3 years imposed in the Koori Court Division of the County Court on charges of armed robbery and theft.  The applicant </w:t>
      </w:r>
      <w:r w:rsidR="006E3FC6" w:rsidRPr="00766B43">
        <w:rPr>
          <w:rFonts w:ascii="Arial" w:hAnsi="Arial" w:cs="Arial"/>
          <w:color w:val="000000"/>
          <w:sz w:val="20"/>
        </w:rPr>
        <w:t xml:space="preserve">had submitted that </w:t>
      </w:r>
      <w:r w:rsidR="006E3FC6" w:rsidRPr="00766B43">
        <w:rPr>
          <w:rFonts w:ascii="Arial" w:hAnsi="Arial" w:cs="Arial"/>
          <w:sz w:val="20"/>
        </w:rPr>
        <w:t>‘</w:t>
      </w:r>
      <w:r w:rsidR="006E3FC6" w:rsidRPr="00766B43">
        <w:rPr>
          <w:rFonts w:ascii="Arial" w:hAnsi="Arial" w:cs="Arial"/>
          <w:iCs/>
          <w:sz w:val="20"/>
        </w:rPr>
        <w:t xml:space="preserve">the sentencing judge had failed to give sufficient weight to the appellant’s engagement in the process and had thus failed to adequately moderate the principles of specific deterrence and protection of the community.’ </w:t>
      </w:r>
      <w:r w:rsidR="008B1E2D" w:rsidRPr="00766B43">
        <w:rPr>
          <w:rFonts w:ascii="Arial" w:hAnsi="Arial" w:cs="Arial"/>
          <w:iCs/>
          <w:sz w:val="20"/>
        </w:rPr>
        <w:t xml:space="preserve"> See </w:t>
      </w:r>
      <w:r w:rsidR="006E3FC6" w:rsidRPr="00766B43">
        <w:rPr>
          <w:rFonts w:ascii="Arial" w:hAnsi="Arial" w:cs="Arial"/>
          <w:iCs/>
          <w:sz w:val="20"/>
        </w:rPr>
        <w:t>[34]</w:t>
      </w:r>
      <w:r w:rsidR="008B1E2D" w:rsidRPr="00766B43">
        <w:rPr>
          <w:rFonts w:ascii="Arial" w:hAnsi="Arial" w:cs="Arial"/>
          <w:iCs/>
          <w:sz w:val="20"/>
        </w:rPr>
        <w:t>.</w:t>
      </w:r>
    </w:p>
    <w:p w14:paraId="66FFB44D" w14:textId="77777777" w:rsidR="0012709B" w:rsidRDefault="006B220C" w:rsidP="00D22128">
      <w:pPr>
        <w:spacing w:before="120"/>
        <w:jc w:val="both"/>
        <w:rPr>
          <w:rFonts w:ascii="Arial" w:hAnsi="Arial" w:cs="Arial"/>
          <w:sz w:val="20"/>
        </w:rPr>
      </w:pPr>
      <w:r w:rsidRPr="00766B43">
        <w:rPr>
          <w:rFonts w:ascii="Arial" w:hAnsi="Arial" w:cs="Arial"/>
          <w:sz w:val="20"/>
        </w:rPr>
        <w:t>The C</w:t>
      </w:r>
      <w:r w:rsidR="00766B43">
        <w:rPr>
          <w:rFonts w:ascii="Arial" w:hAnsi="Arial" w:cs="Arial"/>
          <w:sz w:val="20"/>
        </w:rPr>
        <w:t xml:space="preserve">ourt of </w:t>
      </w:r>
      <w:r w:rsidRPr="00766B43">
        <w:rPr>
          <w:rFonts w:ascii="Arial" w:hAnsi="Arial" w:cs="Arial"/>
          <w:sz w:val="20"/>
        </w:rPr>
        <w:t>A</w:t>
      </w:r>
      <w:r w:rsidR="00766B43">
        <w:rPr>
          <w:rFonts w:ascii="Arial" w:hAnsi="Arial" w:cs="Arial"/>
          <w:sz w:val="20"/>
        </w:rPr>
        <w:t xml:space="preserve">ppeal dismissed the appeal.  At </w:t>
      </w:r>
      <w:r w:rsidR="0012709B">
        <w:rPr>
          <w:rFonts w:ascii="Arial" w:hAnsi="Arial" w:cs="Arial"/>
          <w:color w:val="000000"/>
          <w:sz w:val="20"/>
        </w:rPr>
        <w:t xml:space="preserve">[46] &amp; [51] </w:t>
      </w:r>
      <w:r w:rsidR="0012709B" w:rsidRPr="00766B43">
        <w:rPr>
          <w:rFonts w:ascii="Arial" w:hAnsi="Arial" w:cs="Arial"/>
          <w:sz w:val="20"/>
        </w:rPr>
        <w:t>Priest, Beach and Hargrave JJA</w:t>
      </w:r>
      <w:r w:rsidR="0012709B">
        <w:rPr>
          <w:rFonts w:ascii="Arial" w:hAnsi="Arial" w:cs="Arial"/>
          <w:sz w:val="20"/>
        </w:rPr>
        <w:t xml:space="preserve"> said:</w:t>
      </w:r>
    </w:p>
    <w:p w14:paraId="7AB4CE1A" w14:textId="77777777" w:rsidR="0012709B" w:rsidRDefault="0012709B" w:rsidP="0012709B">
      <w:pPr>
        <w:spacing w:before="120"/>
        <w:ind w:left="567" w:right="567"/>
        <w:jc w:val="both"/>
        <w:rPr>
          <w:rFonts w:ascii="Arial" w:hAnsi="Arial" w:cs="Arial"/>
          <w:color w:val="000000"/>
          <w:sz w:val="20"/>
        </w:rPr>
      </w:pPr>
      <w:r>
        <w:rPr>
          <w:rFonts w:ascii="Arial" w:hAnsi="Arial" w:cs="Arial"/>
          <w:color w:val="000000"/>
          <w:sz w:val="20"/>
        </w:rPr>
        <w:t xml:space="preserve">[46] “In </w:t>
      </w:r>
      <w:r w:rsidRPr="0012709B">
        <w:rPr>
          <w:rFonts w:ascii="Arial" w:hAnsi="Arial" w:cs="Arial"/>
          <w:i/>
          <w:color w:val="000000"/>
          <w:sz w:val="20"/>
        </w:rPr>
        <w:t>R v Morgan</w:t>
      </w:r>
      <w:r>
        <w:rPr>
          <w:rFonts w:ascii="Arial" w:hAnsi="Arial" w:cs="Arial"/>
          <w:color w:val="000000"/>
          <w:sz w:val="20"/>
        </w:rPr>
        <w:t xml:space="preserve"> (2010) 24 VR 230 at 237 it was accepted that active participation in the Koori Court process was more burdensome than appearing at a traditional plea hearing.  In that case the point was conceded by the Crown on the appeal.  The Court went on to say that active participation in the process was a factor that mitigated punishment, and explained that such an approach was consistent with legal principle.  At 238 the Court in </w:t>
      </w:r>
      <w:r w:rsidRPr="0012709B">
        <w:rPr>
          <w:rFonts w:ascii="Arial" w:hAnsi="Arial" w:cs="Arial"/>
          <w:i/>
          <w:color w:val="000000"/>
          <w:sz w:val="20"/>
        </w:rPr>
        <w:t>Morgan</w:t>
      </w:r>
      <w:r>
        <w:rPr>
          <w:rFonts w:ascii="Arial" w:hAnsi="Arial" w:cs="Arial"/>
          <w:color w:val="000000"/>
          <w:sz w:val="20"/>
        </w:rPr>
        <w:t xml:space="preserve"> concluded that the extent to which participation in the sentencing conversation will be a mitigating factor in a particular case ‘will, of course, depend on the circumstances of the case’.</w:t>
      </w:r>
    </w:p>
    <w:p w14:paraId="0553BD60" w14:textId="77777777" w:rsidR="00766B43" w:rsidRPr="00766B43" w:rsidRDefault="0012709B" w:rsidP="00D22128">
      <w:pPr>
        <w:spacing w:before="120"/>
        <w:ind w:left="567" w:right="567"/>
        <w:jc w:val="both"/>
        <w:rPr>
          <w:rFonts w:ascii="Arial" w:hAnsi="Arial" w:cs="Arial"/>
          <w:iCs/>
          <w:sz w:val="20"/>
        </w:rPr>
      </w:pPr>
      <w:r>
        <w:rPr>
          <w:rFonts w:ascii="Arial" w:hAnsi="Arial" w:cs="Arial"/>
          <w:color w:val="000000"/>
          <w:sz w:val="20"/>
        </w:rPr>
        <w:t xml:space="preserve">[51] </w:t>
      </w:r>
      <w:r w:rsidR="00766B43">
        <w:rPr>
          <w:rFonts w:ascii="Arial" w:hAnsi="Arial" w:cs="Arial"/>
          <w:color w:val="000000"/>
          <w:sz w:val="20"/>
        </w:rPr>
        <w:t>“</w:t>
      </w:r>
      <w:r w:rsidR="00766B43" w:rsidRPr="00766B43">
        <w:rPr>
          <w:rFonts w:ascii="Arial" w:hAnsi="Arial" w:cs="Arial"/>
          <w:iCs/>
          <w:sz w:val="20"/>
        </w:rPr>
        <w:t xml:space="preserve">In neither </w:t>
      </w:r>
      <w:r w:rsidR="00766B43" w:rsidRPr="00D22128">
        <w:rPr>
          <w:rFonts w:ascii="Arial" w:hAnsi="Arial" w:cs="Arial"/>
          <w:i/>
          <w:iCs/>
          <w:sz w:val="20"/>
        </w:rPr>
        <w:t>Morgan</w:t>
      </w:r>
      <w:r w:rsidR="00766B43" w:rsidRPr="00766B43">
        <w:rPr>
          <w:rFonts w:ascii="Arial" w:hAnsi="Arial" w:cs="Arial"/>
          <w:iCs/>
          <w:sz w:val="20"/>
        </w:rPr>
        <w:t xml:space="preserve"> (2010) 24 VR 230, 237 [37]) nor </w:t>
      </w:r>
      <w:r w:rsidR="00766B43" w:rsidRPr="00D22128">
        <w:rPr>
          <w:rFonts w:ascii="Arial" w:hAnsi="Arial" w:cs="Arial"/>
          <w:i/>
          <w:iCs/>
          <w:sz w:val="20"/>
        </w:rPr>
        <w:t>Nicholson</w:t>
      </w:r>
      <w:r w:rsidR="00766B43" w:rsidRPr="00766B43">
        <w:rPr>
          <w:rFonts w:ascii="Arial" w:hAnsi="Arial" w:cs="Arial"/>
          <w:iCs/>
          <w:sz w:val="20"/>
        </w:rPr>
        <w:t xml:space="preserve"> ([2017] VSCA 238) was there any discussion of the weight separately to be accorded to the appellant’s active participation in a sentencing conversation in the Koori Court. Nor was there any discussion as to how that factor might be balanced against considerations of general and specific deterrence and the need to protect the community. In these circumstances, in granting leave to appeal in this case Weinberg JA stated</w:t>
      </w:r>
      <w:r w:rsidR="00D22128">
        <w:rPr>
          <w:rFonts w:ascii="Arial" w:hAnsi="Arial" w:cs="Arial"/>
          <w:iCs/>
          <w:sz w:val="20"/>
        </w:rPr>
        <w:t xml:space="preserve"> at [51]</w:t>
      </w:r>
      <w:r w:rsidR="00766B43" w:rsidRPr="00766B43">
        <w:rPr>
          <w:rFonts w:ascii="Arial" w:hAnsi="Arial" w:cs="Arial"/>
          <w:iCs/>
          <w:sz w:val="20"/>
        </w:rPr>
        <w:t>:</w:t>
      </w:r>
    </w:p>
    <w:p w14:paraId="7894BE26" w14:textId="77777777" w:rsidR="00766B43" w:rsidRPr="00E8714E" w:rsidRDefault="00766B43" w:rsidP="00D22128">
      <w:pPr>
        <w:spacing w:before="120"/>
        <w:ind w:left="1134" w:right="1134"/>
        <w:jc w:val="both"/>
        <w:rPr>
          <w:rFonts w:ascii="Arial" w:hAnsi="Arial" w:cs="Arial"/>
          <w:iCs/>
          <w:sz w:val="18"/>
          <w:szCs w:val="22"/>
        </w:rPr>
      </w:pPr>
      <w:r w:rsidRPr="00E8714E">
        <w:rPr>
          <w:rFonts w:ascii="Arial" w:hAnsi="Arial" w:cs="Arial"/>
          <w:iCs/>
          <w:sz w:val="18"/>
          <w:szCs w:val="22"/>
        </w:rPr>
        <w:t>Having regard to the lack of case law dealing in an extended way with that issue, it would be useful to have this Court provide guidance as to how, precisely, the procedures adopted in the Koori Court should impact upon the overall synthesis when trial judg</w:t>
      </w:r>
      <w:r w:rsidR="00D22128" w:rsidRPr="00E8714E">
        <w:rPr>
          <w:rFonts w:ascii="Arial" w:hAnsi="Arial" w:cs="Arial"/>
          <w:iCs/>
          <w:sz w:val="18"/>
          <w:szCs w:val="22"/>
        </w:rPr>
        <w:t>es sentence in such cases.’</w:t>
      </w:r>
    </w:p>
    <w:p w14:paraId="7D4FB36F" w14:textId="77777777" w:rsidR="00766B43" w:rsidRDefault="00D22128" w:rsidP="005D1409">
      <w:pPr>
        <w:keepNext/>
        <w:keepLines/>
        <w:spacing w:before="120"/>
        <w:jc w:val="both"/>
        <w:rPr>
          <w:rFonts w:ascii="Arial" w:hAnsi="Arial" w:cs="Arial"/>
          <w:color w:val="000000"/>
          <w:sz w:val="20"/>
        </w:rPr>
      </w:pPr>
      <w:r>
        <w:rPr>
          <w:rFonts w:ascii="Arial" w:hAnsi="Arial" w:cs="Arial"/>
          <w:color w:val="000000"/>
          <w:sz w:val="20"/>
        </w:rPr>
        <w:t>At [54]-[55] Priest, Beach and Hargrave JJA said:</w:t>
      </w:r>
    </w:p>
    <w:p w14:paraId="75A39E6F" w14:textId="77777777" w:rsidR="00D22128" w:rsidRPr="00766B43" w:rsidRDefault="00D22128" w:rsidP="00426C76">
      <w:pPr>
        <w:spacing w:before="120"/>
        <w:ind w:left="567" w:right="567"/>
        <w:jc w:val="both"/>
        <w:rPr>
          <w:rFonts w:ascii="Arial" w:hAnsi="Arial" w:cs="Arial"/>
          <w:iCs/>
          <w:sz w:val="20"/>
        </w:rPr>
      </w:pPr>
      <w:r>
        <w:rPr>
          <w:rFonts w:ascii="Arial" w:hAnsi="Arial" w:cs="Arial"/>
          <w:iCs/>
          <w:sz w:val="20"/>
        </w:rPr>
        <w:t>[54] “</w:t>
      </w:r>
      <w:r w:rsidRPr="00D22128">
        <w:rPr>
          <w:rFonts w:ascii="Arial" w:hAnsi="Arial" w:cs="Arial"/>
          <w:iCs/>
          <w:sz w:val="20"/>
        </w:rPr>
        <w:t>In our view, in determining the weight to be attached to an offender’s participation in a Koori Court sentencing conversation as a mitigating factor, a sentencing court should consider a range of factors, including:</w:t>
      </w:r>
    </w:p>
    <w:p w14:paraId="210204EF" w14:textId="77777777" w:rsidR="00D22128" w:rsidRDefault="00D22128" w:rsidP="00591749">
      <w:pPr>
        <w:numPr>
          <w:ilvl w:val="0"/>
          <w:numId w:val="20"/>
        </w:numPr>
        <w:spacing w:before="80"/>
        <w:ind w:left="1491" w:right="1134" w:hanging="357"/>
        <w:jc w:val="both"/>
        <w:rPr>
          <w:rFonts w:ascii="Arial" w:hAnsi="Arial" w:cs="Arial"/>
          <w:iCs/>
          <w:sz w:val="20"/>
        </w:rPr>
      </w:pPr>
      <w:r w:rsidRPr="00D22128">
        <w:rPr>
          <w:rFonts w:ascii="Arial" w:hAnsi="Arial" w:cs="Arial"/>
          <w:iCs/>
          <w:sz w:val="20"/>
        </w:rPr>
        <w:t xml:space="preserve">The fact that participation in the process is a voluntary one, may be confronting to the offender, and will likely involve him or her being ‘shamed’. As noted in </w:t>
      </w:r>
      <w:r w:rsidRPr="00D22128">
        <w:rPr>
          <w:rFonts w:ascii="Arial" w:hAnsi="Arial" w:cs="Arial"/>
          <w:i/>
          <w:iCs/>
          <w:sz w:val="20"/>
        </w:rPr>
        <w:t>Morgan</w:t>
      </w:r>
      <w:r w:rsidRPr="00D22128">
        <w:rPr>
          <w:rFonts w:ascii="Arial" w:hAnsi="Arial" w:cs="Arial"/>
          <w:iCs/>
          <w:sz w:val="20"/>
        </w:rPr>
        <w:t>, participation in the process may of itself be rehabilitative.</w:t>
      </w:r>
    </w:p>
    <w:p w14:paraId="6583FAFF" w14:textId="77777777" w:rsidR="00D22128" w:rsidRPr="00D22128" w:rsidRDefault="00D22128" w:rsidP="00591749">
      <w:pPr>
        <w:numPr>
          <w:ilvl w:val="0"/>
          <w:numId w:val="20"/>
        </w:numPr>
        <w:spacing w:before="80"/>
        <w:ind w:left="1491" w:right="1134" w:hanging="357"/>
        <w:jc w:val="both"/>
        <w:rPr>
          <w:rFonts w:ascii="Arial" w:hAnsi="Arial" w:cs="Arial"/>
          <w:iCs/>
          <w:sz w:val="20"/>
        </w:rPr>
      </w:pPr>
      <w:r w:rsidRPr="00D22128">
        <w:rPr>
          <w:rFonts w:ascii="Arial" w:hAnsi="Arial" w:cs="Arial"/>
          <w:iCs/>
          <w:sz w:val="20"/>
        </w:rPr>
        <w:t>The fact that the offender is, rather than ‘hiding behind counsel’, taking the opportunity to personally:</w:t>
      </w:r>
    </w:p>
    <w:p w14:paraId="1340EEFE" w14:textId="77777777" w:rsidR="00D22128" w:rsidRPr="00D22128" w:rsidRDefault="00D22128" w:rsidP="00591749">
      <w:pPr>
        <w:numPr>
          <w:ilvl w:val="1"/>
          <w:numId w:val="20"/>
        </w:numPr>
        <w:ind w:left="1848" w:right="1134" w:hanging="357"/>
        <w:jc w:val="both"/>
        <w:rPr>
          <w:rFonts w:ascii="Arial" w:hAnsi="Arial" w:cs="Arial"/>
          <w:iCs/>
          <w:sz w:val="20"/>
        </w:rPr>
      </w:pPr>
      <w:r w:rsidRPr="00D22128">
        <w:rPr>
          <w:rFonts w:ascii="Arial" w:hAnsi="Arial" w:cs="Arial"/>
          <w:iCs/>
          <w:sz w:val="20"/>
        </w:rPr>
        <w:t>demonstrate his or her remorse for offending;</w:t>
      </w:r>
    </w:p>
    <w:p w14:paraId="3D1D3E65" w14:textId="77777777" w:rsidR="00D22128" w:rsidRPr="00D22128" w:rsidRDefault="00D22128" w:rsidP="00591749">
      <w:pPr>
        <w:numPr>
          <w:ilvl w:val="1"/>
          <w:numId w:val="20"/>
        </w:numPr>
        <w:ind w:left="1848" w:right="1134" w:hanging="357"/>
        <w:jc w:val="both"/>
        <w:rPr>
          <w:rFonts w:ascii="Arial" w:hAnsi="Arial" w:cs="Arial"/>
          <w:iCs/>
          <w:sz w:val="20"/>
        </w:rPr>
      </w:pPr>
      <w:r w:rsidRPr="00D22128">
        <w:rPr>
          <w:rFonts w:ascii="Arial" w:hAnsi="Arial" w:cs="Arial"/>
          <w:iCs/>
          <w:sz w:val="20"/>
        </w:rPr>
        <w:t xml:space="preserve">demonstrate insight into the reasons for, and the seriousness and effect of, the offending; and </w:t>
      </w:r>
    </w:p>
    <w:p w14:paraId="25EF8468" w14:textId="77777777" w:rsidR="00D22128" w:rsidRPr="00D22128" w:rsidRDefault="00D22128" w:rsidP="00591749">
      <w:pPr>
        <w:numPr>
          <w:ilvl w:val="1"/>
          <w:numId w:val="20"/>
        </w:numPr>
        <w:ind w:left="1848" w:right="1134" w:hanging="357"/>
        <w:jc w:val="both"/>
        <w:rPr>
          <w:rFonts w:ascii="Arial" w:hAnsi="Arial" w:cs="Arial"/>
          <w:iCs/>
          <w:sz w:val="20"/>
        </w:rPr>
      </w:pPr>
      <w:r w:rsidRPr="00D22128">
        <w:rPr>
          <w:rFonts w:ascii="Arial" w:hAnsi="Arial" w:cs="Arial"/>
          <w:iCs/>
          <w:sz w:val="20"/>
        </w:rPr>
        <w:t>express any intention to reform and how that will be done, including by participating in available rehabilitation programs.</w:t>
      </w:r>
    </w:p>
    <w:p w14:paraId="70B749D8" w14:textId="77777777" w:rsidR="00DF2B95" w:rsidRPr="00D22128" w:rsidRDefault="00DF2B95" w:rsidP="00591749">
      <w:pPr>
        <w:numPr>
          <w:ilvl w:val="0"/>
          <w:numId w:val="20"/>
        </w:numPr>
        <w:spacing w:before="80"/>
        <w:ind w:left="1491" w:right="1134" w:hanging="357"/>
        <w:jc w:val="both"/>
        <w:rPr>
          <w:rFonts w:ascii="Arial" w:hAnsi="Arial" w:cs="Arial"/>
          <w:iCs/>
          <w:sz w:val="20"/>
        </w:rPr>
      </w:pPr>
      <w:r w:rsidRPr="00DF2B95">
        <w:rPr>
          <w:rFonts w:ascii="Arial" w:hAnsi="Arial" w:cs="Arial"/>
          <w:iCs/>
          <w:sz w:val="20"/>
        </w:rPr>
        <w:t>The Court’s assessment of the genuineness of the offender’s statements during the sentencing conversation. That assessment should take account of all of the information before the Court.</w:t>
      </w:r>
      <w:r>
        <w:rPr>
          <w:rFonts w:ascii="Arial" w:hAnsi="Arial" w:cs="Arial"/>
          <w:iCs/>
          <w:sz w:val="20"/>
        </w:rPr>
        <w:t>”</w:t>
      </w:r>
    </w:p>
    <w:p w14:paraId="4298C8EC" w14:textId="77777777" w:rsidR="00DF2B95" w:rsidRPr="00766B43" w:rsidRDefault="00DF2B95" w:rsidP="00DF2B95">
      <w:pPr>
        <w:spacing w:before="120"/>
        <w:ind w:left="567" w:right="567"/>
        <w:jc w:val="both"/>
        <w:rPr>
          <w:rFonts w:ascii="Arial" w:hAnsi="Arial" w:cs="Arial"/>
          <w:iCs/>
          <w:sz w:val="20"/>
        </w:rPr>
      </w:pPr>
      <w:r>
        <w:rPr>
          <w:rFonts w:ascii="Arial" w:hAnsi="Arial" w:cs="Arial"/>
          <w:iCs/>
          <w:sz w:val="20"/>
        </w:rPr>
        <w:lastRenderedPageBreak/>
        <w:t>[55] “</w:t>
      </w:r>
      <w:r w:rsidRPr="00DF2B95">
        <w:rPr>
          <w:rFonts w:ascii="Arial" w:hAnsi="Arial" w:cs="Arial"/>
          <w:iCs/>
          <w:sz w:val="20"/>
        </w:rPr>
        <w:t>Based on the sentencing Court’s assessment of the quality and genuineness of the statements made by the offender, it is a matter for the individual judge to assess weight in the circumstances of the particular case.</w:t>
      </w:r>
      <w:r>
        <w:rPr>
          <w:rFonts w:ascii="Arial" w:hAnsi="Arial" w:cs="Arial"/>
          <w:iCs/>
          <w:sz w:val="20"/>
        </w:rPr>
        <w:t>”</w:t>
      </w:r>
    </w:p>
    <w:p w14:paraId="7A60DD79" w14:textId="77777777" w:rsidR="006B220C" w:rsidRPr="005F6159" w:rsidRDefault="006B220C" w:rsidP="006B220C">
      <w:pPr>
        <w:rPr>
          <w:rFonts w:ascii="Arial" w:hAnsi="Arial" w:cs="Arial"/>
          <w:sz w:val="20"/>
          <w:szCs w:val="28"/>
        </w:rPr>
      </w:pPr>
    </w:p>
    <w:p w14:paraId="29846192" w14:textId="77777777" w:rsidR="005F6159" w:rsidRDefault="005F6159" w:rsidP="005F6159">
      <w:pPr>
        <w:jc w:val="both"/>
        <w:rPr>
          <w:rFonts w:ascii="Arial" w:hAnsi="Arial" w:cs="Arial"/>
          <w:sz w:val="20"/>
          <w:szCs w:val="20"/>
        </w:rPr>
      </w:pPr>
      <w:r>
        <w:rPr>
          <w:rFonts w:ascii="Arial" w:hAnsi="Arial" w:cs="Arial"/>
          <w:sz w:val="20"/>
          <w:szCs w:val="20"/>
        </w:rPr>
        <w:t xml:space="preserve">In </w:t>
      </w:r>
      <w:r w:rsidRPr="00D60900">
        <w:rPr>
          <w:rFonts w:ascii="Arial" w:hAnsi="Arial" w:cs="Arial"/>
          <w:i/>
          <w:iCs/>
          <w:sz w:val="20"/>
          <w:szCs w:val="20"/>
        </w:rPr>
        <w:t>Atkinson v The King</w:t>
      </w:r>
      <w:r>
        <w:rPr>
          <w:rFonts w:ascii="Arial" w:hAnsi="Arial" w:cs="Arial"/>
          <w:sz w:val="20"/>
          <w:szCs w:val="20"/>
        </w:rPr>
        <w:t xml:space="preserve"> [2026] VSCA 70 the 19-year-old applicant had pleaded guilty in the Koori Court to t</w:t>
      </w:r>
      <w:r w:rsidRPr="00D60900">
        <w:rPr>
          <w:rFonts w:ascii="Arial" w:hAnsi="Arial" w:cs="Arial"/>
          <w:sz w:val="20"/>
          <w:szCs w:val="20"/>
        </w:rPr>
        <w:t xml:space="preserve">heft </w:t>
      </w:r>
      <w:r>
        <w:rPr>
          <w:rFonts w:ascii="Arial" w:hAnsi="Arial" w:cs="Arial"/>
          <w:sz w:val="20"/>
          <w:szCs w:val="20"/>
        </w:rPr>
        <w:t xml:space="preserve">x 4, </w:t>
      </w:r>
      <w:r w:rsidRPr="00D60900">
        <w:rPr>
          <w:rFonts w:ascii="Arial" w:hAnsi="Arial" w:cs="Arial"/>
          <w:sz w:val="20"/>
          <w:szCs w:val="20"/>
        </w:rPr>
        <w:t xml:space="preserve">aggravated burglary </w:t>
      </w:r>
      <w:r>
        <w:rPr>
          <w:rFonts w:ascii="Arial" w:hAnsi="Arial" w:cs="Arial"/>
          <w:sz w:val="20"/>
          <w:szCs w:val="20"/>
        </w:rPr>
        <w:t>x 1</w:t>
      </w:r>
      <w:r w:rsidRPr="00D60900">
        <w:rPr>
          <w:rFonts w:ascii="Arial" w:hAnsi="Arial" w:cs="Arial"/>
          <w:sz w:val="20"/>
          <w:szCs w:val="20"/>
        </w:rPr>
        <w:t xml:space="preserve">, attempted aggravated burglary </w:t>
      </w:r>
      <w:r>
        <w:rPr>
          <w:rFonts w:ascii="Arial" w:hAnsi="Arial" w:cs="Arial"/>
          <w:sz w:val="20"/>
          <w:szCs w:val="20"/>
        </w:rPr>
        <w:t>x 4</w:t>
      </w:r>
      <w:r w:rsidRPr="00D60900">
        <w:rPr>
          <w:rFonts w:ascii="Arial" w:hAnsi="Arial" w:cs="Arial"/>
          <w:sz w:val="20"/>
          <w:szCs w:val="20"/>
        </w:rPr>
        <w:t xml:space="preserve">, home </w:t>
      </w:r>
      <w:r>
        <w:rPr>
          <w:rFonts w:ascii="Arial" w:hAnsi="Arial" w:cs="Arial"/>
          <w:sz w:val="20"/>
          <w:szCs w:val="20"/>
        </w:rPr>
        <w:t>invasion 1</w:t>
      </w:r>
      <w:r w:rsidRPr="00D60900">
        <w:rPr>
          <w:rFonts w:ascii="Arial" w:hAnsi="Arial" w:cs="Arial"/>
          <w:sz w:val="20"/>
          <w:szCs w:val="20"/>
        </w:rPr>
        <w:t>, attempted burglary</w:t>
      </w:r>
      <w:r>
        <w:rPr>
          <w:rFonts w:ascii="Arial" w:hAnsi="Arial" w:cs="Arial"/>
          <w:sz w:val="20"/>
          <w:szCs w:val="20"/>
        </w:rPr>
        <w:t xml:space="preserve"> x </w:t>
      </w:r>
      <w:r w:rsidRPr="00D60900">
        <w:rPr>
          <w:rFonts w:ascii="Arial" w:hAnsi="Arial" w:cs="Arial"/>
          <w:sz w:val="20"/>
          <w:szCs w:val="20"/>
        </w:rPr>
        <w:t xml:space="preserve">1, dangerous driving while being pursued by police </w:t>
      </w:r>
      <w:r>
        <w:rPr>
          <w:rFonts w:ascii="Arial" w:hAnsi="Arial" w:cs="Arial"/>
          <w:sz w:val="20"/>
          <w:szCs w:val="20"/>
        </w:rPr>
        <w:t>x 1 &amp;</w:t>
      </w:r>
      <w:r w:rsidRPr="00D60900">
        <w:rPr>
          <w:rFonts w:ascii="Arial" w:hAnsi="Arial" w:cs="Arial"/>
          <w:sz w:val="20"/>
          <w:szCs w:val="20"/>
        </w:rPr>
        <w:t xml:space="preserve"> drive while disqualified </w:t>
      </w:r>
      <w:r>
        <w:rPr>
          <w:rFonts w:ascii="Arial" w:hAnsi="Arial" w:cs="Arial"/>
          <w:sz w:val="20"/>
          <w:szCs w:val="20"/>
        </w:rPr>
        <w:t xml:space="preserve">x 1 and had been sentenced to </w:t>
      </w:r>
      <w:r w:rsidRPr="00D60900">
        <w:rPr>
          <w:rFonts w:ascii="Arial" w:hAnsi="Arial" w:cs="Arial"/>
          <w:sz w:val="20"/>
          <w:szCs w:val="20"/>
        </w:rPr>
        <w:t xml:space="preserve">TES </w:t>
      </w:r>
      <w:r>
        <w:rPr>
          <w:rFonts w:ascii="Arial" w:hAnsi="Arial" w:cs="Arial"/>
          <w:sz w:val="20"/>
          <w:szCs w:val="20"/>
        </w:rPr>
        <w:t>IMP3y1m/2y. Beach JA refused leave to appeal, holding–</w:t>
      </w:r>
    </w:p>
    <w:p w14:paraId="569FDA0E" w14:textId="77777777" w:rsidR="005F6159" w:rsidRDefault="005F6159">
      <w:pPr>
        <w:pStyle w:val="ListParagraph"/>
        <w:numPr>
          <w:ilvl w:val="0"/>
          <w:numId w:val="74"/>
        </w:numPr>
        <w:spacing w:after="0" w:line="240" w:lineRule="auto"/>
        <w:ind w:left="357" w:hanging="357"/>
        <w:jc w:val="both"/>
        <w:rPr>
          <w:rFonts w:ascii="Arial" w:hAnsi="Arial" w:cs="Arial"/>
          <w:sz w:val="20"/>
          <w:szCs w:val="20"/>
        </w:rPr>
      </w:pPr>
      <w:r w:rsidRPr="00D60900">
        <w:rPr>
          <w:rFonts w:ascii="Arial" w:hAnsi="Arial" w:cs="Arial"/>
          <w:sz w:val="20"/>
          <w:szCs w:val="20"/>
        </w:rPr>
        <w:t>at [38] that it was not reasonably arguable that the sentence of IMP22m for home invasion was manifestly excessive</w:t>
      </w:r>
      <w:r>
        <w:rPr>
          <w:rFonts w:ascii="Arial" w:hAnsi="Arial" w:cs="Arial"/>
          <w:sz w:val="20"/>
          <w:szCs w:val="20"/>
        </w:rPr>
        <w:t>;</w:t>
      </w:r>
      <w:r w:rsidRPr="00D60900">
        <w:rPr>
          <w:rFonts w:ascii="Arial" w:hAnsi="Arial" w:cs="Arial"/>
          <w:sz w:val="20"/>
          <w:szCs w:val="20"/>
        </w:rPr>
        <w:t xml:space="preserve"> and</w:t>
      </w:r>
    </w:p>
    <w:p w14:paraId="4D7D37E2" w14:textId="77777777" w:rsidR="005F6159" w:rsidRPr="00D60900" w:rsidRDefault="005F6159">
      <w:pPr>
        <w:pStyle w:val="ListParagraph"/>
        <w:numPr>
          <w:ilvl w:val="0"/>
          <w:numId w:val="74"/>
        </w:numPr>
        <w:spacing w:after="0" w:line="240" w:lineRule="auto"/>
        <w:ind w:left="357" w:hanging="357"/>
        <w:jc w:val="both"/>
        <w:rPr>
          <w:rFonts w:ascii="Arial" w:hAnsi="Arial" w:cs="Arial"/>
          <w:sz w:val="20"/>
          <w:szCs w:val="20"/>
        </w:rPr>
      </w:pPr>
      <w:r w:rsidRPr="00D60900">
        <w:rPr>
          <w:rFonts w:ascii="Arial" w:hAnsi="Arial" w:cs="Arial"/>
          <w:sz w:val="20"/>
          <w:szCs w:val="20"/>
        </w:rPr>
        <w:t>at [32]-[37] that the judge had not failed to appropriately mitigate sentence given applicant’s participation in Koori Court sentencing conversation</w:t>
      </w:r>
      <w:r>
        <w:rPr>
          <w:rFonts w:ascii="Arial" w:hAnsi="Arial" w:cs="Arial"/>
          <w:sz w:val="20"/>
          <w:szCs w:val="20"/>
        </w:rPr>
        <w:t>.</w:t>
      </w:r>
    </w:p>
    <w:p w14:paraId="57D5A90D" w14:textId="77777777" w:rsidR="005F6159" w:rsidRDefault="005F6159" w:rsidP="005F6159">
      <w:pPr>
        <w:jc w:val="both"/>
        <w:rPr>
          <w:rFonts w:ascii="Arial" w:hAnsi="Arial" w:cs="Arial"/>
          <w:sz w:val="20"/>
          <w:szCs w:val="20"/>
        </w:rPr>
      </w:pPr>
    </w:p>
    <w:p w14:paraId="711D5FB1" w14:textId="77777777" w:rsidR="00D22128" w:rsidRDefault="00D22128" w:rsidP="00D22128">
      <w:pPr>
        <w:spacing w:before="40"/>
        <w:jc w:val="both"/>
        <w:rPr>
          <w:rFonts w:ascii="Arial" w:hAnsi="Arial" w:cs="Arial"/>
          <w:b/>
          <w:color w:val="000000"/>
          <w:sz w:val="20"/>
          <w:bdr w:val="single" w:sz="4" w:space="0" w:color="auto"/>
          <w:shd w:val="clear" w:color="auto" w:fill="DDDDDD"/>
        </w:rPr>
      </w:pPr>
      <w:r w:rsidRPr="00B1331F">
        <w:rPr>
          <w:rFonts w:ascii="Arial" w:hAnsi="Arial" w:cs="Arial"/>
          <w:b/>
          <w:color w:val="000000"/>
          <w:sz w:val="20"/>
          <w:bdr w:val="single" w:sz="4" w:space="0" w:color="auto"/>
          <w:shd w:val="clear" w:color="auto" w:fill="DDDDDD"/>
        </w:rPr>
        <w:t>7.11.5.</w:t>
      </w:r>
      <w:r>
        <w:rPr>
          <w:rFonts w:ascii="Arial" w:hAnsi="Arial" w:cs="Arial"/>
          <w:b/>
          <w:color w:val="000000"/>
          <w:sz w:val="20"/>
          <w:bdr w:val="single" w:sz="4" w:space="0" w:color="auto"/>
          <w:shd w:val="clear" w:color="auto" w:fill="DDDDDD"/>
        </w:rPr>
        <w:t>4</w:t>
      </w:r>
      <w:r w:rsidRPr="00B1331F">
        <w:rPr>
          <w:rFonts w:ascii="Arial" w:hAnsi="Arial" w:cs="Arial"/>
          <w:b/>
          <w:color w:val="000000"/>
          <w:sz w:val="20"/>
          <w:bdr w:val="single" w:sz="4" w:space="0" w:color="auto"/>
          <w:shd w:val="clear" w:color="auto" w:fill="DDDDDD"/>
        </w:rPr>
        <w:t xml:space="preserve"> </w:t>
      </w:r>
      <w:r>
        <w:rPr>
          <w:rFonts w:ascii="Arial" w:hAnsi="Arial" w:cs="Arial"/>
          <w:b/>
          <w:color w:val="000000"/>
          <w:sz w:val="20"/>
          <w:bdr w:val="single" w:sz="4" w:space="0" w:color="auto"/>
          <w:shd w:val="clear" w:color="auto" w:fill="DDDDDD"/>
        </w:rPr>
        <w:t>WHETHER PRE-SENTENCE REPORTS SHOULD BE MANDATORY IN KOORI COURTS</w:t>
      </w:r>
    </w:p>
    <w:p w14:paraId="0EED0982" w14:textId="3A25C542" w:rsidR="00D22128" w:rsidRPr="00511AE5" w:rsidRDefault="00DF2B95" w:rsidP="003565B0">
      <w:pPr>
        <w:spacing w:before="60"/>
        <w:jc w:val="both"/>
        <w:rPr>
          <w:rFonts w:ascii="Arial" w:hAnsi="Arial" w:cs="Arial"/>
          <w:i/>
          <w:iCs/>
          <w:sz w:val="20"/>
        </w:rPr>
      </w:pPr>
      <w:r w:rsidRPr="007C0B91">
        <w:rPr>
          <w:rFonts w:ascii="Arial" w:hAnsi="Arial" w:cs="Arial"/>
          <w:color w:val="000000"/>
          <w:sz w:val="20"/>
        </w:rPr>
        <w:t>In</w:t>
      </w:r>
      <w:r w:rsidR="0040488A">
        <w:rPr>
          <w:rFonts w:ascii="Arial" w:hAnsi="Arial" w:cs="Arial"/>
          <w:color w:val="000000"/>
          <w:sz w:val="20"/>
        </w:rPr>
        <w:t xml:space="preserve"> </w:t>
      </w:r>
      <w:r w:rsidRPr="00EF727F">
        <w:rPr>
          <w:rFonts w:ascii="Arial" w:hAnsi="Arial" w:cs="Arial"/>
          <w:i/>
          <w:color w:val="000000"/>
          <w:sz w:val="20"/>
        </w:rPr>
        <w:t xml:space="preserve">Honeysett v The Queen </w:t>
      </w:r>
      <w:r>
        <w:rPr>
          <w:rFonts w:ascii="Arial" w:hAnsi="Arial" w:cs="Arial"/>
          <w:color w:val="000000"/>
          <w:sz w:val="20"/>
        </w:rPr>
        <w:t xml:space="preserve">[2018] VSCA 214 the </w:t>
      </w:r>
      <w:r w:rsidR="0040488A">
        <w:rPr>
          <w:rFonts w:ascii="Arial" w:hAnsi="Arial" w:cs="Arial"/>
          <w:color w:val="000000"/>
          <w:sz w:val="20"/>
        </w:rPr>
        <w:t xml:space="preserve">adult </w:t>
      </w:r>
      <w:r>
        <w:rPr>
          <w:rFonts w:ascii="Arial" w:hAnsi="Arial" w:cs="Arial"/>
          <w:color w:val="000000"/>
          <w:sz w:val="20"/>
        </w:rPr>
        <w:t xml:space="preserve">applicant had submitted that the Court of Appeal should endorse a practice </w:t>
      </w:r>
      <w:r w:rsidR="0040488A">
        <w:rPr>
          <w:rFonts w:ascii="Arial" w:hAnsi="Arial" w:cs="Arial"/>
          <w:color w:val="000000"/>
          <w:sz w:val="20"/>
        </w:rPr>
        <w:t>that</w:t>
      </w:r>
      <w:r>
        <w:rPr>
          <w:rFonts w:ascii="Arial" w:hAnsi="Arial" w:cs="Arial"/>
          <w:color w:val="000000"/>
          <w:sz w:val="20"/>
        </w:rPr>
        <w:t xml:space="preserve"> sentencing judicial officers in the Koori Court </w:t>
      </w:r>
      <w:r w:rsidR="0040488A">
        <w:rPr>
          <w:rFonts w:ascii="Arial" w:hAnsi="Arial" w:cs="Arial"/>
          <w:color w:val="000000"/>
          <w:sz w:val="20"/>
        </w:rPr>
        <w:t xml:space="preserve">should </w:t>
      </w:r>
      <w:r>
        <w:rPr>
          <w:rFonts w:ascii="Arial" w:hAnsi="Arial" w:cs="Arial"/>
          <w:color w:val="000000"/>
          <w:sz w:val="20"/>
        </w:rPr>
        <w:t xml:space="preserve">request pre-sentence reports in every case comparable to the ‘Gladue’ reports (see </w:t>
      </w:r>
      <w:r w:rsidRPr="00DF2B95">
        <w:rPr>
          <w:rFonts w:ascii="Arial" w:hAnsi="Arial" w:cs="Arial"/>
          <w:i/>
          <w:iCs/>
          <w:sz w:val="20"/>
        </w:rPr>
        <w:t>Gladue v The Queen</w:t>
      </w:r>
      <w:r w:rsidRPr="00DF2B95">
        <w:rPr>
          <w:rFonts w:ascii="Arial" w:hAnsi="Arial" w:cs="Arial"/>
          <w:iCs/>
          <w:sz w:val="20"/>
        </w:rPr>
        <w:t xml:space="preserve"> [1999] 1 SCR 688, 736-9 [93])</w:t>
      </w:r>
      <w:r>
        <w:rPr>
          <w:rFonts w:ascii="Arial" w:hAnsi="Arial" w:cs="Arial"/>
          <w:iCs/>
          <w:sz w:val="20"/>
        </w:rPr>
        <w:t xml:space="preserve"> routinely sought by Canadian courts when sentencing First Nation offenders. At [66] Priest, Beach and Hargrave JJA rejected this submission:</w:t>
      </w:r>
    </w:p>
    <w:p w14:paraId="36926B9C" w14:textId="77777777" w:rsidR="00DF2B95" w:rsidRPr="00766B43" w:rsidRDefault="00DF2B95" w:rsidP="00376808">
      <w:pPr>
        <w:spacing w:before="60"/>
        <w:ind w:left="567" w:right="567"/>
        <w:jc w:val="both"/>
        <w:rPr>
          <w:rFonts w:ascii="Arial" w:hAnsi="Arial" w:cs="Arial"/>
          <w:iCs/>
          <w:sz w:val="20"/>
        </w:rPr>
      </w:pPr>
      <w:r>
        <w:rPr>
          <w:rFonts w:ascii="Arial" w:hAnsi="Arial" w:cs="Arial"/>
          <w:iCs/>
          <w:sz w:val="20"/>
        </w:rPr>
        <w:t>“</w:t>
      </w:r>
      <w:r w:rsidRPr="00DF2B95">
        <w:rPr>
          <w:rFonts w:ascii="Arial" w:hAnsi="Arial" w:cs="Arial"/>
          <w:iCs/>
          <w:sz w:val="20"/>
        </w:rPr>
        <w:t xml:space="preserve">Absent the kind of legislative requirement outlined in </w:t>
      </w:r>
      <w:r w:rsidRPr="00DF2B95">
        <w:rPr>
          <w:rFonts w:ascii="Arial" w:hAnsi="Arial" w:cs="Arial"/>
          <w:i/>
          <w:iCs/>
          <w:sz w:val="20"/>
        </w:rPr>
        <w:t>Gladue</w:t>
      </w:r>
      <w:r w:rsidRPr="00DF2B95">
        <w:rPr>
          <w:rFonts w:ascii="Arial" w:hAnsi="Arial" w:cs="Arial"/>
          <w:iCs/>
          <w:sz w:val="20"/>
        </w:rPr>
        <w:t xml:space="preserve">, the appellant’s submissions bear the hallmark of a plea for law reform. While we accept that the Koori Court has the power to inform itself as it thinks fit, no obligation is imposed on it to request reports of any kind. That is not to say that Koori Court judges could not request reports, evidence or submissions where the material put before them by the offender and the Crown is thought to be insufficient. Moreover, it is always open to an offender to put forward a </w:t>
      </w:r>
      <w:r w:rsidRPr="00DF2B95">
        <w:rPr>
          <w:rFonts w:ascii="Arial" w:hAnsi="Arial" w:cs="Arial"/>
          <w:i/>
          <w:iCs/>
          <w:sz w:val="20"/>
        </w:rPr>
        <w:t>Gladue</w:t>
      </w:r>
      <w:r w:rsidRPr="00DF2B95">
        <w:rPr>
          <w:rFonts w:ascii="Arial" w:hAnsi="Arial" w:cs="Arial"/>
          <w:iCs/>
          <w:sz w:val="20"/>
        </w:rPr>
        <w:t>-style report for consideration during the sentencing conversation and by the judge in determining the sentence.</w:t>
      </w:r>
      <w:r>
        <w:rPr>
          <w:rFonts w:ascii="Arial" w:hAnsi="Arial" w:cs="Arial"/>
          <w:iCs/>
          <w:sz w:val="20"/>
        </w:rPr>
        <w:t>”</w:t>
      </w:r>
    </w:p>
    <w:p w14:paraId="2A372008" w14:textId="77777777" w:rsidR="006B220C" w:rsidRPr="00376808" w:rsidRDefault="006B220C" w:rsidP="00DF2B95">
      <w:pPr>
        <w:rPr>
          <w:rFonts w:ascii="Arial" w:hAnsi="Arial" w:cs="Arial"/>
          <w:iCs/>
          <w:sz w:val="12"/>
          <w:szCs w:val="18"/>
        </w:rPr>
      </w:pPr>
    </w:p>
    <w:p w14:paraId="11154825" w14:textId="1F835848" w:rsidR="006B0EEB" w:rsidRDefault="00596D61" w:rsidP="006B0EEB">
      <w:pPr>
        <w:jc w:val="both"/>
        <w:rPr>
          <w:rFonts w:ascii="Arial" w:hAnsi="Arial" w:cs="Arial"/>
          <w:iCs/>
          <w:sz w:val="20"/>
        </w:rPr>
      </w:pPr>
      <w:r w:rsidRPr="00596D61">
        <w:rPr>
          <w:rFonts w:ascii="Arial" w:hAnsi="Arial" w:cs="Arial"/>
          <w:iCs/>
          <w:sz w:val="20"/>
        </w:rPr>
        <w:t xml:space="preserve">However </w:t>
      </w:r>
      <w:r>
        <w:rPr>
          <w:rFonts w:ascii="Arial" w:hAnsi="Arial" w:cs="Arial"/>
          <w:iCs/>
          <w:sz w:val="20"/>
        </w:rPr>
        <w:t>in both mainstream Children’s Courts and Children’s Koori Courts a sentence of detention cannot be imposed unless the Court has received and considered</w:t>
      </w:r>
      <w:r w:rsidR="006B0EEB">
        <w:rPr>
          <w:rFonts w:ascii="Arial" w:hAnsi="Arial" w:cs="Arial"/>
          <w:iCs/>
          <w:sz w:val="20"/>
        </w:rPr>
        <w:t>–</w:t>
      </w:r>
    </w:p>
    <w:p w14:paraId="3158B4A4" w14:textId="4FD3EBB6" w:rsidR="006B0EEB" w:rsidRDefault="006B0EEB">
      <w:pPr>
        <w:pStyle w:val="ListParagraph"/>
        <w:numPr>
          <w:ilvl w:val="0"/>
          <w:numId w:val="125"/>
        </w:numPr>
        <w:spacing w:after="0" w:line="240" w:lineRule="auto"/>
        <w:ind w:left="454" w:hanging="454"/>
        <w:jc w:val="both"/>
        <w:rPr>
          <w:rFonts w:ascii="Arial" w:hAnsi="Arial" w:cs="Arial"/>
          <w:iCs/>
          <w:sz w:val="20"/>
        </w:rPr>
      </w:pPr>
      <w:r>
        <w:rPr>
          <w:rFonts w:ascii="Arial" w:hAnsi="Arial" w:cs="Arial"/>
          <w:iCs/>
          <w:sz w:val="20"/>
        </w:rPr>
        <w:t>any pre-sentence report ordered in accordance with Division 3 of Part 9.2;</w:t>
      </w:r>
    </w:p>
    <w:p w14:paraId="67B986B6" w14:textId="4EE630A4" w:rsidR="006B0EEB" w:rsidRDefault="006B0EEB">
      <w:pPr>
        <w:pStyle w:val="ListParagraph"/>
        <w:numPr>
          <w:ilvl w:val="0"/>
          <w:numId w:val="125"/>
        </w:numPr>
        <w:spacing w:after="0" w:line="240" w:lineRule="auto"/>
        <w:ind w:left="454" w:hanging="454"/>
        <w:jc w:val="both"/>
        <w:rPr>
          <w:rFonts w:ascii="Arial" w:hAnsi="Arial" w:cs="Arial"/>
          <w:iCs/>
          <w:sz w:val="20"/>
        </w:rPr>
      </w:pPr>
      <w:r>
        <w:rPr>
          <w:rFonts w:ascii="Arial" w:hAnsi="Arial" w:cs="Arial"/>
          <w:iCs/>
          <w:sz w:val="20"/>
        </w:rPr>
        <w:t xml:space="preserve">any previous </w:t>
      </w:r>
      <w:r w:rsidR="0040488A">
        <w:rPr>
          <w:rFonts w:ascii="Arial" w:hAnsi="Arial" w:cs="Arial"/>
          <w:iCs/>
          <w:sz w:val="20"/>
        </w:rPr>
        <w:t>pre-sentence report and a supplementary pre-sentence report, if applicable;</w:t>
      </w:r>
    </w:p>
    <w:p w14:paraId="3B0BCDE2" w14:textId="717AF689" w:rsidR="0040488A" w:rsidRDefault="0040488A">
      <w:pPr>
        <w:pStyle w:val="ListParagraph"/>
        <w:numPr>
          <w:ilvl w:val="0"/>
          <w:numId w:val="125"/>
        </w:numPr>
        <w:spacing w:after="0" w:line="240" w:lineRule="auto"/>
        <w:ind w:left="454" w:hanging="454"/>
        <w:jc w:val="both"/>
        <w:rPr>
          <w:rFonts w:ascii="Arial" w:hAnsi="Arial" w:cs="Arial"/>
          <w:iCs/>
          <w:sz w:val="20"/>
        </w:rPr>
      </w:pPr>
      <w:r>
        <w:rPr>
          <w:rFonts w:ascii="Arial" w:hAnsi="Arial" w:cs="Arial"/>
          <w:iCs/>
          <w:sz w:val="20"/>
        </w:rPr>
        <w:t>any pre-sentence group conference report;</w:t>
      </w:r>
    </w:p>
    <w:p w14:paraId="57660350" w14:textId="1F753710" w:rsidR="0040488A" w:rsidRPr="006B0EEB" w:rsidRDefault="0040488A">
      <w:pPr>
        <w:pStyle w:val="ListParagraph"/>
        <w:numPr>
          <w:ilvl w:val="0"/>
          <w:numId w:val="125"/>
        </w:numPr>
        <w:spacing w:after="0" w:line="240" w:lineRule="auto"/>
        <w:ind w:left="454" w:hanging="454"/>
        <w:jc w:val="both"/>
        <w:rPr>
          <w:rFonts w:ascii="Arial" w:hAnsi="Arial" w:cs="Arial"/>
          <w:iCs/>
          <w:sz w:val="20"/>
        </w:rPr>
      </w:pPr>
      <w:r>
        <w:rPr>
          <w:rFonts w:ascii="Arial" w:hAnsi="Arial" w:cs="Arial"/>
          <w:iCs/>
          <w:sz w:val="20"/>
        </w:rPr>
        <w:t>any previous contravention report.</w:t>
      </w:r>
    </w:p>
    <w:p w14:paraId="06B7A96D" w14:textId="560D38DC" w:rsidR="0040488A" w:rsidRDefault="0040488A" w:rsidP="00596D61">
      <w:pPr>
        <w:jc w:val="both"/>
        <w:rPr>
          <w:rFonts w:ascii="Arial" w:hAnsi="Arial" w:cs="Arial"/>
          <w:iCs/>
          <w:sz w:val="20"/>
        </w:rPr>
      </w:pPr>
      <w:r>
        <w:rPr>
          <w:rFonts w:ascii="Arial" w:hAnsi="Arial" w:cs="Arial"/>
          <w:iCs/>
          <w:sz w:val="20"/>
        </w:rPr>
        <w:t>See</w:t>
      </w:r>
      <w:r w:rsidR="00596D61">
        <w:rPr>
          <w:rFonts w:ascii="Arial" w:hAnsi="Arial" w:cs="Arial"/>
          <w:iCs/>
          <w:sz w:val="20"/>
        </w:rPr>
        <w:t xml:space="preserve"> </w:t>
      </w:r>
      <w:r w:rsidR="006B0EEB">
        <w:rPr>
          <w:rFonts w:ascii="Arial" w:hAnsi="Arial" w:cs="Arial"/>
          <w:iCs/>
          <w:sz w:val="20"/>
        </w:rPr>
        <w:t>s.</w:t>
      </w:r>
      <w:r>
        <w:rPr>
          <w:rFonts w:ascii="Arial" w:hAnsi="Arial" w:cs="Arial"/>
          <w:iCs/>
          <w:sz w:val="20"/>
        </w:rPr>
        <w:t xml:space="preserve">325(1)(e) YJA </w:t>
      </w:r>
      <w:r w:rsidR="006B0EEB">
        <w:rPr>
          <w:rFonts w:ascii="Arial" w:hAnsi="Arial" w:cs="Arial"/>
          <w:iCs/>
          <w:sz w:val="20"/>
        </w:rPr>
        <w:t xml:space="preserve">[previously </w:t>
      </w:r>
      <w:r>
        <w:rPr>
          <w:rFonts w:ascii="Arial" w:hAnsi="Arial" w:cs="Arial"/>
          <w:iCs/>
          <w:sz w:val="20"/>
        </w:rPr>
        <w:t xml:space="preserve">in a significantly different form in </w:t>
      </w:r>
      <w:r w:rsidR="00596D61">
        <w:rPr>
          <w:rFonts w:ascii="Arial" w:hAnsi="Arial" w:cs="Arial"/>
          <w:iCs/>
          <w:sz w:val="20"/>
        </w:rPr>
        <w:t>ss.410(1)(e) &amp; 412(1)(e) CYFA</w:t>
      </w:r>
      <w:r w:rsidR="006B0EEB">
        <w:rPr>
          <w:rFonts w:ascii="Arial" w:hAnsi="Arial" w:cs="Arial"/>
          <w:iCs/>
          <w:sz w:val="20"/>
        </w:rPr>
        <w:t>]</w:t>
      </w:r>
      <w:r w:rsidR="00596D61">
        <w:rPr>
          <w:rFonts w:ascii="Arial" w:hAnsi="Arial" w:cs="Arial"/>
          <w:iCs/>
          <w:sz w:val="20"/>
        </w:rPr>
        <w:t>.</w:t>
      </w:r>
    </w:p>
    <w:p w14:paraId="36ABBA71" w14:textId="77777777" w:rsidR="0040488A" w:rsidRDefault="0040488A" w:rsidP="00596D61">
      <w:pPr>
        <w:jc w:val="both"/>
        <w:rPr>
          <w:rFonts w:ascii="Arial" w:hAnsi="Arial" w:cs="Arial"/>
          <w:iCs/>
          <w:sz w:val="20"/>
        </w:rPr>
      </w:pPr>
    </w:p>
    <w:p w14:paraId="1FD49D03" w14:textId="4EEB5F16" w:rsidR="006B220C" w:rsidRPr="00596D61" w:rsidRDefault="00596D61" w:rsidP="00596D61">
      <w:pPr>
        <w:jc w:val="both"/>
        <w:rPr>
          <w:rFonts w:ascii="Arial" w:hAnsi="Arial" w:cs="Arial"/>
          <w:iCs/>
          <w:sz w:val="20"/>
        </w:rPr>
      </w:pPr>
      <w:r>
        <w:rPr>
          <w:rFonts w:ascii="Arial" w:hAnsi="Arial" w:cs="Arial"/>
          <w:iCs/>
          <w:sz w:val="20"/>
        </w:rPr>
        <w:t xml:space="preserve">Further, s.520(3) </w:t>
      </w:r>
      <w:r w:rsidR="006B0EEB">
        <w:rPr>
          <w:rFonts w:ascii="Arial" w:hAnsi="Arial" w:cs="Arial"/>
          <w:iCs/>
          <w:sz w:val="20"/>
        </w:rPr>
        <w:t xml:space="preserve">CYFA </w:t>
      </w:r>
      <w:r>
        <w:rPr>
          <w:rFonts w:ascii="Arial" w:hAnsi="Arial" w:cs="Arial"/>
          <w:iCs/>
          <w:sz w:val="20"/>
        </w:rPr>
        <w:t xml:space="preserve">empowers – but does not compel – a Children’s Koori Court to inform itself in any way it thinks fit, including by considering a report prepared by, or a statement or submission, made by any of 6 different classes of people: see </w:t>
      </w:r>
      <w:r w:rsidRPr="00D04051">
        <w:rPr>
          <w:rFonts w:ascii="Arial" w:hAnsi="Arial" w:cs="Arial"/>
          <w:b/>
          <w:bCs/>
          <w:iCs/>
          <w:sz w:val="20"/>
          <w:shd w:val="clear" w:color="auto" w:fill="C5E0B3"/>
        </w:rPr>
        <w:t>section 7.11.3</w:t>
      </w:r>
      <w:r>
        <w:rPr>
          <w:rFonts w:ascii="Arial" w:hAnsi="Arial" w:cs="Arial"/>
          <w:iCs/>
          <w:sz w:val="20"/>
        </w:rPr>
        <w:t xml:space="preserve"> above.</w:t>
      </w:r>
    </w:p>
    <w:p w14:paraId="4E6429DC" w14:textId="77777777" w:rsidR="0077202C" w:rsidRDefault="0077202C" w:rsidP="0077202C">
      <w:pPr>
        <w:ind w:left="720" w:hanging="720"/>
        <w:jc w:val="both"/>
        <w:rPr>
          <w:rFonts w:ascii="Arial" w:hAnsi="Arial" w:cs="Arial"/>
          <w:sz w:val="20"/>
          <w:szCs w:val="20"/>
        </w:rPr>
      </w:pPr>
    </w:p>
    <w:p w14:paraId="73A6CD50" w14:textId="77777777" w:rsidR="0077202C" w:rsidRPr="000510E3" w:rsidRDefault="0077202C" w:rsidP="0077202C">
      <w:pPr>
        <w:ind w:left="720" w:hanging="720"/>
        <w:jc w:val="center"/>
        <w:rPr>
          <w:rFonts w:ascii="Arial" w:hAnsi="Arial" w:cs="Arial"/>
          <w:b/>
          <w:bCs/>
        </w:rPr>
      </w:pPr>
      <w:bookmarkStart w:id="499" w:name="_7.11.6_Statistics"/>
      <w:bookmarkEnd w:id="499"/>
      <w:r w:rsidRPr="000510E3">
        <w:rPr>
          <w:rFonts w:ascii="Arial" w:hAnsi="Arial" w:cs="Arial"/>
          <w:b/>
          <w:bCs/>
        </w:rPr>
        <w:t>THE REST OF THIS PAGE IS BLANK</w:t>
      </w:r>
    </w:p>
    <w:p w14:paraId="611F6195" w14:textId="77777777" w:rsidR="0077202C" w:rsidRDefault="0077202C" w:rsidP="0077202C">
      <w:pPr>
        <w:rPr>
          <w:rFonts w:ascii="Arial" w:hAnsi="Arial" w:cs="Arial"/>
          <w:sz w:val="20"/>
          <w:szCs w:val="20"/>
        </w:rPr>
      </w:pPr>
    </w:p>
    <w:p w14:paraId="0BEF8426" w14:textId="77777777" w:rsidR="0077202C" w:rsidRDefault="0077202C" w:rsidP="0077202C">
      <w:pPr>
        <w:rPr>
          <w:rFonts w:ascii="Arial" w:hAnsi="Arial" w:cs="Arial"/>
          <w:sz w:val="20"/>
          <w:szCs w:val="20"/>
        </w:rPr>
      </w:pPr>
      <w:r>
        <w:rPr>
          <w:rFonts w:ascii="Arial" w:hAnsi="Arial" w:cs="Arial"/>
          <w:sz w:val="20"/>
          <w:szCs w:val="20"/>
        </w:rPr>
        <w:br w:type="page"/>
      </w:r>
    </w:p>
    <w:p w14:paraId="7F1754CC" w14:textId="22089C7D" w:rsidR="00596D61" w:rsidRPr="00933EA3" w:rsidRDefault="00596D61" w:rsidP="00596D61">
      <w:pPr>
        <w:pStyle w:val="Heading3"/>
        <w:keepNext/>
        <w:spacing w:line="240" w:lineRule="auto"/>
        <w:rPr>
          <w:rFonts w:ascii="Arial" w:hAnsi="Arial" w:cs="Arial"/>
          <w:b/>
          <w:bCs/>
          <w:color w:val="000000"/>
          <w:sz w:val="20"/>
        </w:rPr>
      </w:pPr>
      <w:r w:rsidRPr="00933EA3">
        <w:rPr>
          <w:rFonts w:ascii="Arial" w:hAnsi="Arial" w:cs="Arial"/>
          <w:b/>
          <w:bCs/>
          <w:color w:val="000000"/>
          <w:sz w:val="20"/>
        </w:rPr>
        <w:lastRenderedPageBreak/>
        <w:t>7.11.</w:t>
      </w:r>
      <w:r>
        <w:rPr>
          <w:rFonts w:ascii="Arial" w:hAnsi="Arial" w:cs="Arial"/>
          <w:b/>
          <w:bCs/>
          <w:color w:val="000000"/>
          <w:sz w:val="20"/>
        </w:rPr>
        <w:t>6</w:t>
      </w:r>
      <w:r w:rsidRPr="00933EA3">
        <w:rPr>
          <w:rFonts w:ascii="Arial" w:hAnsi="Arial" w:cs="Arial"/>
          <w:b/>
          <w:bCs/>
          <w:color w:val="000000"/>
          <w:sz w:val="20"/>
        </w:rPr>
        <w:tab/>
      </w:r>
      <w:r w:rsidR="00BD4EDE">
        <w:rPr>
          <w:rFonts w:ascii="Arial" w:hAnsi="Arial" w:cs="Arial"/>
          <w:b/>
          <w:bCs/>
          <w:color w:val="000000"/>
          <w:sz w:val="20"/>
        </w:rPr>
        <w:t xml:space="preserve">Children’s Koori Court </w:t>
      </w:r>
      <w:r>
        <w:rPr>
          <w:rFonts w:ascii="Arial" w:hAnsi="Arial" w:cs="Arial"/>
          <w:b/>
          <w:bCs/>
          <w:color w:val="000000"/>
          <w:sz w:val="20"/>
        </w:rPr>
        <w:t>Statistics</w:t>
      </w:r>
    </w:p>
    <w:p w14:paraId="3D1D08C0" w14:textId="77777777" w:rsidR="00626EB1" w:rsidRDefault="00626EB1" w:rsidP="00FC78B0">
      <w:pPr>
        <w:autoSpaceDE w:val="0"/>
        <w:autoSpaceDN w:val="0"/>
        <w:adjustRightInd w:val="0"/>
        <w:rPr>
          <w:rFonts w:ascii="Helv" w:hAnsi="Helv" w:cs="Helv"/>
          <w:color w:val="000000"/>
          <w:sz w:val="20"/>
          <w:szCs w:val="20"/>
          <w:lang w:eastAsia="en-AU"/>
        </w:rPr>
      </w:pPr>
    </w:p>
    <w:tbl>
      <w:tblPr>
        <w:tblW w:w="9985" w:type="dxa"/>
        <w:tblInd w:w="-3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5"/>
        <w:gridCol w:w="839"/>
        <w:gridCol w:w="857"/>
        <w:gridCol w:w="839"/>
        <w:gridCol w:w="857"/>
        <w:gridCol w:w="839"/>
        <w:gridCol w:w="857"/>
        <w:gridCol w:w="839"/>
        <w:gridCol w:w="857"/>
        <w:gridCol w:w="839"/>
        <w:gridCol w:w="857"/>
      </w:tblGrid>
      <w:tr w:rsidR="003D7F4A" w:rsidRPr="007E39B7" w14:paraId="334A0633" w14:textId="77777777" w:rsidTr="00EA0CF2">
        <w:tc>
          <w:tcPr>
            <w:tcW w:w="1505" w:type="dxa"/>
            <w:tcBorders>
              <w:top w:val="single" w:sz="18" w:space="0" w:color="auto"/>
              <w:left w:val="single" w:sz="18" w:space="0" w:color="auto"/>
              <w:bottom w:val="single" w:sz="18" w:space="0" w:color="auto"/>
              <w:right w:val="single" w:sz="18" w:space="0" w:color="auto"/>
            </w:tcBorders>
            <w:shd w:val="clear" w:color="auto" w:fill="000000"/>
          </w:tcPr>
          <w:p w14:paraId="1DE5844B" w14:textId="77777777" w:rsidR="003D7F4A" w:rsidRPr="00EA0CF2" w:rsidRDefault="003D7F4A" w:rsidP="007E39B7">
            <w:pPr>
              <w:autoSpaceDE w:val="0"/>
              <w:autoSpaceDN w:val="0"/>
              <w:adjustRightInd w:val="0"/>
              <w:rPr>
                <w:rFonts w:ascii="Helv" w:hAnsi="Helv" w:cs="Helv"/>
                <w:b/>
                <w:color w:val="FFFFFF"/>
                <w:sz w:val="20"/>
                <w:szCs w:val="20"/>
                <w:lang w:eastAsia="en-AU"/>
              </w:rPr>
            </w:pPr>
          </w:p>
        </w:tc>
        <w:tc>
          <w:tcPr>
            <w:tcW w:w="1696" w:type="dxa"/>
            <w:gridSpan w:val="2"/>
            <w:tcBorders>
              <w:top w:val="single" w:sz="18" w:space="0" w:color="auto"/>
              <w:left w:val="single" w:sz="18" w:space="0" w:color="auto"/>
              <w:bottom w:val="single" w:sz="18" w:space="0" w:color="auto"/>
              <w:right w:val="single" w:sz="18" w:space="0" w:color="auto"/>
            </w:tcBorders>
            <w:shd w:val="clear" w:color="auto" w:fill="000000"/>
          </w:tcPr>
          <w:p w14:paraId="09110339" w14:textId="77777777" w:rsidR="003D7F4A" w:rsidRPr="00EA0CF2" w:rsidRDefault="003D7F4A" w:rsidP="007E39B7">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2015/16</w:t>
            </w:r>
          </w:p>
        </w:tc>
        <w:tc>
          <w:tcPr>
            <w:tcW w:w="1696" w:type="dxa"/>
            <w:gridSpan w:val="2"/>
            <w:tcBorders>
              <w:top w:val="single" w:sz="18" w:space="0" w:color="auto"/>
              <w:left w:val="single" w:sz="18" w:space="0" w:color="auto"/>
              <w:bottom w:val="single" w:sz="18" w:space="0" w:color="auto"/>
              <w:right w:val="single" w:sz="18" w:space="0" w:color="auto"/>
            </w:tcBorders>
            <w:shd w:val="clear" w:color="auto" w:fill="000000"/>
          </w:tcPr>
          <w:p w14:paraId="6CB54A3E" w14:textId="77777777" w:rsidR="003D7F4A" w:rsidRPr="00EA0CF2" w:rsidRDefault="003D7F4A" w:rsidP="007E39B7">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2016/17</w:t>
            </w:r>
          </w:p>
        </w:tc>
        <w:tc>
          <w:tcPr>
            <w:tcW w:w="1696" w:type="dxa"/>
            <w:gridSpan w:val="2"/>
            <w:tcBorders>
              <w:top w:val="single" w:sz="18" w:space="0" w:color="auto"/>
              <w:left w:val="single" w:sz="18" w:space="0" w:color="auto"/>
              <w:bottom w:val="single" w:sz="18" w:space="0" w:color="auto"/>
              <w:right w:val="single" w:sz="18" w:space="0" w:color="auto"/>
            </w:tcBorders>
            <w:shd w:val="clear" w:color="auto" w:fill="000000"/>
          </w:tcPr>
          <w:p w14:paraId="01EE10A2" w14:textId="77777777" w:rsidR="003D7F4A" w:rsidRPr="00EA0CF2" w:rsidRDefault="003D7F4A" w:rsidP="007E39B7">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2017/18</w:t>
            </w:r>
          </w:p>
        </w:tc>
        <w:tc>
          <w:tcPr>
            <w:tcW w:w="1696" w:type="dxa"/>
            <w:gridSpan w:val="2"/>
            <w:tcBorders>
              <w:top w:val="single" w:sz="18" w:space="0" w:color="auto"/>
              <w:left w:val="single" w:sz="18" w:space="0" w:color="auto"/>
              <w:bottom w:val="single" w:sz="18" w:space="0" w:color="auto"/>
              <w:right w:val="single" w:sz="18" w:space="0" w:color="auto"/>
            </w:tcBorders>
            <w:shd w:val="clear" w:color="auto" w:fill="000000"/>
          </w:tcPr>
          <w:p w14:paraId="2500BDBE" w14:textId="77777777" w:rsidR="003D7F4A" w:rsidRPr="00EA0CF2" w:rsidRDefault="003D7F4A" w:rsidP="007E39B7">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2018/19</w:t>
            </w:r>
          </w:p>
        </w:tc>
        <w:tc>
          <w:tcPr>
            <w:tcW w:w="1696" w:type="dxa"/>
            <w:gridSpan w:val="2"/>
            <w:tcBorders>
              <w:top w:val="single" w:sz="18" w:space="0" w:color="auto"/>
              <w:left w:val="single" w:sz="18" w:space="0" w:color="auto"/>
              <w:bottom w:val="single" w:sz="18" w:space="0" w:color="auto"/>
              <w:right w:val="single" w:sz="18" w:space="0" w:color="auto"/>
            </w:tcBorders>
            <w:shd w:val="clear" w:color="auto" w:fill="000000"/>
          </w:tcPr>
          <w:p w14:paraId="287BDFEB" w14:textId="77777777" w:rsidR="003D7F4A" w:rsidRPr="00EA0CF2" w:rsidRDefault="003D7F4A" w:rsidP="007E39B7">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2019/20</w:t>
            </w:r>
          </w:p>
        </w:tc>
      </w:tr>
      <w:tr w:rsidR="003D7F4A" w:rsidRPr="007E39B7" w14:paraId="66C1751D" w14:textId="77777777" w:rsidTr="003D7F4A">
        <w:tc>
          <w:tcPr>
            <w:tcW w:w="1505" w:type="dxa"/>
            <w:tcBorders>
              <w:top w:val="single" w:sz="18" w:space="0" w:color="auto"/>
              <w:left w:val="single" w:sz="18" w:space="0" w:color="auto"/>
              <w:bottom w:val="single" w:sz="18" w:space="0" w:color="auto"/>
              <w:right w:val="single" w:sz="18" w:space="0" w:color="auto"/>
            </w:tcBorders>
          </w:tcPr>
          <w:p w14:paraId="39DCA579" w14:textId="77777777" w:rsidR="003D7F4A" w:rsidRPr="007E39B7" w:rsidRDefault="003D7F4A" w:rsidP="003D7F4A">
            <w:pPr>
              <w:autoSpaceDE w:val="0"/>
              <w:autoSpaceDN w:val="0"/>
              <w:adjustRightInd w:val="0"/>
              <w:spacing w:before="240"/>
              <w:jc w:val="center"/>
              <w:rPr>
                <w:rFonts w:ascii="Helv" w:hAnsi="Helv" w:cs="Helv"/>
                <w:b/>
                <w:color w:val="000000"/>
                <w:sz w:val="20"/>
                <w:szCs w:val="20"/>
                <w:lang w:eastAsia="en-AU"/>
              </w:rPr>
            </w:pPr>
            <w:r w:rsidRPr="007E39B7">
              <w:rPr>
                <w:rFonts w:ascii="Helv" w:hAnsi="Helv" w:cs="Helv"/>
                <w:b/>
                <w:color w:val="000000"/>
                <w:sz w:val="20"/>
                <w:szCs w:val="20"/>
                <w:lang w:eastAsia="en-AU"/>
              </w:rPr>
              <w:t>LOCATION</w:t>
            </w:r>
          </w:p>
        </w:tc>
        <w:tc>
          <w:tcPr>
            <w:tcW w:w="839" w:type="dxa"/>
            <w:tcBorders>
              <w:top w:val="single" w:sz="18" w:space="0" w:color="auto"/>
              <w:left w:val="single" w:sz="18" w:space="0" w:color="auto"/>
              <w:bottom w:val="single" w:sz="18" w:space="0" w:color="auto"/>
            </w:tcBorders>
          </w:tcPr>
          <w:p w14:paraId="60C4EFB7" w14:textId="77777777" w:rsidR="003D7F4A" w:rsidRPr="007E39B7" w:rsidRDefault="003D7F4A" w:rsidP="003D7F4A">
            <w:pPr>
              <w:autoSpaceDE w:val="0"/>
              <w:autoSpaceDN w:val="0"/>
              <w:adjustRightInd w:val="0"/>
              <w:spacing w:before="60" w:after="60"/>
              <w:jc w:val="center"/>
              <w:rPr>
                <w:rFonts w:ascii="Helv" w:hAnsi="Helv" w:cs="Helv"/>
                <w:b/>
                <w:color w:val="000000"/>
                <w:sz w:val="20"/>
                <w:szCs w:val="20"/>
                <w:lang w:eastAsia="en-AU"/>
              </w:rPr>
            </w:pPr>
            <w:r w:rsidRPr="003D4AA6">
              <w:rPr>
                <w:rFonts w:ascii="Helv" w:hAnsi="Helv" w:cs="Helv"/>
                <w:b/>
                <w:color w:val="000000"/>
                <w:sz w:val="16"/>
                <w:szCs w:val="16"/>
                <w:lang w:eastAsia="en-AU"/>
              </w:rPr>
              <w:t>Number of young persons</w:t>
            </w:r>
          </w:p>
        </w:tc>
        <w:tc>
          <w:tcPr>
            <w:tcW w:w="857" w:type="dxa"/>
            <w:tcBorders>
              <w:top w:val="single" w:sz="18" w:space="0" w:color="auto"/>
              <w:bottom w:val="single" w:sz="18" w:space="0" w:color="auto"/>
              <w:right w:val="single" w:sz="18" w:space="0" w:color="auto"/>
            </w:tcBorders>
          </w:tcPr>
          <w:p w14:paraId="7E2D3ABC" w14:textId="77777777" w:rsidR="003D7F4A" w:rsidRPr="007E39B7" w:rsidRDefault="003D7F4A" w:rsidP="003D7F4A">
            <w:pPr>
              <w:autoSpaceDE w:val="0"/>
              <w:autoSpaceDN w:val="0"/>
              <w:adjustRightInd w:val="0"/>
              <w:spacing w:before="120"/>
              <w:jc w:val="center"/>
              <w:rPr>
                <w:rFonts w:ascii="Helv" w:hAnsi="Helv" w:cs="Helv"/>
                <w:b/>
                <w:color w:val="000000"/>
                <w:sz w:val="20"/>
                <w:szCs w:val="20"/>
                <w:lang w:eastAsia="en-AU"/>
              </w:rPr>
            </w:pPr>
            <w:r w:rsidRPr="003D4AA6">
              <w:rPr>
                <w:rFonts w:ascii="Helv" w:hAnsi="Helv" w:cs="Helv"/>
                <w:b/>
                <w:color w:val="000000"/>
                <w:sz w:val="16"/>
                <w:szCs w:val="16"/>
                <w:lang w:eastAsia="en-AU"/>
              </w:rPr>
              <w:t>Matters finalized</w:t>
            </w:r>
          </w:p>
        </w:tc>
        <w:tc>
          <w:tcPr>
            <w:tcW w:w="839" w:type="dxa"/>
            <w:tcBorders>
              <w:top w:val="single" w:sz="18" w:space="0" w:color="auto"/>
              <w:left w:val="single" w:sz="18" w:space="0" w:color="auto"/>
              <w:bottom w:val="single" w:sz="18" w:space="0" w:color="auto"/>
            </w:tcBorders>
          </w:tcPr>
          <w:p w14:paraId="283336C9" w14:textId="77777777" w:rsidR="003D7F4A" w:rsidRPr="007E39B7" w:rsidRDefault="003D7F4A" w:rsidP="003D7F4A">
            <w:pPr>
              <w:autoSpaceDE w:val="0"/>
              <w:autoSpaceDN w:val="0"/>
              <w:adjustRightInd w:val="0"/>
              <w:spacing w:before="60"/>
              <w:jc w:val="center"/>
              <w:rPr>
                <w:rFonts w:ascii="Helv" w:hAnsi="Helv" w:cs="Helv"/>
                <w:b/>
                <w:color w:val="000000"/>
                <w:sz w:val="20"/>
                <w:szCs w:val="20"/>
                <w:lang w:eastAsia="en-AU"/>
              </w:rPr>
            </w:pPr>
            <w:r w:rsidRPr="003D4AA6">
              <w:rPr>
                <w:rFonts w:ascii="Helv" w:hAnsi="Helv" w:cs="Helv"/>
                <w:b/>
                <w:color w:val="000000"/>
                <w:sz w:val="16"/>
                <w:szCs w:val="16"/>
                <w:lang w:eastAsia="en-AU"/>
              </w:rPr>
              <w:t>Number of young persons</w:t>
            </w:r>
          </w:p>
        </w:tc>
        <w:tc>
          <w:tcPr>
            <w:tcW w:w="857" w:type="dxa"/>
            <w:tcBorders>
              <w:top w:val="single" w:sz="18" w:space="0" w:color="auto"/>
              <w:bottom w:val="single" w:sz="18" w:space="0" w:color="auto"/>
              <w:right w:val="single" w:sz="18" w:space="0" w:color="auto"/>
            </w:tcBorders>
          </w:tcPr>
          <w:p w14:paraId="4FC9737E" w14:textId="77777777" w:rsidR="003D7F4A" w:rsidRPr="003D4AA6" w:rsidRDefault="003D7F4A" w:rsidP="003D7F4A">
            <w:pPr>
              <w:autoSpaceDE w:val="0"/>
              <w:autoSpaceDN w:val="0"/>
              <w:adjustRightInd w:val="0"/>
              <w:spacing w:before="120"/>
              <w:jc w:val="center"/>
              <w:rPr>
                <w:rFonts w:ascii="Helv" w:hAnsi="Helv" w:cs="Helv"/>
                <w:b/>
                <w:color w:val="000000"/>
                <w:sz w:val="16"/>
                <w:szCs w:val="16"/>
                <w:lang w:eastAsia="en-AU"/>
              </w:rPr>
            </w:pPr>
            <w:r w:rsidRPr="003D4AA6">
              <w:rPr>
                <w:rFonts w:ascii="Helv" w:hAnsi="Helv" w:cs="Helv"/>
                <w:b/>
                <w:color w:val="000000"/>
                <w:sz w:val="16"/>
                <w:szCs w:val="16"/>
                <w:lang w:eastAsia="en-AU"/>
              </w:rPr>
              <w:t>Matters finalized</w:t>
            </w:r>
          </w:p>
        </w:tc>
        <w:tc>
          <w:tcPr>
            <w:tcW w:w="839" w:type="dxa"/>
            <w:tcBorders>
              <w:top w:val="single" w:sz="18" w:space="0" w:color="auto"/>
              <w:bottom w:val="single" w:sz="18" w:space="0" w:color="auto"/>
              <w:right w:val="single" w:sz="4" w:space="0" w:color="auto"/>
            </w:tcBorders>
          </w:tcPr>
          <w:p w14:paraId="7E6084A2" w14:textId="77777777" w:rsidR="003D7F4A" w:rsidRPr="003D4AA6" w:rsidRDefault="003D7F4A" w:rsidP="003D7F4A">
            <w:pPr>
              <w:autoSpaceDE w:val="0"/>
              <w:autoSpaceDN w:val="0"/>
              <w:adjustRightInd w:val="0"/>
              <w:spacing w:before="60"/>
              <w:jc w:val="center"/>
              <w:rPr>
                <w:rFonts w:ascii="Helv" w:hAnsi="Helv" w:cs="Helv"/>
                <w:b/>
                <w:color w:val="000000"/>
                <w:sz w:val="16"/>
                <w:szCs w:val="16"/>
                <w:lang w:eastAsia="en-AU"/>
              </w:rPr>
            </w:pPr>
            <w:r w:rsidRPr="003D4AA6">
              <w:rPr>
                <w:rFonts w:ascii="Helv" w:hAnsi="Helv" w:cs="Helv"/>
                <w:b/>
                <w:color w:val="000000"/>
                <w:sz w:val="16"/>
                <w:szCs w:val="16"/>
                <w:lang w:eastAsia="en-AU"/>
              </w:rPr>
              <w:t>Number of young persons</w:t>
            </w:r>
          </w:p>
        </w:tc>
        <w:tc>
          <w:tcPr>
            <w:tcW w:w="857" w:type="dxa"/>
            <w:tcBorders>
              <w:top w:val="single" w:sz="18" w:space="0" w:color="auto"/>
              <w:left w:val="single" w:sz="4" w:space="0" w:color="auto"/>
              <w:bottom w:val="single" w:sz="18" w:space="0" w:color="auto"/>
              <w:right w:val="single" w:sz="18" w:space="0" w:color="auto"/>
            </w:tcBorders>
          </w:tcPr>
          <w:p w14:paraId="57CD2F37" w14:textId="77777777" w:rsidR="003D7F4A" w:rsidRPr="003D4AA6" w:rsidRDefault="003D7F4A" w:rsidP="003D7F4A">
            <w:pPr>
              <w:autoSpaceDE w:val="0"/>
              <w:autoSpaceDN w:val="0"/>
              <w:adjustRightInd w:val="0"/>
              <w:spacing w:before="120"/>
              <w:jc w:val="center"/>
              <w:rPr>
                <w:rFonts w:ascii="Helv" w:hAnsi="Helv" w:cs="Helv"/>
                <w:b/>
                <w:color w:val="000000"/>
                <w:sz w:val="16"/>
                <w:szCs w:val="16"/>
                <w:lang w:eastAsia="en-AU"/>
              </w:rPr>
            </w:pPr>
            <w:r w:rsidRPr="003D4AA6">
              <w:rPr>
                <w:rFonts w:ascii="Helv" w:hAnsi="Helv" w:cs="Helv"/>
                <w:b/>
                <w:color w:val="000000"/>
                <w:sz w:val="16"/>
                <w:szCs w:val="16"/>
                <w:lang w:eastAsia="en-AU"/>
              </w:rPr>
              <w:t>Matters finalized</w:t>
            </w:r>
          </w:p>
        </w:tc>
        <w:tc>
          <w:tcPr>
            <w:tcW w:w="839" w:type="dxa"/>
            <w:tcBorders>
              <w:top w:val="single" w:sz="18" w:space="0" w:color="auto"/>
              <w:bottom w:val="single" w:sz="18" w:space="0" w:color="auto"/>
              <w:right w:val="single" w:sz="4" w:space="0" w:color="auto"/>
            </w:tcBorders>
          </w:tcPr>
          <w:p w14:paraId="75992E43" w14:textId="77777777" w:rsidR="003D7F4A" w:rsidRPr="003D4AA6" w:rsidRDefault="003D7F4A" w:rsidP="003D7F4A">
            <w:pPr>
              <w:autoSpaceDE w:val="0"/>
              <w:autoSpaceDN w:val="0"/>
              <w:adjustRightInd w:val="0"/>
              <w:spacing w:before="60"/>
              <w:jc w:val="center"/>
              <w:rPr>
                <w:rFonts w:ascii="Helv" w:hAnsi="Helv" w:cs="Helv"/>
                <w:b/>
                <w:color w:val="000000"/>
                <w:sz w:val="16"/>
                <w:szCs w:val="16"/>
                <w:lang w:eastAsia="en-AU"/>
              </w:rPr>
            </w:pPr>
            <w:r w:rsidRPr="003D4AA6">
              <w:rPr>
                <w:rFonts w:ascii="Helv" w:hAnsi="Helv" w:cs="Helv"/>
                <w:b/>
                <w:color w:val="000000"/>
                <w:sz w:val="16"/>
                <w:szCs w:val="16"/>
                <w:lang w:eastAsia="en-AU"/>
              </w:rPr>
              <w:t>Number of young persons</w:t>
            </w:r>
          </w:p>
        </w:tc>
        <w:tc>
          <w:tcPr>
            <w:tcW w:w="857" w:type="dxa"/>
            <w:tcBorders>
              <w:top w:val="single" w:sz="18" w:space="0" w:color="auto"/>
              <w:left w:val="single" w:sz="4" w:space="0" w:color="auto"/>
              <w:bottom w:val="single" w:sz="18" w:space="0" w:color="auto"/>
              <w:right w:val="single" w:sz="18" w:space="0" w:color="auto"/>
            </w:tcBorders>
          </w:tcPr>
          <w:p w14:paraId="1090C604" w14:textId="77777777" w:rsidR="003D7F4A" w:rsidRPr="003D4AA6" w:rsidRDefault="003D7F4A" w:rsidP="003D7F4A">
            <w:pPr>
              <w:autoSpaceDE w:val="0"/>
              <w:autoSpaceDN w:val="0"/>
              <w:adjustRightInd w:val="0"/>
              <w:spacing w:before="120"/>
              <w:jc w:val="center"/>
              <w:rPr>
                <w:rFonts w:ascii="Helv" w:hAnsi="Helv" w:cs="Helv"/>
                <w:b/>
                <w:color w:val="000000"/>
                <w:sz w:val="16"/>
                <w:szCs w:val="16"/>
                <w:lang w:eastAsia="en-AU"/>
              </w:rPr>
            </w:pPr>
            <w:r w:rsidRPr="003D4AA6">
              <w:rPr>
                <w:rFonts w:ascii="Helv" w:hAnsi="Helv" w:cs="Helv"/>
                <w:b/>
                <w:color w:val="000000"/>
                <w:sz w:val="16"/>
                <w:szCs w:val="16"/>
                <w:lang w:eastAsia="en-AU"/>
              </w:rPr>
              <w:t>Matters finalized</w:t>
            </w:r>
          </w:p>
        </w:tc>
        <w:tc>
          <w:tcPr>
            <w:tcW w:w="839" w:type="dxa"/>
            <w:tcBorders>
              <w:top w:val="single" w:sz="18" w:space="0" w:color="auto"/>
              <w:left w:val="single" w:sz="4" w:space="0" w:color="auto"/>
              <w:bottom w:val="single" w:sz="18" w:space="0" w:color="auto"/>
              <w:right w:val="single" w:sz="18" w:space="0" w:color="auto"/>
            </w:tcBorders>
          </w:tcPr>
          <w:p w14:paraId="1D093CBB" w14:textId="77777777" w:rsidR="003D7F4A" w:rsidRPr="003D4AA6" w:rsidRDefault="003D7F4A" w:rsidP="003D7F4A">
            <w:pPr>
              <w:autoSpaceDE w:val="0"/>
              <w:autoSpaceDN w:val="0"/>
              <w:adjustRightInd w:val="0"/>
              <w:spacing w:before="60" w:after="60"/>
              <w:jc w:val="center"/>
              <w:rPr>
                <w:rFonts w:ascii="Helv" w:hAnsi="Helv" w:cs="Helv"/>
                <w:b/>
                <w:color w:val="000000"/>
                <w:sz w:val="16"/>
                <w:szCs w:val="16"/>
                <w:lang w:eastAsia="en-AU"/>
              </w:rPr>
            </w:pPr>
            <w:r w:rsidRPr="003D4AA6">
              <w:rPr>
                <w:rFonts w:ascii="Helv" w:hAnsi="Helv" w:cs="Helv"/>
                <w:b/>
                <w:color w:val="000000"/>
                <w:sz w:val="16"/>
                <w:szCs w:val="16"/>
                <w:lang w:eastAsia="en-AU"/>
              </w:rPr>
              <w:t>Number of young persons</w:t>
            </w:r>
          </w:p>
        </w:tc>
        <w:tc>
          <w:tcPr>
            <w:tcW w:w="857" w:type="dxa"/>
            <w:tcBorders>
              <w:top w:val="single" w:sz="18" w:space="0" w:color="auto"/>
              <w:left w:val="single" w:sz="4" w:space="0" w:color="auto"/>
              <w:bottom w:val="single" w:sz="18" w:space="0" w:color="auto"/>
              <w:right w:val="single" w:sz="18" w:space="0" w:color="auto"/>
            </w:tcBorders>
          </w:tcPr>
          <w:p w14:paraId="066B8B08" w14:textId="77777777" w:rsidR="003D7F4A" w:rsidRPr="003D4AA6" w:rsidRDefault="003D7F4A" w:rsidP="003D7F4A">
            <w:pPr>
              <w:autoSpaceDE w:val="0"/>
              <w:autoSpaceDN w:val="0"/>
              <w:adjustRightInd w:val="0"/>
              <w:spacing w:before="120"/>
              <w:jc w:val="center"/>
              <w:rPr>
                <w:rFonts w:ascii="Helv" w:hAnsi="Helv" w:cs="Helv"/>
                <w:b/>
                <w:color w:val="000000"/>
                <w:sz w:val="16"/>
                <w:szCs w:val="16"/>
                <w:lang w:eastAsia="en-AU"/>
              </w:rPr>
            </w:pPr>
            <w:r w:rsidRPr="003D4AA6">
              <w:rPr>
                <w:rFonts w:ascii="Helv" w:hAnsi="Helv" w:cs="Helv"/>
                <w:b/>
                <w:color w:val="000000"/>
                <w:sz w:val="16"/>
                <w:szCs w:val="16"/>
                <w:lang w:eastAsia="en-AU"/>
              </w:rPr>
              <w:t>Matters finalized</w:t>
            </w:r>
          </w:p>
        </w:tc>
      </w:tr>
      <w:tr w:rsidR="003D7F4A" w:rsidRPr="007E39B7" w14:paraId="40E0F4D7" w14:textId="77777777" w:rsidTr="003D7F4A">
        <w:tc>
          <w:tcPr>
            <w:tcW w:w="1505" w:type="dxa"/>
            <w:tcBorders>
              <w:left w:val="single" w:sz="18" w:space="0" w:color="auto"/>
              <w:right w:val="single" w:sz="18" w:space="0" w:color="auto"/>
            </w:tcBorders>
          </w:tcPr>
          <w:p w14:paraId="26B6D71E"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Dandenong</w:t>
            </w:r>
          </w:p>
        </w:tc>
        <w:tc>
          <w:tcPr>
            <w:tcW w:w="839" w:type="dxa"/>
            <w:tcBorders>
              <w:left w:val="single" w:sz="18" w:space="0" w:color="auto"/>
            </w:tcBorders>
          </w:tcPr>
          <w:p w14:paraId="4F675DDC"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18</w:t>
            </w:r>
          </w:p>
        </w:tc>
        <w:tc>
          <w:tcPr>
            <w:tcW w:w="857" w:type="dxa"/>
            <w:tcBorders>
              <w:right w:val="single" w:sz="18" w:space="0" w:color="auto"/>
            </w:tcBorders>
          </w:tcPr>
          <w:p w14:paraId="4B889118"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16</w:t>
            </w:r>
          </w:p>
        </w:tc>
        <w:tc>
          <w:tcPr>
            <w:tcW w:w="839" w:type="dxa"/>
            <w:tcBorders>
              <w:left w:val="single" w:sz="18" w:space="0" w:color="auto"/>
            </w:tcBorders>
          </w:tcPr>
          <w:p w14:paraId="51332D32"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24</w:t>
            </w:r>
          </w:p>
        </w:tc>
        <w:tc>
          <w:tcPr>
            <w:tcW w:w="857" w:type="dxa"/>
            <w:tcBorders>
              <w:right w:val="single" w:sz="18" w:space="0" w:color="auto"/>
            </w:tcBorders>
          </w:tcPr>
          <w:p w14:paraId="3359AB16"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31</w:t>
            </w:r>
          </w:p>
        </w:tc>
        <w:tc>
          <w:tcPr>
            <w:tcW w:w="839" w:type="dxa"/>
            <w:tcBorders>
              <w:right w:val="single" w:sz="4" w:space="0" w:color="auto"/>
            </w:tcBorders>
          </w:tcPr>
          <w:p w14:paraId="12052F41"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10</w:t>
            </w:r>
          </w:p>
        </w:tc>
        <w:tc>
          <w:tcPr>
            <w:tcW w:w="857" w:type="dxa"/>
            <w:tcBorders>
              <w:left w:val="single" w:sz="4" w:space="0" w:color="auto"/>
              <w:right w:val="single" w:sz="18" w:space="0" w:color="auto"/>
            </w:tcBorders>
          </w:tcPr>
          <w:p w14:paraId="6BF2964B"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9</w:t>
            </w:r>
          </w:p>
        </w:tc>
        <w:tc>
          <w:tcPr>
            <w:tcW w:w="839" w:type="dxa"/>
            <w:tcBorders>
              <w:right w:val="single" w:sz="4" w:space="0" w:color="auto"/>
            </w:tcBorders>
          </w:tcPr>
          <w:p w14:paraId="547CB89A"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11</w:t>
            </w:r>
          </w:p>
        </w:tc>
        <w:tc>
          <w:tcPr>
            <w:tcW w:w="857" w:type="dxa"/>
            <w:tcBorders>
              <w:left w:val="single" w:sz="4" w:space="0" w:color="auto"/>
              <w:right w:val="single" w:sz="18" w:space="0" w:color="auto"/>
            </w:tcBorders>
          </w:tcPr>
          <w:p w14:paraId="4FC2C170"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23</w:t>
            </w:r>
          </w:p>
        </w:tc>
        <w:tc>
          <w:tcPr>
            <w:tcW w:w="839" w:type="dxa"/>
            <w:tcBorders>
              <w:left w:val="single" w:sz="4" w:space="0" w:color="auto"/>
              <w:right w:val="single" w:sz="18" w:space="0" w:color="auto"/>
            </w:tcBorders>
          </w:tcPr>
          <w:p w14:paraId="7D83C930" w14:textId="77777777" w:rsidR="003D7F4A" w:rsidRDefault="00C943E9"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6</w:t>
            </w:r>
          </w:p>
        </w:tc>
        <w:tc>
          <w:tcPr>
            <w:tcW w:w="857" w:type="dxa"/>
            <w:tcBorders>
              <w:left w:val="single" w:sz="4" w:space="0" w:color="auto"/>
              <w:right w:val="single" w:sz="18" w:space="0" w:color="auto"/>
            </w:tcBorders>
          </w:tcPr>
          <w:p w14:paraId="43CA3F08" w14:textId="77777777" w:rsidR="003D7F4A" w:rsidRDefault="00C943E9"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46</w:t>
            </w:r>
          </w:p>
        </w:tc>
      </w:tr>
      <w:tr w:rsidR="003D7F4A" w:rsidRPr="007E39B7" w14:paraId="7331FCF2" w14:textId="77777777" w:rsidTr="003D7F4A">
        <w:tc>
          <w:tcPr>
            <w:tcW w:w="1505" w:type="dxa"/>
            <w:tcBorders>
              <w:left w:val="single" w:sz="18" w:space="0" w:color="auto"/>
              <w:right w:val="single" w:sz="18" w:space="0" w:color="auto"/>
            </w:tcBorders>
          </w:tcPr>
          <w:p w14:paraId="111DBB45"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Geelong</w:t>
            </w:r>
          </w:p>
        </w:tc>
        <w:tc>
          <w:tcPr>
            <w:tcW w:w="839" w:type="dxa"/>
            <w:tcBorders>
              <w:left w:val="single" w:sz="18" w:space="0" w:color="auto"/>
            </w:tcBorders>
          </w:tcPr>
          <w:p w14:paraId="3CA5ED67"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w:t>
            </w:r>
            <w:r w:rsidRPr="007E39B7">
              <w:rPr>
                <w:rFonts w:ascii="Helv" w:hAnsi="Helv" w:cs="Helv"/>
                <w:b/>
                <w:color w:val="000000"/>
                <w:sz w:val="20"/>
                <w:szCs w:val="20"/>
                <w:lang w:eastAsia="en-AU"/>
              </w:rPr>
              <w:t>-</w:t>
            </w:r>
          </w:p>
        </w:tc>
        <w:tc>
          <w:tcPr>
            <w:tcW w:w="857" w:type="dxa"/>
            <w:tcBorders>
              <w:right w:val="single" w:sz="18" w:space="0" w:color="auto"/>
            </w:tcBorders>
          </w:tcPr>
          <w:p w14:paraId="4491701E"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w:t>
            </w:r>
            <w:r>
              <w:rPr>
                <w:rFonts w:ascii="Helv" w:hAnsi="Helv" w:cs="Helv"/>
                <w:b/>
                <w:color w:val="000000"/>
                <w:sz w:val="20"/>
                <w:szCs w:val="20"/>
                <w:lang w:eastAsia="en-AU"/>
              </w:rPr>
              <w:t>--</w:t>
            </w:r>
          </w:p>
        </w:tc>
        <w:tc>
          <w:tcPr>
            <w:tcW w:w="839" w:type="dxa"/>
            <w:tcBorders>
              <w:left w:val="single" w:sz="18" w:space="0" w:color="auto"/>
            </w:tcBorders>
          </w:tcPr>
          <w:p w14:paraId="1A8717BA"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13</w:t>
            </w:r>
          </w:p>
        </w:tc>
        <w:tc>
          <w:tcPr>
            <w:tcW w:w="857" w:type="dxa"/>
            <w:tcBorders>
              <w:right w:val="single" w:sz="18" w:space="0" w:color="auto"/>
            </w:tcBorders>
          </w:tcPr>
          <w:p w14:paraId="4BA5F277"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26</w:t>
            </w:r>
          </w:p>
        </w:tc>
        <w:tc>
          <w:tcPr>
            <w:tcW w:w="839" w:type="dxa"/>
            <w:tcBorders>
              <w:right w:val="single" w:sz="4" w:space="0" w:color="auto"/>
            </w:tcBorders>
          </w:tcPr>
          <w:p w14:paraId="3853AC67"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32</w:t>
            </w:r>
          </w:p>
        </w:tc>
        <w:tc>
          <w:tcPr>
            <w:tcW w:w="857" w:type="dxa"/>
            <w:tcBorders>
              <w:left w:val="single" w:sz="4" w:space="0" w:color="auto"/>
              <w:right w:val="single" w:sz="18" w:space="0" w:color="auto"/>
            </w:tcBorders>
          </w:tcPr>
          <w:p w14:paraId="7D09B7D7"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41</w:t>
            </w:r>
          </w:p>
        </w:tc>
        <w:tc>
          <w:tcPr>
            <w:tcW w:w="839" w:type="dxa"/>
            <w:tcBorders>
              <w:right w:val="single" w:sz="4" w:space="0" w:color="auto"/>
            </w:tcBorders>
          </w:tcPr>
          <w:p w14:paraId="78DEBDCB"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14</w:t>
            </w:r>
          </w:p>
        </w:tc>
        <w:tc>
          <w:tcPr>
            <w:tcW w:w="857" w:type="dxa"/>
            <w:tcBorders>
              <w:left w:val="single" w:sz="4" w:space="0" w:color="auto"/>
              <w:right w:val="single" w:sz="18" w:space="0" w:color="auto"/>
            </w:tcBorders>
          </w:tcPr>
          <w:p w14:paraId="14241D58"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44</w:t>
            </w:r>
          </w:p>
        </w:tc>
        <w:tc>
          <w:tcPr>
            <w:tcW w:w="839" w:type="dxa"/>
            <w:tcBorders>
              <w:left w:val="single" w:sz="4" w:space="0" w:color="auto"/>
              <w:right w:val="single" w:sz="18" w:space="0" w:color="auto"/>
            </w:tcBorders>
          </w:tcPr>
          <w:p w14:paraId="4886718A"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17</w:t>
            </w:r>
          </w:p>
        </w:tc>
        <w:tc>
          <w:tcPr>
            <w:tcW w:w="857" w:type="dxa"/>
            <w:tcBorders>
              <w:left w:val="single" w:sz="4" w:space="0" w:color="auto"/>
              <w:right w:val="single" w:sz="18" w:space="0" w:color="auto"/>
            </w:tcBorders>
          </w:tcPr>
          <w:p w14:paraId="68BE9A4A"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14</w:t>
            </w:r>
          </w:p>
        </w:tc>
      </w:tr>
      <w:tr w:rsidR="003D7F4A" w:rsidRPr="007E39B7" w14:paraId="35133217" w14:textId="77777777" w:rsidTr="003D7F4A">
        <w:tc>
          <w:tcPr>
            <w:tcW w:w="1505" w:type="dxa"/>
            <w:tcBorders>
              <w:left w:val="single" w:sz="18" w:space="0" w:color="auto"/>
              <w:right w:val="single" w:sz="18" w:space="0" w:color="auto"/>
            </w:tcBorders>
          </w:tcPr>
          <w:p w14:paraId="5FC1B79D"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Heidelberg</w:t>
            </w:r>
          </w:p>
        </w:tc>
        <w:tc>
          <w:tcPr>
            <w:tcW w:w="839" w:type="dxa"/>
            <w:tcBorders>
              <w:left w:val="single" w:sz="18" w:space="0" w:color="auto"/>
            </w:tcBorders>
          </w:tcPr>
          <w:p w14:paraId="25ADEADD"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4</w:t>
            </w:r>
          </w:p>
        </w:tc>
        <w:tc>
          <w:tcPr>
            <w:tcW w:w="857" w:type="dxa"/>
            <w:tcBorders>
              <w:right w:val="single" w:sz="18" w:space="0" w:color="auto"/>
            </w:tcBorders>
          </w:tcPr>
          <w:p w14:paraId="1C17D82F"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w:t>
            </w:r>
          </w:p>
        </w:tc>
        <w:tc>
          <w:tcPr>
            <w:tcW w:w="839" w:type="dxa"/>
            <w:tcBorders>
              <w:left w:val="single" w:sz="18" w:space="0" w:color="auto"/>
            </w:tcBorders>
          </w:tcPr>
          <w:p w14:paraId="59CD49E1"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19</w:t>
            </w:r>
          </w:p>
        </w:tc>
        <w:tc>
          <w:tcPr>
            <w:tcW w:w="857" w:type="dxa"/>
            <w:tcBorders>
              <w:right w:val="single" w:sz="18" w:space="0" w:color="auto"/>
            </w:tcBorders>
          </w:tcPr>
          <w:p w14:paraId="33982F88"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37</w:t>
            </w:r>
          </w:p>
        </w:tc>
        <w:tc>
          <w:tcPr>
            <w:tcW w:w="839" w:type="dxa"/>
            <w:tcBorders>
              <w:right w:val="single" w:sz="4" w:space="0" w:color="auto"/>
            </w:tcBorders>
          </w:tcPr>
          <w:p w14:paraId="7064325F"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32</w:t>
            </w:r>
          </w:p>
        </w:tc>
        <w:tc>
          <w:tcPr>
            <w:tcW w:w="857" w:type="dxa"/>
            <w:tcBorders>
              <w:left w:val="single" w:sz="4" w:space="0" w:color="auto"/>
              <w:right w:val="single" w:sz="18" w:space="0" w:color="auto"/>
            </w:tcBorders>
          </w:tcPr>
          <w:p w14:paraId="4EED48AB"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20</w:t>
            </w:r>
          </w:p>
        </w:tc>
        <w:tc>
          <w:tcPr>
            <w:tcW w:w="839" w:type="dxa"/>
            <w:tcBorders>
              <w:right w:val="single" w:sz="4" w:space="0" w:color="auto"/>
            </w:tcBorders>
          </w:tcPr>
          <w:p w14:paraId="0009A02B"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12</w:t>
            </w:r>
          </w:p>
        </w:tc>
        <w:tc>
          <w:tcPr>
            <w:tcW w:w="857" w:type="dxa"/>
            <w:tcBorders>
              <w:left w:val="single" w:sz="4" w:space="0" w:color="auto"/>
              <w:right w:val="single" w:sz="18" w:space="0" w:color="auto"/>
            </w:tcBorders>
          </w:tcPr>
          <w:p w14:paraId="0C522F25" w14:textId="77777777" w:rsidR="003D7F4A" w:rsidRPr="007E39B7" w:rsidRDefault="00F1274D"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7</w:t>
            </w:r>
          </w:p>
        </w:tc>
        <w:tc>
          <w:tcPr>
            <w:tcW w:w="839" w:type="dxa"/>
            <w:tcBorders>
              <w:left w:val="single" w:sz="4" w:space="0" w:color="auto"/>
              <w:right w:val="single" w:sz="18" w:space="0" w:color="auto"/>
            </w:tcBorders>
          </w:tcPr>
          <w:p w14:paraId="47E767A6" w14:textId="77777777" w:rsidR="003D7F4A" w:rsidRPr="007E39B7"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17</w:t>
            </w:r>
          </w:p>
        </w:tc>
        <w:tc>
          <w:tcPr>
            <w:tcW w:w="857" w:type="dxa"/>
            <w:tcBorders>
              <w:left w:val="single" w:sz="4" w:space="0" w:color="auto"/>
              <w:right w:val="single" w:sz="18" w:space="0" w:color="auto"/>
            </w:tcBorders>
          </w:tcPr>
          <w:p w14:paraId="13801E32" w14:textId="77777777" w:rsidR="003D7F4A" w:rsidRPr="007E39B7"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12</w:t>
            </w:r>
          </w:p>
        </w:tc>
      </w:tr>
      <w:tr w:rsidR="003D7F4A" w:rsidRPr="007E39B7" w14:paraId="339E5FB4" w14:textId="77777777" w:rsidTr="003D7F4A">
        <w:tc>
          <w:tcPr>
            <w:tcW w:w="1505" w:type="dxa"/>
            <w:tcBorders>
              <w:left w:val="single" w:sz="18" w:space="0" w:color="auto"/>
              <w:right w:val="single" w:sz="18" w:space="0" w:color="auto"/>
            </w:tcBorders>
          </w:tcPr>
          <w:p w14:paraId="3C757299" w14:textId="01DE0F96"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Latrobe</w:t>
            </w:r>
            <w:r w:rsidR="00376808">
              <w:rPr>
                <w:rFonts w:ascii="Helv" w:hAnsi="Helv" w:cs="Helv"/>
                <w:b/>
                <w:color w:val="000000"/>
                <w:sz w:val="20"/>
                <w:szCs w:val="20"/>
                <w:lang w:eastAsia="en-AU"/>
              </w:rPr>
              <w:t xml:space="preserve"> Vly</w:t>
            </w:r>
          </w:p>
        </w:tc>
        <w:tc>
          <w:tcPr>
            <w:tcW w:w="839" w:type="dxa"/>
            <w:tcBorders>
              <w:left w:val="single" w:sz="18" w:space="0" w:color="auto"/>
            </w:tcBorders>
          </w:tcPr>
          <w:p w14:paraId="00BA340C"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w:t>
            </w:r>
            <w:r>
              <w:rPr>
                <w:rFonts w:ascii="Helv" w:hAnsi="Helv" w:cs="Helv"/>
                <w:b/>
                <w:color w:val="000000"/>
                <w:sz w:val="20"/>
                <w:szCs w:val="20"/>
                <w:lang w:eastAsia="en-AU"/>
              </w:rPr>
              <w:t>9</w:t>
            </w:r>
          </w:p>
        </w:tc>
        <w:tc>
          <w:tcPr>
            <w:tcW w:w="857" w:type="dxa"/>
            <w:tcBorders>
              <w:right w:val="single" w:sz="18" w:space="0" w:color="auto"/>
            </w:tcBorders>
          </w:tcPr>
          <w:p w14:paraId="026B6962"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41</w:t>
            </w:r>
          </w:p>
        </w:tc>
        <w:tc>
          <w:tcPr>
            <w:tcW w:w="839" w:type="dxa"/>
            <w:tcBorders>
              <w:left w:val="single" w:sz="18" w:space="0" w:color="auto"/>
            </w:tcBorders>
          </w:tcPr>
          <w:p w14:paraId="6DB690D8"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14</w:t>
            </w:r>
          </w:p>
        </w:tc>
        <w:tc>
          <w:tcPr>
            <w:tcW w:w="857" w:type="dxa"/>
            <w:tcBorders>
              <w:right w:val="single" w:sz="18" w:space="0" w:color="auto"/>
            </w:tcBorders>
          </w:tcPr>
          <w:p w14:paraId="0FDF954F"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21</w:t>
            </w:r>
          </w:p>
        </w:tc>
        <w:tc>
          <w:tcPr>
            <w:tcW w:w="839" w:type="dxa"/>
            <w:tcBorders>
              <w:right w:val="single" w:sz="4" w:space="0" w:color="auto"/>
            </w:tcBorders>
          </w:tcPr>
          <w:p w14:paraId="0F6FB2F9"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14</w:t>
            </w:r>
          </w:p>
        </w:tc>
        <w:tc>
          <w:tcPr>
            <w:tcW w:w="857" w:type="dxa"/>
            <w:tcBorders>
              <w:left w:val="single" w:sz="4" w:space="0" w:color="auto"/>
              <w:right w:val="single" w:sz="18" w:space="0" w:color="auto"/>
            </w:tcBorders>
          </w:tcPr>
          <w:p w14:paraId="4B31A192"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42</w:t>
            </w:r>
          </w:p>
        </w:tc>
        <w:tc>
          <w:tcPr>
            <w:tcW w:w="839" w:type="dxa"/>
            <w:tcBorders>
              <w:right w:val="single" w:sz="4" w:space="0" w:color="auto"/>
            </w:tcBorders>
          </w:tcPr>
          <w:p w14:paraId="4A1030D6"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w:t>
            </w:r>
          </w:p>
        </w:tc>
        <w:tc>
          <w:tcPr>
            <w:tcW w:w="857" w:type="dxa"/>
            <w:tcBorders>
              <w:left w:val="single" w:sz="4" w:space="0" w:color="auto"/>
              <w:right w:val="single" w:sz="18" w:space="0" w:color="auto"/>
            </w:tcBorders>
          </w:tcPr>
          <w:p w14:paraId="6A2E5091"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39" w:type="dxa"/>
            <w:tcBorders>
              <w:left w:val="single" w:sz="4" w:space="0" w:color="auto"/>
              <w:right w:val="single" w:sz="18" w:space="0" w:color="auto"/>
            </w:tcBorders>
          </w:tcPr>
          <w:p w14:paraId="0DD5A7D1"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8</w:t>
            </w:r>
          </w:p>
        </w:tc>
        <w:tc>
          <w:tcPr>
            <w:tcW w:w="857" w:type="dxa"/>
            <w:tcBorders>
              <w:left w:val="single" w:sz="4" w:space="0" w:color="auto"/>
              <w:right w:val="single" w:sz="18" w:space="0" w:color="auto"/>
            </w:tcBorders>
          </w:tcPr>
          <w:p w14:paraId="5893A7EF"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20</w:t>
            </w:r>
          </w:p>
        </w:tc>
      </w:tr>
      <w:tr w:rsidR="003D7F4A" w:rsidRPr="007E39B7" w14:paraId="7806C05E" w14:textId="77777777" w:rsidTr="003D7F4A">
        <w:tc>
          <w:tcPr>
            <w:tcW w:w="1505" w:type="dxa"/>
            <w:tcBorders>
              <w:left w:val="single" w:sz="18" w:space="0" w:color="auto"/>
              <w:right w:val="single" w:sz="18" w:space="0" w:color="auto"/>
            </w:tcBorders>
          </w:tcPr>
          <w:p w14:paraId="5DCA5B19"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Melbourne</w:t>
            </w:r>
          </w:p>
        </w:tc>
        <w:tc>
          <w:tcPr>
            <w:tcW w:w="839" w:type="dxa"/>
            <w:tcBorders>
              <w:left w:val="single" w:sz="18" w:space="0" w:color="auto"/>
            </w:tcBorders>
          </w:tcPr>
          <w:p w14:paraId="3715BEB3"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37</w:t>
            </w:r>
          </w:p>
        </w:tc>
        <w:tc>
          <w:tcPr>
            <w:tcW w:w="857" w:type="dxa"/>
            <w:tcBorders>
              <w:right w:val="single" w:sz="18" w:space="0" w:color="auto"/>
            </w:tcBorders>
          </w:tcPr>
          <w:p w14:paraId="5841B317"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69</w:t>
            </w:r>
          </w:p>
        </w:tc>
        <w:tc>
          <w:tcPr>
            <w:tcW w:w="839" w:type="dxa"/>
            <w:tcBorders>
              <w:left w:val="single" w:sz="18" w:space="0" w:color="auto"/>
            </w:tcBorders>
          </w:tcPr>
          <w:p w14:paraId="6B805FEE"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22</w:t>
            </w:r>
          </w:p>
        </w:tc>
        <w:tc>
          <w:tcPr>
            <w:tcW w:w="857" w:type="dxa"/>
            <w:tcBorders>
              <w:right w:val="single" w:sz="18" w:space="0" w:color="auto"/>
            </w:tcBorders>
          </w:tcPr>
          <w:p w14:paraId="36ED20DA"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45</w:t>
            </w:r>
          </w:p>
        </w:tc>
        <w:tc>
          <w:tcPr>
            <w:tcW w:w="839" w:type="dxa"/>
            <w:tcBorders>
              <w:right w:val="single" w:sz="4" w:space="0" w:color="auto"/>
            </w:tcBorders>
          </w:tcPr>
          <w:p w14:paraId="42121A8B"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37</w:t>
            </w:r>
          </w:p>
        </w:tc>
        <w:tc>
          <w:tcPr>
            <w:tcW w:w="857" w:type="dxa"/>
            <w:tcBorders>
              <w:left w:val="single" w:sz="4" w:space="0" w:color="auto"/>
              <w:right w:val="single" w:sz="18" w:space="0" w:color="auto"/>
            </w:tcBorders>
          </w:tcPr>
          <w:p w14:paraId="4B912E0C"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79</w:t>
            </w:r>
          </w:p>
        </w:tc>
        <w:tc>
          <w:tcPr>
            <w:tcW w:w="839" w:type="dxa"/>
            <w:tcBorders>
              <w:right w:val="single" w:sz="4" w:space="0" w:color="auto"/>
            </w:tcBorders>
          </w:tcPr>
          <w:p w14:paraId="1BA05D40"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46</w:t>
            </w:r>
          </w:p>
        </w:tc>
        <w:tc>
          <w:tcPr>
            <w:tcW w:w="857" w:type="dxa"/>
            <w:tcBorders>
              <w:left w:val="single" w:sz="4" w:space="0" w:color="auto"/>
              <w:right w:val="single" w:sz="18" w:space="0" w:color="auto"/>
            </w:tcBorders>
          </w:tcPr>
          <w:p w14:paraId="72262063"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93</w:t>
            </w:r>
          </w:p>
        </w:tc>
        <w:tc>
          <w:tcPr>
            <w:tcW w:w="839" w:type="dxa"/>
            <w:tcBorders>
              <w:left w:val="single" w:sz="4" w:space="0" w:color="auto"/>
              <w:right w:val="single" w:sz="18" w:space="0" w:color="auto"/>
            </w:tcBorders>
          </w:tcPr>
          <w:p w14:paraId="3BB56263"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23</w:t>
            </w:r>
          </w:p>
        </w:tc>
        <w:tc>
          <w:tcPr>
            <w:tcW w:w="857" w:type="dxa"/>
            <w:tcBorders>
              <w:left w:val="single" w:sz="4" w:space="0" w:color="auto"/>
              <w:right w:val="single" w:sz="18" w:space="0" w:color="auto"/>
            </w:tcBorders>
          </w:tcPr>
          <w:p w14:paraId="388C4383"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18</w:t>
            </w:r>
          </w:p>
        </w:tc>
      </w:tr>
      <w:tr w:rsidR="003D7F4A" w:rsidRPr="007E39B7" w14:paraId="468274E6" w14:textId="77777777" w:rsidTr="003D7F4A">
        <w:tc>
          <w:tcPr>
            <w:tcW w:w="1505" w:type="dxa"/>
            <w:tcBorders>
              <w:left w:val="single" w:sz="18" w:space="0" w:color="auto"/>
              <w:right w:val="single" w:sz="18" w:space="0" w:color="auto"/>
            </w:tcBorders>
          </w:tcPr>
          <w:p w14:paraId="360ED6CD"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Mildura</w:t>
            </w:r>
          </w:p>
        </w:tc>
        <w:tc>
          <w:tcPr>
            <w:tcW w:w="839" w:type="dxa"/>
            <w:tcBorders>
              <w:left w:val="single" w:sz="18" w:space="0" w:color="auto"/>
            </w:tcBorders>
          </w:tcPr>
          <w:p w14:paraId="72534BAA"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55</w:t>
            </w:r>
          </w:p>
        </w:tc>
        <w:tc>
          <w:tcPr>
            <w:tcW w:w="857" w:type="dxa"/>
            <w:tcBorders>
              <w:right w:val="single" w:sz="18" w:space="0" w:color="auto"/>
            </w:tcBorders>
          </w:tcPr>
          <w:p w14:paraId="008AA6C2"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79</w:t>
            </w:r>
          </w:p>
        </w:tc>
        <w:tc>
          <w:tcPr>
            <w:tcW w:w="839" w:type="dxa"/>
            <w:tcBorders>
              <w:left w:val="single" w:sz="18" w:space="0" w:color="auto"/>
            </w:tcBorders>
          </w:tcPr>
          <w:p w14:paraId="622C0677"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48</w:t>
            </w:r>
          </w:p>
        </w:tc>
        <w:tc>
          <w:tcPr>
            <w:tcW w:w="857" w:type="dxa"/>
            <w:tcBorders>
              <w:right w:val="single" w:sz="18" w:space="0" w:color="auto"/>
            </w:tcBorders>
          </w:tcPr>
          <w:p w14:paraId="4E00E097"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46</w:t>
            </w:r>
          </w:p>
        </w:tc>
        <w:tc>
          <w:tcPr>
            <w:tcW w:w="839" w:type="dxa"/>
            <w:tcBorders>
              <w:right w:val="single" w:sz="4" w:space="0" w:color="auto"/>
            </w:tcBorders>
          </w:tcPr>
          <w:p w14:paraId="12B4F29A"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37</w:t>
            </w:r>
          </w:p>
        </w:tc>
        <w:tc>
          <w:tcPr>
            <w:tcW w:w="857" w:type="dxa"/>
            <w:tcBorders>
              <w:left w:val="single" w:sz="4" w:space="0" w:color="auto"/>
              <w:right w:val="single" w:sz="18" w:space="0" w:color="auto"/>
            </w:tcBorders>
          </w:tcPr>
          <w:p w14:paraId="42CBA715"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40</w:t>
            </w:r>
          </w:p>
        </w:tc>
        <w:tc>
          <w:tcPr>
            <w:tcW w:w="839" w:type="dxa"/>
            <w:tcBorders>
              <w:right w:val="single" w:sz="4" w:space="0" w:color="auto"/>
            </w:tcBorders>
          </w:tcPr>
          <w:p w14:paraId="19D59FC1"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21</w:t>
            </w:r>
          </w:p>
        </w:tc>
        <w:tc>
          <w:tcPr>
            <w:tcW w:w="857" w:type="dxa"/>
            <w:tcBorders>
              <w:left w:val="single" w:sz="4" w:space="0" w:color="auto"/>
              <w:right w:val="single" w:sz="18" w:space="0" w:color="auto"/>
            </w:tcBorders>
          </w:tcPr>
          <w:p w14:paraId="335E81C3"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23</w:t>
            </w:r>
          </w:p>
        </w:tc>
        <w:tc>
          <w:tcPr>
            <w:tcW w:w="839" w:type="dxa"/>
            <w:tcBorders>
              <w:left w:val="single" w:sz="4" w:space="0" w:color="auto"/>
              <w:right w:val="single" w:sz="18" w:space="0" w:color="auto"/>
            </w:tcBorders>
          </w:tcPr>
          <w:p w14:paraId="4BA4D6BA"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9</w:t>
            </w:r>
          </w:p>
        </w:tc>
        <w:tc>
          <w:tcPr>
            <w:tcW w:w="857" w:type="dxa"/>
            <w:tcBorders>
              <w:left w:val="single" w:sz="4" w:space="0" w:color="auto"/>
              <w:right w:val="single" w:sz="18" w:space="0" w:color="auto"/>
            </w:tcBorders>
          </w:tcPr>
          <w:p w14:paraId="0DCE82F4"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w:t>
            </w:r>
          </w:p>
        </w:tc>
      </w:tr>
      <w:tr w:rsidR="003D7F4A" w:rsidRPr="007E39B7" w14:paraId="1BD2664A" w14:textId="77777777" w:rsidTr="003D7F4A">
        <w:tc>
          <w:tcPr>
            <w:tcW w:w="1505" w:type="dxa"/>
            <w:tcBorders>
              <w:left w:val="single" w:sz="18" w:space="0" w:color="auto"/>
              <w:right w:val="single" w:sz="18" w:space="0" w:color="auto"/>
            </w:tcBorders>
          </w:tcPr>
          <w:p w14:paraId="15CB867B"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Shepparton</w:t>
            </w:r>
          </w:p>
        </w:tc>
        <w:tc>
          <w:tcPr>
            <w:tcW w:w="839" w:type="dxa"/>
            <w:tcBorders>
              <w:left w:val="single" w:sz="18" w:space="0" w:color="auto"/>
            </w:tcBorders>
          </w:tcPr>
          <w:p w14:paraId="3BF2D7E1"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10</w:t>
            </w:r>
          </w:p>
        </w:tc>
        <w:tc>
          <w:tcPr>
            <w:tcW w:w="857" w:type="dxa"/>
            <w:tcBorders>
              <w:right w:val="single" w:sz="18" w:space="0" w:color="auto"/>
            </w:tcBorders>
          </w:tcPr>
          <w:p w14:paraId="6E50993E"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27</w:t>
            </w:r>
          </w:p>
        </w:tc>
        <w:tc>
          <w:tcPr>
            <w:tcW w:w="839" w:type="dxa"/>
            <w:tcBorders>
              <w:left w:val="single" w:sz="18" w:space="0" w:color="auto"/>
            </w:tcBorders>
          </w:tcPr>
          <w:p w14:paraId="2513DCCE"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14</w:t>
            </w:r>
          </w:p>
        </w:tc>
        <w:tc>
          <w:tcPr>
            <w:tcW w:w="857" w:type="dxa"/>
            <w:tcBorders>
              <w:right w:val="single" w:sz="18" w:space="0" w:color="auto"/>
            </w:tcBorders>
          </w:tcPr>
          <w:p w14:paraId="060A994A"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18</w:t>
            </w:r>
          </w:p>
        </w:tc>
        <w:tc>
          <w:tcPr>
            <w:tcW w:w="839" w:type="dxa"/>
            <w:tcBorders>
              <w:right w:val="single" w:sz="4" w:space="0" w:color="auto"/>
            </w:tcBorders>
          </w:tcPr>
          <w:p w14:paraId="5FA7662D"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12</w:t>
            </w:r>
          </w:p>
        </w:tc>
        <w:tc>
          <w:tcPr>
            <w:tcW w:w="857" w:type="dxa"/>
            <w:tcBorders>
              <w:left w:val="single" w:sz="4" w:space="0" w:color="auto"/>
              <w:right w:val="single" w:sz="18" w:space="0" w:color="auto"/>
            </w:tcBorders>
          </w:tcPr>
          <w:p w14:paraId="3407B253"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25</w:t>
            </w:r>
          </w:p>
        </w:tc>
        <w:tc>
          <w:tcPr>
            <w:tcW w:w="839" w:type="dxa"/>
            <w:tcBorders>
              <w:right w:val="single" w:sz="4" w:space="0" w:color="auto"/>
            </w:tcBorders>
          </w:tcPr>
          <w:p w14:paraId="2650FC29"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14</w:t>
            </w:r>
          </w:p>
        </w:tc>
        <w:tc>
          <w:tcPr>
            <w:tcW w:w="857" w:type="dxa"/>
            <w:tcBorders>
              <w:left w:val="single" w:sz="4" w:space="0" w:color="auto"/>
              <w:right w:val="single" w:sz="18" w:space="0" w:color="auto"/>
            </w:tcBorders>
          </w:tcPr>
          <w:p w14:paraId="0BE67ADA"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19</w:t>
            </w:r>
          </w:p>
        </w:tc>
        <w:tc>
          <w:tcPr>
            <w:tcW w:w="839" w:type="dxa"/>
            <w:tcBorders>
              <w:left w:val="single" w:sz="4" w:space="0" w:color="auto"/>
              <w:right w:val="single" w:sz="18" w:space="0" w:color="auto"/>
            </w:tcBorders>
          </w:tcPr>
          <w:p w14:paraId="2403BB63"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w:t>
            </w:r>
          </w:p>
        </w:tc>
        <w:tc>
          <w:tcPr>
            <w:tcW w:w="857" w:type="dxa"/>
            <w:tcBorders>
              <w:left w:val="single" w:sz="4" w:space="0" w:color="auto"/>
              <w:right w:val="single" w:sz="18" w:space="0" w:color="auto"/>
            </w:tcBorders>
          </w:tcPr>
          <w:p w14:paraId="3E3895AA"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w:t>
            </w:r>
          </w:p>
        </w:tc>
      </w:tr>
      <w:tr w:rsidR="003D7F4A" w:rsidRPr="007E39B7" w14:paraId="2BD1EF12" w14:textId="77777777" w:rsidTr="00376808">
        <w:tc>
          <w:tcPr>
            <w:tcW w:w="1505" w:type="dxa"/>
            <w:tcBorders>
              <w:left w:val="single" w:sz="18" w:space="0" w:color="auto"/>
              <w:right w:val="single" w:sz="18" w:space="0" w:color="auto"/>
            </w:tcBorders>
          </w:tcPr>
          <w:p w14:paraId="71AADBF4"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Swan Hill</w:t>
            </w:r>
          </w:p>
        </w:tc>
        <w:tc>
          <w:tcPr>
            <w:tcW w:w="839" w:type="dxa"/>
            <w:tcBorders>
              <w:left w:val="single" w:sz="18" w:space="0" w:color="auto"/>
            </w:tcBorders>
          </w:tcPr>
          <w:p w14:paraId="42C50CE3"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3</w:t>
            </w:r>
          </w:p>
        </w:tc>
        <w:tc>
          <w:tcPr>
            <w:tcW w:w="857" w:type="dxa"/>
            <w:tcBorders>
              <w:right w:val="single" w:sz="18" w:space="0" w:color="auto"/>
            </w:tcBorders>
          </w:tcPr>
          <w:p w14:paraId="1C8C3403"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2</w:t>
            </w:r>
          </w:p>
        </w:tc>
        <w:tc>
          <w:tcPr>
            <w:tcW w:w="839" w:type="dxa"/>
            <w:tcBorders>
              <w:left w:val="single" w:sz="18" w:space="0" w:color="auto"/>
            </w:tcBorders>
          </w:tcPr>
          <w:p w14:paraId="49B41EDF"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4</w:t>
            </w:r>
          </w:p>
        </w:tc>
        <w:tc>
          <w:tcPr>
            <w:tcW w:w="857" w:type="dxa"/>
            <w:tcBorders>
              <w:right w:val="single" w:sz="18" w:space="0" w:color="auto"/>
            </w:tcBorders>
          </w:tcPr>
          <w:p w14:paraId="1E112B4D"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7</w:t>
            </w:r>
          </w:p>
        </w:tc>
        <w:tc>
          <w:tcPr>
            <w:tcW w:w="839" w:type="dxa"/>
            <w:tcBorders>
              <w:bottom w:val="single" w:sz="4" w:space="0" w:color="auto"/>
              <w:right w:val="single" w:sz="4" w:space="0" w:color="auto"/>
            </w:tcBorders>
          </w:tcPr>
          <w:p w14:paraId="13B6FE18"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5</w:t>
            </w:r>
          </w:p>
        </w:tc>
        <w:tc>
          <w:tcPr>
            <w:tcW w:w="857" w:type="dxa"/>
            <w:tcBorders>
              <w:left w:val="single" w:sz="4" w:space="0" w:color="auto"/>
              <w:bottom w:val="single" w:sz="4" w:space="0" w:color="auto"/>
              <w:right w:val="single" w:sz="18" w:space="0" w:color="auto"/>
            </w:tcBorders>
          </w:tcPr>
          <w:p w14:paraId="6E3E9F61"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39" w:type="dxa"/>
            <w:tcBorders>
              <w:bottom w:val="single" w:sz="4" w:space="0" w:color="auto"/>
              <w:right w:val="single" w:sz="4" w:space="0" w:color="auto"/>
            </w:tcBorders>
          </w:tcPr>
          <w:p w14:paraId="73754312"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57" w:type="dxa"/>
            <w:tcBorders>
              <w:left w:val="single" w:sz="4" w:space="0" w:color="auto"/>
              <w:bottom w:val="single" w:sz="4" w:space="0" w:color="auto"/>
              <w:right w:val="single" w:sz="18" w:space="0" w:color="auto"/>
            </w:tcBorders>
          </w:tcPr>
          <w:p w14:paraId="749B0D09"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39" w:type="dxa"/>
            <w:tcBorders>
              <w:left w:val="single" w:sz="4" w:space="0" w:color="auto"/>
              <w:bottom w:val="single" w:sz="4" w:space="0" w:color="auto"/>
              <w:right w:val="single" w:sz="18" w:space="0" w:color="auto"/>
            </w:tcBorders>
          </w:tcPr>
          <w:p w14:paraId="7B500A14"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0</w:t>
            </w:r>
          </w:p>
        </w:tc>
        <w:tc>
          <w:tcPr>
            <w:tcW w:w="857" w:type="dxa"/>
            <w:tcBorders>
              <w:left w:val="single" w:sz="4" w:space="0" w:color="auto"/>
              <w:bottom w:val="single" w:sz="4" w:space="0" w:color="auto"/>
              <w:right w:val="single" w:sz="18" w:space="0" w:color="auto"/>
            </w:tcBorders>
          </w:tcPr>
          <w:p w14:paraId="489F8C30" w14:textId="77777777" w:rsidR="003D7F4A" w:rsidRDefault="00EF0920" w:rsidP="003D7F4A">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0</w:t>
            </w:r>
          </w:p>
        </w:tc>
      </w:tr>
      <w:tr w:rsidR="003D7F4A" w:rsidRPr="007E39B7" w14:paraId="3B6D01C6" w14:textId="77777777" w:rsidTr="00376808">
        <w:tc>
          <w:tcPr>
            <w:tcW w:w="1505" w:type="dxa"/>
            <w:tcBorders>
              <w:left w:val="single" w:sz="18" w:space="0" w:color="auto"/>
              <w:bottom w:val="single" w:sz="18" w:space="0" w:color="auto"/>
              <w:right w:val="single" w:sz="18" w:space="0" w:color="auto"/>
            </w:tcBorders>
          </w:tcPr>
          <w:p w14:paraId="2FCD5304" w14:textId="77777777" w:rsidR="003D7F4A" w:rsidRPr="007E39B7" w:rsidRDefault="003D7F4A" w:rsidP="003D7F4A">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 xml:space="preserve">Warrnambool </w:t>
            </w:r>
            <w:r w:rsidRPr="007E39B7">
              <w:rPr>
                <w:rFonts w:ascii="Helv" w:hAnsi="Helv" w:cs="Helv"/>
                <w:b/>
                <w:color w:val="000000"/>
                <w:sz w:val="16"/>
                <w:szCs w:val="20"/>
                <w:lang w:eastAsia="en-AU"/>
              </w:rPr>
              <w:t>[+</w:t>
            </w:r>
            <w:r>
              <w:rPr>
                <w:rFonts w:ascii="Helv" w:hAnsi="Helv" w:cs="Helv"/>
                <w:b/>
                <w:color w:val="000000"/>
                <w:sz w:val="16"/>
                <w:szCs w:val="20"/>
                <w:lang w:eastAsia="en-AU"/>
              </w:rPr>
              <w:t> </w:t>
            </w:r>
            <w:r w:rsidRPr="007E39B7">
              <w:rPr>
                <w:rFonts w:ascii="Helv" w:hAnsi="Helv" w:cs="Helv"/>
                <w:b/>
                <w:color w:val="000000"/>
                <w:sz w:val="16"/>
                <w:szCs w:val="20"/>
                <w:lang w:eastAsia="en-AU"/>
              </w:rPr>
              <w:t>Portland &amp; Hamilton]</w:t>
            </w:r>
          </w:p>
        </w:tc>
        <w:tc>
          <w:tcPr>
            <w:tcW w:w="839" w:type="dxa"/>
            <w:tcBorders>
              <w:left w:val="single" w:sz="18" w:space="0" w:color="auto"/>
              <w:bottom w:val="single" w:sz="18" w:space="0" w:color="auto"/>
            </w:tcBorders>
          </w:tcPr>
          <w:p w14:paraId="72F6933F" w14:textId="77777777" w:rsidR="003D7F4A" w:rsidRPr="007E39B7" w:rsidRDefault="003D7F4A" w:rsidP="003D7F4A">
            <w:pPr>
              <w:autoSpaceDE w:val="0"/>
              <w:autoSpaceDN w:val="0"/>
              <w:adjustRightInd w:val="0"/>
              <w:spacing w:before="100"/>
              <w:jc w:val="center"/>
              <w:rPr>
                <w:rFonts w:ascii="Helv" w:hAnsi="Helv" w:cs="Helv"/>
                <w:b/>
                <w:color w:val="000000"/>
                <w:sz w:val="20"/>
                <w:szCs w:val="20"/>
                <w:lang w:eastAsia="en-AU"/>
              </w:rPr>
            </w:pPr>
            <w:r w:rsidRPr="007E39B7">
              <w:rPr>
                <w:rFonts w:ascii="Helv" w:hAnsi="Helv" w:cs="Helv"/>
                <w:b/>
                <w:color w:val="000000"/>
                <w:sz w:val="20"/>
                <w:szCs w:val="20"/>
                <w:lang w:eastAsia="en-AU"/>
              </w:rPr>
              <w:t>6</w:t>
            </w:r>
          </w:p>
        </w:tc>
        <w:tc>
          <w:tcPr>
            <w:tcW w:w="857" w:type="dxa"/>
            <w:tcBorders>
              <w:bottom w:val="single" w:sz="18" w:space="0" w:color="auto"/>
              <w:right w:val="single" w:sz="18" w:space="0" w:color="auto"/>
            </w:tcBorders>
          </w:tcPr>
          <w:p w14:paraId="787BCD12" w14:textId="77777777" w:rsidR="003D7F4A" w:rsidRPr="007E39B7" w:rsidRDefault="003D7F4A" w:rsidP="003D7F4A">
            <w:pPr>
              <w:autoSpaceDE w:val="0"/>
              <w:autoSpaceDN w:val="0"/>
              <w:adjustRightInd w:val="0"/>
              <w:spacing w:before="100"/>
              <w:jc w:val="center"/>
              <w:rPr>
                <w:rFonts w:ascii="Helv" w:hAnsi="Helv" w:cs="Helv"/>
                <w:b/>
                <w:color w:val="000000"/>
                <w:sz w:val="20"/>
                <w:szCs w:val="20"/>
                <w:lang w:eastAsia="en-AU"/>
              </w:rPr>
            </w:pPr>
            <w:r w:rsidRPr="007E39B7">
              <w:rPr>
                <w:rFonts w:ascii="Helv" w:hAnsi="Helv" w:cs="Helv"/>
                <w:b/>
                <w:color w:val="000000"/>
                <w:sz w:val="20"/>
                <w:szCs w:val="20"/>
                <w:lang w:eastAsia="en-AU"/>
              </w:rPr>
              <w:t>8</w:t>
            </w:r>
          </w:p>
        </w:tc>
        <w:tc>
          <w:tcPr>
            <w:tcW w:w="839" w:type="dxa"/>
            <w:tcBorders>
              <w:left w:val="single" w:sz="18" w:space="0" w:color="auto"/>
              <w:bottom w:val="single" w:sz="18" w:space="0" w:color="auto"/>
            </w:tcBorders>
          </w:tcPr>
          <w:p w14:paraId="40772F0A" w14:textId="77777777" w:rsidR="003D7F4A" w:rsidRPr="007E39B7" w:rsidRDefault="003D7F4A" w:rsidP="003D7F4A">
            <w:pPr>
              <w:autoSpaceDE w:val="0"/>
              <w:autoSpaceDN w:val="0"/>
              <w:adjustRightInd w:val="0"/>
              <w:spacing w:before="100"/>
              <w:jc w:val="center"/>
              <w:rPr>
                <w:rFonts w:ascii="Helv" w:hAnsi="Helv" w:cs="Helv"/>
                <w:b/>
                <w:color w:val="000000"/>
                <w:sz w:val="20"/>
                <w:szCs w:val="20"/>
                <w:lang w:eastAsia="en-AU"/>
              </w:rPr>
            </w:pPr>
            <w:r w:rsidRPr="007E39B7">
              <w:rPr>
                <w:rFonts w:ascii="Helv" w:hAnsi="Helv" w:cs="Helv"/>
                <w:b/>
                <w:color w:val="000000"/>
                <w:sz w:val="20"/>
                <w:szCs w:val="20"/>
                <w:lang w:eastAsia="en-AU"/>
              </w:rPr>
              <w:t>4</w:t>
            </w:r>
          </w:p>
        </w:tc>
        <w:tc>
          <w:tcPr>
            <w:tcW w:w="857" w:type="dxa"/>
            <w:tcBorders>
              <w:bottom w:val="single" w:sz="18" w:space="0" w:color="auto"/>
              <w:right w:val="single" w:sz="18" w:space="0" w:color="auto"/>
            </w:tcBorders>
          </w:tcPr>
          <w:p w14:paraId="37546415" w14:textId="77777777" w:rsidR="003D7F4A" w:rsidRPr="007E39B7" w:rsidRDefault="003D7F4A" w:rsidP="003D7F4A">
            <w:pPr>
              <w:autoSpaceDE w:val="0"/>
              <w:autoSpaceDN w:val="0"/>
              <w:adjustRightInd w:val="0"/>
              <w:spacing w:before="100"/>
              <w:jc w:val="center"/>
              <w:rPr>
                <w:rFonts w:ascii="Helv" w:hAnsi="Helv" w:cs="Helv"/>
                <w:b/>
                <w:color w:val="000000"/>
                <w:sz w:val="20"/>
                <w:szCs w:val="20"/>
                <w:lang w:eastAsia="en-AU"/>
              </w:rPr>
            </w:pPr>
            <w:r w:rsidRPr="007E39B7">
              <w:rPr>
                <w:rFonts w:ascii="Helv" w:hAnsi="Helv" w:cs="Helv"/>
                <w:b/>
                <w:color w:val="000000"/>
                <w:sz w:val="20"/>
                <w:szCs w:val="20"/>
                <w:lang w:eastAsia="en-AU"/>
              </w:rPr>
              <w:t>7</w:t>
            </w:r>
          </w:p>
        </w:tc>
        <w:tc>
          <w:tcPr>
            <w:tcW w:w="839" w:type="dxa"/>
            <w:tcBorders>
              <w:bottom w:val="single" w:sz="18" w:space="0" w:color="auto"/>
              <w:right w:val="single" w:sz="4" w:space="0" w:color="auto"/>
            </w:tcBorders>
          </w:tcPr>
          <w:p w14:paraId="3B903E1D" w14:textId="77777777" w:rsidR="003D7F4A" w:rsidRPr="007E39B7" w:rsidRDefault="003D7F4A" w:rsidP="003D7F4A">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57" w:type="dxa"/>
            <w:tcBorders>
              <w:left w:val="single" w:sz="4" w:space="0" w:color="auto"/>
              <w:bottom w:val="single" w:sz="18" w:space="0" w:color="auto"/>
              <w:right w:val="single" w:sz="18" w:space="0" w:color="auto"/>
            </w:tcBorders>
          </w:tcPr>
          <w:p w14:paraId="27ABB920" w14:textId="77777777" w:rsidR="003D7F4A" w:rsidRPr="007E39B7" w:rsidRDefault="003D7F4A" w:rsidP="003D7F4A">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39" w:type="dxa"/>
            <w:tcBorders>
              <w:bottom w:val="single" w:sz="18" w:space="0" w:color="auto"/>
              <w:right w:val="single" w:sz="4" w:space="0" w:color="auto"/>
            </w:tcBorders>
          </w:tcPr>
          <w:p w14:paraId="01E9CB42" w14:textId="77777777" w:rsidR="003D7F4A" w:rsidRPr="007E39B7" w:rsidRDefault="003D7F4A" w:rsidP="003D7F4A">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57" w:type="dxa"/>
            <w:tcBorders>
              <w:left w:val="single" w:sz="4" w:space="0" w:color="auto"/>
              <w:bottom w:val="single" w:sz="18" w:space="0" w:color="auto"/>
              <w:right w:val="single" w:sz="18" w:space="0" w:color="auto"/>
            </w:tcBorders>
          </w:tcPr>
          <w:p w14:paraId="01275329" w14:textId="77777777" w:rsidR="003D7F4A" w:rsidRPr="007E39B7" w:rsidRDefault="003D7F4A" w:rsidP="003D7F4A">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39" w:type="dxa"/>
            <w:tcBorders>
              <w:left w:val="single" w:sz="4" w:space="0" w:color="auto"/>
              <w:bottom w:val="single" w:sz="18" w:space="0" w:color="auto"/>
              <w:right w:val="single" w:sz="18" w:space="0" w:color="auto"/>
            </w:tcBorders>
          </w:tcPr>
          <w:p w14:paraId="5CADF781" w14:textId="77777777" w:rsidR="003D7F4A" w:rsidRDefault="00EF0920" w:rsidP="003D7F4A">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5</w:t>
            </w:r>
          </w:p>
        </w:tc>
        <w:tc>
          <w:tcPr>
            <w:tcW w:w="857" w:type="dxa"/>
            <w:tcBorders>
              <w:left w:val="single" w:sz="4" w:space="0" w:color="auto"/>
              <w:bottom w:val="single" w:sz="18" w:space="0" w:color="auto"/>
              <w:right w:val="single" w:sz="18" w:space="0" w:color="auto"/>
            </w:tcBorders>
          </w:tcPr>
          <w:p w14:paraId="18FCF5C3" w14:textId="77777777" w:rsidR="003D7F4A" w:rsidRDefault="00EF0920" w:rsidP="003D7F4A">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6</w:t>
            </w:r>
          </w:p>
        </w:tc>
      </w:tr>
      <w:tr w:rsidR="003D7F4A" w:rsidRPr="007E39B7" w14:paraId="123DF5A0" w14:textId="77777777" w:rsidTr="00304B09">
        <w:tc>
          <w:tcPr>
            <w:tcW w:w="1505" w:type="dxa"/>
            <w:tcBorders>
              <w:top w:val="single" w:sz="18" w:space="0" w:color="auto"/>
              <w:left w:val="single" w:sz="18" w:space="0" w:color="auto"/>
              <w:bottom w:val="single" w:sz="12" w:space="0" w:color="FF0000"/>
              <w:right w:val="single" w:sz="18" w:space="0" w:color="auto"/>
            </w:tcBorders>
            <w:shd w:val="clear" w:color="auto" w:fill="000000"/>
          </w:tcPr>
          <w:p w14:paraId="5FE9CACA"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TOTALS</w:t>
            </w:r>
          </w:p>
        </w:tc>
        <w:tc>
          <w:tcPr>
            <w:tcW w:w="839" w:type="dxa"/>
            <w:tcBorders>
              <w:top w:val="single" w:sz="18" w:space="0" w:color="auto"/>
              <w:left w:val="single" w:sz="18" w:space="0" w:color="auto"/>
              <w:bottom w:val="single" w:sz="12" w:space="0" w:color="FF0000"/>
            </w:tcBorders>
            <w:shd w:val="clear" w:color="auto" w:fill="000000"/>
          </w:tcPr>
          <w:p w14:paraId="27159AA0"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152</w:t>
            </w:r>
          </w:p>
        </w:tc>
        <w:tc>
          <w:tcPr>
            <w:tcW w:w="857" w:type="dxa"/>
            <w:tcBorders>
              <w:top w:val="single" w:sz="18" w:space="0" w:color="auto"/>
              <w:bottom w:val="single" w:sz="12" w:space="0" w:color="FF0000"/>
              <w:right w:val="single" w:sz="18" w:space="0" w:color="auto"/>
            </w:tcBorders>
            <w:shd w:val="clear" w:color="auto" w:fill="000000"/>
          </w:tcPr>
          <w:p w14:paraId="02D9AD8B"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243</w:t>
            </w:r>
          </w:p>
        </w:tc>
        <w:tc>
          <w:tcPr>
            <w:tcW w:w="839" w:type="dxa"/>
            <w:tcBorders>
              <w:top w:val="single" w:sz="18" w:space="0" w:color="auto"/>
              <w:left w:val="single" w:sz="18" w:space="0" w:color="auto"/>
              <w:bottom w:val="single" w:sz="12" w:space="0" w:color="FF0000"/>
              <w:right w:val="single" w:sz="4" w:space="0" w:color="auto"/>
            </w:tcBorders>
            <w:shd w:val="clear" w:color="auto" w:fill="000000"/>
          </w:tcPr>
          <w:p w14:paraId="73E3508F"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162</w:t>
            </w:r>
          </w:p>
        </w:tc>
        <w:tc>
          <w:tcPr>
            <w:tcW w:w="857" w:type="dxa"/>
            <w:tcBorders>
              <w:top w:val="single" w:sz="18" w:space="0" w:color="auto"/>
              <w:left w:val="single" w:sz="4" w:space="0" w:color="auto"/>
              <w:bottom w:val="single" w:sz="12" w:space="0" w:color="FF0000"/>
            </w:tcBorders>
            <w:shd w:val="clear" w:color="auto" w:fill="000000"/>
          </w:tcPr>
          <w:p w14:paraId="72967E73"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238</w:t>
            </w:r>
          </w:p>
        </w:tc>
        <w:tc>
          <w:tcPr>
            <w:tcW w:w="839" w:type="dxa"/>
            <w:tcBorders>
              <w:top w:val="single" w:sz="18" w:space="0" w:color="auto"/>
              <w:bottom w:val="single" w:sz="12" w:space="0" w:color="FF0000"/>
              <w:right w:val="single" w:sz="4" w:space="0" w:color="auto"/>
            </w:tcBorders>
            <w:shd w:val="clear" w:color="auto" w:fill="000000"/>
          </w:tcPr>
          <w:p w14:paraId="127E0654"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173</w:t>
            </w:r>
          </w:p>
        </w:tc>
        <w:tc>
          <w:tcPr>
            <w:tcW w:w="857" w:type="dxa"/>
            <w:tcBorders>
              <w:top w:val="single" w:sz="18" w:space="0" w:color="auto"/>
              <w:left w:val="single" w:sz="4" w:space="0" w:color="auto"/>
              <w:bottom w:val="single" w:sz="12" w:space="0" w:color="FF0000"/>
            </w:tcBorders>
            <w:shd w:val="clear" w:color="auto" w:fill="000000"/>
          </w:tcPr>
          <w:p w14:paraId="07C5846F"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260</w:t>
            </w:r>
          </w:p>
        </w:tc>
        <w:tc>
          <w:tcPr>
            <w:tcW w:w="839" w:type="dxa"/>
            <w:tcBorders>
              <w:top w:val="single" w:sz="18" w:space="0" w:color="auto"/>
              <w:bottom w:val="single" w:sz="12" w:space="0" w:color="FF0000"/>
              <w:right w:val="single" w:sz="4" w:space="0" w:color="auto"/>
            </w:tcBorders>
            <w:shd w:val="clear" w:color="auto" w:fill="000000"/>
          </w:tcPr>
          <w:p w14:paraId="3F76477A"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126</w:t>
            </w:r>
          </w:p>
        </w:tc>
        <w:tc>
          <w:tcPr>
            <w:tcW w:w="857" w:type="dxa"/>
            <w:tcBorders>
              <w:top w:val="single" w:sz="18" w:space="0" w:color="auto"/>
              <w:left w:val="single" w:sz="4" w:space="0" w:color="auto"/>
              <w:bottom w:val="single" w:sz="12" w:space="0" w:color="FF0000"/>
              <w:right w:val="single" w:sz="18" w:space="0" w:color="auto"/>
            </w:tcBorders>
            <w:shd w:val="clear" w:color="auto" w:fill="000000"/>
          </w:tcPr>
          <w:p w14:paraId="37A0F328" w14:textId="77777777" w:rsidR="003D7F4A" w:rsidRPr="00EA0CF2" w:rsidRDefault="003D7F4A" w:rsidP="003D7F4A">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215</w:t>
            </w:r>
          </w:p>
        </w:tc>
        <w:tc>
          <w:tcPr>
            <w:tcW w:w="839" w:type="dxa"/>
            <w:tcBorders>
              <w:top w:val="single" w:sz="18" w:space="0" w:color="auto"/>
              <w:left w:val="single" w:sz="4" w:space="0" w:color="auto"/>
              <w:bottom w:val="single" w:sz="12" w:space="0" w:color="FF0000"/>
              <w:right w:val="single" w:sz="18" w:space="0" w:color="auto"/>
            </w:tcBorders>
            <w:shd w:val="clear" w:color="auto" w:fill="000000"/>
          </w:tcPr>
          <w:p w14:paraId="349D0539" w14:textId="77777777" w:rsidR="003D7F4A" w:rsidRPr="00EA0CF2" w:rsidRDefault="00EF0920" w:rsidP="003D7F4A">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89</w:t>
            </w:r>
          </w:p>
        </w:tc>
        <w:tc>
          <w:tcPr>
            <w:tcW w:w="857" w:type="dxa"/>
            <w:tcBorders>
              <w:top w:val="single" w:sz="18" w:space="0" w:color="auto"/>
              <w:left w:val="single" w:sz="4" w:space="0" w:color="auto"/>
              <w:bottom w:val="single" w:sz="12" w:space="0" w:color="FF0000"/>
              <w:right w:val="single" w:sz="18" w:space="0" w:color="auto"/>
            </w:tcBorders>
            <w:shd w:val="clear" w:color="auto" w:fill="000000"/>
          </w:tcPr>
          <w:p w14:paraId="06DE1E52" w14:textId="77777777" w:rsidR="003D7F4A" w:rsidRPr="00EA0CF2" w:rsidRDefault="00EF0920" w:rsidP="003D7F4A">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122</w:t>
            </w:r>
          </w:p>
        </w:tc>
      </w:tr>
      <w:tr w:rsidR="00F31C5B" w:rsidRPr="007E39B7" w14:paraId="72E75244" w14:textId="77777777" w:rsidTr="00304B09">
        <w:tc>
          <w:tcPr>
            <w:tcW w:w="1505" w:type="dxa"/>
            <w:tcBorders>
              <w:top w:val="single" w:sz="12" w:space="0" w:color="FF0000"/>
              <w:left w:val="single" w:sz="18" w:space="0" w:color="000000" w:themeColor="text1"/>
              <w:bottom w:val="nil"/>
              <w:right w:val="nil"/>
            </w:tcBorders>
            <w:shd w:val="clear" w:color="auto" w:fill="000000"/>
          </w:tcPr>
          <w:p w14:paraId="4FFD4FA8" w14:textId="77777777" w:rsidR="00F31C5B" w:rsidRPr="00EA0CF2" w:rsidRDefault="00F31C5B" w:rsidP="00654C71">
            <w:pPr>
              <w:autoSpaceDE w:val="0"/>
              <w:autoSpaceDN w:val="0"/>
              <w:adjustRightInd w:val="0"/>
              <w:rPr>
                <w:rFonts w:ascii="Helv" w:hAnsi="Helv" w:cs="Helv"/>
                <w:b/>
                <w:color w:val="FFFFFF"/>
                <w:sz w:val="20"/>
                <w:szCs w:val="20"/>
                <w:lang w:eastAsia="en-AU"/>
              </w:rPr>
            </w:pPr>
          </w:p>
        </w:tc>
        <w:tc>
          <w:tcPr>
            <w:tcW w:w="1696" w:type="dxa"/>
            <w:gridSpan w:val="2"/>
            <w:tcBorders>
              <w:top w:val="single" w:sz="12" w:space="0" w:color="FF0000"/>
              <w:left w:val="nil"/>
              <w:bottom w:val="nil"/>
              <w:right w:val="nil"/>
            </w:tcBorders>
            <w:shd w:val="clear" w:color="auto" w:fill="000000"/>
          </w:tcPr>
          <w:p w14:paraId="43E5BA05" w14:textId="5C3B02E6" w:rsidR="00F31C5B" w:rsidRPr="00EA0CF2" w:rsidRDefault="00F31C5B" w:rsidP="00654C71">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20</w:t>
            </w:r>
            <w:r>
              <w:rPr>
                <w:rFonts w:ascii="Helv" w:hAnsi="Helv" w:cs="Helv"/>
                <w:b/>
                <w:color w:val="FFFFFF"/>
                <w:sz w:val="20"/>
                <w:szCs w:val="20"/>
                <w:lang w:eastAsia="en-AU"/>
              </w:rPr>
              <w:t>20</w:t>
            </w:r>
            <w:r w:rsidRPr="00EA0CF2">
              <w:rPr>
                <w:rFonts w:ascii="Helv" w:hAnsi="Helv" w:cs="Helv"/>
                <w:b/>
                <w:color w:val="FFFFFF"/>
                <w:sz w:val="20"/>
                <w:szCs w:val="20"/>
                <w:lang w:eastAsia="en-AU"/>
              </w:rPr>
              <w:t>/</w:t>
            </w:r>
            <w:r>
              <w:rPr>
                <w:rFonts w:ascii="Helv" w:hAnsi="Helv" w:cs="Helv"/>
                <w:b/>
                <w:color w:val="FFFFFF"/>
                <w:sz w:val="20"/>
                <w:szCs w:val="20"/>
                <w:lang w:eastAsia="en-AU"/>
              </w:rPr>
              <w:t>21</w:t>
            </w:r>
          </w:p>
        </w:tc>
        <w:tc>
          <w:tcPr>
            <w:tcW w:w="1696" w:type="dxa"/>
            <w:gridSpan w:val="2"/>
            <w:tcBorders>
              <w:top w:val="single" w:sz="12" w:space="0" w:color="FF0000"/>
              <w:left w:val="nil"/>
              <w:bottom w:val="nil"/>
              <w:right w:val="nil"/>
            </w:tcBorders>
            <w:shd w:val="clear" w:color="auto" w:fill="000000"/>
          </w:tcPr>
          <w:p w14:paraId="5F1E316C" w14:textId="428BC9FD" w:rsidR="00F31C5B" w:rsidRPr="00EA0CF2" w:rsidRDefault="004B07D4"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2021/22</w:t>
            </w:r>
          </w:p>
        </w:tc>
        <w:tc>
          <w:tcPr>
            <w:tcW w:w="1696" w:type="dxa"/>
            <w:gridSpan w:val="2"/>
            <w:tcBorders>
              <w:top w:val="single" w:sz="12" w:space="0" w:color="FF0000"/>
              <w:left w:val="nil"/>
              <w:bottom w:val="nil"/>
              <w:right w:val="nil"/>
            </w:tcBorders>
            <w:shd w:val="clear" w:color="auto" w:fill="000000"/>
          </w:tcPr>
          <w:p w14:paraId="245AF3BF" w14:textId="391F6500" w:rsidR="00F31C5B" w:rsidRPr="00EA0CF2" w:rsidRDefault="003565B0"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2022/23</w:t>
            </w:r>
          </w:p>
        </w:tc>
        <w:tc>
          <w:tcPr>
            <w:tcW w:w="1696" w:type="dxa"/>
            <w:gridSpan w:val="2"/>
            <w:tcBorders>
              <w:top w:val="single" w:sz="12" w:space="0" w:color="FF0000"/>
              <w:left w:val="nil"/>
              <w:bottom w:val="nil"/>
              <w:right w:val="nil"/>
            </w:tcBorders>
            <w:shd w:val="clear" w:color="auto" w:fill="000000"/>
          </w:tcPr>
          <w:p w14:paraId="5045B55C" w14:textId="3358BE1A" w:rsidR="00F31C5B" w:rsidRPr="00EA0CF2" w:rsidRDefault="00304B09"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2023/24</w:t>
            </w:r>
          </w:p>
        </w:tc>
        <w:tc>
          <w:tcPr>
            <w:tcW w:w="1696" w:type="dxa"/>
            <w:gridSpan w:val="2"/>
            <w:tcBorders>
              <w:top w:val="single" w:sz="12" w:space="0" w:color="FF0000"/>
              <w:left w:val="nil"/>
              <w:bottom w:val="nil"/>
              <w:right w:val="single" w:sz="18" w:space="0" w:color="000000" w:themeColor="text1"/>
            </w:tcBorders>
            <w:shd w:val="clear" w:color="auto" w:fill="000000"/>
          </w:tcPr>
          <w:p w14:paraId="1D4B757F" w14:textId="5EEB1043" w:rsidR="00F31C5B" w:rsidRPr="00EA0CF2" w:rsidRDefault="00F31C5B" w:rsidP="00654C71">
            <w:pPr>
              <w:autoSpaceDE w:val="0"/>
              <w:autoSpaceDN w:val="0"/>
              <w:adjustRightInd w:val="0"/>
              <w:jc w:val="center"/>
              <w:rPr>
                <w:rFonts w:ascii="Helv" w:hAnsi="Helv" w:cs="Helv"/>
                <w:b/>
                <w:color w:val="FFFFFF"/>
                <w:sz w:val="20"/>
                <w:szCs w:val="20"/>
                <w:lang w:eastAsia="en-AU"/>
              </w:rPr>
            </w:pPr>
          </w:p>
        </w:tc>
      </w:tr>
      <w:tr w:rsidR="00F31C5B" w:rsidRPr="007E39B7" w14:paraId="47694322" w14:textId="77777777" w:rsidTr="006B34B6">
        <w:tc>
          <w:tcPr>
            <w:tcW w:w="1505" w:type="dxa"/>
            <w:tcBorders>
              <w:top w:val="nil"/>
              <w:left w:val="single" w:sz="18" w:space="0" w:color="auto"/>
              <w:bottom w:val="single" w:sz="18" w:space="0" w:color="auto"/>
              <w:right w:val="single" w:sz="18" w:space="0" w:color="auto"/>
            </w:tcBorders>
          </w:tcPr>
          <w:p w14:paraId="2F4BDF55" w14:textId="77777777" w:rsidR="00F31C5B" w:rsidRPr="007E39B7" w:rsidRDefault="00F31C5B" w:rsidP="00654C71">
            <w:pPr>
              <w:autoSpaceDE w:val="0"/>
              <w:autoSpaceDN w:val="0"/>
              <w:adjustRightInd w:val="0"/>
              <w:spacing w:before="240"/>
              <w:jc w:val="center"/>
              <w:rPr>
                <w:rFonts w:ascii="Helv" w:hAnsi="Helv" w:cs="Helv"/>
                <w:b/>
                <w:color w:val="000000"/>
                <w:sz w:val="20"/>
                <w:szCs w:val="20"/>
                <w:lang w:eastAsia="en-AU"/>
              </w:rPr>
            </w:pPr>
            <w:r w:rsidRPr="007E39B7">
              <w:rPr>
                <w:rFonts w:ascii="Helv" w:hAnsi="Helv" w:cs="Helv"/>
                <w:b/>
                <w:color w:val="000000"/>
                <w:sz w:val="20"/>
                <w:szCs w:val="20"/>
                <w:lang w:eastAsia="en-AU"/>
              </w:rPr>
              <w:t>LOCATION</w:t>
            </w:r>
          </w:p>
        </w:tc>
        <w:tc>
          <w:tcPr>
            <w:tcW w:w="839" w:type="dxa"/>
            <w:tcBorders>
              <w:top w:val="nil"/>
              <w:left w:val="single" w:sz="18" w:space="0" w:color="auto"/>
              <w:bottom w:val="single" w:sz="18" w:space="0" w:color="auto"/>
            </w:tcBorders>
          </w:tcPr>
          <w:p w14:paraId="0CC397A0" w14:textId="77777777" w:rsidR="00F31C5B" w:rsidRPr="007E39B7" w:rsidRDefault="00F31C5B" w:rsidP="00654C71">
            <w:pPr>
              <w:autoSpaceDE w:val="0"/>
              <w:autoSpaceDN w:val="0"/>
              <w:adjustRightInd w:val="0"/>
              <w:spacing w:before="60" w:after="60"/>
              <w:jc w:val="center"/>
              <w:rPr>
                <w:rFonts w:ascii="Helv" w:hAnsi="Helv" w:cs="Helv"/>
                <w:b/>
                <w:color w:val="000000"/>
                <w:sz w:val="20"/>
                <w:szCs w:val="20"/>
                <w:lang w:eastAsia="en-AU"/>
              </w:rPr>
            </w:pPr>
            <w:r w:rsidRPr="003D4AA6">
              <w:rPr>
                <w:rFonts w:ascii="Helv" w:hAnsi="Helv" w:cs="Helv"/>
                <w:b/>
                <w:color w:val="000000"/>
                <w:sz w:val="16"/>
                <w:szCs w:val="16"/>
                <w:lang w:eastAsia="en-AU"/>
              </w:rPr>
              <w:t>Number of young persons</w:t>
            </w:r>
          </w:p>
        </w:tc>
        <w:tc>
          <w:tcPr>
            <w:tcW w:w="857" w:type="dxa"/>
            <w:tcBorders>
              <w:top w:val="nil"/>
              <w:bottom w:val="single" w:sz="18" w:space="0" w:color="auto"/>
              <w:right w:val="single" w:sz="18" w:space="0" w:color="auto"/>
            </w:tcBorders>
          </w:tcPr>
          <w:p w14:paraId="469C7D23" w14:textId="77777777" w:rsidR="00F31C5B" w:rsidRPr="007E39B7" w:rsidRDefault="00F31C5B" w:rsidP="00654C71">
            <w:pPr>
              <w:autoSpaceDE w:val="0"/>
              <w:autoSpaceDN w:val="0"/>
              <w:adjustRightInd w:val="0"/>
              <w:spacing w:before="120"/>
              <w:jc w:val="center"/>
              <w:rPr>
                <w:rFonts w:ascii="Helv" w:hAnsi="Helv" w:cs="Helv"/>
                <w:b/>
                <w:color w:val="000000"/>
                <w:sz w:val="20"/>
                <w:szCs w:val="20"/>
                <w:lang w:eastAsia="en-AU"/>
              </w:rPr>
            </w:pPr>
            <w:r w:rsidRPr="003D4AA6">
              <w:rPr>
                <w:rFonts w:ascii="Helv" w:hAnsi="Helv" w:cs="Helv"/>
                <w:b/>
                <w:color w:val="000000"/>
                <w:sz w:val="16"/>
                <w:szCs w:val="16"/>
                <w:lang w:eastAsia="en-AU"/>
              </w:rPr>
              <w:t>Matters finalized</w:t>
            </w:r>
          </w:p>
        </w:tc>
        <w:tc>
          <w:tcPr>
            <w:tcW w:w="839" w:type="dxa"/>
            <w:tcBorders>
              <w:top w:val="nil"/>
              <w:left w:val="single" w:sz="18" w:space="0" w:color="auto"/>
              <w:bottom w:val="single" w:sz="18" w:space="0" w:color="auto"/>
            </w:tcBorders>
          </w:tcPr>
          <w:p w14:paraId="7C798167" w14:textId="77777777" w:rsidR="00F31C5B" w:rsidRPr="007E39B7" w:rsidRDefault="00F31C5B" w:rsidP="00654C71">
            <w:pPr>
              <w:autoSpaceDE w:val="0"/>
              <w:autoSpaceDN w:val="0"/>
              <w:adjustRightInd w:val="0"/>
              <w:spacing w:before="60"/>
              <w:jc w:val="center"/>
              <w:rPr>
                <w:rFonts w:ascii="Helv" w:hAnsi="Helv" w:cs="Helv"/>
                <w:b/>
                <w:color w:val="000000"/>
                <w:sz w:val="20"/>
                <w:szCs w:val="20"/>
                <w:lang w:eastAsia="en-AU"/>
              </w:rPr>
            </w:pPr>
            <w:r w:rsidRPr="003D4AA6">
              <w:rPr>
                <w:rFonts w:ascii="Helv" w:hAnsi="Helv" w:cs="Helv"/>
                <w:b/>
                <w:color w:val="000000"/>
                <w:sz w:val="16"/>
                <w:szCs w:val="16"/>
                <w:lang w:eastAsia="en-AU"/>
              </w:rPr>
              <w:t>Number of young persons</w:t>
            </w:r>
          </w:p>
        </w:tc>
        <w:tc>
          <w:tcPr>
            <w:tcW w:w="857" w:type="dxa"/>
            <w:tcBorders>
              <w:top w:val="nil"/>
              <w:bottom w:val="single" w:sz="18" w:space="0" w:color="auto"/>
              <w:right w:val="single" w:sz="18" w:space="0" w:color="auto"/>
            </w:tcBorders>
          </w:tcPr>
          <w:p w14:paraId="5C663684" w14:textId="77777777" w:rsidR="00F31C5B" w:rsidRPr="003D4AA6" w:rsidRDefault="00F31C5B" w:rsidP="00654C71">
            <w:pPr>
              <w:autoSpaceDE w:val="0"/>
              <w:autoSpaceDN w:val="0"/>
              <w:adjustRightInd w:val="0"/>
              <w:spacing w:before="120"/>
              <w:jc w:val="center"/>
              <w:rPr>
                <w:rFonts w:ascii="Helv" w:hAnsi="Helv" w:cs="Helv"/>
                <w:b/>
                <w:color w:val="000000"/>
                <w:sz w:val="16"/>
                <w:szCs w:val="16"/>
                <w:lang w:eastAsia="en-AU"/>
              </w:rPr>
            </w:pPr>
            <w:r w:rsidRPr="003D4AA6">
              <w:rPr>
                <w:rFonts w:ascii="Helv" w:hAnsi="Helv" w:cs="Helv"/>
                <w:b/>
                <w:color w:val="000000"/>
                <w:sz w:val="16"/>
                <w:szCs w:val="16"/>
                <w:lang w:eastAsia="en-AU"/>
              </w:rPr>
              <w:t>Matters finalized</w:t>
            </w:r>
          </w:p>
        </w:tc>
        <w:tc>
          <w:tcPr>
            <w:tcW w:w="839" w:type="dxa"/>
            <w:tcBorders>
              <w:top w:val="nil"/>
              <w:bottom w:val="single" w:sz="18" w:space="0" w:color="auto"/>
              <w:right w:val="single" w:sz="4" w:space="0" w:color="auto"/>
            </w:tcBorders>
          </w:tcPr>
          <w:p w14:paraId="58464795" w14:textId="77777777" w:rsidR="00F31C5B" w:rsidRPr="003D4AA6" w:rsidRDefault="00F31C5B" w:rsidP="00654C71">
            <w:pPr>
              <w:autoSpaceDE w:val="0"/>
              <w:autoSpaceDN w:val="0"/>
              <w:adjustRightInd w:val="0"/>
              <w:spacing w:before="60"/>
              <w:jc w:val="center"/>
              <w:rPr>
                <w:rFonts w:ascii="Helv" w:hAnsi="Helv" w:cs="Helv"/>
                <w:b/>
                <w:color w:val="000000"/>
                <w:sz w:val="16"/>
                <w:szCs w:val="16"/>
                <w:lang w:eastAsia="en-AU"/>
              </w:rPr>
            </w:pPr>
            <w:r w:rsidRPr="003D4AA6">
              <w:rPr>
                <w:rFonts w:ascii="Helv" w:hAnsi="Helv" w:cs="Helv"/>
                <w:b/>
                <w:color w:val="000000"/>
                <w:sz w:val="16"/>
                <w:szCs w:val="16"/>
                <w:lang w:eastAsia="en-AU"/>
              </w:rPr>
              <w:t>Number of young persons</w:t>
            </w:r>
          </w:p>
        </w:tc>
        <w:tc>
          <w:tcPr>
            <w:tcW w:w="857" w:type="dxa"/>
            <w:tcBorders>
              <w:top w:val="nil"/>
              <w:left w:val="single" w:sz="4" w:space="0" w:color="auto"/>
              <w:bottom w:val="single" w:sz="18" w:space="0" w:color="auto"/>
              <w:right w:val="single" w:sz="18" w:space="0" w:color="auto"/>
            </w:tcBorders>
          </w:tcPr>
          <w:p w14:paraId="1B3512F8" w14:textId="77777777" w:rsidR="00F31C5B" w:rsidRPr="003D4AA6" w:rsidRDefault="00F31C5B" w:rsidP="00654C71">
            <w:pPr>
              <w:autoSpaceDE w:val="0"/>
              <w:autoSpaceDN w:val="0"/>
              <w:adjustRightInd w:val="0"/>
              <w:spacing w:before="120"/>
              <w:jc w:val="center"/>
              <w:rPr>
                <w:rFonts w:ascii="Helv" w:hAnsi="Helv" w:cs="Helv"/>
                <w:b/>
                <w:color w:val="000000"/>
                <w:sz w:val="16"/>
                <w:szCs w:val="16"/>
                <w:lang w:eastAsia="en-AU"/>
              </w:rPr>
            </w:pPr>
            <w:r w:rsidRPr="003D4AA6">
              <w:rPr>
                <w:rFonts w:ascii="Helv" w:hAnsi="Helv" w:cs="Helv"/>
                <w:b/>
                <w:color w:val="000000"/>
                <w:sz w:val="16"/>
                <w:szCs w:val="16"/>
                <w:lang w:eastAsia="en-AU"/>
              </w:rPr>
              <w:t>Matters finalized</w:t>
            </w:r>
          </w:p>
        </w:tc>
        <w:tc>
          <w:tcPr>
            <w:tcW w:w="839" w:type="dxa"/>
            <w:tcBorders>
              <w:top w:val="nil"/>
              <w:bottom w:val="single" w:sz="18" w:space="0" w:color="auto"/>
              <w:right w:val="single" w:sz="4" w:space="0" w:color="auto"/>
            </w:tcBorders>
          </w:tcPr>
          <w:p w14:paraId="5E2586E3" w14:textId="77777777" w:rsidR="00F31C5B" w:rsidRPr="003D4AA6" w:rsidRDefault="00F31C5B" w:rsidP="00654C71">
            <w:pPr>
              <w:autoSpaceDE w:val="0"/>
              <w:autoSpaceDN w:val="0"/>
              <w:adjustRightInd w:val="0"/>
              <w:spacing w:before="60"/>
              <w:jc w:val="center"/>
              <w:rPr>
                <w:rFonts w:ascii="Helv" w:hAnsi="Helv" w:cs="Helv"/>
                <w:b/>
                <w:color w:val="000000"/>
                <w:sz w:val="16"/>
                <w:szCs w:val="16"/>
                <w:lang w:eastAsia="en-AU"/>
              </w:rPr>
            </w:pPr>
            <w:r w:rsidRPr="003D4AA6">
              <w:rPr>
                <w:rFonts w:ascii="Helv" w:hAnsi="Helv" w:cs="Helv"/>
                <w:b/>
                <w:color w:val="000000"/>
                <w:sz w:val="16"/>
                <w:szCs w:val="16"/>
                <w:lang w:eastAsia="en-AU"/>
              </w:rPr>
              <w:t>Number of young persons</w:t>
            </w:r>
          </w:p>
        </w:tc>
        <w:tc>
          <w:tcPr>
            <w:tcW w:w="857" w:type="dxa"/>
            <w:tcBorders>
              <w:top w:val="nil"/>
              <w:left w:val="single" w:sz="4" w:space="0" w:color="auto"/>
              <w:bottom w:val="single" w:sz="18" w:space="0" w:color="auto"/>
              <w:right w:val="single" w:sz="18" w:space="0" w:color="auto"/>
            </w:tcBorders>
          </w:tcPr>
          <w:p w14:paraId="60B4A7A7" w14:textId="77777777" w:rsidR="00F31C5B" w:rsidRPr="003D4AA6" w:rsidRDefault="00F31C5B" w:rsidP="00654C71">
            <w:pPr>
              <w:autoSpaceDE w:val="0"/>
              <w:autoSpaceDN w:val="0"/>
              <w:adjustRightInd w:val="0"/>
              <w:spacing w:before="120"/>
              <w:jc w:val="center"/>
              <w:rPr>
                <w:rFonts w:ascii="Helv" w:hAnsi="Helv" w:cs="Helv"/>
                <w:b/>
                <w:color w:val="000000"/>
                <w:sz w:val="16"/>
                <w:szCs w:val="16"/>
                <w:lang w:eastAsia="en-AU"/>
              </w:rPr>
            </w:pPr>
            <w:r w:rsidRPr="003D4AA6">
              <w:rPr>
                <w:rFonts w:ascii="Helv" w:hAnsi="Helv" w:cs="Helv"/>
                <w:b/>
                <w:color w:val="000000"/>
                <w:sz w:val="16"/>
                <w:szCs w:val="16"/>
                <w:lang w:eastAsia="en-AU"/>
              </w:rPr>
              <w:t>Matters finalized</w:t>
            </w:r>
          </w:p>
        </w:tc>
        <w:tc>
          <w:tcPr>
            <w:tcW w:w="839" w:type="dxa"/>
            <w:tcBorders>
              <w:top w:val="nil"/>
              <w:left w:val="single" w:sz="4" w:space="0" w:color="auto"/>
              <w:bottom w:val="single" w:sz="18" w:space="0" w:color="auto"/>
              <w:right w:val="single" w:sz="18" w:space="0" w:color="auto"/>
            </w:tcBorders>
          </w:tcPr>
          <w:p w14:paraId="0D908ECF" w14:textId="77777777" w:rsidR="00F31C5B" w:rsidRPr="003D4AA6" w:rsidRDefault="00F31C5B" w:rsidP="00654C71">
            <w:pPr>
              <w:autoSpaceDE w:val="0"/>
              <w:autoSpaceDN w:val="0"/>
              <w:adjustRightInd w:val="0"/>
              <w:spacing w:before="60" w:after="60"/>
              <w:jc w:val="center"/>
              <w:rPr>
                <w:rFonts w:ascii="Helv" w:hAnsi="Helv" w:cs="Helv"/>
                <w:b/>
                <w:color w:val="000000"/>
                <w:sz w:val="16"/>
                <w:szCs w:val="16"/>
                <w:lang w:eastAsia="en-AU"/>
              </w:rPr>
            </w:pPr>
            <w:r w:rsidRPr="003D4AA6">
              <w:rPr>
                <w:rFonts w:ascii="Helv" w:hAnsi="Helv" w:cs="Helv"/>
                <w:b/>
                <w:color w:val="000000"/>
                <w:sz w:val="16"/>
                <w:szCs w:val="16"/>
                <w:lang w:eastAsia="en-AU"/>
              </w:rPr>
              <w:t>Number of young persons</w:t>
            </w:r>
          </w:p>
        </w:tc>
        <w:tc>
          <w:tcPr>
            <w:tcW w:w="857" w:type="dxa"/>
            <w:tcBorders>
              <w:top w:val="nil"/>
              <w:left w:val="single" w:sz="4" w:space="0" w:color="auto"/>
              <w:bottom w:val="single" w:sz="18" w:space="0" w:color="auto"/>
              <w:right w:val="single" w:sz="18" w:space="0" w:color="auto"/>
            </w:tcBorders>
          </w:tcPr>
          <w:p w14:paraId="7DC34634" w14:textId="77777777" w:rsidR="00F31C5B" w:rsidRPr="003D4AA6" w:rsidRDefault="00F31C5B" w:rsidP="00654C71">
            <w:pPr>
              <w:autoSpaceDE w:val="0"/>
              <w:autoSpaceDN w:val="0"/>
              <w:adjustRightInd w:val="0"/>
              <w:spacing w:before="120"/>
              <w:jc w:val="center"/>
              <w:rPr>
                <w:rFonts w:ascii="Helv" w:hAnsi="Helv" w:cs="Helv"/>
                <w:b/>
                <w:color w:val="000000"/>
                <w:sz w:val="16"/>
                <w:szCs w:val="16"/>
                <w:lang w:eastAsia="en-AU"/>
              </w:rPr>
            </w:pPr>
            <w:r w:rsidRPr="003D4AA6">
              <w:rPr>
                <w:rFonts w:ascii="Helv" w:hAnsi="Helv" w:cs="Helv"/>
                <w:b/>
                <w:color w:val="000000"/>
                <w:sz w:val="16"/>
                <w:szCs w:val="16"/>
                <w:lang w:eastAsia="en-AU"/>
              </w:rPr>
              <w:t>Matters finalized</w:t>
            </w:r>
          </w:p>
        </w:tc>
      </w:tr>
      <w:tr w:rsidR="00F31C5B" w:rsidRPr="007E39B7" w14:paraId="723DF243" w14:textId="77777777" w:rsidTr="00654C71">
        <w:tc>
          <w:tcPr>
            <w:tcW w:w="1505" w:type="dxa"/>
            <w:tcBorders>
              <w:left w:val="single" w:sz="18" w:space="0" w:color="auto"/>
              <w:right w:val="single" w:sz="18" w:space="0" w:color="auto"/>
            </w:tcBorders>
          </w:tcPr>
          <w:p w14:paraId="2C414E23"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Dandenong</w:t>
            </w:r>
          </w:p>
        </w:tc>
        <w:tc>
          <w:tcPr>
            <w:tcW w:w="839" w:type="dxa"/>
            <w:tcBorders>
              <w:left w:val="single" w:sz="18" w:space="0" w:color="auto"/>
            </w:tcBorders>
          </w:tcPr>
          <w:p w14:paraId="605F65EF" w14:textId="35C59927"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57" w:type="dxa"/>
            <w:tcBorders>
              <w:right w:val="single" w:sz="18" w:space="0" w:color="auto"/>
            </w:tcBorders>
          </w:tcPr>
          <w:p w14:paraId="46D67E21" w14:textId="7E71A333"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7</w:t>
            </w:r>
          </w:p>
        </w:tc>
        <w:tc>
          <w:tcPr>
            <w:tcW w:w="839" w:type="dxa"/>
            <w:tcBorders>
              <w:left w:val="single" w:sz="18" w:space="0" w:color="auto"/>
            </w:tcBorders>
          </w:tcPr>
          <w:p w14:paraId="2DB19EF1" w14:textId="26C9B1C5"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0</w:t>
            </w:r>
          </w:p>
        </w:tc>
        <w:tc>
          <w:tcPr>
            <w:tcW w:w="857" w:type="dxa"/>
            <w:tcBorders>
              <w:right w:val="single" w:sz="18" w:space="0" w:color="auto"/>
            </w:tcBorders>
          </w:tcPr>
          <w:p w14:paraId="122B4D0F" w14:textId="22B59421"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0</w:t>
            </w:r>
          </w:p>
        </w:tc>
        <w:tc>
          <w:tcPr>
            <w:tcW w:w="839" w:type="dxa"/>
            <w:tcBorders>
              <w:right w:val="single" w:sz="4" w:space="0" w:color="auto"/>
            </w:tcBorders>
          </w:tcPr>
          <w:p w14:paraId="2237F332" w14:textId="04727DE1"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left w:val="single" w:sz="4" w:space="0" w:color="auto"/>
              <w:right w:val="single" w:sz="18" w:space="0" w:color="auto"/>
            </w:tcBorders>
          </w:tcPr>
          <w:p w14:paraId="57798839" w14:textId="3753E227"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0</w:t>
            </w:r>
          </w:p>
        </w:tc>
        <w:tc>
          <w:tcPr>
            <w:tcW w:w="839" w:type="dxa"/>
            <w:tcBorders>
              <w:right w:val="single" w:sz="4" w:space="0" w:color="auto"/>
            </w:tcBorders>
          </w:tcPr>
          <w:p w14:paraId="6C6BE259" w14:textId="7611FB50"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6</w:t>
            </w:r>
          </w:p>
        </w:tc>
        <w:tc>
          <w:tcPr>
            <w:tcW w:w="857" w:type="dxa"/>
            <w:tcBorders>
              <w:left w:val="single" w:sz="4" w:space="0" w:color="auto"/>
              <w:right w:val="single" w:sz="18" w:space="0" w:color="auto"/>
            </w:tcBorders>
          </w:tcPr>
          <w:p w14:paraId="01D762E7" w14:textId="685F7BDC"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52</w:t>
            </w:r>
          </w:p>
        </w:tc>
        <w:tc>
          <w:tcPr>
            <w:tcW w:w="839" w:type="dxa"/>
            <w:tcBorders>
              <w:left w:val="single" w:sz="4" w:space="0" w:color="auto"/>
              <w:right w:val="single" w:sz="18" w:space="0" w:color="auto"/>
            </w:tcBorders>
          </w:tcPr>
          <w:p w14:paraId="3EF9E10E" w14:textId="546D982B" w:rsidR="00F31C5B" w:rsidRDefault="00F31C5B" w:rsidP="00654C71">
            <w:pPr>
              <w:autoSpaceDE w:val="0"/>
              <w:autoSpaceDN w:val="0"/>
              <w:adjustRightInd w:val="0"/>
              <w:jc w:val="center"/>
              <w:rPr>
                <w:rFonts w:ascii="Helv" w:hAnsi="Helv" w:cs="Helv"/>
                <w:b/>
                <w:color w:val="000000"/>
                <w:sz w:val="20"/>
                <w:szCs w:val="20"/>
                <w:lang w:eastAsia="en-AU"/>
              </w:rPr>
            </w:pPr>
          </w:p>
        </w:tc>
        <w:tc>
          <w:tcPr>
            <w:tcW w:w="857" w:type="dxa"/>
            <w:tcBorders>
              <w:left w:val="single" w:sz="4" w:space="0" w:color="auto"/>
              <w:right w:val="single" w:sz="18" w:space="0" w:color="auto"/>
            </w:tcBorders>
          </w:tcPr>
          <w:p w14:paraId="133BA537" w14:textId="14852F20" w:rsidR="00F31C5B" w:rsidRDefault="00F31C5B" w:rsidP="00654C71">
            <w:pPr>
              <w:autoSpaceDE w:val="0"/>
              <w:autoSpaceDN w:val="0"/>
              <w:adjustRightInd w:val="0"/>
              <w:jc w:val="center"/>
              <w:rPr>
                <w:rFonts w:ascii="Helv" w:hAnsi="Helv" w:cs="Helv"/>
                <w:b/>
                <w:color w:val="000000"/>
                <w:sz w:val="20"/>
                <w:szCs w:val="20"/>
                <w:lang w:eastAsia="en-AU"/>
              </w:rPr>
            </w:pPr>
          </w:p>
        </w:tc>
      </w:tr>
      <w:tr w:rsidR="00F31C5B" w:rsidRPr="007E39B7" w14:paraId="4D09CC17" w14:textId="77777777" w:rsidTr="00654C71">
        <w:tc>
          <w:tcPr>
            <w:tcW w:w="1505" w:type="dxa"/>
            <w:tcBorders>
              <w:left w:val="single" w:sz="18" w:space="0" w:color="auto"/>
              <w:right w:val="single" w:sz="18" w:space="0" w:color="auto"/>
            </w:tcBorders>
          </w:tcPr>
          <w:p w14:paraId="4D83F8E3"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Geelong</w:t>
            </w:r>
          </w:p>
        </w:tc>
        <w:tc>
          <w:tcPr>
            <w:tcW w:w="839" w:type="dxa"/>
            <w:tcBorders>
              <w:left w:val="single" w:sz="18" w:space="0" w:color="auto"/>
            </w:tcBorders>
          </w:tcPr>
          <w:p w14:paraId="5AF002BE" w14:textId="78913732"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6</w:t>
            </w:r>
          </w:p>
        </w:tc>
        <w:tc>
          <w:tcPr>
            <w:tcW w:w="857" w:type="dxa"/>
            <w:tcBorders>
              <w:right w:val="single" w:sz="18" w:space="0" w:color="auto"/>
            </w:tcBorders>
          </w:tcPr>
          <w:p w14:paraId="44A60A8A" w14:textId="4B99065E"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14</w:t>
            </w:r>
          </w:p>
        </w:tc>
        <w:tc>
          <w:tcPr>
            <w:tcW w:w="839" w:type="dxa"/>
            <w:tcBorders>
              <w:left w:val="single" w:sz="18" w:space="0" w:color="auto"/>
            </w:tcBorders>
          </w:tcPr>
          <w:p w14:paraId="30EF2FF8" w14:textId="2B008D5B"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right w:val="single" w:sz="18" w:space="0" w:color="auto"/>
            </w:tcBorders>
          </w:tcPr>
          <w:p w14:paraId="630FFCC8" w14:textId="4F3BADF4"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39" w:type="dxa"/>
            <w:tcBorders>
              <w:right w:val="single" w:sz="4" w:space="0" w:color="auto"/>
            </w:tcBorders>
          </w:tcPr>
          <w:p w14:paraId="77616DA1" w14:textId="2817BB99"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5</w:t>
            </w:r>
          </w:p>
        </w:tc>
        <w:tc>
          <w:tcPr>
            <w:tcW w:w="857" w:type="dxa"/>
            <w:tcBorders>
              <w:left w:val="single" w:sz="4" w:space="0" w:color="auto"/>
              <w:right w:val="single" w:sz="18" w:space="0" w:color="auto"/>
            </w:tcBorders>
          </w:tcPr>
          <w:p w14:paraId="6FB7A5AF" w14:textId="4B629E63"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21</w:t>
            </w:r>
          </w:p>
        </w:tc>
        <w:tc>
          <w:tcPr>
            <w:tcW w:w="839" w:type="dxa"/>
            <w:tcBorders>
              <w:right w:val="single" w:sz="4" w:space="0" w:color="auto"/>
            </w:tcBorders>
          </w:tcPr>
          <w:p w14:paraId="735C0F80" w14:textId="321FA7F3"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7</w:t>
            </w:r>
          </w:p>
        </w:tc>
        <w:tc>
          <w:tcPr>
            <w:tcW w:w="857" w:type="dxa"/>
            <w:tcBorders>
              <w:left w:val="single" w:sz="4" w:space="0" w:color="auto"/>
              <w:right w:val="single" w:sz="18" w:space="0" w:color="auto"/>
            </w:tcBorders>
          </w:tcPr>
          <w:p w14:paraId="2DCB951E" w14:textId="037AE6E1"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39" w:type="dxa"/>
            <w:tcBorders>
              <w:left w:val="single" w:sz="4" w:space="0" w:color="auto"/>
              <w:right w:val="single" w:sz="18" w:space="0" w:color="auto"/>
            </w:tcBorders>
          </w:tcPr>
          <w:p w14:paraId="76245DDC" w14:textId="6C66F66E" w:rsidR="00F31C5B" w:rsidRDefault="00F31C5B" w:rsidP="00654C71">
            <w:pPr>
              <w:autoSpaceDE w:val="0"/>
              <w:autoSpaceDN w:val="0"/>
              <w:adjustRightInd w:val="0"/>
              <w:jc w:val="center"/>
              <w:rPr>
                <w:rFonts w:ascii="Helv" w:hAnsi="Helv" w:cs="Helv"/>
                <w:b/>
                <w:color w:val="000000"/>
                <w:sz w:val="20"/>
                <w:szCs w:val="20"/>
                <w:lang w:eastAsia="en-AU"/>
              </w:rPr>
            </w:pPr>
          </w:p>
        </w:tc>
        <w:tc>
          <w:tcPr>
            <w:tcW w:w="857" w:type="dxa"/>
            <w:tcBorders>
              <w:left w:val="single" w:sz="4" w:space="0" w:color="auto"/>
              <w:right w:val="single" w:sz="18" w:space="0" w:color="auto"/>
            </w:tcBorders>
          </w:tcPr>
          <w:p w14:paraId="6C31C970" w14:textId="0B7396A5" w:rsidR="00F31C5B" w:rsidRDefault="00F31C5B" w:rsidP="00654C71">
            <w:pPr>
              <w:autoSpaceDE w:val="0"/>
              <w:autoSpaceDN w:val="0"/>
              <w:adjustRightInd w:val="0"/>
              <w:jc w:val="center"/>
              <w:rPr>
                <w:rFonts w:ascii="Helv" w:hAnsi="Helv" w:cs="Helv"/>
                <w:b/>
                <w:color w:val="000000"/>
                <w:sz w:val="20"/>
                <w:szCs w:val="20"/>
                <w:lang w:eastAsia="en-AU"/>
              </w:rPr>
            </w:pPr>
          </w:p>
        </w:tc>
      </w:tr>
      <w:tr w:rsidR="00F31C5B" w:rsidRPr="007E39B7" w14:paraId="7D9B0CC6" w14:textId="77777777" w:rsidTr="00654C71">
        <w:tc>
          <w:tcPr>
            <w:tcW w:w="1505" w:type="dxa"/>
            <w:tcBorders>
              <w:left w:val="single" w:sz="18" w:space="0" w:color="auto"/>
              <w:right w:val="single" w:sz="18" w:space="0" w:color="auto"/>
            </w:tcBorders>
          </w:tcPr>
          <w:p w14:paraId="0BE778AF"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Heidelberg</w:t>
            </w:r>
          </w:p>
        </w:tc>
        <w:tc>
          <w:tcPr>
            <w:tcW w:w="839" w:type="dxa"/>
            <w:tcBorders>
              <w:left w:val="single" w:sz="18" w:space="0" w:color="auto"/>
            </w:tcBorders>
          </w:tcPr>
          <w:p w14:paraId="4A0D7B62" w14:textId="61C68096"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14</w:t>
            </w:r>
          </w:p>
        </w:tc>
        <w:tc>
          <w:tcPr>
            <w:tcW w:w="857" w:type="dxa"/>
            <w:tcBorders>
              <w:right w:val="single" w:sz="18" w:space="0" w:color="auto"/>
            </w:tcBorders>
          </w:tcPr>
          <w:p w14:paraId="02434615" w14:textId="48961F1C"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7</w:t>
            </w:r>
          </w:p>
        </w:tc>
        <w:tc>
          <w:tcPr>
            <w:tcW w:w="839" w:type="dxa"/>
            <w:tcBorders>
              <w:left w:val="single" w:sz="18" w:space="0" w:color="auto"/>
            </w:tcBorders>
          </w:tcPr>
          <w:p w14:paraId="69E4412F" w14:textId="2C73540D"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10</w:t>
            </w:r>
          </w:p>
        </w:tc>
        <w:tc>
          <w:tcPr>
            <w:tcW w:w="857" w:type="dxa"/>
            <w:tcBorders>
              <w:right w:val="single" w:sz="18" w:space="0" w:color="auto"/>
            </w:tcBorders>
          </w:tcPr>
          <w:p w14:paraId="74A592B2" w14:textId="576A2C5B"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17</w:t>
            </w:r>
          </w:p>
        </w:tc>
        <w:tc>
          <w:tcPr>
            <w:tcW w:w="839" w:type="dxa"/>
            <w:tcBorders>
              <w:right w:val="single" w:sz="4" w:space="0" w:color="auto"/>
            </w:tcBorders>
          </w:tcPr>
          <w:p w14:paraId="0EF9B9B8" w14:textId="21632B3C"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left w:val="single" w:sz="4" w:space="0" w:color="auto"/>
              <w:right w:val="single" w:sz="18" w:space="0" w:color="auto"/>
            </w:tcBorders>
          </w:tcPr>
          <w:p w14:paraId="1D566F7C" w14:textId="31160E59"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10</w:t>
            </w:r>
          </w:p>
        </w:tc>
        <w:tc>
          <w:tcPr>
            <w:tcW w:w="839" w:type="dxa"/>
            <w:tcBorders>
              <w:right w:val="single" w:sz="4" w:space="0" w:color="auto"/>
            </w:tcBorders>
          </w:tcPr>
          <w:p w14:paraId="17FF9EE6" w14:textId="1CF7F1CC"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57" w:type="dxa"/>
            <w:tcBorders>
              <w:left w:val="single" w:sz="4" w:space="0" w:color="auto"/>
              <w:right w:val="single" w:sz="18" w:space="0" w:color="auto"/>
            </w:tcBorders>
          </w:tcPr>
          <w:p w14:paraId="447F8F88" w14:textId="6F03F174"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9</w:t>
            </w:r>
          </w:p>
        </w:tc>
        <w:tc>
          <w:tcPr>
            <w:tcW w:w="839" w:type="dxa"/>
            <w:tcBorders>
              <w:left w:val="single" w:sz="4" w:space="0" w:color="auto"/>
              <w:right w:val="single" w:sz="18" w:space="0" w:color="auto"/>
            </w:tcBorders>
          </w:tcPr>
          <w:p w14:paraId="6CB2342A" w14:textId="7CB530E2" w:rsidR="00F31C5B" w:rsidRPr="007E39B7" w:rsidRDefault="00F31C5B" w:rsidP="00654C71">
            <w:pPr>
              <w:autoSpaceDE w:val="0"/>
              <w:autoSpaceDN w:val="0"/>
              <w:adjustRightInd w:val="0"/>
              <w:jc w:val="center"/>
              <w:rPr>
                <w:rFonts w:ascii="Helv" w:hAnsi="Helv" w:cs="Helv"/>
                <w:b/>
                <w:color w:val="000000"/>
                <w:sz w:val="20"/>
                <w:szCs w:val="20"/>
                <w:lang w:eastAsia="en-AU"/>
              </w:rPr>
            </w:pPr>
          </w:p>
        </w:tc>
        <w:tc>
          <w:tcPr>
            <w:tcW w:w="857" w:type="dxa"/>
            <w:tcBorders>
              <w:left w:val="single" w:sz="4" w:space="0" w:color="auto"/>
              <w:right w:val="single" w:sz="18" w:space="0" w:color="auto"/>
            </w:tcBorders>
          </w:tcPr>
          <w:p w14:paraId="0B880E58" w14:textId="4508C688" w:rsidR="00F31C5B" w:rsidRPr="007E39B7" w:rsidRDefault="00F31C5B" w:rsidP="00654C71">
            <w:pPr>
              <w:autoSpaceDE w:val="0"/>
              <w:autoSpaceDN w:val="0"/>
              <w:adjustRightInd w:val="0"/>
              <w:jc w:val="center"/>
              <w:rPr>
                <w:rFonts w:ascii="Helv" w:hAnsi="Helv" w:cs="Helv"/>
                <w:b/>
                <w:color w:val="000000"/>
                <w:sz w:val="20"/>
                <w:szCs w:val="20"/>
                <w:lang w:eastAsia="en-AU"/>
              </w:rPr>
            </w:pPr>
          </w:p>
        </w:tc>
      </w:tr>
      <w:tr w:rsidR="00F31C5B" w:rsidRPr="007E39B7" w14:paraId="6069CA79" w14:textId="77777777" w:rsidTr="00654C71">
        <w:tc>
          <w:tcPr>
            <w:tcW w:w="1505" w:type="dxa"/>
            <w:tcBorders>
              <w:left w:val="single" w:sz="18" w:space="0" w:color="auto"/>
              <w:right w:val="single" w:sz="18" w:space="0" w:color="auto"/>
            </w:tcBorders>
          </w:tcPr>
          <w:p w14:paraId="4045FAB8"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Latrobe</w:t>
            </w:r>
            <w:r>
              <w:rPr>
                <w:rFonts w:ascii="Helv" w:hAnsi="Helv" w:cs="Helv"/>
                <w:b/>
                <w:color w:val="000000"/>
                <w:sz w:val="20"/>
                <w:szCs w:val="20"/>
                <w:lang w:eastAsia="en-AU"/>
              </w:rPr>
              <w:t xml:space="preserve"> Vly</w:t>
            </w:r>
          </w:p>
        </w:tc>
        <w:tc>
          <w:tcPr>
            <w:tcW w:w="839" w:type="dxa"/>
            <w:tcBorders>
              <w:left w:val="single" w:sz="18" w:space="0" w:color="auto"/>
            </w:tcBorders>
          </w:tcPr>
          <w:p w14:paraId="57B0492C" w14:textId="173FF3CE"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57" w:type="dxa"/>
            <w:tcBorders>
              <w:right w:val="single" w:sz="18" w:space="0" w:color="auto"/>
            </w:tcBorders>
          </w:tcPr>
          <w:p w14:paraId="20F3FF25" w14:textId="423462A4"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39" w:type="dxa"/>
            <w:tcBorders>
              <w:left w:val="single" w:sz="18" w:space="0" w:color="auto"/>
            </w:tcBorders>
          </w:tcPr>
          <w:p w14:paraId="4B8FDFF8" w14:textId="6A6B292E"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right w:val="single" w:sz="18" w:space="0" w:color="auto"/>
            </w:tcBorders>
          </w:tcPr>
          <w:p w14:paraId="69900967" w14:textId="2C17C412"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39" w:type="dxa"/>
            <w:tcBorders>
              <w:right w:val="single" w:sz="4" w:space="0" w:color="auto"/>
            </w:tcBorders>
          </w:tcPr>
          <w:p w14:paraId="55C5AC3A" w14:textId="363132B1"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left w:val="single" w:sz="4" w:space="0" w:color="auto"/>
              <w:right w:val="single" w:sz="18" w:space="0" w:color="auto"/>
            </w:tcBorders>
          </w:tcPr>
          <w:p w14:paraId="1B6D17EC" w14:textId="18727949"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39" w:type="dxa"/>
            <w:tcBorders>
              <w:right w:val="single" w:sz="4" w:space="0" w:color="auto"/>
            </w:tcBorders>
          </w:tcPr>
          <w:p w14:paraId="433B6CF6" w14:textId="6B94D767"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w:t>
            </w:r>
          </w:p>
        </w:tc>
        <w:tc>
          <w:tcPr>
            <w:tcW w:w="857" w:type="dxa"/>
            <w:tcBorders>
              <w:left w:val="single" w:sz="4" w:space="0" w:color="auto"/>
              <w:right w:val="single" w:sz="18" w:space="0" w:color="auto"/>
            </w:tcBorders>
          </w:tcPr>
          <w:p w14:paraId="59CFE3FF" w14:textId="663E5BCF"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10</w:t>
            </w:r>
          </w:p>
        </w:tc>
        <w:tc>
          <w:tcPr>
            <w:tcW w:w="839" w:type="dxa"/>
            <w:tcBorders>
              <w:left w:val="single" w:sz="4" w:space="0" w:color="auto"/>
              <w:right w:val="single" w:sz="18" w:space="0" w:color="auto"/>
            </w:tcBorders>
          </w:tcPr>
          <w:p w14:paraId="176A842F" w14:textId="7094A32F" w:rsidR="00F31C5B" w:rsidRDefault="00F31C5B" w:rsidP="00654C71">
            <w:pPr>
              <w:autoSpaceDE w:val="0"/>
              <w:autoSpaceDN w:val="0"/>
              <w:adjustRightInd w:val="0"/>
              <w:jc w:val="center"/>
              <w:rPr>
                <w:rFonts w:ascii="Helv" w:hAnsi="Helv" w:cs="Helv"/>
                <w:b/>
                <w:color w:val="000000"/>
                <w:sz w:val="20"/>
                <w:szCs w:val="20"/>
                <w:lang w:eastAsia="en-AU"/>
              </w:rPr>
            </w:pPr>
          </w:p>
        </w:tc>
        <w:tc>
          <w:tcPr>
            <w:tcW w:w="857" w:type="dxa"/>
            <w:tcBorders>
              <w:left w:val="single" w:sz="4" w:space="0" w:color="auto"/>
              <w:right w:val="single" w:sz="18" w:space="0" w:color="auto"/>
            </w:tcBorders>
          </w:tcPr>
          <w:p w14:paraId="6C5DAAAE" w14:textId="4E215A5E" w:rsidR="00F31C5B" w:rsidRDefault="00F31C5B" w:rsidP="00654C71">
            <w:pPr>
              <w:autoSpaceDE w:val="0"/>
              <w:autoSpaceDN w:val="0"/>
              <w:adjustRightInd w:val="0"/>
              <w:jc w:val="center"/>
              <w:rPr>
                <w:rFonts w:ascii="Helv" w:hAnsi="Helv" w:cs="Helv"/>
                <w:b/>
                <w:color w:val="000000"/>
                <w:sz w:val="20"/>
                <w:szCs w:val="20"/>
                <w:lang w:eastAsia="en-AU"/>
              </w:rPr>
            </w:pPr>
          </w:p>
        </w:tc>
      </w:tr>
      <w:tr w:rsidR="00F31C5B" w:rsidRPr="007E39B7" w14:paraId="77500A05" w14:textId="77777777" w:rsidTr="00654C71">
        <w:tc>
          <w:tcPr>
            <w:tcW w:w="1505" w:type="dxa"/>
            <w:tcBorders>
              <w:left w:val="single" w:sz="18" w:space="0" w:color="auto"/>
              <w:right w:val="single" w:sz="18" w:space="0" w:color="auto"/>
            </w:tcBorders>
          </w:tcPr>
          <w:p w14:paraId="55896823"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Melbourne</w:t>
            </w:r>
          </w:p>
        </w:tc>
        <w:tc>
          <w:tcPr>
            <w:tcW w:w="839" w:type="dxa"/>
            <w:tcBorders>
              <w:left w:val="single" w:sz="18" w:space="0" w:color="auto"/>
            </w:tcBorders>
          </w:tcPr>
          <w:p w14:paraId="136CDAF0" w14:textId="36A5BEB1"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21</w:t>
            </w:r>
          </w:p>
        </w:tc>
        <w:tc>
          <w:tcPr>
            <w:tcW w:w="857" w:type="dxa"/>
            <w:tcBorders>
              <w:right w:val="single" w:sz="18" w:space="0" w:color="auto"/>
            </w:tcBorders>
          </w:tcPr>
          <w:p w14:paraId="5217E2F5" w14:textId="4D892C95"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45</w:t>
            </w:r>
          </w:p>
        </w:tc>
        <w:tc>
          <w:tcPr>
            <w:tcW w:w="839" w:type="dxa"/>
            <w:tcBorders>
              <w:left w:val="single" w:sz="18" w:space="0" w:color="auto"/>
            </w:tcBorders>
          </w:tcPr>
          <w:p w14:paraId="796AAC90" w14:textId="3E591B56"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39</w:t>
            </w:r>
          </w:p>
        </w:tc>
        <w:tc>
          <w:tcPr>
            <w:tcW w:w="857" w:type="dxa"/>
            <w:tcBorders>
              <w:right w:val="single" w:sz="18" w:space="0" w:color="auto"/>
            </w:tcBorders>
          </w:tcPr>
          <w:p w14:paraId="0C6B0F2B" w14:textId="24911381"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99</w:t>
            </w:r>
          </w:p>
        </w:tc>
        <w:tc>
          <w:tcPr>
            <w:tcW w:w="839" w:type="dxa"/>
            <w:tcBorders>
              <w:right w:val="single" w:sz="4" w:space="0" w:color="auto"/>
            </w:tcBorders>
          </w:tcPr>
          <w:p w14:paraId="0231AC08" w14:textId="70B885BD"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31</w:t>
            </w:r>
          </w:p>
        </w:tc>
        <w:tc>
          <w:tcPr>
            <w:tcW w:w="857" w:type="dxa"/>
            <w:tcBorders>
              <w:left w:val="single" w:sz="4" w:space="0" w:color="auto"/>
              <w:right w:val="single" w:sz="18" w:space="0" w:color="auto"/>
            </w:tcBorders>
          </w:tcPr>
          <w:p w14:paraId="46A1665A" w14:textId="0E8E4825"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46</w:t>
            </w:r>
          </w:p>
        </w:tc>
        <w:tc>
          <w:tcPr>
            <w:tcW w:w="839" w:type="dxa"/>
            <w:tcBorders>
              <w:right w:val="single" w:sz="4" w:space="0" w:color="auto"/>
            </w:tcBorders>
          </w:tcPr>
          <w:p w14:paraId="38E0746C" w14:textId="35AC5FBB"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20</w:t>
            </w:r>
          </w:p>
        </w:tc>
        <w:tc>
          <w:tcPr>
            <w:tcW w:w="857" w:type="dxa"/>
            <w:tcBorders>
              <w:left w:val="single" w:sz="4" w:space="0" w:color="auto"/>
              <w:right w:val="single" w:sz="18" w:space="0" w:color="auto"/>
            </w:tcBorders>
          </w:tcPr>
          <w:p w14:paraId="15DF2908" w14:textId="52439B4E"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96</w:t>
            </w:r>
          </w:p>
        </w:tc>
        <w:tc>
          <w:tcPr>
            <w:tcW w:w="839" w:type="dxa"/>
            <w:tcBorders>
              <w:left w:val="single" w:sz="4" w:space="0" w:color="auto"/>
              <w:right w:val="single" w:sz="18" w:space="0" w:color="auto"/>
            </w:tcBorders>
          </w:tcPr>
          <w:p w14:paraId="2D35CA8F" w14:textId="274923EC" w:rsidR="00F31C5B" w:rsidRDefault="00F31C5B" w:rsidP="00654C71">
            <w:pPr>
              <w:autoSpaceDE w:val="0"/>
              <w:autoSpaceDN w:val="0"/>
              <w:adjustRightInd w:val="0"/>
              <w:jc w:val="center"/>
              <w:rPr>
                <w:rFonts w:ascii="Helv" w:hAnsi="Helv" w:cs="Helv"/>
                <w:b/>
                <w:color w:val="000000"/>
                <w:sz w:val="20"/>
                <w:szCs w:val="20"/>
                <w:lang w:eastAsia="en-AU"/>
              </w:rPr>
            </w:pPr>
          </w:p>
        </w:tc>
        <w:tc>
          <w:tcPr>
            <w:tcW w:w="857" w:type="dxa"/>
            <w:tcBorders>
              <w:left w:val="single" w:sz="4" w:space="0" w:color="auto"/>
              <w:right w:val="single" w:sz="18" w:space="0" w:color="auto"/>
            </w:tcBorders>
          </w:tcPr>
          <w:p w14:paraId="03A8A1B3" w14:textId="11453684" w:rsidR="00F31C5B" w:rsidRDefault="00F31C5B" w:rsidP="00654C71">
            <w:pPr>
              <w:autoSpaceDE w:val="0"/>
              <w:autoSpaceDN w:val="0"/>
              <w:adjustRightInd w:val="0"/>
              <w:jc w:val="center"/>
              <w:rPr>
                <w:rFonts w:ascii="Helv" w:hAnsi="Helv" w:cs="Helv"/>
                <w:b/>
                <w:color w:val="000000"/>
                <w:sz w:val="20"/>
                <w:szCs w:val="20"/>
                <w:lang w:eastAsia="en-AU"/>
              </w:rPr>
            </w:pPr>
          </w:p>
        </w:tc>
      </w:tr>
      <w:tr w:rsidR="00F31C5B" w:rsidRPr="007E39B7" w14:paraId="314F1166" w14:textId="77777777" w:rsidTr="00654C71">
        <w:tc>
          <w:tcPr>
            <w:tcW w:w="1505" w:type="dxa"/>
            <w:tcBorders>
              <w:left w:val="single" w:sz="18" w:space="0" w:color="auto"/>
              <w:right w:val="single" w:sz="18" w:space="0" w:color="auto"/>
            </w:tcBorders>
          </w:tcPr>
          <w:p w14:paraId="549D5248"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Mildura</w:t>
            </w:r>
          </w:p>
        </w:tc>
        <w:tc>
          <w:tcPr>
            <w:tcW w:w="839" w:type="dxa"/>
            <w:tcBorders>
              <w:left w:val="single" w:sz="18" w:space="0" w:color="auto"/>
            </w:tcBorders>
          </w:tcPr>
          <w:p w14:paraId="326A86B9" w14:textId="0F915E6D"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57" w:type="dxa"/>
            <w:tcBorders>
              <w:right w:val="single" w:sz="18" w:space="0" w:color="auto"/>
            </w:tcBorders>
          </w:tcPr>
          <w:p w14:paraId="3BBF36A2" w14:textId="2B524FB2"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29</w:t>
            </w:r>
          </w:p>
        </w:tc>
        <w:tc>
          <w:tcPr>
            <w:tcW w:w="839" w:type="dxa"/>
            <w:tcBorders>
              <w:left w:val="single" w:sz="18" w:space="0" w:color="auto"/>
            </w:tcBorders>
          </w:tcPr>
          <w:p w14:paraId="319FAD02" w14:textId="6CA60BA9"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6</w:t>
            </w:r>
          </w:p>
        </w:tc>
        <w:tc>
          <w:tcPr>
            <w:tcW w:w="857" w:type="dxa"/>
            <w:tcBorders>
              <w:right w:val="single" w:sz="18" w:space="0" w:color="auto"/>
            </w:tcBorders>
          </w:tcPr>
          <w:p w14:paraId="55BCFC7E" w14:textId="391A3D65"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0</w:t>
            </w:r>
          </w:p>
        </w:tc>
        <w:tc>
          <w:tcPr>
            <w:tcW w:w="839" w:type="dxa"/>
            <w:tcBorders>
              <w:right w:val="single" w:sz="4" w:space="0" w:color="auto"/>
            </w:tcBorders>
          </w:tcPr>
          <w:p w14:paraId="4E2F54A6" w14:textId="03725A55"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7</w:t>
            </w:r>
          </w:p>
        </w:tc>
        <w:tc>
          <w:tcPr>
            <w:tcW w:w="857" w:type="dxa"/>
            <w:tcBorders>
              <w:left w:val="single" w:sz="4" w:space="0" w:color="auto"/>
              <w:right w:val="single" w:sz="18" w:space="0" w:color="auto"/>
            </w:tcBorders>
          </w:tcPr>
          <w:p w14:paraId="08CF4D35" w14:textId="55002CC5"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39" w:type="dxa"/>
            <w:tcBorders>
              <w:right w:val="single" w:sz="4" w:space="0" w:color="auto"/>
            </w:tcBorders>
          </w:tcPr>
          <w:p w14:paraId="13D1A91F" w14:textId="06A9E5FE"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57" w:type="dxa"/>
            <w:tcBorders>
              <w:left w:val="single" w:sz="4" w:space="0" w:color="auto"/>
              <w:right w:val="single" w:sz="18" w:space="0" w:color="auto"/>
            </w:tcBorders>
          </w:tcPr>
          <w:p w14:paraId="6D51CCF2" w14:textId="3EE8EEE8"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w:t>
            </w:r>
          </w:p>
        </w:tc>
        <w:tc>
          <w:tcPr>
            <w:tcW w:w="839" w:type="dxa"/>
            <w:tcBorders>
              <w:left w:val="single" w:sz="4" w:space="0" w:color="auto"/>
              <w:right w:val="single" w:sz="18" w:space="0" w:color="auto"/>
            </w:tcBorders>
          </w:tcPr>
          <w:p w14:paraId="76305313" w14:textId="1393A2F0" w:rsidR="00F31C5B" w:rsidRDefault="00F31C5B" w:rsidP="00654C71">
            <w:pPr>
              <w:autoSpaceDE w:val="0"/>
              <w:autoSpaceDN w:val="0"/>
              <w:adjustRightInd w:val="0"/>
              <w:jc w:val="center"/>
              <w:rPr>
                <w:rFonts w:ascii="Helv" w:hAnsi="Helv" w:cs="Helv"/>
                <w:b/>
                <w:color w:val="000000"/>
                <w:sz w:val="20"/>
                <w:szCs w:val="20"/>
                <w:lang w:eastAsia="en-AU"/>
              </w:rPr>
            </w:pPr>
          </w:p>
        </w:tc>
        <w:tc>
          <w:tcPr>
            <w:tcW w:w="857" w:type="dxa"/>
            <w:tcBorders>
              <w:left w:val="single" w:sz="4" w:space="0" w:color="auto"/>
              <w:right w:val="single" w:sz="18" w:space="0" w:color="auto"/>
            </w:tcBorders>
          </w:tcPr>
          <w:p w14:paraId="36F00726" w14:textId="3BF3D087" w:rsidR="00F31C5B" w:rsidRDefault="00F31C5B" w:rsidP="00654C71">
            <w:pPr>
              <w:autoSpaceDE w:val="0"/>
              <w:autoSpaceDN w:val="0"/>
              <w:adjustRightInd w:val="0"/>
              <w:jc w:val="center"/>
              <w:rPr>
                <w:rFonts w:ascii="Helv" w:hAnsi="Helv" w:cs="Helv"/>
                <w:b/>
                <w:color w:val="000000"/>
                <w:sz w:val="20"/>
                <w:szCs w:val="20"/>
                <w:lang w:eastAsia="en-AU"/>
              </w:rPr>
            </w:pPr>
          </w:p>
        </w:tc>
      </w:tr>
      <w:tr w:rsidR="00F31C5B" w:rsidRPr="007E39B7" w14:paraId="0D7F4B78" w14:textId="77777777" w:rsidTr="00654C71">
        <w:tc>
          <w:tcPr>
            <w:tcW w:w="1505" w:type="dxa"/>
            <w:tcBorders>
              <w:left w:val="single" w:sz="18" w:space="0" w:color="auto"/>
              <w:right w:val="single" w:sz="18" w:space="0" w:color="auto"/>
            </w:tcBorders>
          </w:tcPr>
          <w:p w14:paraId="415B52AB"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Shepparton</w:t>
            </w:r>
          </w:p>
        </w:tc>
        <w:tc>
          <w:tcPr>
            <w:tcW w:w="839" w:type="dxa"/>
            <w:tcBorders>
              <w:left w:val="single" w:sz="18" w:space="0" w:color="auto"/>
            </w:tcBorders>
          </w:tcPr>
          <w:p w14:paraId="677F3113" w14:textId="56E03212"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5</w:t>
            </w:r>
          </w:p>
        </w:tc>
        <w:tc>
          <w:tcPr>
            <w:tcW w:w="857" w:type="dxa"/>
            <w:tcBorders>
              <w:right w:val="single" w:sz="18" w:space="0" w:color="auto"/>
            </w:tcBorders>
          </w:tcPr>
          <w:p w14:paraId="158AA6A2" w14:textId="0FC8322A"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w:t>
            </w:r>
          </w:p>
        </w:tc>
        <w:tc>
          <w:tcPr>
            <w:tcW w:w="839" w:type="dxa"/>
            <w:tcBorders>
              <w:left w:val="single" w:sz="18" w:space="0" w:color="auto"/>
            </w:tcBorders>
          </w:tcPr>
          <w:p w14:paraId="03274A94" w14:textId="4FCA4CF2"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13</w:t>
            </w:r>
          </w:p>
        </w:tc>
        <w:tc>
          <w:tcPr>
            <w:tcW w:w="857" w:type="dxa"/>
            <w:tcBorders>
              <w:right w:val="single" w:sz="18" w:space="0" w:color="auto"/>
            </w:tcBorders>
          </w:tcPr>
          <w:p w14:paraId="1564CC50" w14:textId="79DF372E"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13</w:t>
            </w:r>
          </w:p>
        </w:tc>
        <w:tc>
          <w:tcPr>
            <w:tcW w:w="839" w:type="dxa"/>
            <w:tcBorders>
              <w:right w:val="single" w:sz="4" w:space="0" w:color="auto"/>
            </w:tcBorders>
          </w:tcPr>
          <w:p w14:paraId="56FEC38C" w14:textId="02C25CC2"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4</w:t>
            </w:r>
          </w:p>
        </w:tc>
        <w:tc>
          <w:tcPr>
            <w:tcW w:w="857" w:type="dxa"/>
            <w:tcBorders>
              <w:left w:val="single" w:sz="4" w:space="0" w:color="auto"/>
              <w:right w:val="single" w:sz="18" w:space="0" w:color="auto"/>
            </w:tcBorders>
          </w:tcPr>
          <w:p w14:paraId="06A0C255" w14:textId="756D341F"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5</w:t>
            </w:r>
          </w:p>
        </w:tc>
        <w:tc>
          <w:tcPr>
            <w:tcW w:w="839" w:type="dxa"/>
            <w:tcBorders>
              <w:right w:val="single" w:sz="4" w:space="0" w:color="auto"/>
            </w:tcBorders>
          </w:tcPr>
          <w:p w14:paraId="604BDCA4" w14:textId="48EF9389"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57" w:type="dxa"/>
            <w:tcBorders>
              <w:left w:val="single" w:sz="4" w:space="0" w:color="auto"/>
              <w:right w:val="single" w:sz="18" w:space="0" w:color="auto"/>
            </w:tcBorders>
          </w:tcPr>
          <w:p w14:paraId="595C6E65" w14:textId="29FBC0D1"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0</w:t>
            </w:r>
          </w:p>
        </w:tc>
        <w:tc>
          <w:tcPr>
            <w:tcW w:w="839" w:type="dxa"/>
            <w:tcBorders>
              <w:left w:val="single" w:sz="4" w:space="0" w:color="auto"/>
              <w:right w:val="single" w:sz="18" w:space="0" w:color="auto"/>
            </w:tcBorders>
          </w:tcPr>
          <w:p w14:paraId="4A040B55" w14:textId="70F31B29" w:rsidR="00F31C5B" w:rsidRDefault="00F31C5B" w:rsidP="00654C71">
            <w:pPr>
              <w:autoSpaceDE w:val="0"/>
              <w:autoSpaceDN w:val="0"/>
              <w:adjustRightInd w:val="0"/>
              <w:jc w:val="center"/>
              <w:rPr>
                <w:rFonts w:ascii="Helv" w:hAnsi="Helv" w:cs="Helv"/>
                <w:b/>
                <w:color w:val="000000"/>
                <w:sz w:val="20"/>
                <w:szCs w:val="20"/>
                <w:lang w:eastAsia="en-AU"/>
              </w:rPr>
            </w:pPr>
          </w:p>
        </w:tc>
        <w:tc>
          <w:tcPr>
            <w:tcW w:w="857" w:type="dxa"/>
            <w:tcBorders>
              <w:left w:val="single" w:sz="4" w:space="0" w:color="auto"/>
              <w:right w:val="single" w:sz="18" w:space="0" w:color="auto"/>
            </w:tcBorders>
          </w:tcPr>
          <w:p w14:paraId="18339246" w14:textId="21DE8723" w:rsidR="00F31C5B" w:rsidRDefault="00F31C5B" w:rsidP="00654C71">
            <w:pPr>
              <w:autoSpaceDE w:val="0"/>
              <w:autoSpaceDN w:val="0"/>
              <w:adjustRightInd w:val="0"/>
              <w:jc w:val="center"/>
              <w:rPr>
                <w:rFonts w:ascii="Helv" w:hAnsi="Helv" w:cs="Helv"/>
                <w:b/>
                <w:color w:val="000000"/>
                <w:sz w:val="20"/>
                <w:szCs w:val="20"/>
                <w:lang w:eastAsia="en-AU"/>
              </w:rPr>
            </w:pPr>
          </w:p>
        </w:tc>
      </w:tr>
      <w:tr w:rsidR="00F31C5B" w:rsidRPr="007E39B7" w14:paraId="16F90289" w14:textId="77777777" w:rsidTr="00654C71">
        <w:tc>
          <w:tcPr>
            <w:tcW w:w="1505" w:type="dxa"/>
            <w:tcBorders>
              <w:left w:val="single" w:sz="18" w:space="0" w:color="auto"/>
              <w:right w:val="single" w:sz="18" w:space="0" w:color="auto"/>
            </w:tcBorders>
          </w:tcPr>
          <w:p w14:paraId="677EEB5F"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Swan Hill</w:t>
            </w:r>
          </w:p>
        </w:tc>
        <w:tc>
          <w:tcPr>
            <w:tcW w:w="839" w:type="dxa"/>
            <w:tcBorders>
              <w:left w:val="single" w:sz="18" w:space="0" w:color="auto"/>
            </w:tcBorders>
          </w:tcPr>
          <w:p w14:paraId="0B187EDF" w14:textId="61EA8728"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right w:val="single" w:sz="18" w:space="0" w:color="auto"/>
            </w:tcBorders>
          </w:tcPr>
          <w:p w14:paraId="45C7DEF1" w14:textId="0E392836" w:rsidR="00F31C5B" w:rsidRPr="007E39B7" w:rsidRDefault="00F31C5B"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39" w:type="dxa"/>
            <w:tcBorders>
              <w:left w:val="single" w:sz="18" w:space="0" w:color="auto"/>
            </w:tcBorders>
          </w:tcPr>
          <w:p w14:paraId="1FC0AAA8" w14:textId="0354D221"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right w:val="single" w:sz="18" w:space="0" w:color="auto"/>
            </w:tcBorders>
          </w:tcPr>
          <w:p w14:paraId="3D5FA01C" w14:textId="680DFD8C" w:rsidR="00F31C5B" w:rsidRPr="007E39B7" w:rsidRDefault="004B07D4"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39" w:type="dxa"/>
            <w:tcBorders>
              <w:bottom w:val="single" w:sz="4" w:space="0" w:color="auto"/>
              <w:right w:val="single" w:sz="4" w:space="0" w:color="auto"/>
            </w:tcBorders>
          </w:tcPr>
          <w:p w14:paraId="188E2B0A" w14:textId="79758B90"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57" w:type="dxa"/>
            <w:tcBorders>
              <w:left w:val="single" w:sz="4" w:space="0" w:color="auto"/>
              <w:bottom w:val="single" w:sz="4" w:space="0" w:color="auto"/>
              <w:right w:val="single" w:sz="18" w:space="0" w:color="auto"/>
            </w:tcBorders>
          </w:tcPr>
          <w:p w14:paraId="2115E272" w14:textId="2D77FF49" w:rsidR="00F31C5B" w:rsidRPr="007E39B7" w:rsidRDefault="003565B0"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7</w:t>
            </w:r>
          </w:p>
        </w:tc>
        <w:tc>
          <w:tcPr>
            <w:tcW w:w="839" w:type="dxa"/>
            <w:tcBorders>
              <w:bottom w:val="single" w:sz="4" w:space="0" w:color="auto"/>
              <w:right w:val="single" w:sz="4" w:space="0" w:color="auto"/>
            </w:tcBorders>
          </w:tcPr>
          <w:p w14:paraId="5F9CF1A6" w14:textId="09220583"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3</w:t>
            </w:r>
          </w:p>
        </w:tc>
        <w:tc>
          <w:tcPr>
            <w:tcW w:w="857" w:type="dxa"/>
            <w:tcBorders>
              <w:left w:val="single" w:sz="4" w:space="0" w:color="auto"/>
              <w:bottom w:val="single" w:sz="4" w:space="0" w:color="auto"/>
              <w:right w:val="single" w:sz="18" w:space="0" w:color="auto"/>
            </w:tcBorders>
          </w:tcPr>
          <w:p w14:paraId="22EF5D06" w14:textId="793A3426" w:rsidR="00F31C5B" w:rsidRPr="007E39B7" w:rsidRDefault="00304B09" w:rsidP="00654C71">
            <w:pPr>
              <w:autoSpaceDE w:val="0"/>
              <w:autoSpaceDN w:val="0"/>
              <w:adjustRightInd w:val="0"/>
              <w:jc w:val="center"/>
              <w:rPr>
                <w:rFonts w:ascii="Helv" w:hAnsi="Helv" w:cs="Helv"/>
                <w:b/>
                <w:color w:val="000000"/>
                <w:sz w:val="20"/>
                <w:szCs w:val="20"/>
                <w:lang w:eastAsia="en-AU"/>
              </w:rPr>
            </w:pPr>
            <w:r>
              <w:rPr>
                <w:rFonts w:ascii="Helv" w:hAnsi="Helv" w:cs="Helv"/>
                <w:b/>
                <w:color w:val="000000"/>
                <w:sz w:val="20"/>
                <w:szCs w:val="20"/>
                <w:lang w:eastAsia="en-AU"/>
              </w:rPr>
              <w:t>7</w:t>
            </w:r>
          </w:p>
        </w:tc>
        <w:tc>
          <w:tcPr>
            <w:tcW w:w="839" w:type="dxa"/>
            <w:tcBorders>
              <w:left w:val="single" w:sz="4" w:space="0" w:color="auto"/>
              <w:bottom w:val="single" w:sz="4" w:space="0" w:color="auto"/>
              <w:right w:val="single" w:sz="18" w:space="0" w:color="auto"/>
            </w:tcBorders>
          </w:tcPr>
          <w:p w14:paraId="53D08259" w14:textId="141EF9C4" w:rsidR="00F31C5B" w:rsidRDefault="00F31C5B" w:rsidP="00654C71">
            <w:pPr>
              <w:autoSpaceDE w:val="0"/>
              <w:autoSpaceDN w:val="0"/>
              <w:adjustRightInd w:val="0"/>
              <w:jc w:val="center"/>
              <w:rPr>
                <w:rFonts w:ascii="Helv" w:hAnsi="Helv" w:cs="Helv"/>
                <w:b/>
                <w:color w:val="000000"/>
                <w:sz w:val="20"/>
                <w:szCs w:val="20"/>
                <w:lang w:eastAsia="en-AU"/>
              </w:rPr>
            </w:pPr>
          </w:p>
        </w:tc>
        <w:tc>
          <w:tcPr>
            <w:tcW w:w="857" w:type="dxa"/>
            <w:tcBorders>
              <w:left w:val="single" w:sz="4" w:space="0" w:color="auto"/>
              <w:bottom w:val="single" w:sz="4" w:space="0" w:color="auto"/>
              <w:right w:val="single" w:sz="18" w:space="0" w:color="auto"/>
            </w:tcBorders>
          </w:tcPr>
          <w:p w14:paraId="01258201" w14:textId="3965DEBE" w:rsidR="00F31C5B" w:rsidRDefault="00F31C5B" w:rsidP="00654C71">
            <w:pPr>
              <w:autoSpaceDE w:val="0"/>
              <w:autoSpaceDN w:val="0"/>
              <w:adjustRightInd w:val="0"/>
              <w:jc w:val="center"/>
              <w:rPr>
                <w:rFonts w:ascii="Helv" w:hAnsi="Helv" w:cs="Helv"/>
                <w:b/>
                <w:color w:val="000000"/>
                <w:sz w:val="20"/>
                <w:szCs w:val="20"/>
                <w:lang w:eastAsia="en-AU"/>
              </w:rPr>
            </w:pPr>
          </w:p>
        </w:tc>
      </w:tr>
      <w:tr w:rsidR="00F31C5B" w:rsidRPr="007E39B7" w14:paraId="592806BE" w14:textId="77777777" w:rsidTr="00654C71">
        <w:tc>
          <w:tcPr>
            <w:tcW w:w="1505" w:type="dxa"/>
            <w:tcBorders>
              <w:left w:val="single" w:sz="18" w:space="0" w:color="auto"/>
              <w:bottom w:val="single" w:sz="18" w:space="0" w:color="auto"/>
              <w:right w:val="single" w:sz="18" w:space="0" w:color="auto"/>
            </w:tcBorders>
          </w:tcPr>
          <w:p w14:paraId="69E2EEA7" w14:textId="77777777" w:rsidR="00F31C5B" w:rsidRPr="007E39B7" w:rsidRDefault="00F31C5B" w:rsidP="00654C71">
            <w:pPr>
              <w:autoSpaceDE w:val="0"/>
              <w:autoSpaceDN w:val="0"/>
              <w:adjustRightInd w:val="0"/>
              <w:jc w:val="center"/>
              <w:rPr>
                <w:rFonts w:ascii="Helv" w:hAnsi="Helv" w:cs="Helv"/>
                <w:b/>
                <w:color w:val="000000"/>
                <w:sz w:val="20"/>
                <w:szCs w:val="20"/>
                <w:lang w:eastAsia="en-AU"/>
              </w:rPr>
            </w:pPr>
            <w:r w:rsidRPr="007E39B7">
              <w:rPr>
                <w:rFonts w:ascii="Helv" w:hAnsi="Helv" w:cs="Helv"/>
                <w:b/>
                <w:color w:val="000000"/>
                <w:sz w:val="20"/>
                <w:szCs w:val="20"/>
                <w:lang w:eastAsia="en-AU"/>
              </w:rPr>
              <w:t xml:space="preserve">Warrnambool </w:t>
            </w:r>
            <w:r w:rsidRPr="007E39B7">
              <w:rPr>
                <w:rFonts w:ascii="Helv" w:hAnsi="Helv" w:cs="Helv"/>
                <w:b/>
                <w:color w:val="000000"/>
                <w:sz w:val="16"/>
                <w:szCs w:val="20"/>
                <w:lang w:eastAsia="en-AU"/>
              </w:rPr>
              <w:t>[+</w:t>
            </w:r>
            <w:r>
              <w:rPr>
                <w:rFonts w:ascii="Helv" w:hAnsi="Helv" w:cs="Helv"/>
                <w:b/>
                <w:color w:val="000000"/>
                <w:sz w:val="16"/>
                <w:szCs w:val="20"/>
                <w:lang w:eastAsia="en-AU"/>
              </w:rPr>
              <w:t> </w:t>
            </w:r>
            <w:r w:rsidRPr="007E39B7">
              <w:rPr>
                <w:rFonts w:ascii="Helv" w:hAnsi="Helv" w:cs="Helv"/>
                <w:b/>
                <w:color w:val="000000"/>
                <w:sz w:val="16"/>
                <w:szCs w:val="20"/>
                <w:lang w:eastAsia="en-AU"/>
              </w:rPr>
              <w:t>Portland &amp; Hamilton]</w:t>
            </w:r>
          </w:p>
        </w:tc>
        <w:tc>
          <w:tcPr>
            <w:tcW w:w="839" w:type="dxa"/>
            <w:tcBorders>
              <w:left w:val="single" w:sz="18" w:space="0" w:color="auto"/>
              <w:bottom w:val="single" w:sz="18" w:space="0" w:color="auto"/>
            </w:tcBorders>
          </w:tcPr>
          <w:p w14:paraId="41EA5A71" w14:textId="7D4FE8D6" w:rsidR="00F31C5B" w:rsidRPr="007E39B7" w:rsidRDefault="00F31C5B" w:rsidP="00654C71">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bottom w:val="single" w:sz="18" w:space="0" w:color="auto"/>
              <w:right w:val="single" w:sz="18" w:space="0" w:color="auto"/>
            </w:tcBorders>
          </w:tcPr>
          <w:p w14:paraId="569C7412" w14:textId="4E70CE2F" w:rsidR="00F31C5B" w:rsidRPr="007E39B7" w:rsidRDefault="00DC3C26" w:rsidP="00654C71">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0</w:t>
            </w:r>
          </w:p>
        </w:tc>
        <w:tc>
          <w:tcPr>
            <w:tcW w:w="839" w:type="dxa"/>
            <w:tcBorders>
              <w:left w:val="single" w:sz="18" w:space="0" w:color="auto"/>
              <w:bottom w:val="single" w:sz="18" w:space="0" w:color="auto"/>
            </w:tcBorders>
          </w:tcPr>
          <w:p w14:paraId="4B1DBA45" w14:textId="7BC4E197" w:rsidR="00F31C5B" w:rsidRPr="007E39B7" w:rsidRDefault="004B07D4" w:rsidP="00654C71">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57" w:type="dxa"/>
            <w:tcBorders>
              <w:bottom w:val="single" w:sz="18" w:space="0" w:color="auto"/>
              <w:right w:val="single" w:sz="18" w:space="0" w:color="auto"/>
            </w:tcBorders>
          </w:tcPr>
          <w:p w14:paraId="4E7FB9D7" w14:textId="4B0F46C1" w:rsidR="00F31C5B" w:rsidRPr="007E39B7" w:rsidRDefault="004B07D4" w:rsidP="00654C71">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2</w:t>
            </w:r>
          </w:p>
        </w:tc>
        <w:tc>
          <w:tcPr>
            <w:tcW w:w="839" w:type="dxa"/>
            <w:tcBorders>
              <w:bottom w:val="single" w:sz="18" w:space="0" w:color="auto"/>
              <w:right w:val="single" w:sz="4" w:space="0" w:color="auto"/>
            </w:tcBorders>
          </w:tcPr>
          <w:p w14:paraId="15093F9B" w14:textId="6F89639E" w:rsidR="00F31C5B" w:rsidRPr="007E39B7" w:rsidRDefault="003565B0" w:rsidP="00654C71">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1</w:t>
            </w:r>
          </w:p>
        </w:tc>
        <w:tc>
          <w:tcPr>
            <w:tcW w:w="857" w:type="dxa"/>
            <w:tcBorders>
              <w:left w:val="single" w:sz="4" w:space="0" w:color="auto"/>
              <w:bottom w:val="single" w:sz="18" w:space="0" w:color="auto"/>
              <w:right w:val="single" w:sz="18" w:space="0" w:color="auto"/>
            </w:tcBorders>
          </w:tcPr>
          <w:p w14:paraId="1ED9D043" w14:textId="04BF84E9" w:rsidR="00F31C5B" w:rsidRPr="007E39B7" w:rsidRDefault="003565B0" w:rsidP="00654C71">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0</w:t>
            </w:r>
          </w:p>
        </w:tc>
        <w:tc>
          <w:tcPr>
            <w:tcW w:w="839" w:type="dxa"/>
            <w:tcBorders>
              <w:bottom w:val="single" w:sz="18" w:space="0" w:color="auto"/>
              <w:right w:val="single" w:sz="4" w:space="0" w:color="auto"/>
            </w:tcBorders>
          </w:tcPr>
          <w:p w14:paraId="25176199" w14:textId="3A20E7CB" w:rsidR="00F31C5B" w:rsidRPr="007E39B7" w:rsidRDefault="00304B09" w:rsidP="00654C71">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7</w:t>
            </w:r>
          </w:p>
        </w:tc>
        <w:tc>
          <w:tcPr>
            <w:tcW w:w="857" w:type="dxa"/>
            <w:tcBorders>
              <w:left w:val="single" w:sz="4" w:space="0" w:color="auto"/>
              <w:bottom w:val="single" w:sz="18" w:space="0" w:color="auto"/>
              <w:right w:val="single" w:sz="18" w:space="0" w:color="auto"/>
            </w:tcBorders>
          </w:tcPr>
          <w:p w14:paraId="0D07FA76" w14:textId="1B6936BB" w:rsidR="00F31C5B" w:rsidRPr="007E39B7" w:rsidRDefault="00304B09" w:rsidP="00654C71">
            <w:pPr>
              <w:autoSpaceDE w:val="0"/>
              <w:autoSpaceDN w:val="0"/>
              <w:adjustRightInd w:val="0"/>
              <w:spacing w:before="100"/>
              <w:jc w:val="center"/>
              <w:rPr>
                <w:rFonts w:ascii="Helv" w:hAnsi="Helv" w:cs="Helv"/>
                <w:b/>
                <w:color w:val="000000"/>
                <w:sz w:val="20"/>
                <w:szCs w:val="20"/>
                <w:lang w:eastAsia="en-AU"/>
              </w:rPr>
            </w:pPr>
            <w:r>
              <w:rPr>
                <w:rFonts w:ascii="Helv" w:hAnsi="Helv" w:cs="Helv"/>
                <w:b/>
                <w:color w:val="000000"/>
                <w:sz w:val="20"/>
                <w:szCs w:val="20"/>
                <w:lang w:eastAsia="en-AU"/>
              </w:rPr>
              <w:t>8</w:t>
            </w:r>
          </w:p>
        </w:tc>
        <w:tc>
          <w:tcPr>
            <w:tcW w:w="839" w:type="dxa"/>
            <w:tcBorders>
              <w:left w:val="single" w:sz="4" w:space="0" w:color="auto"/>
              <w:bottom w:val="single" w:sz="18" w:space="0" w:color="auto"/>
              <w:right w:val="single" w:sz="18" w:space="0" w:color="auto"/>
            </w:tcBorders>
          </w:tcPr>
          <w:p w14:paraId="0620261C" w14:textId="29111215" w:rsidR="00F31C5B" w:rsidRDefault="00F31C5B" w:rsidP="00654C71">
            <w:pPr>
              <w:autoSpaceDE w:val="0"/>
              <w:autoSpaceDN w:val="0"/>
              <w:adjustRightInd w:val="0"/>
              <w:spacing w:before="100"/>
              <w:jc w:val="center"/>
              <w:rPr>
                <w:rFonts w:ascii="Helv" w:hAnsi="Helv" w:cs="Helv"/>
                <w:b/>
                <w:color w:val="000000"/>
                <w:sz w:val="20"/>
                <w:szCs w:val="20"/>
                <w:lang w:eastAsia="en-AU"/>
              </w:rPr>
            </w:pPr>
          </w:p>
        </w:tc>
        <w:tc>
          <w:tcPr>
            <w:tcW w:w="857" w:type="dxa"/>
            <w:tcBorders>
              <w:left w:val="single" w:sz="4" w:space="0" w:color="auto"/>
              <w:bottom w:val="single" w:sz="18" w:space="0" w:color="auto"/>
              <w:right w:val="single" w:sz="18" w:space="0" w:color="auto"/>
            </w:tcBorders>
          </w:tcPr>
          <w:p w14:paraId="1A62BE37" w14:textId="03608669" w:rsidR="00F31C5B" w:rsidRDefault="00F31C5B" w:rsidP="00654C71">
            <w:pPr>
              <w:autoSpaceDE w:val="0"/>
              <w:autoSpaceDN w:val="0"/>
              <w:adjustRightInd w:val="0"/>
              <w:spacing w:before="100"/>
              <w:jc w:val="center"/>
              <w:rPr>
                <w:rFonts w:ascii="Helv" w:hAnsi="Helv" w:cs="Helv"/>
                <w:b/>
                <w:color w:val="000000"/>
                <w:sz w:val="20"/>
                <w:szCs w:val="20"/>
                <w:lang w:eastAsia="en-AU"/>
              </w:rPr>
            </w:pPr>
          </w:p>
        </w:tc>
      </w:tr>
      <w:tr w:rsidR="00F31C5B" w:rsidRPr="007E39B7" w14:paraId="504DDC25" w14:textId="77777777" w:rsidTr="00654C71">
        <w:tc>
          <w:tcPr>
            <w:tcW w:w="1505" w:type="dxa"/>
            <w:tcBorders>
              <w:top w:val="single" w:sz="18" w:space="0" w:color="auto"/>
              <w:left w:val="single" w:sz="18" w:space="0" w:color="auto"/>
              <w:bottom w:val="single" w:sz="18" w:space="0" w:color="auto"/>
              <w:right w:val="single" w:sz="18" w:space="0" w:color="auto"/>
            </w:tcBorders>
            <w:shd w:val="clear" w:color="auto" w:fill="000000"/>
          </w:tcPr>
          <w:p w14:paraId="6F977ACA" w14:textId="77777777" w:rsidR="00F31C5B" w:rsidRPr="00EA0CF2" w:rsidRDefault="00F31C5B" w:rsidP="00654C71">
            <w:pPr>
              <w:autoSpaceDE w:val="0"/>
              <w:autoSpaceDN w:val="0"/>
              <w:adjustRightInd w:val="0"/>
              <w:jc w:val="center"/>
              <w:rPr>
                <w:rFonts w:ascii="Helv" w:hAnsi="Helv" w:cs="Helv"/>
                <w:b/>
                <w:color w:val="FFFFFF"/>
                <w:sz w:val="20"/>
                <w:szCs w:val="20"/>
                <w:lang w:eastAsia="en-AU"/>
              </w:rPr>
            </w:pPr>
            <w:r w:rsidRPr="00EA0CF2">
              <w:rPr>
                <w:rFonts w:ascii="Helv" w:hAnsi="Helv" w:cs="Helv"/>
                <w:b/>
                <w:color w:val="FFFFFF"/>
                <w:sz w:val="20"/>
                <w:szCs w:val="20"/>
                <w:lang w:eastAsia="en-AU"/>
              </w:rPr>
              <w:t>TOTALS</w:t>
            </w:r>
          </w:p>
        </w:tc>
        <w:tc>
          <w:tcPr>
            <w:tcW w:w="839" w:type="dxa"/>
            <w:tcBorders>
              <w:top w:val="single" w:sz="18" w:space="0" w:color="auto"/>
              <w:left w:val="single" w:sz="18" w:space="0" w:color="auto"/>
              <w:bottom w:val="single" w:sz="18" w:space="0" w:color="auto"/>
            </w:tcBorders>
            <w:shd w:val="clear" w:color="auto" w:fill="000000"/>
          </w:tcPr>
          <w:p w14:paraId="214E9A6F" w14:textId="2560678F" w:rsidR="00F31C5B" w:rsidRPr="00EA0CF2" w:rsidRDefault="00F31C5B"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56</w:t>
            </w:r>
          </w:p>
        </w:tc>
        <w:tc>
          <w:tcPr>
            <w:tcW w:w="857" w:type="dxa"/>
            <w:tcBorders>
              <w:top w:val="single" w:sz="18" w:space="0" w:color="auto"/>
              <w:bottom w:val="single" w:sz="18" w:space="0" w:color="auto"/>
              <w:right w:val="single" w:sz="18" w:space="0" w:color="auto"/>
            </w:tcBorders>
            <w:shd w:val="clear" w:color="auto" w:fill="000000"/>
          </w:tcPr>
          <w:p w14:paraId="5F876253" w14:textId="10352907" w:rsidR="00F31C5B" w:rsidRPr="00EA0CF2" w:rsidRDefault="00DC3C26"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108</w:t>
            </w:r>
          </w:p>
        </w:tc>
        <w:tc>
          <w:tcPr>
            <w:tcW w:w="839" w:type="dxa"/>
            <w:tcBorders>
              <w:top w:val="single" w:sz="18" w:space="0" w:color="auto"/>
              <w:left w:val="single" w:sz="18" w:space="0" w:color="auto"/>
              <w:bottom w:val="single" w:sz="18" w:space="0" w:color="auto"/>
              <w:right w:val="single" w:sz="4" w:space="0" w:color="auto"/>
            </w:tcBorders>
            <w:shd w:val="clear" w:color="auto" w:fill="000000"/>
          </w:tcPr>
          <w:p w14:paraId="67D3E75C" w14:textId="1DFCD5A8" w:rsidR="00F31C5B" w:rsidRPr="00EA0CF2" w:rsidRDefault="004B07D4"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73</w:t>
            </w:r>
          </w:p>
        </w:tc>
        <w:tc>
          <w:tcPr>
            <w:tcW w:w="857" w:type="dxa"/>
            <w:tcBorders>
              <w:top w:val="single" w:sz="18" w:space="0" w:color="auto"/>
              <w:left w:val="single" w:sz="4" w:space="0" w:color="auto"/>
              <w:bottom w:val="single" w:sz="18" w:space="0" w:color="auto"/>
            </w:tcBorders>
            <w:shd w:val="clear" w:color="auto" w:fill="000000"/>
          </w:tcPr>
          <w:p w14:paraId="475FB320" w14:textId="6C9FC4FC" w:rsidR="00F31C5B" w:rsidRPr="00EA0CF2" w:rsidRDefault="004B07D4"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138</w:t>
            </w:r>
          </w:p>
        </w:tc>
        <w:tc>
          <w:tcPr>
            <w:tcW w:w="839" w:type="dxa"/>
            <w:tcBorders>
              <w:top w:val="single" w:sz="18" w:space="0" w:color="auto"/>
              <w:bottom w:val="single" w:sz="18" w:space="0" w:color="auto"/>
              <w:right w:val="single" w:sz="4" w:space="0" w:color="auto"/>
            </w:tcBorders>
            <w:shd w:val="clear" w:color="auto" w:fill="000000"/>
          </w:tcPr>
          <w:p w14:paraId="3D67B262" w14:textId="787FC956" w:rsidR="00F31C5B" w:rsidRPr="00EA0CF2" w:rsidRDefault="003565B0"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53</w:t>
            </w:r>
          </w:p>
        </w:tc>
        <w:tc>
          <w:tcPr>
            <w:tcW w:w="857" w:type="dxa"/>
            <w:tcBorders>
              <w:top w:val="single" w:sz="18" w:space="0" w:color="auto"/>
              <w:left w:val="single" w:sz="4" w:space="0" w:color="auto"/>
              <w:bottom w:val="single" w:sz="18" w:space="0" w:color="auto"/>
            </w:tcBorders>
            <w:shd w:val="clear" w:color="auto" w:fill="000000"/>
          </w:tcPr>
          <w:p w14:paraId="4E3338AF" w14:textId="275F840A" w:rsidR="00F31C5B" w:rsidRPr="00EA0CF2" w:rsidRDefault="003565B0"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94</w:t>
            </w:r>
          </w:p>
        </w:tc>
        <w:tc>
          <w:tcPr>
            <w:tcW w:w="839" w:type="dxa"/>
            <w:tcBorders>
              <w:top w:val="single" w:sz="18" w:space="0" w:color="auto"/>
              <w:bottom w:val="single" w:sz="18" w:space="0" w:color="auto"/>
              <w:right w:val="single" w:sz="4" w:space="0" w:color="auto"/>
            </w:tcBorders>
            <w:shd w:val="clear" w:color="auto" w:fill="000000"/>
          </w:tcPr>
          <w:p w14:paraId="1E127EAC" w14:textId="04C25BB0" w:rsidR="00F31C5B" w:rsidRPr="00EA0CF2" w:rsidRDefault="00304B09"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54</w:t>
            </w:r>
          </w:p>
        </w:tc>
        <w:tc>
          <w:tcPr>
            <w:tcW w:w="857" w:type="dxa"/>
            <w:tcBorders>
              <w:top w:val="single" w:sz="18" w:space="0" w:color="auto"/>
              <w:left w:val="single" w:sz="4" w:space="0" w:color="auto"/>
              <w:bottom w:val="single" w:sz="18" w:space="0" w:color="auto"/>
              <w:right w:val="single" w:sz="18" w:space="0" w:color="auto"/>
            </w:tcBorders>
            <w:shd w:val="clear" w:color="auto" w:fill="000000"/>
          </w:tcPr>
          <w:p w14:paraId="469251F1" w14:textId="4A218633" w:rsidR="00F31C5B" w:rsidRPr="00EA0CF2" w:rsidRDefault="00304B09" w:rsidP="00654C71">
            <w:pPr>
              <w:autoSpaceDE w:val="0"/>
              <w:autoSpaceDN w:val="0"/>
              <w:adjustRightInd w:val="0"/>
              <w:jc w:val="center"/>
              <w:rPr>
                <w:rFonts w:ascii="Helv" w:hAnsi="Helv" w:cs="Helv"/>
                <w:b/>
                <w:color w:val="FFFFFF"/>
                <w:sz w:val="20"/>
                <w:szCs w:val="20"/>
                <w:lang w:eastAsia="en-AU"/>
              </w:rPr>
            </w:pPr>
            <w:r>
              <w:rPr>
                <w:rFonts w:ascii="Helv" w:hAnsi="Helv" w:cs="Helv"/>
                <w:b/>
                <w:color w:val="FFFFFF"/>
                <w:sz w:val="20"/>
                <w:szCs w:val="20"/>
                <w:lang w:eastAsia="en-AU"/>
              </w:rPr>
              <w:t>187</w:t>
            </w:r>
          </w:p>
        </w:tc>
        <w:tc>
          <w:tcPr>
            <w:tcW w:w="839" w:type="dxa"/>
            <w:tcBorders>
              <w:top w:val="single" w:sz="18" w:space="0" w:color="auto"/>
              <w:left w:val="single" w:sz="4" w:space="0" w:color="auto"/>
              <w:bottom w:val="single" w:sz="18" w:space="0" w:color="auto"/>
              <w:right w:val="single" w:sz="18" w:space="0" w:color="auto"/>
            </w:tcBorders>
            <w:shd w:val="clear" w:color="auto" w:fill="000000"/>
          </w:tcPr>
          <w:p w14:paraId="765E72FF" w14:textId="15687E8E" w:rsidR="00F31C5B" w:rsidRPr="00EA0CF2" w:rsidRDefault="00F31C5B" w:rsidP="00654C71">
            <w:pPr>
              <w:autoSpaceDE w:val="0"/>
              <w:autoSpaceDN w:val="0"/>
              <w:adjustRightInd w:val="0"/>
              <w:jc w:val="center"/>
              <w:rPr>
                <w:rFonts w:ascii="Helv" w:hAnsi="Helv" w:cs="Helv"/>
                <w:b/>
                <w:color w:val="FFFFFF"/>
                <w:sz w:val="20"/>
                <w:szCs w:val="20"/>
                <w:lang w:eastAsia="en-AU"/>
              </w:rPr>
            </w:pPr>
          </w:p>
        </w:tc>
        <w:tc>
          <w:tcPr>
            <w:tcW w:w="857" w:type="dxa"/>
            <w:tcBorders>
              <w:top w:val="single" w:sz="18" w:space="0" w:color="auto"/>
              <w:left w:val="single" w:sz="4" w:space="0" w:color="auto"/>
              <w:bottom w:val="single" w:sz="18" w:space="0" w:color="auto"/>
              <w:right w:val="single" w:sz="18" w:space="0" w:color="auto"/>
            </w:tcBorders>
            <w:shd w:val="clear" w:color="auto" w:fill="000000"/>
          </w:tcPr>
          <w:p w14:paraId="206EA8C9" w14:textId="0EEF825A" w:rsidR="00F31C5B" w:rsidRPr="00EA0CF2" w:rsidRDefault="00F31C5B" w:rsidP="00654C71">
            <w:pPr>
              <w:autoSpaceDE w:val="0"/>
              <w:autoSpaceDN w:val="0"/>
              <w:adjustRightInd w:val="0"/>
              <w:jc w:val="center"/>
              <w:rPr>
                <w:rFonts w:ascii="Helv" w:hAnsi="Helv" w:cs="Helv"/>
                <w:b/>
                <w:color w:val="FFFFFF"/>
                <w:sz w:val="20"/>
                <w:szCs w:val="20"/>
                <w:lang w:eastAsia="en-AU"/>
              </w:rPr>
            </w:pPr>
          </w:p>
        </w:tc>
      </w:tr>
    </w:tbl>
    <w:p w14:paraId="073600B7" w14:textId="77777777" w:rsidR="005D1409" w:rsidRPr="00F51496" w:rsidRDefault="005D1409" w:rsidP="00FC78B0">
      <w:pPr>
        <w:autoSpaceDE w:val="0"/>
        <w:autoSpaceDN w:val="0"/>
        <w:adjustRightInd w:val="0"/>
        <w:rPr>
          <w:rFonts w:ascii="Helv" w:hAnsi="Helv" w:cs="Helv"/>
          <w:color w:val="000000"/>
          <w:sz w:val="20"/>
          <w:szCs w:val="20"/>
          <w:lang w:eastAsia="en-AU"/>
        </w:rPr>
      </w:pPr>
    </w:p>
    <w:p w14:paraId="4654887A" w14:textId="77777777" w:rsidR="00B22584" w:rsidRPr="00F51496" w:rsidRDefault="00246340">
      <w:pPr>
        <w:pStyle w:val="Heading2"/>
        <w:keepNext/>
        <w:keepLines/>
        <w:tabs>
          <w:tab w:val="left" w:pos="567"/>
        </w:tabs>
        <w:spacing w:line="240" w:lineRule="auto"/>
        <w:ind w:left="567" w:hanging="567"/>
        <w:rPr>
          <w:rFonts w:ascii="Arial" w:hAnsi="Arial" w:cs="Arial"/>
          <w:b/>
          <w:bCs/>
          <w:color w:val="000000"/>
        </w:rPr>
      </w:pPr>
      <w:bookmarkStart w:id="500" w:name="_7.12_Cases_on"/>
      <w:bookmarkEnd w:id="500"/>
      <w:r w:rsidRPr="00F51496">
        <w:rPr>
          <w:rFonts w:ascii="Arial" w:hAnsi="Arial" w:cs="Arial"/>
          <w:b/>
          <w:bCs/>
          <w:color w:val="000000"/>
        </w:rPr>
        <w:t>7.12</w:t>
      </w:r>
      <w:r w:rsidRPr="00F51496">
        <w:rPr>
          <w:rFonts w:ascii="Arial" w:hAnsi="Arial" w:cs="Arial"/>
          <w:b/>
          <w:bCs/>
          <w:color w:val="000000"/>
        </w:rPr>
        <w:tab/>
      </w:r>
      <w:r w:rsidR="00B22584" w:rsidRPr="00F51496">
        <w:rPr>
          <w:rFonts w:ascii="Arial" w:hAnsi="Arial" w:cs="Arial"/>
          <w:b/>
          <w:bCs/>
          <w:color w:val="000000"/>
        </w:rPr>
        <w:t>Cases on selected offences</w:t>
      </w:r>
      <w:bookmarkEnd w:id="493"/>
    </w:p>
    <w:p w14:paraId="34048DC2" w14:textId="77777777" w:rsidR="00B22584" w:rsidRPr="00F51496" w:rsidRDefault="00B22584" w:rsidP="001C432B">
      <w:pPr>
        <w:keepNext/>
        <w:keepLines/>
        <w:rPr>
          <w:rFonts w:ascii="Arial" w:hAnsi="Arial" w:cs="Arial"/>
          <w:color w:val="000000"/>
          <w:sz w:val="20"/>
        </w:rPr>
      </w:pPr>
    </w:p>
    <w:p w14:paraId="2DBF125C" w14:textId="77777777" w:rsidR="00B22584" w:rsidRPr="00F51496" w:rsidRDefault="00B22584">
      <w:pPr>
        <w:pStyle w:val="Heading3"/>
        <w:keepNext/>
        <w:spacing w:line="240" w:lineRule="auto"/>
        <w:rPr>
          <w:rFonts w:ascii="Arial" w:hAnsi="Arial" w:cs="Arial"/>
          <w:b/>
          <w:bCs/>
          <w:color w:val="000000"/>
          <w:sz w:val="20"/>
        </w:rPr>
      </w:pPr>
      <w:bookmarkStart w:id="501" w:name="_7.12.1_Offensive_behaviour"/>
      <w:bookmarkStart w:id="502" w:name="_Toc58901924"/>
      <w:bookmarkEnd w:id="501"/>
      <w:r w:rsidRPr="00F51496">
        <w:rPr>
          <w:rFonts w:ascii="Arial" w:hAnsi="Arial" w:cs="Arial"/>
          <w:b/>
          <w:bCs/>
          <w:color w:val="000000"/>
          <w:sz w:val="20"/>
        </w:rPr>
        <w:t>7.1</w:t>
      </w:r>
      <w:r w:rsidR="00246340" w:rsidRPr="00F51496">
        <w:rPr>
          <w:rFonts w:ascii="Arial" w:hAnsi="Arial" w:cs="Arial"/>
          <w:b/>
          <w:bCs/>
          <w:color w:val="000000"/>
          <w:sz w:val="20"/>
        </w:rPr>
        <w:t>2</w:t>
      </w:r>
      <w:r w:rsidRPr="00F51496">
        <w:rPr>
          <w:rFonts w:ascii="Arial" w:hAnsi="Arial" w:cs="Arial"/>
          <w:b/>
          <w:bCs/>
          <w:color w:val="000000"/>
          <w:sz w:val="20"/>
        </w:rPr>
        <w:t>.1</w:t>
      </w:r>
      <w:r w:rsidRPr="00F51496">
        <w:rPr>
          <w:rFonts w:ascii="Arial" w:hAnsi="Arial" w:cs="Arial"/>
          <w:b/>
          <w:bCs/>
          <w:color w:val="000000"/>
          <w:sz w:val="20"/>
        </w:rPr>
        <w:tab/>
        <w:t>Offensive behaviour</w:t>
      </w:r>
      <w:bookmarkEnd w:id="502"/>
    </w:p>
    <w:p w14:paraId="163026D2" w14:textId="77777777" w:rsidR="00B22584" w:rsidRPr="00F51496" w:rsidRDefault="00B22584" w:rsidP="00E10F90">
      <w:pPr>
        <w:keepNext/>
        <w:keepLines/>
        <w:rPr>
          <w:rFonts w:ascii="Arial" w:hAnsi="Arial" w:cs="Arial"/>
          <w:color w:val="000000"/>
          <w:sz w:val="20"/>
        </w:rPr>
      </w:pPr>
    </w:p>
    <w:p w14:paraId="504E0022" w14:textId="0ABF4E1F" w:rsidR="00B22584" w:rsidRPr="00F51496" w:rsidRDefault="00B22584" w:rsidP="007679AD">
      <w:pPr>
        <w:jc w:val="both"/>
        <w:rPr>
          <w:rFonts w:ascii="Arial" w:hAnsi="Arial" w:cs="Arial"/>
          <w:color w:val="000000"/>
          <w:sz w:val="20"/>
        </w:rPr>
      </w:pPr>
      <w:r w:rsidRPr="00F51496">
        <w:rPr>
          <w:rFonts w:ascii="Arial" w:hAnsi="Arial" w:cs="Arial"/>
          <w:color w:val="000000"/>
          <w:sz w:val="20"/>
        </w:rPr>
        <w:t xml:space="preserve">In </w:t>
      </w:r>
      <w:r w:rsidRPr="00F51496">
        <w:rPr>
          <w:rFonts w:ascii="Arial" w:hAnsi="Arial" w:cs="Arial"/>
          <w:i/>
          <w:iCs/>
          <w:color w:val="000000"/>
          <w:sz w:val="20"/>
        </w:rPr>
        <w:t>Nelson v Mathieson</w:t>
      </w:r>
      <w:r w:rsidRPr="00F51496">
        <w:rPr>
          <w:rFonts w:ascii="Arial" w:hAnsi="Arial" w:cs="Arial"/>
          <w:color w:val="000000"/>
          <w:sz w:val="20"/>
        </w:rPr>
        <w:t xml:space="preserve"> [2003] VSC 451 the </w:t>
      </w:r>
      <w:r w:rsidR="00ED51FD" w:rsidRPr="00F51496">
        <w:rPr>
          <w:rFonts w:ascii="Arial" w:hAnsi="Arial" w:cs="Arial"/>
          <w:color w:val="000000"/>
          <w:sz w:val="20"/>
        </w:rPr>
        <w:t>accused</w:t>
      </w:r>
      <w:r w:rsidRPr="00F51496">
        <w:rPr>
          <w:rFonts w:ascii="Arial" w:hAnsi="Arial" w:cs="Arial"/>
          <w:color w:val="000000"/>
          <w:sz w:val="20"/>
        </w:rPr>
        <w:t xml:space="preserve"> had been found guilty of offensive behaviour contrary to s.17(1)(d) of the </w:t>
      </w:r>
      <w:r w:rsidRPr="008102AC">
        <w:rPr>
          <w:rFonts w:ascii="Arial" w:hAnsi="Arial" w:cs="Arial"/>
          <w:i/>
          <w:iCs/>
          <w:color w:val="000000"/>
          <w:sz w:val="20"/>
        </w:rPr>
        <w:t>Summary Offences Act 1966</w:t>
      </w:r>
      <w:r w:rsidRPr="00F51496">
        <w:rPr>
          <w:rFonts w:ascii="Arial" w:hAnsi="Arial" w:cs="Arial"/>
          <w:color w:val="000000"/>
          <w:sz w:val="20"/>
        </w:rPr>
        <w:t xml:space="preserve">.  The question which arose for determination in the ensuing appeal was whether solvent inhalation </w:t>
      </w:r>
      <w:r w:rsidR="00963DE1">
        <w:rPr>
          <w:rFonts w:ascii="Arial" w:hAnsi="Arial" w:cs="Arial"/>
          <w:color w:val="000000"/>
          <w:sz w:val="20"/>
        </w:rPr>
        <w:t>–</w:t>
      </w:r>
      <w:r w:rsidRPr="00F51496">
        <w:rPr>
          <w:rFonts w:ascii="Arial" w:hAnsi="Arial" w:cs="Arial"/>
          <w:color w:val="000000"/>
          <w:sz w:val="20"/>
        </w:rPr>
        <w:t xml:space="preserve"> "chroming" </w:t>
      </w:r>
      <w:r w:rsidR="00963DE1">
        <w:rPr>
          <w:rFonts w:ascii="Arial" w:hAnsi="Arial" w:cs="Arial"/>
          <w:color w:val="000000"/>
          <w:sz w:val="20"/>
        </w:rPr>
        <w:t>–</w:t>
      </w:r>
      <w:r w:rsidRPr="00F51496">
        <w:rPr>
          <w:rFonts w:ascii="Arial" w:hAnsi="Arial" w:cs="Arial"/>
          <w:color w:val="000000"/>
          <w:sz w:val="20"/>
        </w:rPr>
        <w:t xml:space="preserve"> in public could constitute offensive behaviour </w:t>
      </w:r>
      <w:r w:rsidRPr="00F51496">
        <w:rPr>
          <w:rFonts w:ascii="Arial" w:hAnsi="Arial" w:cs="Arial"/>
          <w:i/>
          <w:iCs/>
          <w:color w:val="000000"/>
          <w:sz w:val="20"/>
        </w:rPr>
        <w:t>per se</w:t>
      </w:r>
      <w:r w:rsidRPr="00F51496">
        <w:rPr>
          <w:rFonts w:ascii="Arial" w:hAnsi="Arial" w:cs="Arial"/>
          <w:color w:val="000000"/>
          <w:sz w:val="20"/>
        </w:rPr>
        <w:t>.  In allowing the appeal, Nathan J held (at [6]) that it could not:</w:t>
      </w:r>
    </w:p>
    <w:p w14:paraId="5B67FAE2" w14:textId="77777777" w:rsidR="00B22584" w:rsidRPr="00F51496" w:rsidRDefault="00B22584">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t>"I do not consider that chroming in public can of itself be offensive within the meaning of the Act.  However, should there be surrounding circumstances which exacerbate that antisocial behaviour into something more than just concern for the welfare of the offender, then it may be offensive."</w:t>
      </w:r>
    </w:p>
    <w:p w14:paraId="3F108479" w14:textId="77777777" w:rsidR="00B22584" w:rsidRPr="00F51496" w:rsidRDefault="00B22584">
      <w:pPr>
        <w:rPr>
          <w:rFonts w:ascii="Arial" w:hAnsi="Arial" w:cs="Arial"/>
          <w:color w:val="000000"/>
          <w:sz w:val="20"/>
        </w:rPr>
      </w:pPr>
    </w:p>
    <w:p w14:paraId="77B6DDA9" w14:textId="77777777" w:rsidR="00B22584" w:rsidRPr="00F51496" w:rsidRDefault="00B22584">
      <w:pPr>
        <w:rPr>
          <w:rFonts w:ascii="Arial" w:hAnsi="Arial" w:cs="Arial"/>
          <w:color w:val="000000"/>
          <w:sz w:val="20"/>
        </w:rPr>
      </w:pPr>
      <w:r w:rsidRPr="00F51496">
        <w:rPr>
          <w:rFonts w:ascii="Arial" w:hAnsi="Arial" w:cs="Arial"/>
          <w:color w:val="000000"/>
          <w:sz w:val="20"/>
        </w:rPr>
        <w:t>At [10] Nathan J said:</w:t>
      </w:r>
    </w:p>
    <w:p w14:paraId="3D629614" w14:textId="77777777" w:rsidR="00B22584" w:rsidRPr="00F51496" w:rsidRDefault="00B22584">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t>"The law relating to offensive behaviour is tolerably clear.  It will never be pellucid because offensiveness depends upon time, place, social context and to some extent, although not exclusively, upon the intent of the offender.  Its categories are never closed and that which may be offensive to one generation may be regarded as a matter of hilarity by the next.</w:t>
      </w:r>
      <w:r w:rsidRPr="00F51496">
        <w:rPr>
          <w:color w:val="000000"/>
        </w:rPr>
        <w:t>"</w:t>
      </w:r>
    </w:p>
    <w:p w14:paraId="0A245682" w14:textId="77777777" w:rsidR="00B22584" w:rsidRPr="00F51496" w:rsidRDefault="00B22584" w:rsidP="00703CB1">
      <w:pPr>
        <w:rPr>
          <w:rFonts w:ascii="Arial" w:hAnsi="Arial" w:cs="Arial"/>
          <w:color w:val="000000"/>
          <w:sz w:val="20"/>
        </w:rPr>
      </w:pPr>
    </w:p>
    <w:p w14:paraId="2F177984" w14:textId="77777777" w:rsidR="00B22584" w:rsidRPr="00F51496" w:rsidRDefault="00B22584" w:rsidP="0077202C">
      <w:pPr>
        <w:jc w:val="both"/>
        <w:rPr>
          <w:rFonts w:ascii="Arial" w:hAnsi="Arial" w:cs="Arial"/>
          <w:iCs/>
          <w:color w:val="000000"/>
          <w:sz w:val="20"/>
        </w:rPr>
      </w:pPr>
      <w:r w:rsidRPr="00F51496">
        <w:rPr>
          <w:rFonts w:ascii="Arial" w:hAnsi="Arial" w:cs="Arial"/>
          <w:color w:val="000000"/>
          <w:sz w:val="20"/>
        </w:rPr>
        <w:t xml:space="preserve">After referring to dicta of O'Bryan J in </w:t>
      </w:r>
      <w:r w:rsidRPr="00F51496">
        <w:rPr>
          <w:rFonts w:ascii="Arial" w:hAnsi="Arial" w:cs="Arial"/>
          <w:i/>
          <w:color w:val="000000"/>
          <w:sz w:val="20"/>
        </w:rPr>
        <w:t xml:space="preserve">Wooster v Smith </w:t>
      </w:r>
      <w:r w:rsidRPr="00F51496">
        <w:rPr>
          <w:rFonts w:ascii="Arial" w:hAnsi="Arial" w:cs="Arial"/>
          <w:iCs/>
          <w:color w:val="000000"/>
          <w:sz w:val="20"/>
        </w:rPr>
        <w:t xml:space="preserve">[1951] VLR 316, Sully J in </w:t>
      </w:r>
      <w:r w:rsidRPr="00F51496">
        <w:rPr>
          <w:rFonts w:ascii="Arial" w:hAnsi="Arial" w:cs="Arial"/>
          <w:i/>
          <w:color w:val="000000"/>
          <w:sz w:val="20"/>
        </w:rPr>
        <w:t>Spence v Loguch</w:t>
      </w:r>
      <w:r w:rsidRPr="00F51496">
        <w:rPr>
          <w:rFonts w:ascii="Arial" w:hAnsi="Arial" w:cs="Arial"/>
          <w:iCs/>
          <w:color w:val="000000"/>
          <w:sz w:val="20"/>
        </w:rPr>
        <w:t xml:space="preserve"> [Supreme Court NSW, unreported, 12 November 1991], Bray CJ in </w:t>
      </w:r>
      <w:r w:rsidRPr="00F51496">
        <w:rPr>
          <w:rFonts w:ascii="Arial" w:hAnsi="Arial" w:cs="Arial"/>
          <w:i/>
          <w:color w:val="000000"/>
          <w:sz w:val="20"/>
        </w:rPr>
        <w:t>Proust v Bartlett</w:t>
      </w:r>
      <w:r w:rsidRPr="00F51496">
        <w:rPr>
          <w:rFonts w:ascii="Arial" w:hAnsi="Arial" w:cs="Arial"/>
          <w:iCs/>
          <w:color w:val="000000"/>
          <w:sz w:val="20"/>
        </w:rPr>
        <w:t xml:space="preserve"> (1972) 3 SASR 472 at 480, Higgins J in </w:t>
      </w:r>
      <w:r w:rsidRPr="00F51496">
        <w:rPr>
          <w:rFonts w:ascii="Arial" w:hAnsi="Arial" w:cs="Arial"/>
          <w:i/>
          <w:color w:val="000000"/>
          <w:sz w:val="20"/>
        </w:rPr>
        <w:t>Saunders v Herold</w:t>
      </w:r>
      <w:r w:rsidRPr="00F51496">
        <w:rPr>
          <w:rFonts w:ascii="Arial" w:hAnsi="Arial" w:cs="Arial"/>
          <w:iCs/>
          <w:color w:val="000000"/>
          <w:sz w:val="20"/>
        </w:rPr>
        <w:t xml:space="preserve"> (1991) 105 FLR at 1 and Harper J in </w:t>
      </w:r>
      <w:r w:rsidRPr="00F51496">
        <w:rPr>
          <w:rFonts w:ascii="Arial" w:hAnsi="Arial" w:cs="Arial"/>
          <w:i/>
          <w:color w:val="000000"/>
          <w:sz w:val="20"/>
        </w:rPr>
        <w:t>Pell v Council of the Trustees of the National Gallery</w:t>
      </w:r>
      <w:r w:rsidRPr="00F51496">
        <w:rPr>
          <w:rFonts w:ascii="Arial" w:hAnsi="Arial" w:cs="Arial"/>
          <w:iCs/>
          <w:color w:val="000000"/>
          <w:sz w:val="20"/>
        </w:rPr>
        <w:t xml:space="preserve"> [1998] 2 VR 391, Nathan J held at [17]-[18]:</w:t>
      </w:r>
    </w:p>
    <w:p w14:paraId="329D90F3" w14:textId="77777777" w:rsidR="00B22584" w:rsidRPr="00F51496" w:rsidRDefault="00B22584">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lastRenderedPageBreak/>
        <w:t xml:space="preserve">"It is no longer necessary for the Crown to prove that the offender intended to be offensive, but it is still a requirement that the conduct has the effect of wounding the feelings, arousing anger, resentment, disgust or outrage in the mind of the reasonable person who may have or could have viewed, or been the object of that conduct.  In my view, the words should be interpreted </w:t>
      </w:r>
      <w:r w:rsidRPr="00F51496">
        <w:rPr>
          <w:rFonts w:ascii="Arial" w:hAnsi="Arial" w:cs="Arial"/>
          <w:i/>
          <w:color w:val="000000"/>
          <w:sz w:val="20"/>
        </w:rPr>
        <w:t>ejusdem generis</w:t>
      </w:r>
      <w:r w:rsidRPr="00F51496">
        <w:rPr>
          <w:rFonts w:ascii="Arial" w:hAnsi="Arial" w:cs="Arial"/>
          <w:color w:val="000000"/>
          <w:sz w:val="20"/>
        </w:rPr>
        <w:t>.  Wounded feelings, anger, resentment, disgust, outrage, all denote immediate and strong emotions or reactions.  A reaction to conduct which is merely indifferent or at its highest anguished is not the same as being offended.  Merely being put out, or affronted by conduct, does not warrant the imposition of a criminal penalty upon the actor.  A person may be appalled by conduct and yet his or her own personal feelings not be wounded by it.  For example, spitting or urinating in a public place but attempting to conceal may appal the reasonable passer</w:t>
      </w:r>
      <w:r w:rsidRPr="00F51496">
        <w:rPr>
          <w:rFonts w:ascii="Arial" w:hAnsi="Arial" w:cs="Arial"/>
          <w:color w:val="000000"/>
          <w:sz w:val="20"/>
        </w:rPr>
        <w:noBreakHyphen/>
        <w:t>by, but that person would not expect the perpetrator be visited with a criminal sanction.  It could however be offensive if there was no effort to conceal it.  The behavioural offence of being offensive is dependent upon time, circumstance, motive and place.  A vulgar gesture at a wedding may well be offensive but the same digital activity at a football match merely jocular.</w:t>
      </w:r>
    </w:p>
    <w:p w14:paraId="61CE8581" w14:textId="77777777" w:rsidR="00B22584" w:rsidRPr="00F51496" w:rsidRDefault="00B22584">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t xml:space="preserve">I return to the central issue in this case: could a reasonable magistrate, as opposed to one anguished, exasperated or concerned for a child’s future, conclude beyond any reasonable doubt that the act of chroming in these circumstances amounted to offensive behaviour within the meaning of the Act?  I think not.  The activity roused in the minds of both the investigating police and the magistrate, feelings of anguish, despair and exasperation.  A reasonable person would be saddened, pitiful and concerned by paint sniffing, but not angered, wounded, outraged or disgusted and therefore not offended.  What could the magistrate have done to have helped this unfortunate </w:t>
      </w:r>
      <w:r w:rsidR="00ED51FD" w:rsidRPr="00F51496">
        <w:rPr>
          <w:rFonts w:ascii="Arial" w:hAnsi="Arial" w:cs="Arial"/>
          <w:color w:val="000000"/>
          <w:sz w:val="20"/>
        </w:rPr>
        <w:t>defendant</w:t>
      </w:r>
      <w:r w:rsidRPr="00F51496">
        <w:rPr>
          <w:rFonts w:ascii="Arial" w:hAnsi="Arial" w:cs="Arial"/>
          <w:color w:val="000000"/>
          <w:sz w:val="20"/>
        </w:rPr>
        <w:t xml:space="preserve"> overcome his desperately sad and dispiriting condition, exemplified by the phrase, 'I’ve got nothing better to do'.  The answer may be uncertain but to have found him </w:t>
      </w:r>
      <w:r w:rsidRPr="00F51496">
        <w:rPr>
          <w:rFonts w:ascii="Arial" w:hAnsi="Arial" w:cs="Arial"/>
          <w:snapToGrid w:val="0"/>
          <w:color w:val="000000"/>
          <w:sz w:val="20"/>
        </w:rPr>
        <w:t>guilty</w:t>
      </w:r>
      <w:r w:rsidRPr="00F51496">
        <w:rPr>
          <w:rFonts w:ascii="Arial" w:hAnsi="Arial" w:cs="Arial"/>
          <w:color w:val="000000"/>
          <w:sz w:val="20"/>
        </w:rPr>
        <w:t xml:space="preserve"> of a criminal offence was not open.  The appeal will be allowed."</w:t>
      </w:r>
    </w:p>
    <w:p w14:paraId="4AE48DCA" w14:textId="77777777" w:rsidR="006C57EA" w:rsidRPr="00F51496" w:rsidRDefault="006C57EA" w:rsidP="006C57EA">
      <w:pPr>
        <w:keepNext/>
        <w:keepLines/>
        <w:rPr>
          <w:rFonts w:ascii="Arial" w:hAnsi="Arial" w:cs="Arial"/>
          <w:color w:val="000000"/>
          <w:sz w:val="20"/>
        </w:rPr>
      </w:pPr>
      <w:bookmarkStart w:id="503" w:name="_Toc60371410"/>
    </w:p>
    <w:p w14:paraId="3D2055C0" w14:textId="77777777" w:rsidR="006C57EA" w:rsidRPr="00F51496" w:rsidRDefault="006C57EA" w:rsidP="006C57EA">
      <w:pPr>
        <w:pStyle w:val="Heading3"/>
        <w:keepNext/>
        <w:spacing w:line="240" w:lineRule="auto"/>
        <w:rPr>
          <w:rFonts w:ascii="Arial" w:hAnsi="Arial" w:cs="Arial"/>
          <w:b/>
          <w:bCs/>
          <w:color w:val="000000"/>
          <w:sz w:val="20"/>
        </w:rPr>
      </w:pPr>
      <w:bookmarkStart w:id="504" w:name="_7.12.2_Insulting_words"/>
      <w:bookmarkEnd w:id="504"/>
      <w:r w:rsidRPr="00F51496">
        <w:rPr>
          <w:rFonts w:ascii="Arial" w:hAnsi="Arial" w:cs="Arial"/>
          <w:b/>
          <w:bCs/>
          <w:color w:val="000000"/>
          <w:sz w:val="20"/>
        </w:rPr>
        <w:t>7.12.2</w:t>
      </w:r>
      <w:r w:rsidRPr="00F51496">
        <w:rPr>
          <w:rFonts w:ascii="Arial" w:hAnsi="Arial" w:cs="Arial"/>
          <w:b/>
          <w:bCs/>
          <w:color w:val="000000"/>
          <w:sz w:val="20"/>
        </w:rPr>
        <w:tab/>
        <w:t>Insulting words in a public place</w:t>
      </w:r>
    </w:p>
    <w:p w14:paraId="1C8678A6" w14:textId="77777777" w:rsidR="006C57EA" w:rsidRPr="00F51496" w:rsidRDefault="006C57EA" w:rsidP="006C57EA">
      <w:pPr>
        <w:rPr>
          <w:rFonts w:ascii="Arial" w:hAnsi="Arial" w:cs="Arial"/>
          <w:color w:val="000000"/>
          <w:sz w:val="20"/>
        </w:rPr>
      </w:pPr>
    </w:p>
    <w:p w14:paraId="6DCF403C" w14:textId="002EABD9" w:rsidR="006C57EA" w:rsidRPr="00F51496" w:rsidRDefault="00F175E6" w:rsidP="00F175E6">
      <w:pPr>
        <w:jc w:val="both"/>
        <w:rPr>
          <w:rFonts w:ascii="Arial" w:hAnsi="Arial" w:cs="Arial"/>
          <w:color w:val="000000"/>
          <w:sz w:val="20"/>
        </w:rPr>
      </w:pPr>
      <w:r w:rsidRPr="00F51496">
        <w:rPr>
          <w:rFonts w:ascii="Arial" w:hAnsi="Arial" w:cs="Arial"/>
          <w:color w:val="000000"/>
          <w:sz w:val="20"/>
        </w:rPr>
        <w:t xml:space="preserve">In </w:t>
      </w:r>
      <w:r w:rsidRPr="00F51496">
        <w:rPr>
          <w:rFonts w:ascii="Arial" w:hAnsi="Arial" w:cs="Arial"/>
          <w:i/>
          <w:color w:val="000000"/>
          <w:sz w:val="20"/>
        </w:rPr>
        <w:t>Ferguson v Walkley &amp; Anor</w:t>
      </w:r>
      <w:r w:rsidRPr="00F51496">
        <w:rPr>
          <w:rFonts w:ascii="Arial" w:hAnsi="Arial" w:cs="Arial"/>
          <w:color w:val="000000"/>
          <w:sz w:val="20"/>
        </w:rPr>
        <w:t xml:space="preserve"> </w:t>
      </w:r>
      <w:r w:rsidR="00B54471">
        <w:rPr>
          <w:rFonts w:ascii="Arial" w:hAnsi="Arial" w:cs="Arial"/>
          <w:color w:val="000000"/>
          <w:sz w:val="20"/>
        </w:rPr>
        <w:t xml:space="preserve">(2008) 17 VR 647; </w:t>
      </w:r>
      <w:r w:rsidRPr="00F51496">
        <w:rPr>
          <w:rFonts w:ascii="Arial" w:hAnsi="Arial" w:cs="Arial"/>
          <w:color w:val="000000"/>
          <w:sz w:val="20"/>
        </w:rPr>
        <w:t xml:space="preserve">[2008] VSC 7 Harper J discussed at length the tension between freedom of expression and the criminal law in a democratic society and applied the test enunciated by Gleeson CJ in </w:t>
      </w:r>
      <w:r w:rsidRPr="00F51496">
        <w:rPr>
          <w:rFonts w:ascii="Arial" w:hAnsi="Arial" w:cs="Arial"/>
          <w:i/>
          <w:color w:val="000000"/>
          <w:sz w:val="20"/>
        </w:rPr>
        <w:t>Coleman v Power</w:t>
      </w:r>
      <w:r w:rsidRPr="00F51496">
        <w:rPr>
          <w:rFonts w:ascii="Arial" w:hAnsi="Arial" w:cs="Arial"/>
          <w:color w:val="000000"/>
          <w:sz w:val="20"/>
        </w:rPr>
        <w:t xml:space="preserve"> (2004) 220 CLR 1 in determining whether words are insulting within the meaning of s.</w:t>
      </w:r>
      <w:r w:rsidR="00B54471">
        <w:rPr>
          <w:rFonts w:ascii="Arial" w:hAnsi="Arial" w:cs="Arial"/>
          <w:color w:val="000000"/>
          <w:sz w:val="20"/>
        </w:rPr>
        <w:t>1</w:t>
      </w:r>
      <w:r w:rsidRPr="00F51496">
        <w:rPr>
          <w:rFonts w:ascii="Arial" w:hAnsi="Arial" w:cs="Arial"/>
          <w:color w:val="000000"/>
          <w:sz w:val="20"/>
        </w:rPr>
        <w:t xml:space="preserve">7(1) of the </w:t>
      </w:r>
      <w:r w:rsidRPr="008102AC">
        <w:rPr>
          <w:rFonts w:ascii="Arial" w:hAnsi="Arial" w:cs="Arial"/>
          <w:i/>
          <w:iCs/>
          <w:color w:val="000000"/>
          <w:sz w:val="20"/>
        </w:rPr>
        <w:t>Summary Offences Act 1966</w:t>
      </w:r>
      <w:r w:rsidRPr="00F51496">
        <w:rPr>
          <w:rFonts w:ascii="Arial" w:hAnsi="Arial" w:cs="Arial"/>
          <w:color w:val="000000"/>
          <w:sz w:val="20"/>
        </w:rPr>
        <w:t>:</w:t>
      </w:r>
    </w:p>
    <w:p w14:paraId="42E02606" w14:textId="77777777" w:rsidR="00F175E6" w:rsidRPr="00F51496" w:rsidRDefault="00F175E6" w:rsidP="008516D3">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t>[1] “The principles of democratic governance have had difficulty in accommodating laws designed to deal with offensive behaviour – with which I include offensive language.  This has been reflected in the difficulties experienced by agencies such as the police in the fair and impartial execution of those laws, and by the courts in resolving the disputes to which their execution has given rise.  Government of the people, by the people, and for the people is government by majority will.  It is also (indeed, it must also by definition be) government that recognises that all, including minorities, have rights.  These rights must be respected.  According to John Stuart Mill, “the sole end for which mankind are warranted, individually or collectively, in interfering with the liberty of action of any of their number, is self protection [and] the only purpose for which power can be rightfully exercised over any member of a civilised community, against his will, is to prevent harm to others.”</w:t>
      </w:r>
      <w:r w:rsidR="0030205D" w:rsidRPr="00F51496">
        <w:rPr>
          <w:rFonts w:ascii="Arial" w:hAnsi="Arial" w:cs="Arial"/>
          <w:color w:val="000000"/>
          <w:sz w:val="20"/>
        </w:rPr>
        <w:t xml:space="preserve"> (John Stuart Mill </w:t>
      </w:r>
      <w:r w:rsidR="0030205D" w:rsidRPr="00F51496">
        <w:rPr>
          <w:rFonts w:ascii="Arial" w:hAnsi="Arial" w:cs="Arial"/>
          <w:i/>
          <w:color w:val="000000"/>
          <w:sz w:val="20"/>
        </w:rPr>
        <w:t>Utilitarianism, Liberty and Representative Government</w:t>
      </w:r>
      <w:r w:rsidR="0030205D" w:rsidRPr="00F51496">
        <w:rPr>
          <w:rFonts w:ascii="Arial" w:hAnsi="Arial" w:cs="Arial"/>
          <w:color w:val="000000"/>
          <w:sz w:val="20"/>
        </w:rPr>
        <w:t xml:space="preserve"> (1910) J.M.Dent &amp; Sons Ltd (1960 reprint) pp.72-73).</w:t>
      </w:r>
      <w:r w:rsidRPr="00F51496">
        <w:rPr>
          <w:rFonts w:ascii="Arial" w:hAnsi="Arial" w:cs="Arial"/>
          <w:color w:val="000000"/>
          <w:sz w:val="20"/>
        </w:rPr>
        <w:t xml:space="preserve">  One may accept the criticism that this statement is too wide </w:t>
      </w:r>
      <w:r w:rsidR="0030205D" w:rsidRPr="00F51496">
        <w:rPr>
          <w:rFonts w:ascii="Arial" w:hAnsi="Arial" w:cs="Arial"/>
          <w:color w:val="000000"/>
          <w:sz w:val="20"/>
          <w:szCs w:val="20"/>
        </w:rPr>
        <w:t xml:space="preserve">(see, for example, </w:t>
      </w:r>
      <w:r w:rsidR="0030205D" w:rsidRPr="00F51496">
        <w:rPr>
          <w:rFonts w:ascii="Arial" w:hAnsi="Arial" w:cs="Arial"/>
          <w:i/>
          <w:color w:val="000000"/>
          <w:sz w:val="20"/>
          <w:szCs w:val="20"/>
        </w:rPr>
        <w:t xml:space="preserve">Two Concepts of Liberty </w:t>
      </w:r>
      <w:r w:rsidR="0030205D" w:rsidRPr="00F51496">
        <w:rPr>
          <w:rFonts w:ascii="Arial" w:hAnsi="Arial" w:cs="Arial"/>
          <w:color w:val="000000"/>
          <w:sz w:val="20"/>
          <w:szCs w:val="20"/>
        </w:rPr>
        <w:t xml:space="preserve">in </w:t>
      </w:r>
      <w:r w:rsidR="0030205D" w:rsidRPr="00F51496">
        <w:rPr>
          <w:rFonts w:ascii="Arial" w:hAnsi="Arial" w:cs="Arial"/>
          <w:i/>
          <w:color w:val="000000"/>
          <w:sz w:val="20"/>
          <w:szCs w:val="20"/>
        </w:rPr>
        <w:t>The Proper Study of Mankind: An Anthology of Essays by Isaiah Berlin</w:t>
      </w:r>
      <w:r w:rsidR="0030205D" w:rsidRPr="00F51496">
        <w:rPr>
          <w:rFonts w:ascii="Arial" w:hAnsi="Arial" w:cs="Arial"/>
          <w:color w:val="000000"/>
          <w:sz w:val="20"/>
          <w:szCs w:val="20"/>
        </w:rPr>
        <w:t xml:space="preserve"> (Pimlico) 1998 pp. 199-201</w:t>
      </w:r>
      <w:r w:rsidR="0030205D" w:rsidRPr="00F51496">
        <w:rPr>
          <w:color w:val="000000"/>
        </w:rPr>
        <w:t>)</w:t>
      </w:r>
      <w:r w:rsidR="0030205D" w:rsidRPr="00F51496">
        <w:rPr>
          <w:rFonts w:ascii="Arial" w:hAnsi="Arial" w:cs="Arial"/>
          <w:color w:val="000000"/>
          <w:sz w:val="20"/>
        </w:rPr>
        <w:t xml:space="preserve"> </w:t>
      </w:r>
      <w:r w:rsidRPr="00F51496">
        <w:rPr>
          <w:rFonts w:ascii="Arial" w:hAnsi="Arial" w:cs="Arial"/>
          <w:color w:val="000000"/>
          <w:sz w:val="20"/>
        </w:rPr>
        <w:t>while also accepting that it has sufficient validity to support the proposition that a state which seeks to impose upon its subjects an all-embracing moral code is the antithesis of a democracy.</w:t>
      </w:r>
    </w:p>
    <w:p w14:paraId="2C1F8122" w14:textId="77777777" w:rsidR="00F175E6" w:rsidRPr="00F51496" w:rsidRDefault="00F175E6" w:rsidP="00F175E6">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t>[2] This means, among other things, that the majority should be diffident about imposing its view of morality on others.  Behaviour, deemed unacceptably offensive by some, may not trouble others at all.  The danger therefore is that legislation which turns offensive conduct into a crime, and punishable accordingly, will be employed as a heavy-handed instrument for the imposition, by one segment of society on another, of the former’s moral precepts.  This is a prospect about which those concerned with the practicalities of democratic governance – including the police and the courts – must always and of necessity be seriously concerned…</w:t>
      </w:r>
    </w:p>
    <w:p w14:paraId="4FA9BDBB" w14:textId="77777777" w:rsidR="00F175E6" w:rsidRPr="00F51496" w:rsidRDefault="00F175E6" w:rsidP="00F175E6">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t xml:space="preserve">[16] In giving an extempore judgment, the learned magistrate noted the importance of context.  He was right to do so: many, if not all, of these cases are fact-specific and ultimately turn on questions of fact and degree.  His Honour also referred at some length to the most recent High Court pronouncements on offensive behaviour.  These are to be </w:t>
      </w:r>
      <w:r w:rsidRPr="00F51496">
        <w:rPr>
          <w:rFonts w:ascii="Arial" w:hAnsi="Arial" w:cs="Arial"/>
          <w:color w:val="000000"/>
          <w:sz w:val="20"/>
        </w:rPr>
        <w:lastRenderedPageBreak/>
        <w:t xml:space="preserve">found in the six judgments delivered by the seven justices who heard the final appeal in the case of </w:t>
      </w:r>
      <w:r w:rsidRPr="00F51496">
        <w:rPr>
          <w:rFonts w:ascii="Arial" w:hAnsi="Arial" w:cs="Arial"/>
          <w:i/>
          <w:color w:val="000000"/>
          <w:sz w:val="20"/>
        </w:rPr>
        <w:t xml:space="preserve">Coleman v Power </w:t>
      </w:r>
      <w:r w:rsidRPr="00F51496">
        <w:rPr>
          <w:rFonts w:ascii="Arial" w:hAnsi="Arial" w:cs="Arial"/>
          <w:color w:val="000000"/>
          <w:sz w:val="20"/>
        </w:rPr>
        <w:t xml:space="preserve">(2004) 220 CLR 1.  The magistrate said, in effect, that sitting as he did in rural Victoria and, having therefore a part to play in the maintenance of public order within a number of small communities, he would be concerned were language to attract the sanctions of the criminal law as being insulting or offensive only if it were intended or reasonably likely to provoke unlawful physical retaliation.  I can understand that concern.  But his Honour also held, in my opinion correctly, that this was not the law as expounded by the majority of the seven-member bench in </w:t>
      </w:r>
      <w:r w:rsidRPr="00F51496">
        <w:rPr>
          <w:rFonts w:ascii="Arial" w:hAnsi="Arial" w:cs="Arial"/>
          <w:i/>
          <w:color w:val="000000"/>
          <w:sz w:val="20"/>
        </w:rPr>
        <w:t>Coleman</w:t>
      </w:r>
      <w:r w:rsidRPr="00F51496">
        <w:rPr>
          <w:rFonts w:ascii="Arial" w:hAnsi="Arial" w:cs="Arial"/>
          <w:color w:val="000000"/>
          <w:sz w:val="20"/>
        </w:rPr>
        <w:t>…</w:t>
      </w:r>
    </w:p>
    <w:p w14:paraId="3DE09A9B" w14:textId="57912334" w:rsidR="00F175E6" w:rsidRDefault="00F175E6" w:rsidP="00F175E6">
      <w:pPr>
        <w:tabs>
          <w:tab w:val="left" w:pos="363"/>
        </w:tabs>
        <w:spacing w:before="80"/>
        <w:ind w:left="567" w:right="567"/>
        <w:jc w:val="both"/>
        <w:rPr>
          <w:rFonts w:ascii="Arial" w:hAnsi="Arial" w:cs="Arial"/>
          <w:color w:val="000000"/>
          <w:sz w:val="20"/>
        </w:rPr>
      </w:pPr>
      <w:r w:rsidRPr="00F51496">
        <w:rPr>
          <w:rFonts w:ascii="Arial" w:hAnsi="Arial" w:cs="Arial"/>
          <w:color w:val="000000"/>
          <w:sz w:val="20"/>
        </w:rPr>
        <w:t>[</w:t>
      </w:r>
      <w:r w:rsidR="0030205D" w:rsidRPr="00F51496">
        <w:rPr>
          <w:rFonts w:ascii="Arial" w:hAnsi="Arial" w:cs="Arial"/>
          <w:color w:val="000000"/>
          <w:sz w:val="20"/>
        </w:rPr>
        <w:t>42</w:t>
      </w:r>
      <w:r w:rsidRPr="00F51496">
        <w:rPr>
          <w:rFonts w:ascii="Arial" w:hAnsi="Arial" w:cs="Arial"/>
          <w:color w:val="000000"/>
          <w:sz w:val="20"/>
        </w:rPr>
        <w:t>]</w:t>
      </w:r>
      <w:r w:rsidR="0030205D" w:rsidRPr="00F51496">
        <w:rPr>
          <w:rFonts w:ascii="Arial" w:hAnsi="Arial" w:cs="Arial"/>
          <w:color w:val="000000"/>
          <w:sz w:val="20"/>
        </w:rPr>
        <w:t xml:space="preserve"> </w:t>
      </w:r>
      <w:r w:rsidRPr="00F51496">
        <w:rPr>
          <w:rFonts w:ascii="Arial" w:hAnsi="Arial" w:cs="Arial"/>
          <w:color w:val="000000"/>
          <w:sz w:val="20"/>
        </w:rPr>
        <w:t xml:space="preserve">The test, as I understand the judgment of the Chief Justice, is whether the impugned behaviour is so deeply or seriously insulting, and therefore so far contrary to contemporary standards of public good order, as to warrant the interference of the criminal law. In my opinion, Mr Ferguson’s behaviour in each instance met those criteria and was thus contrary to the relevant provisions of the </w:t>
      </w:r>
      <w:r w:rsidRPr="00F51496">
        <w:rPr>
          <w:rFonts w:ascii="Arial" w:hAnsi="Arial" w:cs="Arial"/>
          <w:i/>
          <w:color w:val="000000"/>
          <w:sz w:val="20"/>
        </w:rPr>
        <w:t>Summary Offences Act</w:t>
      </w:r>
      <w:r w:rsidRPr="00F51496">
        <w:rPr>
          <w:rFonts w:ascii="Arial" w:hAnsi="Arial" w:cs="Arial"/>
          <w:color w:val="000000"/>
          <w:sz w:val="20"/>
        </w:rPr>
        <w:t>. It follows that the magistrate’s decision to convict was in each case correct.  The appeals must be dismissed.”</w:t>
      </w:r>
    </w:p>
    <w:p w14:paraId="6B7BEEEC" w14:textId="77777777" w:rsidR="00B54471" w:rsidRDefault="00B54471" w:rsidP="00B54471">
      <w:pPr>
        <w:tabs>
          <w:tab w:val="left" w:pos="363"/>
        </w:tabs>
        <w:jc w:val="both"/>
        <w:rPr>
          <w:rFonts w:ascii="Arial" w:hAnsi="Arial" w:cs="Arial"/>
          <w:color w:val="000000"/>
          <w:sz w:val="20"/>
        </w:rPr>
      </w:pPr>
    </w:p>
    <w:p w14:paraId="072ED88C" w14:textId="77777777" w:rsidR="00B54471" w:rsidRDefault="00B54471" w:rsidP="00B54471">
      <w:pPr>
        <w:tabs>
          <w:tab w:val="left" w:pos="363"/>
        </w:tabs>
        <w:jc w:val="both"/>
        <w:rPr>
          <w:rFonts w:ascii="Arial" w:hAnsi="Arial" w:cs="Arial"/>
          <w:color w:val="000000"/>
          <w:sz w:val="20"/>
        </w:rPr>
      </w:pPr>
      <w:r>
        <w:rPr>
          <w:rFonts w:ascii="Arial" w:hAnsi="Arial" w:cs="Arial"/>
          <w:color w:val="000000"/>
          <w:sz w:val="20"/>
        </w:rPr>
        <w:t xml:space="preserve">In </w:t>
      </w:r>
      <w:r w:rsidRPr="00B54471">
        <w:rPr>
          <w:rFonts w:ascii="Arial" w:hAnsi="Arial" w:cs="Arial"/>
          <w:i/>
          <w:iCs/>
          <w:color w:val="000000"/>
          <w:sz w:val="20"/>
        </w:rPr>
        <w:t>Rabb &amp; Fiddes v Tayeh</w:t>
      </w:r>
      <w:r>
        <w:rPr>
          <w:rFonts w:ascii="Arial" w:hAnsi="Arial" w:cs="Arial"/>
          <w:color w:val="000000"/>
          <w:sz w:val="20"/>
        </w:rPr>
        <w:t xml:space="preserve"> [2025] VMC 17 </w:t>
      </w:r>
      <w:r w:rsidRPr="00B54471">
        <w:rPr>
          <w:rFonts w:ascii="Arial" w:hAnsi="Arial" w:cs="Arial"/>
          <w:color w:val="000000"/>
          <w:sz w:val="20"/>
        </w:rPr>
        <w:t xml:space="preserve">Mr Tayeh </w:t>
      </w:r>
      <w:r>
        <w:rPr>
          <w:rFonts w:ascii="Arial" w:hAnsi="Arial" w:cs="Arial"/>
          <w:color w:val="000000"/>
          <w:sz w:val="20"/>
        </w:rPr>
        <w:t>was</w:t>
      </w:r>
      <w:r w:rsidRPr="00B54471">
        <w:rPr>
          <w:rFonts w:ascii="Arial" w:hAnsi="Arial" w:cs="Arial"/>
          <w:color w:val="000000"/>
          <w:sz w:val="20"/>
        </w:rPr>
        <w:t xml:space="preserve"> charged with 5 charges of using insulting words in a public place contrary to s 17(1)(c) </w:t>
      </w:r>
      <w:r w:rsidRPr="00B54471">
        <w:rPr>
          <w:rFonts w:ascii="Arial" w:hAnsi="Arial" w:cs="Arial"/>
          <w:i/>
          <w:iCs/>
          <w:color w:val="000000"/>
          <w:sz w:val="20"/>
        </w:rPr>
        <w:t>Summary Offences Act 1966</w:t>
      </w:r>
      <w:r w:rsidRPr="00B54471">
        <w:rPr>
          <w:rFonts w:ascii="Arial" w:hAnsi="Arial" w:cs="Arial"/>
          <w:color w:val="000000"/>
          <w:sz w:val="20"/>
        </w:rPr>
        <w:t xml:space="preserve"> (Vic)</w:t>
      </w:r>
      <w:r>
        <w:rPr>
          <w:rFonts w:ascii="Arial" w:hAnsi="Arial" w:cs="Arial"/>
          <w:color w:val="000000"/>
          <w:sz w:val="20"/>
        </w:rPr>
        <w:t xml:space="preserve"> which provides</w:t>
      </w:r>
      <w:r w:rsidRPr="00B54471">
        <w:rPr>
          <w:rFonts w:ascii="Arial" w:hAnsi="Arial" w:cs="Arial"/>
          <w:color w:val="000000"/>
          <w:sz w:val="20"/>
        </w:rPr>
        <w:t>:</w:t>
      </w:r>
    </w:p>
    <w:p w14:paraId="3C867378" w14:textId="77777777" w:rsidR="00B54471" w:rsidRDefault="00B54471" w:rsidP="00B54471">
      <w:pPr>
        <w:tabs>
          <w:tab w:val="left" w:pos="363"/>
        </w:tabs>
        <w:spacing w:before="60"/>
        <w:ind w:left="567" w:right="567"/>
        <w:jc w:val="both"/>
        <w:rPr>
          <w:rFonts w:ascii="Arial" w:hAnsi="Arial" w:cs="Arial"/>
          <w:color w:val="000000"/>
          <w:sz w:val="20"/>
        </w:rPr>
      </w:pPr>
      <w:r w:rsidRPr="00B54471">
        <w:rPr>
          <w:rFonts w:ascii="Arial" w:hAnsi="Arial" w:cs="Arial"/>
          <w:color w:val="000000"/>
          <w:sz w:val="20"/>
        </w:rPr>
        <w:t xml:space="preserve">“Any person who in or near a public place or within the view or hearing of any person being or passing therein or thereon- (c) uses profane indecent or obscene language or threatening abusive or insulting words shall be guilty of an offence” </w:t>
      </w:r>
    </w:p>
    <w:p w14:paraId="56144DE8" w14:textId="77777777" w:rsidR="00B54471" w:rsidRDefault="00B54471" w:rsidP="00B54471">
      <w:pPr>
        <w:tabs>
          <w:tab w:val="left" w:pos="363"/>
        </w:tabs>
        <w:spacing w:before="60"/>
        <w:jc w:val="both"/>
        <w:rPr>
          <w:rFonts w:ascii="Arial" w:hAnsi="Arial" w:cs="Arial"/>
          <w:color w:val="000000"/>
          <w:sz w:val="20"/>
        </w:rPr>
      </w:pPr>
      <w:r>
        <w:rPr>
          <w:rFonts w:ascii="Arial" w:hAnsi="Arial" w:cs="Arial"/>
          <w:color w:val="000000"/>
          <w:sz w:val="20"/>
        </w:rPr>
        <w:t xml:space="preserve">The following </w:t>
      </w:r>
      <w:r w:rsidRPr="00B54471">
        <w:rPr>
          <w:rFonts w:ascii="Arial" w:hAnsi="Arial" w:cs="Arial"/>
          <w:color w:val="000000"/>
          <w:sz w:val="20"/>
        </w:rPr>
        <w:t>issues ha</w:t>
      </w:r>
      <w:r>
        <w:rPr>
          <w:rFonts w:ascii="Arial" w:hAnsi="Arial" w:cs="Arial"/>
          <w:color w:val="000000"/>
          <w:sz w:val="20"/>
        </w:rPr>
        <w:t>d</w:t>
      </w:r>
      <w:r w:rsidRPr="00B54471">
        <w:rPr>
          <w:rFonts w:ascii="Arial" w:hAnsi="Arial" w:cs="Arial"/>
          <w:color w:val="000000"/>
          <w:sz w:val="20"/>
        </w:rPr>
        <w:t xml:space="preserve"> arisen between the parties which require</w:t>
      </w:r>
      <w:r>
        <w:rPr>
          <w:rFonts w:ascii="Arial" w:hAnsi="Arial" w:cs="Arial"/>
          <w:color w:val="000000"/>
          <w:sz w:val="20"/>
        </w:rPr>
        <w:t>d</w:t>
      </w:r>
      <w:r w:rsidRPr="00B54471">
        <w:rPr>
          <w:rFonts w:ascii="Arial" w:hAnsi="Arial" w:cs="Arial"/>
          <w:color w:val="000000"/>
          <w:sz w:val="20"/>
        </w:rPr>
        <w:t xml:space="preserve"> preliminary determination</w:t>
      </w:r>
      <w:r>
        <w:rPr>
          <w:rFonts w:ascii="Arial" w:hAnsi="Arial" w:cs="Arial"/>
          <w:color w:val="000000"/>
          <w:sz w:val="20"/>
        </w:rPr>
        <w:t>:</w:t>
      </w:r>
    </w:p>
    <w:p w14:paraId="406B1643" w14:textId="77777777" w:rsidR="00B54471" w:rsidRDefault="00B54471" w:rsidP="00591749">
      <w:pPr>
        <w:pStyle w:val="ListParagraph"/>
        <w:numPr>
          <w:ilvl w:val="0"/>
          <w:numId w:val="73"/>
        </w:numPr>
        <w:tabs>
          <w:tab w:val="left" w:pos="363"/>
        </w:tabs>
        <w:spacing w:after="0" w:line="240" w:lineRule="auto"/>
        <w:ind w:left="924" w:right="567" w:hanging="357"/>
        <w:jc w:val="both"/>
        <w:rPr>
          <w:rFonts w:ascii="Arial" w:hAnsi="Arial" w:cs="Arial"/>
          <w:color w:val="000000"/>
          <w:sz w:val="20"/>
        </w:rPr>
      </w:pPr>
      <w:r w:rsidRPr="00B54471">
        <w:rPr>
          <w:rFonts w:ascii="Arial" w:hAnsi="Arial" w:cs="Arial"/>
          <w:color w:val="000000"/>
          <w:sz w:val="20"/>
        </w:rPr>
        <w:t xml:space="preserve">how are “insulting words” to be defined; </w:t>
      </w:r>
    </w:p>
    <w:p w14:paraId="1622B55A" w14:textId="2B1D605B" w:rsidR="00B54471" w:rsidRDefault="00B54471" w:rsidP="004458C6">
      <w:pPr>
        <w:tabs>
          <w:tab w:val="left" w:pos="363"/>
        </w:tabs>
        <w:ind w:left="930" w:right="567" w:hanging="363"/>
        <w:jc w:val="both"/>
        <w:rPr>
          <w:rFonts w:ascii="Arial" w:hAnsi="Arial" w:cs="Arial"/>
          <w:color w:val="000000"/>
          <w:sz w:val="20"/>
        </w:rPr>
      </w:pPr>
      <w:r w:rsidRPr="00B54471">
        <w:rPr>
          <w:rFonts w:ascii="Arial" w:hAnsi="Arial" w:cs="Arial"/>
          <w:color w:val="000000"/>
          <w:sz w:val="20"/>
        </w:rPr>
        <w:t>(b)</w:t>
      </w:r>
      <w:r>
        <w:rPr>
          <w:rFonts w:ascii="Arial" w:hAnsi="Arial" w:cs="Arial"/>
          <w:color w:val="000000"/>
          <w:sz w:val="20"/>
        </w:rPr>
        <w:tab/>
      </w:r>
      <w:r w:rsidRPr="00B54471">
        <w:rPr>
          <w:rFonts w:ascii="Arial" w:hAnsi="Arial" w:cs="Arial"/>
          <w:color w:val="000000"/>
          <w:sz w:val="20"/>
        </w:rPr>
        <w:t xml:space="preserve">is the definition of insulting words context dependent, namely is there a higher threshold as to what constitutes insulting words when those words are a form of what might be loosely characterised as “political communication”; </w:t>
      </w:r>
    </w:p>
    <w:p w14:paraId="61DA3F31" w14:textId="0832E2C1" w:rsidR="00B54471" w:rsidRDefault="00B54471" w:rsidP="004458C6">
      <w:pPr>
        <w:tabs>
          <w:tab w:val="left" w:pos="363"/>
        </w:tabs>
        <w:ind w:left="930" w:right="567" w:hanging="363"/>
        <w:jc w:val="both"/>
        <w:rPr>
          <w:rFonts w:ascii="Arial" w:hAnsi="Arial" w:cs="Arial"/>
          <w:color w:val="000000"/>
          <w:sz w:val="20"/>
        </w:rPr>
      </w:pPr>
      <w:r w:rsidRPr="00B54471">
        <w:rPr>
          <w:rFonts w:ascii="Arial" w:hAnsi="Arial" w:cs="Arial"/>
          <w:color w:val="000000"/>
          <w:sz w:val="20"/>
        </w:rPr>
        <w:t>(c)</w:t>
      </w:r>
      <w:r>
        <w:rPr>
          <w:rFonts w:ascii="Arial" w:hAnsi="Arial" w:cs="Arial"/>
          <w:color w:val="000000"/>
          <w:sz w:val="20"/>
        </w:rPr>
        <w:tab/>
      </w:r>
      <w:r w:rsidRPr="00B54471">
        <w:rPr>
          <w:rFonts w:ascii="Arial" w:hAnsi="Arial" w:cs="Arial"/>
          <w:color w:val="000000"/>
          <w:sz w:val="20"/>
        </w:rPr>
        <w:t>what is the fault element required to be guilty of the offence of using insulting words;</w:t>
      </w:r>
    </w:p>
    <w:p w14:paraId="4EEB5297" w14:textId="448474B8" w:rsidR="00B54471" w:rsidRDefault="00B54471" w:rsidP="004458C6">
      <w:pPr>
        <w:tabs>
          <w:tab w:val="left" w:pos="363"/>
        </w:tabs>
        <w:ind w:left="930" w:right="567" w:hanging="363"/>
        <w:jc w:val="both"/>
        <w:rPr>
          <w:rFonts w:ascii="Arial" w:hAnsi="Arial" w:cs="Arial"/>
          <w:color w:val="000000"/>
          <w:sz w:val="20"/>
        </w:rPr>
      </w:pPr>
      <w:r w:rsidRPr="00B54471">
        <w:rPr>
          <w:rFonts w:ascii="Arial" w:hAnsi="Arial" w:cs="Arial"/>
          <w:color w:val="000000"/>
          <w:sz w:val="20"/>
        </w:rPr>
        <w:t>(d)</w:t>
      </w:r>
      <w:r>
        <w:rPr>
          <w:rFonts w:ascii="Arial" w:hAnsi="Arial" w:cs="Arial"/>
          <w:color w:val="000000"/>
          <w:sz w:val="20"/>
        </w:rPr>
        <w:tab/>
      </w:r>
      <w:r w:rsidRPr="00B54471">
        <w:rPr>
          <w:rFonts w:ascii="Arial" w:hAnsi="Arial" w:cs="Arial"/>
          <w:color w:val="000000"/>
          <w:sz w:val="20"/>
        </w:rPr>
        <w:t xml:space="preserve">the role of the </w:t>
      </w:r>
      <w:r w:rsidRPr="00B54471">
        <w:rPr>
          <w:rFonts w:ascii="Arial" w:hAnsi="Arial" w:cs="Arial"/>
          <w:i/>
          <w:iCs/>
          <w:color w:val="000000"/>
          <w:sz w:val="20"/>
        </w:rPr>
        <w:t>Charter of Human Rights and Responsibilities Act 2006</w:t>
      </w:r>
      <w:r w:rsidRPr="00B54471">
        <w:rPr>
          <w:rFonts w:ascii="Arial" w:hAnsi="Arial" w:cs="Arial"/>
          <w:color w:val="000000"/>
          <w:sz w:val="20"/>
        </w:rPr>
        <w:t>, and specifically section 32 of that Act in combination with section 15(2) (freedom of expression);</w:t>
      </w:r>
      <w:r>
        <w:rPr>
          <w:rFonts w:ascii="Arial" w:hAnsi="Arial" w:cs="Arial"/>
          <w:color w:val="000000"/>
          <w:sz w:val="20"/>
        </w:rPr>
        <w:t xml:space="preserve"> and</w:t>
      </w:r>
    </w:p>
    <w:p w14:paraId="69BC3326" w14:textId="08497652" w:rsidR="00B54471" w:rsidRPr="00B54471" w:rsidRDefault="00B54471" w:rsidP="004458C6">
      <w:pPr>
        <w:tabs>
          <w:tab w:val="left" w:pos="363"/>
        </w:tabs>
        <w:ind w:left="930" w:right="567" w:hanging="363"/>
        <w:jc w:val="both"/>
        <w:rPr>
          <w:rFonts w:ascii="Arial" w:hAnsi="Arial" w:cs="Arial"/>
          <w:color w:val="000000"/>
          <w:sz w:val="20"/>
        </w:rPr>
      </w:pPr>
      <w:r w:rsidRPr="00B54471">
        <w:rPr>
          <w:rFonts w:ascii="Arial" w:hAnsi="Arial" w:cs="Arial"/>
          <w:color w:val="000000"/>
          <w:sz w:val="20"/>
        </w:rPr>
        <w:t>(e)</w:t>
      </w:r>
      <w:r>
        <w:rPr>
          <w:rFonts w:ascii="Arial" w:hAnsi="Arial" w:cs="Arial"/>
          <w:color w:val="000000"/>
          <w:sz w:val="20"/>
        </w:rPr>
        <w:tab/>
      </w:r>
      <w:r w:rsidRPr="00B54471">
        <w:rPr>
          <w:rFonts w:ascii="Arial" w:hAnsi="Arial" w:cs="Arial"/>
          <w:color w:val="000000"/>
          <w:sz w:val="20"/>
        </w:rPr>
        <w:t>whether the provision can and should be “read down” so as to be compatible with “the implied freedom of political communication”</w:t>
      </w:r>
      <w:r>
        <w:rPr>
          <w:rFonts w:ascii="Arial" w:hAnsi="Arial" w:cs="Arial"/>
          <w:color w:val="000000"/>
          <w:sz w:val="20"/>
        </w:rPr>
        <w:t>.</w:t>
      </w:r>
    </w:p>
    <w:p w14:paraId="54C9E6CD" w14:textId="57132259" w:rsidR="00B54471" w:rsidRDefault="002B7C9F" w:rsidP="00B54471">
      <w:pPr>
        <w:tabs>
          <w:tab w:val="left" w:pos="363"/>
        </w:tabs>
        <w:spacing w:before="60"/>
        <w:jc w:val="both"/>
        <w:rPr>
          <w:rFonts w:ascii="Arial" w:hAnsi="Arial" w:cs="Arial"/>
          <w:color w:val="000000"/>
          <w:sz w:val="20"/>
        </w:rPr>
      </w:pPr>
      <w:r>
        <w:rPr>
          <w:rFonts w:ascii="Arial" w:hAnsi="Arial" w:cs="Arial"/>
          <w:color w:val="000000"/>
          <w:sz w:val="20"/>
        </w:rPr>
        <w:t xml:space="preserve">In summary </w:t>
      </w:r>
      <w:r w:rsidR="004458C6">
        <w:rPr>
          <w:rFonts w:ascii="Arial" w:hAnsi="Arial" w:cs="Arial"/>
          <w:color w:val="000000"/>
          <w:sz w:val="20"/>
        </w:rPr>
        <w:t>M H Thomas M held:</w:t>
      </w:r>
    </w:p>
    <w:p w14:paraId="1E118115" w14:textId="4FB0FF16" w:rsidR="004458C6" w:rsidRDefault="004458C6" w:rsidP="00591749">
      <w:pPr>
        <w:numPr>
          <w:ilvl w:val="0"/>
          <w:numId w:val="14"/>
        </w:numPr>
        <w:spacing w:before="60"/>
        <w:ind w:left="357" w:hanging="357"/>
        <w:jc w:val="both"/>
        <w:rPr>
          <w:rFonts w:ascii="Arial" w:hAnsi="Arial" w:cs="Arial"/>
          <w:color w:val="000000"/>
          <w:sz w:val="20"/>
        </w:rPr>
      </w:pPr>
      <w:r>
        <w:rPr>
          <w:rFonts w:ascii="Arial" w:hAnsi="Arial" w:cs="Arial"/>
          <w:color w:val="000000"/>
          <w:sz w:val="20"/>
        </w:rPr>
        <w:t>At [</w:t>
      </w:r>
      <w:r w:rsidR="00124985">
        <w:rPr>
          <w:rFonts w:ascii="Arial" w:hAnsi="Arial" w:cs="Arial"/>
          <w:color w:val="000000"/>
          <w:sz w:val="20"/>
        </w:rPr>
        <w:t>30</w:t>
      </w:r>
      <w:r>
        <w:rPr>
          <w:rFonts w:ascii="Arial" w:hAnsi="Arial" w:cs="Arial"/>
          <w:color w:val="000000"/>
          <w:sz w:val="20"/>
        </w:rPr>
        <w:t>]</w:t>
      </w:r>
      <w:r w:rsidR="00124985">
        <w:rPr>
          <w:rFonts w:ascii="Arial" w:hAnsi="Arial" w:cs="Arial"/>
          <w:color w:val="000000"/>
          <w:sz w:val="20"/>
        </w:rPr>
        <w:t>-[34]</w:t>
      </w:r>
      <w:r>
        <w:rPr>
          <w:rFonts w:ascii="Arial" w:hAnsi="Arial" w:cs="Arial"/>
          <w:color w:val="000000"/>
          <w:sz w:val="20"/>
        </w:rPr>
        <w:t xml:space="preserve">: The ‘wide approach’ (which he summarised at [13]-[18]) adopted by </w:t>
      </w:r>
      <w:r w:rsidRPr="004458C6">
        <w:rPr>
          <w:rFonts w:ascii="Arial" w:hAnsi="Arial" w:cs="Arial"/>
          <w:color w:val="000000"/>
          <w:sz w:val="20"/>
        </w:rPr>
        <w:t xml:space="preserve">Gleeson CJ, Callinan </w:t>
      </w:r>
      <w:r>
        <w:rPr>
          <w:rFonts w:ascii="Arial" w:hAnsi="Arial" w:cs="Arial"/>
          <w:color w:val="000000"/>
          <w:sz w:val="20"/>
        </w:rPr>
        <w:t>&amp;</w:t>
      </w:r>
      <w:r w:rsidRPr="004458C6">
        <w:rPr>
          <w:rFonts w:ascii="Arial" w:hAnsi="Arial" w:cs="Arial"/>
          <w:color w:val="000000"/>
          <w:sz w:val="20"/>
        </w:rPr>
        <w:t xml:space="preserve"> Heydon JJ </w:t>
      </w:r>
      <w:r>
        <w:rPr>
          <w:rFonts w:ascii="Arial" w:hAnsi="Arial" w:cs="Arial"/>
          <w:color w:val="000000"/>
          <w:sz w:val="20"/>
        </w:rPr>
        <w:t xml:space="preserve">and McHugh J in </w:t>
      </w:r>
      <w:r w:rsidRPr="00F51496">
        <w:rPr>
          <w:rFonts w:ascii="Arial" w:hAnsi="Arial" w:cs="Arial"/>
          <w:i/>
          <w:color w:val="000000"/>
          <w:sz w:val="20"/>
        </w:rPr>
        <w:t xml:space="preserve">Coleman v Power </w:t>
      </w:r>
      <w:r w:rsidRPr="00F51496">
        <w:rPr>
          <w:rFonts w:ascii="Arial" w:hAnsi="Arial" w:cs="Arial"/>
          <w:color w:val="000000"/>
          <w:sz w:val="20"/>
        </w:rPr>
        <w:t>(2004) 220 CLR 1</w:t>
      </w:r>
      <w:r>
        <w:rPr>
          <w:rFonts w:ascii="Arial" w:hAnsi="Arial" w:cs="Arial"/>
          <w:color w:val="000000"/>
          <w:sz w:val="20"/>
        </w:rPr>
        <w:t xml:space="preserve"> </w:t>
      </w:r>
      <w:r w:rsidR="00124985">
        <w:rPr>
          <w:rFonts w:ascii="Arial" w:hAnsi="Arial" w:cs="Arial"/>
          <w:color w:val="000000"/>
          <w:sz w:val="20"/>
        </w:rPr>
        <w:t xml:space="preserve">was preferable to the ‘narrow approach’ adopted by </w:t>
      </w:r>
      <w:r w:rsidR="00124985" w:rsidRPr="00124985">
        <w:rPr>
          <w:rFonts w:ascii="Arial" w:hAnsi="Arial" w:cs="Arial"/>
          <w:color w:val="000000"/>
          <w:sz w:val="20"/>
        </w:rPr>
        <w:t xml:space="preserve">Gummow </w:t>
      </w:r>
      <w:r w:rsidR="00124985">
        <w:rPr>
          <w:rFonts w:ascii="Arial" w:hAnsi="Arial" w:cs="Arial"/>
          <w:color w:val="000000"/>
          <w:sz w:val="20"/>
        </w:rPr>
        <w:t>&amp;</w:t>
      </w:r>
      <w:r w:rsidR="00124985" w:rsidRPr="00124985">
        <w:rPr>
          <w:rFonts w:ascii="Arial" w:hAnsi="Arial" w:cs="Arial"/>
          <w:color w:val="000000"/>
          <w:sz w:val="20"/>
        </w:rPr>
        <w:t xml:space="preserve"> Hayne JJ and Kirby J.</w:t>
      </w:r>
    </w:p>
    <w:p w14:paraId="72594609" w14:textId="696CEC78" w:rsidR="00124985" w:rsidRDefault="00124985" w:rsidP="00591749">
      <w:pPr>
        <w:numPr>
          <w:ilvl w:val="0"/>
          <w:numId w:val="14"/>
        </w:numPr>
        <w:spacing w:before="60"/>
        <w:ind w:left="357" w:hanging="357"/>
        <w:jc w:val="both"/>
        <w:rPr>
          <w:rFonts w:ascii="Arial" w:hAnsi="Arial" w:cs="Arial"/>
          <w:color w:val="000000"/>
          <w:sz w:val="20"/>
        </w:rPr>
      </w:pPr>
      <w:r>
        <w:rPr>
          <w:rFonts w:ascii="Arial" w:hAnsi="Arial" w:cs="Arial"/>
          <w:color w:val="000000"/>
          <w:sz w:val="20"/>
        </w:rPr>
        <w:t xml:space="preserve">At [36]-[46]: He was bound by the decision of Harper J in </w:t>
      </w:r>
      <w:r w:rsidRPr="00124985">
        <w:rPr>
          <w:rFonts w:ascii="Arial" w:hAnsi="Arial" w:cs="Arial"/>
          <w:i/>
          <w:iCs/>
          <w:color w:val="000000"/>
          <w:sz w:val="20"/>
        </w:rPr>
        <w:t>Ferguson v Walkley</w:t>
      </w:r>
      <w:r w:rsidRPr="00124985">
        <w:rPr>
          <w:rFonts w:ascii="Arial" w:hAnsi="Arial" w:cs="Arial"/>
          <w:color w:val="000000"/>
          <w:sz w:val="20"/>
        </w:rPr>
        <w:t xml:space="preserve"> </w:t>
      </w:r>
      <w:r>
        <w:rPr>
          <w:rFonts w:ascii="Arial" w:hAnsi="Arial" w:cs="Arial"/>
          <w:color w:val="000000"/>
          <w:sz w:val="20"/>
        </w:rPr>
        <w:t>(2008) 17 VR 647;</w:t>
      </w:r>
      <w:r w:rsidRPr="00124985">
        <w:rPr>
          <w:rFonts w:ascii="Arial" w:hAnsi="Arial" w:cs="Arial"/>
          <w:color w:val="000000"/>
          <w:sz w:val="20"/>
        </w:rPr>
        <w:t xml:space="preserve"> [2008] VSC 7</w:t>
      </w:r>
      <w:r>
        <w:rPr>
          <w:rFonts w:ascii="Arial" w:hAnsi="Arial" w:cs="Arial"/>
          <w:color w:val="000000"/>
          <w:sz w:val="20"/>
        </w:rPr>
        <w:t xml:space="preserve"> which cannot be distinguished.</w:t>
      </w:r>
    </w:p>
    <w:p w14:paraId="0C312ADC" w14:textId="33E7FC4D" w:rsidR="002B7C9F" w:rsidRDefault="00124985" w:rsidP="00591749">
      <w:pPr>
        <w:numPr>
          <w:ilvl w:val="0"/>
          <w:numId w:val="14"/>
        </w:numPr>
        <w:spacing w:before="60"/>
        <w:ind w:left="357" w:hanging="357"/>
        <w:jc w:val="both"/>
        <w:rPr>
          <w:rFonts w:ascii="Arial" w:hAnsi="Arial" w:cs="Arial"/>
          <w:color w:val="000000"/>
          <w:sz w:val="20"/>
        </w:rPr>
      </w:pPr>
      <w:r>
        <w:rPr>
          <w:rFonts w:ascii="Arial" w:hAnsi="Arial" w:cs="Arial"/>
          <w:color w:val="000000"/>
          <w:sz w:val="20"/>
        </w:rPr>
        <w:t>At [47]-[54]: T</w:t>
      </w:r>
      <w:r w:rsidRPr="00124985">
        <w:rPr>
          <w:rFonts w:ascii="Arial" w:hAnsi="Arial" w:cs="Arial"/>
          <w:color w:val="000000"/>
          <w:sz w:val="20"/>
        </w:rPr>
        <w:t>he decision of</w:t>
      </w:r>
      <w:r>
        <w:rPr>
          <w:rFonts w:ascii="Arial" w:hAnsi="Arial" w:cs="Arial"/>
          <w:color w:val="000000"/>
          <w:sz w:val="20"/>
        </w:rPr>
        <w:t xml:space="preserve"> Richards J in</w:t>
      </w:r>
      <w:r w:rsidRPr="00124985">
        <w:rPr>
          <w:rFonts w:ascii="Arial" w:hAnsi="Arial" w:cs="Arial"/>
          <w:color w:val="000000"/>
          <w:sz w:val="20"/>
        </w:rPr>
        <w:t xml:space="preserve"> </w:t>
      </w:r>
      <w:r w:rsidRPr="00124985">
        <w:rPr>
          <w:rFonts w:ascii="Arial" w:hAnsi="Arial" w:cs="Arial"/>
          <w:i/>
          <w:iCs/>
          <w:color w:val="000000"/>
          <w:sz w:val="20"/>
        </w:rPr>
        <w:t>Department of Justice and Regulation v Bhatia</w:t>
      </w:r>
      <w:r w:rsidRPr="00124985">
        <w:rPr>
          <w:rFonts w:ascii="Arial" w:hAnsi="Arial" w:cs="Arial"/>
          <w:color w:val="000000"/>
          <w:sz w:val="20"/>
        </w:rPr>
        <w:t xml:space="preserve"> [2018] VSC 500</w:t>
      </w:r>
      <w:r>
        <w:rPr>
          <w:rFonts w:ascii="Arial" w:hAnsi="Arial" w:cs="Arial"/>
          <w:color w:val="000000"/>
          <w:sz w:val="20"/>
        </w:rPr>
        <w:t xml:space="preserve"> </w:t>
      </w:r>
      <w:r w:rsidR="0036534D">
        <w:rPr>
          <w:rFonts w:ascii="Arial" w:hAnsi="Arial" w:cs="Arial"/>
          <w:color w:val="000000"/>
          <w:sz w:val="20"/>
        </w:rPr>
        <w:t xml:space="preserve">– namely </w:t>
      </w:r>
      <w:r>
        <w:rPr>
          <w:rFonts w:ascii="Arial" w:hAnsi="Arial" w:cs="Arial"/>
          <w:color w:val="000000"/>
          <w:sz w:val="20"/>
        </w:rPr>
        <w:t xml:space="preserve">that an offence under s.17(1)(d) of the </w:t>
      </w:r>
      <w:r w:rsidRPr="00124985">
        <w:rPr>
          <w:rFonts w:ascii="Arial" w:hAnsi="Arial" w:cs="Arial"/>
          <w:i/>
          <w:iCs/>
          <w:color w:val="000000"/>
          <w:sz w:val="20"/>
        </w:rPr>
        <w:t>Summary Offences Act 1966</w:t>
      </w:r>
      <w:r>
        <w:rPr>
          <w:rFonts w:ascii="Arial" w:hAnsi="Arial" w:cs="Arial"/>
          <w:color w:val="000000"/>
          <w:sz w:val="20"/>
        </w:rPr>
        <w:t xml:space="preserve"> does not require </w:t>
      </w:r>
      <w:r w:rsidRPr="00124985">
        <w:rPr>
          <w:rFonts w:ascii="Arial" w:hAnsi="Arial" w:cs="Arial"/>
          <w:i/>
          <w:iCs/>
          <w:color w:val="000000"/>
          <w:sz w:val="20"/>
        </w:rPr>
        <w:t>mens rea</w:t>
      </w:r>
      <w:r>
        <w:rPr>
          <w:rFonts w:ascii="Arial" w:hAnsi="Arial" w:cs="Arial"/>
          <w:color w:val="000000"/>
          <w:sz w:val="20"/>
        </w:rPr>
        <w:t xml:space="preserve"> </w:t>
      </w:r>
      <w:r w:rsidR="0036534D">
        <w:rPr>
          <w:rFonts w:ascii="Arial" w:hAnsi="Arial" w:cs="Arial"/>
          <w:color w:val="000000"/>
          <w:sz w:val="20"/>
        </w:rPr>
        <w:t xml:space="preserve">– </w:t>
      </w:r>
      <w:r w:rsidRPr="00124985">
        <w:rPr>
          <w:rFonts w:ascii="Arial" w:hAnsi="Arial" w:cs="Arial"/>
          <w:color w:val="000000"/>
          <w:sz w:val="20"/>
        </w:rPr>
        <w:t xml:space="preserve">does not constitute binding authority that s 17(1)(c) </w:t>
      </w:r>
      <w:r w:rsidRPr="00124985">
        <w:rPr>
          <w:rFonts w:ascii="Arial" w:hAnsi="Arial" w:cs="Arial"/>
          <w:i/>
          <w:iCs/>
          <w:color w:val="000000"/>
          <w:sz w:val="20"/>
        </w:rPr>
        <w:t>Summary Offences Act</w:t>
      </w:r>
      <w:r w:rsidRPr="00124985">
        <w:rPr>
          <w:rFonts w:ascii="Arial" w:hAnsi="Arial" w:cs="Arial"/>
          <w:color w:val="000000"/>
          <w:sz w:val="20"/>
        </w:rPr>
        <w:t xml:space="preserve"> is a strict liability offence</w:t>
      </w:r>
      <w:r w:rsidR="002B7C9F">
        <w:rPr>
          <w:rFonts w:ascii="Arial" w:hAnsi="Arial" w:cs="Arial"/>
          <w:color w:val="000000"/>
          <w:sz w:val="20"/>
        </w:rPr>
        <w:t>.</w:t>
      </w:r>
    </w:p>
    <w:p w14:paraId="4F1770D4" w14:textId="60FBE224" w:rsidR="00124985" w:rsidRDefault="002B7C9F" w:rsidP="00591749">
      <w:pPr>
        <w:numPr>
          <w:ilvl w:val="0"/>
          <w:numId w:val="14"/>
        </w:numPr>
        <w:spacing w:before="60"/>
        <w:ind w:left="357" w:hanging="357"/>
        <w:jc w:val="both"/>
        <w:rPr>
          <w:rFonts w:ascii="Arial" w:hAnsi="Arial" w:cs="Arial"/>
          <w:color w:val="000000"/>
          <w:sz w:val="20"/>
        </w:rPr>
      </w:pPr>
      <w:r>
        <w:rPr>
          <w:rFonts w:ascii="Arial" w:hAnsi="Arial" w:cs="Arial"/>
          <w:color w:val="000000"/>
          <w:sz w:val="20"/>
        </w:rPr>
        <w:t xml:space="preserve">At [55]-[67]: </w:t>
      </w:r>
      <w:r w:rsidRPr="002B7C9F">
        <w:rPr>
          <w:rFonts w:ascii="Arial" w:hAnsi="Arial" w:cs="Arial"/>
          <w:i/>
          <w:iCs/>
          <w:color w:val="000000"/>
          <w:sz w:val="20"/>
        </w:rPr>
        <w:t>Mens rea</w:t>
      </w:r>
      <w:r>
        <w:rPr>
          <w:rFonts w:ascii="Arial" w:hAnsi="Arial" w:cs="Arial"/>
          <w:color w:val="000000"/>
          <w:sz w:val="20"/>
        </w:rPr>
        <w:t xml:space="preserve"> is an ingredient of the offence under s.17(1)(c) and</w:t>
      </w:r>
      <w:r w:rsidRPr="002B7C9F">
        <w:rPr>
          <w:rFonts w:ascii="Arial" w:hAnsi="Arial" w:cs="Arial"/>
          <w:color w:val="000000"/>
          <w:sz w:val="20"/>
        </w:rPr>
        <w:t xml:space="preserve"> the prosecution must prove beyond reasonable doubt a general intent to use the words uttered as “insulting words”</w:t>
      </w:r>
      <w:r>
        <w:rPr>
          <w:rFonts w:ascii="Arial" w:hAnsi="Arial" w:cs="Arial"/>
          <w:color w:val="000000"/>
          <w:sz w:val="20"/>
        </w:rPr>
        <w:t>.</w:t>
      </w:r>
    </w:p>
    <w:p w14:paraId="51C9D908" w14:textId="56F50FA8" w:rsidR="0036534D" w:rsidRDefault="002B7C9F" w:rsidP="00591749">
      <w:pPr>
        <w:numPr>
          <w:ilvl w:val="0"/>
          <w:numId w:val="14"/>
        </w:numPr>
        <w:tabs>
          <w:tab w:val="clear" w:pos="357"/>
          <w:tab w:val="left" w:pos="363"/>
        </w:tabs>
        <w:spacing w:before="60"/>
        <w:ind w:left="357" w:hanging="357"/>
        <w:jc w:val="both"/>
        <w:rPr>
          <w:rFonts w:ascii="Arial" w:hAnsi="Arial" w:cs="Arial"/>
          <w:color w:val="000000"/>
          <w:sz w:val="20"/>
        </w:rPr>
      </w:pPr>
      <w:r w:rsidRPr="00354C84">
        <w:rPr>
          <w:rFonts w:ascii="Arial" w:hAnsi="Arial" w:cs="Arial"/>
          <w:color w:val="000000"/>
          <w:sz w:val="20"/>
        </w:rPr>
        <w:t>At [68]-[</w:t>
      </w:r>
      <w:r w:rsidR="0036534D">
        <w:rPr>
          <w:rFonts w:ascii="Arial" w:hAnsi="Arial" w:cs="Arial"/>
          <w:color w:val="000000"/>
          <w:sz w:val="20"/>
        </w:rPr>
        <w:t>90</w:t>
      </w:r>
      <w:r w:rsidRPr="00354C84">
        <w:rPr>
          <w:rFonts w:ascii="Arial" w:hAnsi="Arial" w:cs="Arial"/>
          <w:color w:val="000000"/>
          <w:sz w:val="20"/>
        </w:rPr>
        <w:t xml:space="preserve">]: </w:t>
      </w:r>
      <w:r w:rsidR="0036534D">
        <w:rPr>
          <w:rFonts w:ascii="Arial" w:hAnsi="Arial" w:cs="Arial"/>
          <w:color w:val="000000"/>
          <w:sz w:val="20"/>
        </w:rPr>
        <w:t xml:space="preserve">On the issues of the </w:t>
      </w:r>
      <w:r w:rsidR="0036534D" w:rsidRPr="0036534D">
        <w:rPr>
          <w:rFonts w:ascii="Arial" w:hAnsi="Arial" w:cs="Arial"/>
          <w:i/>
          <w:iCs/>
          <w:color w:val="000000"/>
          <w:sz w:val="20"/>
        </w:rPr>
        <w:t>Charter of Human Rights and Responsibilities Act 2006</w:t>
      </w:r>
      <w:r w:rsidR="0036534D" w:rsidRPr="0036534D">
        <w:rPr>
          <w:rFonts w:ascii="Arial" w:hAnsi="Arial" w:cs="Arial"/>
          <w:color w:val="000000"/>
          <w:sz w:val="20"/>
        </w:rPr>
        <w:t xml:space="preserve"> and the Implied Freedom of Political Communication</w:t>
      </w:r>
      <w:r w:rsidR="00B9162E">
        <w:rPr>
          <w:rFonts w:ascii="Arial" w:hAnsi="Arial" w:cs="Arial"/>
          <w:color w:val="000000"/>
          <w:sz w:val="20"/>
        </w:rPr>
        <w:t xml:space="preserve"> M H Thomas M held:</w:t>
      </w:r>
    </w:p>
    <w:p w14:paraId="348D3FAB" w14:textId="77777777" w:rsidR="0036534D" w:rsidRDefault="0036534D" w:rsidP="0036534D">
      <w:pPr>
        <w:spacing w:before="60"/>
        <w:ind w:left="720" w:right="357"/>
        <w:jc w:val="both"/>
        <w:rPr>
          <w:rFonts w:ascii="Arial" w:hAnsi="Arial" w:cs="Arial"/>
          <w:color w:val="000000"/>
          <w:sz w:val="20"/>
        </w:rPr>
      </w:pPr>
      <w:r>
        <w:rPr>
          <w:rFonts w:ascii="Arial" w:hAnsi="Arial" w:cs="Arial"/>
          <w:color w:val="000000"/>
          <w:sz w:val="20"/>
        </w:rPr>
        <w:t>At [68]: “</w:t>
      </w:r>
      <w:r w:rsidR="002B7C9F" w:rsidRPr="00354C84">
        <w:rPr>
          <w:rFonts w:ascii="Arial" w:hAnsi="Arial" w:cs="Arial"/>
          <w:color w:val="000000"/>
          <w:sz w:val="20"/>
        </w:rPr>
        <w:t xml:space="preserve">Following the reasoning of Harper J in </w:t>
      </w:r>
      <w:r w:rsidR="002B7C9F" w:rsidRPr="00354C84">
        <w:rPr>
          <w:rFonts w:ascii="Arial" w:hAnsi="Arial" w:cs="Arial"/>
          <w:i/>
          <w:iCs/>
          <w:color w:val="000000"/>
          <w:sz w:val="20"/>
        </w:rPr>
        <w:t>Ferguson v Wakeley</w:t>
      </w:r>
      <w:r w:rsidR="002B7C9F" w:rsidRPr="00354C84">
        <w:rPr>
          <w:rFonts w:ascii="Arial" w:hAnsi="Arial" w:cs="Arial"/>
          <w:color w:val="000000"/>
          <w:sz w:val="20"/>
        </w:rPr>
        <w:t xml:space="preserve"> and the decision of Gleeson CJ in </w:t>
      </w:r>
      <w:r w:rsidR="002B7C9F" w:rsidRPr="00354C84">
        <w:rPr>
          <w:rFonts w:ascii="Arial" w:hAnsi="Arial" w:cs="Arial"/>
          <w:i/>
          <w:iCs/>
          <w:color w:val="000000"/>
          <w:sz w:val="20"/>
        </w:rPr>
        <w:t>Coleman v Power</w:t>
      </w:r>
      <w:r w:rsidR="002B7C9F" w:rsidRPr="00354C84">
        <w:rPr>
          <w:rFonts w:ascii="Arial" w:hAnsi="Arial" w:cs="Arial"/>
          <w:color w:val="000000"/>
          <w:sz w:val="20"/>
        </w:rPr>
        <w:t>, it is clear that in determination of the test of whether any words uttered constitute insulting words it is relevant to take into account whether the words uttered are done so in the course of a public statement of opinion on political and governmental issues. Further, the requirement that the prosecution must prove a general intent that the words uttered are insulting words means that the provision does not capture words uttered without at least the speaker having averted to the nature of the words as being insulting words in the context in which they are used.</w:t>
      </w:r>
      <w:r>
        <w:rPr>
          <w:rFonts w:ascii="Arial" w:hAnsi="Arial" w:cs="Arial"/>
          <w:color w:val="000000"/>
          <w:sz w:val="20"/>
        </w:rPr>
        <w:t>”</w:t>
      </w:r>
    </w:p>
    <w:p w14:paraId="24C39D40" w14:textId="6F2361F6" w:rsidR="0036534D" w:rsidRDefault="0036534D" w:rsidP="0036534D">
      <w:pPr>
        <w:spacing w:before="60"/>
        <w:ind w:left="720" w:right="357"/>
        <w:jc w:val="both"/>
        <w:rPr>
          <w:rFonts w:ascii="Arial" w:hAnsi="Arial" w:cs="Arial"/>
          <w:color w:val="000000"/>
          <w:sz w:val="20"/>
        </w:rPr>
      </w:pPr>
      <w:r>
        <w:rPr>
          <w:rFonts w:ascii="Arial" w:hAnsi="Arial" w:cs="Arial"/>
          <w:color w:val="000000"/>
          <w:sz w:val="20"/>
        </w:rPr>
        <w:t xml:space="preserve">At [78]: “Section </w:t>
      </w:r>
      <w:r w:rsidRPr="0036534D">
        <w:rPr>
          <w:rFonts w:ascii="Arial" w:hAnsi="Arial" w:cs="Arial"/>
          <w:color w:val="000000"/>
          <w:sz w:val="20"/>
        </w:rPr>
        <w:t xml:space="preserve">17(1)(c) </w:t>
      </w:r>
      <w:r w:rsidRPr="0036534D">
        <w:rPr>
          <w:rFonts w:ascii="Arial" w:hAnsi="Arial" w:cs="Arial"/>
          <w:i/>
          <w:iCs/>
          <w:color w:val="000000"/>
          <w:sz w:val="20"/>
        </w:rPr>
        <w:t>Summary Offences Act</w:t>
      </w:r>
      <w:r w:rsidRPr="0036534D">
        <w:rPr>
          <w:rFonts w:ascii="Arial" w:hAnsi="Arial" w:cs="Arial"/>
          <w:color w:val="000000"/>
          <w:sz w:val="20"/>
        </w:rPr>
        <w:t xml:space="preserve"> as construed in the decision of </w:t>
      </w:r>
      <w:r w:rsidRPr="00B9162E">
        <w:rPr>
          <w:rFonts w:ascii="Arial" w:hAnsi="Arial" w:cs="Arial"/>
          <w:i/>
          <w:iCs/>
          <w:color w:val="000000"/>
          <w:sz w:val="20"/>
        </w:rPr>
        <w:t>Ferguson</w:t>
      </w:r>
      <w:r w:rsidR="00B9162E">
        <w:rPr>
          <w:rFonts w:ascii="Arial" w:hAnsi="Arial" w:cs="Arial"/>
          <w:i/>
          <w:iCs/>
          <w:color w:val="000000"/>
          <w:sz w:val="20"/>
        </w:rPr>
        <w:t xml:space="preserve"> </w:t>
      </w:r>
      <w:r w:rsidR="00B9162E" w:rsidRPr="00B9162E">
        <w:rPr>
          <w:rFonts w:ascii="Arial" w:hAnsi="Arial" w:cs="Arial"/>
          <w:i/>
          <w:iCs/>
          <w:color w:val="000000"/>
          <w:sz w:val="20"/>
        </w:rPr>
        <w:t>v Wakeley</w:t>
      </w:r>
      <w:r w:rsidR="00B9162E">
        <w:rPr>
          <w:rFonts w:ascii="Arial" w:hAnsi="Arial" w:cs="Arial"/>
          <w:color w:val="000000"/>
          <w:sz w:val="20"/>
        </w:rPr>
        <w:t xml:space="preserve"> </w:t>
      </w:r>
      <w:r w:rsidRPr="0036534D">
        <w:rPr>
          <w:rFonts w:ascii="Arial" w:hAnsi="Arial" w:cs="Arial"/>
          <w:color w:val="000000"/>
          <w:sz w:val="20"/>
        </w:rPr>
        <w:t xml:space="preserve">constitutes a lawful restriction on the freedom of expression both: (a) arising from the public policy limitations inherent within s 15(2) </w:t>
      </w:r>
      <w:r w:rsidRPr="00B9162E">
        <w:rPr>
          <w:rFonts w:ascii="Arial" w:hAnsi="Arial" w:cs="Arial"/>
          <w:i/>
          <w:iCs/>
          <w:color w:val="000000"/>
          <w:sz w:val="20"/>
        </w:rPr>
        <w:t>Charter</w:t>
      </w:r>
      <w:r w:rsidRPr="0036534D">
        <w:rPr>
          <w:rFonts w:ascii="Arial" w:hAnsi="Arial" w:cs="Arial"/>
          <w:color w:val="000000"/>
          <w:sz w:val="20"/>
        </w:rPr>
        <w:t xml:space="preserve">; and/or (b) to respect the rights and reputations of other persons under s 15(3)(a) </w:t>
      </w:r>
      <w:r w:rsidRPr="00B9162E">
        <w:rPr>
          <w:rFonts w:ascii="Arial" w:hAnsi="Arial" w:cs="Arial"/>
          <w:i/>
          <w:iCs/>
          <w:color w:val="000000"/>
          <w:sz w:val="20"/>
        </w:rPr>
        <w:t>Charter</w:t>
      </w:r>
      <w:r w:rsidRPr="0036534D">
        <w:rPr>
          <w:rFonts w:ascii="Arial" w:hAnsi="Arial" w:cs="Arial"/>
          <w:color w:val="000000"/>
          <w:sz w:val="20"/>
        </w:rPr>
        <w:t xml:space="preserve">; and/or (c) for the protection of public order under s 15(3)(b) </w:t>
      </w:r>
      <w:r w:rsidRPr="00B9162E">
        <w:rPr>
          <w:rFonts w:ascii="Arial" w:hAnsi="Arial" w:cs="Arial"/>
          <w:i/>
          <w:iCs/>
          <w:color w:val="000000"/>
          <w:sz w:val="20"/>
        </w:rPr>
        <w:t>Charter</w:t>
      </w:r>
      <w:r w:rsidRPr="0036534D">
        <w:rPr>
          <w:rFonts w:ascii="Arial" w:hAnsi="Arial" w:cs="Arial"/>
          <w:color w:val="000000"/>
          <w:sz w:val="20"/>
        </w:rPr>
        <w:t>.</w:t>
      </w:r>
    </w:p>
    <w:p w14:paraId="66CA1B98" w14:textId="555AB830" w:rsidR="00354C84" w:rsidRDefault="00B9162E" w:rsidP="00B9162E">
      <w:pPr>
        <w:spacing w:before="60"/>
        <w:ind w:left="720" w:right="357"/>
        <w:jc w:val="both"/>
        <w:rPr>
          <w:rFonts w:ascii="Arial" w:hAnsi="Arial" w:cs="Arial"/>
          <w:color w:val="000000"/>
          <w:sz w:val="20"/>
        </w:rPr>
      </w:pPr>
      <w:r>
        <w:rPr>
          <w:rFonts w:ascii="Arial" w:hAnsi="Arial" w:cs="Arial"/>
          <w:color w:val="000000"/>
          <w:sz w:val="20"/>
        </w:rPr>
        <w:t xml:space="preserve">At [88]: </w:t>
      </w:r>
      <w:r w:rsidR="00354C84" w:rsidRPr="00354C84">
        <w:rPr>
          <w:rFonts w:ascii="Arial" w:hAnsi="Arial" w:cs="Arial"/>
          <w:color w:val="000000"/>
          <w:sz w:val="20"/>
        </w:rPr>
        <w:t>“</w:t>
      </w:r>
      <w:r w:rsidR="002B7C9F" w:rsidRPr="00354C84">
        <w:rPr>
          <w:rFonts w:ascii="Arial" w:hAnsi="Arial" w:cs="Arial"/>
          <w:color w:val="000000"/>
          <w:sz w:val="20"/>
        </w:rPr>
        <w:t xml:space="preserve">The freedom of expression is a fundamental right in a democratic society but equally important are limitations on that freedom of speech to prevent victimisation of individuals or groups. This is as important </w:t>
      </w:r>
      <w:r w:rsidR="0036534D">
        <w:rPr>
          <w:rFonts w:ascii="Arial" w:hAnsi="Arial" w:cs="Arial"/>
          <w:color w:val="000000"/>
          <w:sz w:val="20"/>
        </w:rPr>
        <w:t xml:space="preserve">a </w:t>
      </w:r>
      <w:r w:rsidR="002B7C9F" w:rsidRPr="00354C84">
        <w:rPr>
          <w:rFonts w:ascii="Arial" w:hAnsi="Arial" w:cs="Arial"/>
          <w:color w:val="000000"/>
          <w:sz w:val="20"/>
        </w:rPr>
        <w:t xml:space="preserve">purpose of the rule of law in a democratic and </w:t>
      </w:r>
      <w:r w:rsidR="002B7C9F" w:rsidRPr="00354C84">
        <w:rPr>
          <w:rFonts w:ascii="Arial" w:hAnsi="Arial" w:cs="Arial"/>
          <w:color w:val="000000"/>
          <w:sz w:val="20"/>
        </w:rPr>
        <w:lastRenderedPageBreak/>
        <w:t>equal society as the promotion of public order, perhaps more so. Recognition of the importance of the context in which insults are made, and that insults made in the context of political communication are far less likely to be contrary to contemporary standards of good order in a democracy properly restricts the operation of the limitation’s impact on freedom of expression. A limitation to insults intended or reasonably likely to breach the peace fails to adequately protect the human dignity, equality and freedom of those unlikely to breach the peace in response, thus there is no less restrictive means reasonably available to achieve the purpose the limitation seeks to achieve. The implied freedom of political communication</w:t>
      </w:r>
      <w:r w:rsidR="00354C84">
        <w:rPr>
          <w:rFonts w:ascii="Arial" w:hAnsi="Arial" w:cs="Arial"/>
          <w:color w:val="000000"/>
          <w:sz w:val="20"/>
        </w:rPr>
        <w:t>.”</w:t>
      </w:r>
    </w:p>
    <w:p w14:paraId="6D36E942" w14:textId="432493B0" w:rsidR="002B7C9F" w:rsidRPr="00354C84" w:rsidRDefault="00B9162E" w:rsidP="00B9162E">
      <w:pPr>
        <w:spacing w:before="60"/>
        <w:ind w:left="720" w:right="357"/>
        <w:jc w:val="both"/>
        <w:rPr>
          <w:rFonts w:ascii="Arial" w:hAnsi="Arial" w:cs="Arial"/>
          <w:color w:val="000000"/>
          <w:sz w:val="20"/>
        </w:rPr>
      </w:pPr>
      <w:r>
        <w:rPr>
          <w:rFonts w:ascii="Arial" w:hAnsi="Arial" w:cs="Arial"/>
          <w:color w:val="000000"/>
          <w:sz w:val="20"/>
        </w:rPr>
        <w:t>At [90]: “</w:t>
      </w:r>
      <w:r w:rsidR="002B7C9F" w:rsidRPr="00354C84">
        <w:rPr>
          <w:rFonts w:ascii="Arial" w:hAnsi="Arial" w:cs="Arial"/>
          <w:color w:val="000000"/>
          <w:sz w:val="20"/>
        </w:rPr>
        <w:t xml:space="preserve">I respectfully adopt the reasoning of Gleeson CJ </w:t>
      </w:r>
      <w:r w:rsidR="00354C84">
        <w:rPr>
          <w:rFonts w:ascii="Arial" w:hAnsi="Arial" w:cs="Arial"/>
          <w:color w:val="000000"/>
          <w:sz w:val="20"/>
        </w:rPr>
        <w:t xml:space="preserve">[in </w:t>
      </w:r>
      <w:r w:rsidR="00354C84" w:rsidRPr="00354C84">
        <w:rPr>
          <w:rFonts w:ascii="Arial" w:hAnsi="Arial" w:cs="Arial"/>
          <w:i/>
          <w:iCs/>
          <w:color w:val="000000"/>
          <w:sz w:val="20"/>
        </w:rPr>
        <w:t>Coleman v Power</w:t>
      </w:r>
      <w:r w:rsidR="00354C84">
        <w:rPr>
          <w:rFonts w:ascii="Arial" w:hAnsi="Arial" w:cs="Arial"/>
          <w:color w:val="000000"/>
          <w:sz w:val="20"/>
        </w:rPr>
        <w:t xml:space="preserve">] </w:t>
      </w:r>
      <w:r w:rsidR="002B7C9F" w:rsidRPr="00354C84">
        <w:rPr>
          <w:rFonts w:ascii="Arial" w:hAnsi="Arial" w:cs="Arial"/>
          <w:color w:val="000000"/>
          <w:sz w:val="20"/>
        </w:rPr>
        <w:t xml:space="preserve">that an interpretation of the legislation in the manner set out in His Honour’s judgment (and subsequently adopted in </w:t>
      </w:r>
      <w:r w:rsidR="002B7C9F" w:rsidRPr="00354C84">
        <w:rPr>
          <w:rFonts w:ascii="Arial" w:hAnsi="Arial" w:cs="Arial"/>
          <w:i/>
          <w:iCs/>
          <w:color w:val="000000"/>
          <w:sz w:val="20"/>
        </w:rPr>
        <w:t>Ferguson</w:t>
      </w:r>
      <w:r w:rsidR="00354C84" w:rsidRPr="00354C84">
        <w:rPr>
          <w:rFonts w:ascii="Arial" w:hAnsi="Arial" w:cs="Arial"/>
          <w:i/>
          <w:iCs/>
          <w:color w:val="000000"/>
          <w:sz w:val="20"/>
        </w:rPr>
        <w:t xml:space="preserve"> v Wakeley</w:t>
      </w:r>
      <w:r w:rsidR="002B7C9F" w:rsidRPr="00354C84">
        <w:rPr>
          <w:rFonts w:ascii="Arial" w:hAnsi="Arial" w:cs="Arial"/>
          <w:color w:val="000000"/>
          <w:sz w:val="20"/>
        </w:rPr>
        <w:t>) that such legislation in its application to statements made about governmental or political matters is suitable to end of maintaining public order in a manner consistent with an appropriate balance of all the various rights, freedoms and interests, which require consideration. Accordingly, it is neither invalid nor required to be read down.</w:t>
      </w:r>
      <w:r w:rsidR="00354C84">
        <w:rPr>
          <w:rFonts w:ascii="Arial" w:hAnsi="Arial" w:cs="Arial"/>
          <w:color w:val="000000"/>
          <w:sz w:val="20"/>
        </w:rPr>
        <w:t>”</w:t>
      </w:r>
    </w:p>
    <w:p w14:paraId="66B83834" w14:textId="11B1686F" w:rsidR="009C607F" w:rsidRDefault="009C607F" w:rsidP="009C607F">
      <w:pPr>
        <w:tabs>
          <w:tab w:val="left" w:pos="363"/>
        </w:tabs>
        <w:spacing w:before="120"/>
        <w:jc w:val="both"/>
        <w:rPr>
          <w:rFonts w:ascii="Arial" w:hAnsi="Arial" w:cs="Arial"/>
          <w:color w:val="000000"/>
          <w:sz w:val="20"/>
        </w:rPr>
      </w:pPr>
      <w:r>
        <w:rPr>
          <w:rFonts w:ascii="Arial" w:hAnsi="Arial" w:cs="Arial"/>
          <w:color w:val="000000"/>
          <w:sz w:val="20"/>
        </w:rPr>
        <w:t xml:space="preserve">See also </w:t>
      </w:r>
      <w:r w:rsidRPr="009C607F">
        <w:rPr>
          <w:rFonts w:ascii="Arial" w:hAnsi="Arial" w:cs="Arial"/>
          <w:i/>
          <w:iCs/>
          <w:color w:val="000000"/>
          <w:sz w:val="20"/>
        </w:rPr>
        <w:t>Rabb &amp; Fiddes v Hasheam Tayeh (No 2)</w:t>
      </w:r>
      <w:r w:rsidRPr="009C607F">
        <w:rPr>
          <w:rFonts w:ascii="Arial" w:hAnsi="Arial" w:cs="Arial"/>
          <w:color w:val="000000"/>
          <w:sz w:val="20"/>
        </w:rPr>
        <w:t xml:space="preserve"> [2026] VMC 3</w:t>
      </w:r>
      <w:r w:rsidR="009E25FC">
        <w:rPr>
          <w:rFonts w:ascii="Arial" w:hAnsi="Arial" w:cs="Arial"/>
          <w:color w:val="000000"/>
          <w:sz w:val="20"/>
        </w:rPr>
        <w:t xml:space="preserve">; </w:t>
      </w:r>
      <w:r w:rsidR="009E25FC" w:rsidRPr="009E25FC">
        <w:rPr>
          <w:rFonts w:ascii="Arial" w:hAnsi="Arial" w:cs="Arial"/>
          <w:i/>
          <w:iCs/>
          <w:color w:val="000000"/>
          <w:sz w:val="20"/>
        </w:rPr>
        <w:t>Fiddes v Tayeh (No 3)</w:t>
      </w:r>
      <w:r w:rsidR="009E25FC" w:rsidRPr="009E25FC">
        <w:rPr>
          <w:rFonts w:ascii="Arial" w:hAnsi="Arial" w:cs="Arial"/>
          <w:color w:val="000000"/>
          <w:sz w:val="20"/>
        </w:rPr>
        <w:t xml:space="preserve"> [2026] VMC</w:t>
      </w:r>
      <w:r w:rsidR="009E25FC" w:rsidRPr="009E25FC">
        <w:rPr>
          <w:rFonts w:ascii="Arial" w:hAnsi="Arial" w:cs="Arial"/>
          <w:color w:val="FFFFFF" w:themeColor="background1"/>
          <w:sz w:val="20"/>
        </w:rPr>
        <w:t> </w:t>
      </w:r>
      <w:r w:rsidR="009E25FC" w:rsidRPr="009E25FC">
        <w:rPr>
          <w:rFonts w:ascii="Arial" w:hAnsi="Arial" w:cs="Arial"/>
          <w:color w:val="000000"/>
          <w:sz w:val="20"/>
        </w:rPr>
        <w:t>6.</w:t>
      </w:r>
    </w:p>
    <w:p w14:paraId="778863B7" w14:textId="77777777" w:rsidR="009C607F" w:rsidRDefault="009C607F" w:rsidP="00354C84">
      <w:pPr>
        <w:tabs>
          <w:tab w:val="left" w:pos="363"/>
        </w:tabs>
        <w:jc w:val="both"/>
        <w:rPr>
          <w:rFonts w:ascii="Arial" w:hAnsi="Arial" w:cs="Arial"/>
          <w:color w:val="000000"/>
          <w:sz w:val="20"/>
        </w:rPr>
      </w:pPr>
    </w:p>
    <w:p w14:paraId="1F4A9051" w14:textId="77777777" w:rsidR="005A4BF5" w:rsidRPr="00D81EFC" w:rsidRDefault="005A4BF5" w:rsidP="005A4BF5">
      <w:pPr>
        <w:pStyle w:val="Heading3"/>
        <w:keepNext/>
        <w:spacing w:line="240" w:lineRule="auto"/>
        <w:rPr>
          <w:rFonts w:ascii="Arial" w:hAnsi="Arial" w:cs="Arial"/>
          <w:b/>
          <w:bCs/>
          <w:color w:val="000000"/>
          <w:sz w:val="20"/>
        </w:rPr>
      </w:pPr>
      <w:bookmarkStart w:id="505" w:name="_7.12.3_Arson"/>
      <w:bookmarkEnd w:id="505"/>
      <w:r w:rsidRPr="00D81EFC">
        <w:rPr>
          <w:rFonts w:ascii="Arial" w:hAnsi="Arial" w:cs="Arial"/>
          <w:b/>
          <w:bCs/>
          <w:color w:val="000000"/>
          <w:sz w:val="20"/>
        </w:rPr>
        <w:t>7.12.3</w:t>
      </w:r>
      <w:r w:rsidRPr="00D81EFC">
        <w:rPr>
          <w:rFonts w:ascii="Arial" w:hAnsi="Arial" w:cs="Arial"/>
          <w:b/>
          <w:bCs/>
          <w:color w:val="000000"/>
          <w:sz w:val="20"/>
        </w:rPr>
        <w:tab/>
        <w:t>Arson</w:t>
      </w:r>
    </w:p>
    <w:p w14:paraId="0A8F27CE" w14:textId="77777777" w:rsidR="00B87242" w:rsidRPr="00D81EFC" w:rsidRDefault="005A4BF5" w:rsidP="00AB6733">
      <w:pPr>
        <w:spacing w:before="120"/>
        <w:jc w:val="both"/>
        <w:rPr>
          <w:rFonts w:ascii="Arial" w:hAnsi="Arial" w:cs="Arial"/>
          <w:color w:val="000000"/>
          <w:sz w:val="20"/>
        </w:rPr>
      </w:pPr>
      <w:r w:rsidRPr="00D81EFC">
        <w:rPr>
          <w:rFonts w:ascii="Arial" w:hAnsi="Arial" w:cs="Arial"/>
          <w:color w:val="000000"/>
          <w:sz w:val="20"/>
        </w:rPr>
        <w:t xml:space="preserve">In </w:t>
      </w:r>
      <w:r w:rsidRPr="00D81EFC">
        <w:rPr>
          <w:rFonts w:ascii="Arial" w:hAnsi="Arial" w:cs="Arial"/>
          <w:i/>
          <w:color w:val="000000"/>
          <w:sz w:val="20"/>
        </w:rPr>
        <w:t>DPP v Eade</w:t>
      </w:r>
      <w:r w:rsidRPr="00D81EFC">
        <w:rPr>
          <w:rFonts w:ascii="Arial" w:hAnsi="Arial" w:cs="Arial"/>
          <w:color w:val="000000"/>
          <w:sz w:val="20"/>
        </w:rPr>
        <w:t xml:space="preserve"> [2012] VSCA 142 the a</w:t>
      </w:r>
      <w:r w:rsidR="00F0215B" w:rsidRPr="00D81EFC">
        <w:rPr>
          <w:rFonts w:ascii="Arial" w:hAnsi="Arial" w:cs="Arial"/>
          <w:color w:val="000000"/>
          <w:sz w:val="20"/>
        </w:rPr>
        <w:t>ppellants</w:t>
      </w:r>
      <w:r w:rsidRPr="00D81EFC">
        <w:rPr>
          <w:rFonts w:ascii="Arial" w:hAnsi="Arial" w:cs="Arial"/>
          <w:color w:val="000000"/>
          <w:sz w:val="20"/>
        </w:rPr>
        <w:t xml:space="preserve"> </w:t>
      </w:r>
      <w:r w:rsidR="00F0215B" w:rsidRPr="00D81EFC">
        <w:rPr>
          <w:rFonts w:ascii="Arial" w:hAnsi="Arial" w:cs="Arial"/>
          <w:color w:val="000000"/>
          <w:sz w:val="20"/>
        </w:rPr>
        <w:t xml:space="preserve">– who were young adults – had </w:t>
      </w:r>
      <w:r w:rsidRPr="00D81EFC">
        <w:rPr>
          <w:rFonts w:ascii="Arial" w:hAnsi="Arial" w:cs="Arial"/>
          <w:color w:val="000000"/>
          <w:sz w:val="20"/>
        </w:rPr>
        <w:t>pleaded</w:t>
      </w:r>
      <w:r w:rsidR="00F0215B" w:rsidRPr="00D81EFC">
        <w:rPr>
          <w:rFonts w:ascii="Arial" w:hAnsi="Arial" w:cs="Arial"/>
          <w:color w:val="000000"/>
          <w:sz w:val="20"/>
        </w:rPr>
        <w:t xml:space="preserve"> </w:t>
      </w:r>
      <w:r w:rsidRPr="00D81EFC">
        <w:rPr>
          <w:rFonts w:ascii="Arial" w:hAnsi="Arial" w:cs="Arial"/>
          <w:color w:val="000000"/>
          <w:sz w:val="20"/>
        </w:rPr>
        <w:t xml:space="preserve">guilty to having intentionally destroyed </w:t>
      </w:r>
      <w:r w:rsidR="00F0215B" w:rsidRPr="00D81EFC">
        <w:rPr>
          <w:rFonts w:ascii="Arial" w:hAnsi="Arial" w:cs="Arial"/>
          <w:color w:val="000000"/>
          <w:sz w:val="20"/>
        </w:rPr>
        <w:t xml:space="preserve">the heritage-listed Camperdown Milk and Cheese Factory </w:t>
      </w:r>
      <w:r w:rsidR="00AB6733" w:rsidRPr="00D81EFC">
        <w:rPr>
          <w:rFonts w:ascii="Arial" w:hAnsi="Arial" w:cs="Arial"/>
          <w:color w:val="000000"/>
          <w:sz w:val="20"/>
        </w:rPr>
        <w:t xml:space="preserve">contrary to s.197(6) of the </w:t>
      </w:r>
      <w:r w:rsidR="00AB6733" w:rsidRPr="008102AC">
        <w:rPr>
          <w:rFonts w:ascii="Arial" w:hAnsi="Arial" w:cs="Arial"/>
          <w:i/>
          <w:iCs/>
          <w:color w:val="000000"/>
          <w:sz w:val="20"/>
        </w:rPr>
        <w:t>Crimes Act 1958</w:t>
      </w:r>
      <w:r w:rsidR="00AB6733" w:rsidRPr="00D81EFC">
        <w:rPr>
          <w:rFonts w:ascii="Arial" w:hAnsi="Arial" w:cs="Arial"/>
          <w:color w:val="000000"/>
          <w:sz w:val="20"/>
        </w:rPr>
        <w:t xml:space="preserve">.  Each </w:t>
      </w:r>
      <w:r w:rsidR="00F0215B" w:rsidRPr="00D81EFC">
        <w:rPr>
          <w:rFonts w:ascii="Arial" w:hAnsi="Arial" w:cs="Arial"/>
          <w:color w:val="000000"/>
          <w:sz w:val="20"/>
        </w:rPr>
        <w:t>had been</w:t>
      </w:r>
      <w:r w:rsidR="00AB6733" w:rsidRPr="00D81EFC">
        <w:rPr>
          <w:rFonts w:ascii="Arial" w:hAnsi="Arial" w:cs="Arial"/>
          <w:color w:val="000000"/>
          <w:sz w:val="20"/>
        </w:rPr>
        <w:t xml:space="preserve"> </w:t>
      </w:r>
      <w:r w:rsidRPr="00D81EFC">
        <w:rPr>
          <w:rFonts w:ascii="Arial" w:hAnsi="Arial" w:cs="Arial"/>
          <w:color w:val="000000"/>
          <w:sz w:val="20"/>
        </w:rPr>
        <w:t xml:space="preserve">sentenced to 2y4m youth detention </w:t>
      </w:r>
      <w:r w:rsidR="00AB6733" w:rsidRPr="00D81EFC">
        <w:rPr>
          <w:rFonts w:ascii="Arial" w:hAnsi="Arial" w:cs="Arial"/>
          <w:color w:val="000000"/>
          <w:sz w:val="20"/>
        </w:rPr>
        <w:t>notwithstanding that they had no intention</w:t>
      </w:r>
      <w:r w:rsidR="001B10F3" w:rsidRPr="00D81EFC">
        <w:rPr>
          <w:rFonts w:ascii="Arial" w:hAnsi="Arial" w:cs="Arial"/>
          <w:color w:val="000000"/>
          <w:sz w:val="20"/>
        </w:rPr>
        <w:t xml:space="preserve"> to destroy the building</w:t>
      </w:r>
      <w:r w:rsidR="00AB6733" w:rsidRPr="00D81EFC">
        <w:rPr>
          <w:rFonts w:ascii="Arial" w:hAnsi="Arial" w:cs="Arial"/>
          <w:color w:val="000000"/>
          <w:sz w:val="20"/>
        </w:rPr>
        <w:t xml:space="preserve">.  Their actual intention was the destruction of milk crates within the building.  </w:t>
      </w:r>
      <w:r w:rsidR="00F0215B" w:rsidRPr="00D81EFC">
        <w:rPr>
          <w:rFonts w:ascii="Arial" w:hAnsi="Arial" w:cs="Arial"/>
          <w:color w:val="000000"/>
          <w:sz w:val="20"/>
        </w:rPr>
        <w:t xml:space="preserve">The fire </w:t>
      </w:r>
      <w:r w:rsidR="001B10F3" w:rsidRPr="00D81EFC">
        <w:rPr>
          <w:rFonts w:ascii="Arial" w:hAnsi="Arial" w:cs="Arial"/>
          <w:color w:val="000000"/>
          <w:sz w:val="20"/>
        </w:rPr>
        <w:t xml:space="preserve">had </w:t>
      </w:r>
      <w:r w:rsidR="00F0215B" w:rsidRPr="00D81EFC">
        <w:rPr>
          <w:rFonts w:ascii="Arial" w:hAnsi="Arial" w:cs="Arial"/>
          <w:color w:val="000000"/>
          <w:sz w:val="20"/>
        </w:rPr>
        <w:t xml:space="preserve">started when the appellants </w:t>
      </w:r>
      <w:r w:rsidR="00B87242" w:rsidRPr="00D81EFC">
        <w:rPr>
          <w:rFonts w:ascii="Arial" w:hAnsi="Arial" w:cs="Arial"/>
          <w:color w:val="000000"/>
          <w:sz w:val="20"/>
        </w:rPr>
        <w:t>used cigarette lighters to set fire to</w:t>
      </w:r>
      <w:r w:rsidR="00F0215B" w:rsidRPr="00D81EFC">
        <w:rPr>
          <w:rFonts w:ascii="Arial" w:hAnsi="Arial" w:cs="Arial"/>
          <w:color w:val="000000"/>
          <w:sz w:val="20"/>
        </w:rPr>
        <w:t xml:space="preserve"> the plastic wrapping on some milk crates on the floor of the factory to which they had gained access by climbing over the surrounding barbed-wire fence.  They were both very drunk.  They had been drinking bourbon and coke all evening.</w:t>
      </w:r>
      <w:r w:rsidR="00B87242" w:rsidRPr="00D81EFC">
        <w:rPr>
          <w:rFonts w:ascii="Arial" w:hAnsi="Arial" w:cs="Arial"/>
          <w:color w:val="000000"/>
          <w:sz w:val="20"/>
        </w:rPr>
        <w:t xml:space="preserve">  The appellants were aware when they left the factory that the plastic was still burning.  However, it was conceded </w:t>
      </w:r>
      <w:r w:rsidR="001B10F3" w:rsidRPr="00D81EFC">
        <w:rPr>
          <w:rFonts w:ascii="Arial" w:hAnsi="Arial" w:cs="Arial"/>
          <w:color w:val="000000"/>
          <w:sz w:val="20"/>
        </w:rPr>
        <w:t>by the prosecution (</w:t>
      </w:r>
      <w:r w:rsidR="00B87242" w:rsidRPr="00D81EFC">
        <w:rPr>
          <w:rFonts w:ascii="Arial" w:hAnsi="Arial" w:cs="Arial"/>
          <w:color w:val="000000"/>
          <w:sz w:val="20"/>
        </w:rPr>
        <w:t>and accepted by the judge</w:t>
      </w:r>
      <w:r w:rsidR="001B10F3" w:rsidRPr="00D81EFC">
        <w:rPr>
          <w:rFonts w:ascii="Arial" w:hAnsi="Arial" w:cs="Arial"/>
          <w:color w:val="000000"/>
          <w:sz w:val="20"/>
        </w:rPr>
        <w:t>)</w:t>
      </w:r>
      <w:r w:rsidR="00B87242" w:rsidRPr="00D81EFC">
        <w:rPr>
          <w:rFonts w:ascii="Arial" w:hAnsi="Arial" w:cs="Arial"/>
          <w:color w:val="000000"/>
          <w:sz w:val="20"/>
        </w:rPr>
        <w:t xml:space="preserve"> that neither of them had at any stage intended to burn down the factory.  Nor, when they left, had they appreciated the risk of the fire spreading.</w:t>
      </w:r>
    </w:p>
    <w:p w14:paraId="30F6BC0A" w14:textId="77777777" w:rsidR="001B10F3" w:rsidRPr="00D81EFC" w:rsidRDefault="001B10F3" w:rsidP="00AB6733">
      <w:pPr>
        <w:spacing w:before="120"/>
        <w:jc w:val="both"/>
        <w:rPr>
          <w:rFonts w:ascii="Arial" w:hAnsi="Arial" w:cs="Arial"/>
          <w:color w:val="000000"/>
          <w:sz w:val="20"/>
        </w:rPr>
      </w:pPr>
      <w:r w:rsidRPr="00D81EFC">
        <w:rPr>
          <w:rFonts w:ascii="Arial" w:hAnsi="Arial" w:cs="Arial"/>
          <w:color w:val="000000"/>
          <w:sz w:val="20"/>
        </w:rPr>
        <w:t xml:space="preserve">The Court of Appeal allowed the appeal and </w:t>
      </w:r>
      <w:r w:rsidRPr="00D81EFC">
        <w:rPr>
          <w:rFonts w:ascii="Arial" w:hAnsi="Arial" w:cs="Arial"/>
          <w:color w:val="000000"/>
          <w:sz w:val="20"/>
          <w:szCs w:val="20"/>
        </w:rPr>
        <w:t xml:space="preserve">amended the presentments to intentional destruction of the milk crates by fire.  Holding that no further penalty was warranted over and above the 4m the appellants had already spent in detention, the appellants were convicted and discharged pursuant to s.73 of the </w:t>
      </w:r>
      <w:r w:rsidRPr="008102AC">
        <w:rPr>
          <w:rFonts w:ascii="Arial" w:hAnsi="Arial" w:cs="Arial"/>
          <w:i/>
          <w:iCs/>
          <w:color w:val="000000"/>
          <w:sz w:val="20"/>
          <w:szCs w:val="20"/>
        </w:rPr>
        <w:t>Sentencing Act 1991</w:t>
      </w:r>
      <w:r w:rsidRPr="00D81EFC">
        <w:rPr>
          <w:rFonts w:ascii="Arial" w:hAnsi="Arial" w:cs="Arial"/>
          <w:color w:val="000000"/>
          <w:sz w:val="20"/>
          <w:szCs w:val="20"/>
        </w:rPr>
        <w:t>.</w:t>
      </w:r>
      <w:r w:rsidRPr="00D81EFC">
        <w:rPr>
          <w:rFonts w:ascii="Arial" w:hAnsi="Arial" w:cs="Arial"/>
          <w:color w:val="000000"/>
          <w:sz w:val="20"/>
        </w:rPr>
        <w:t xml:space="preserve">  At [2] Maxwell P, Neave JA &amp; Lasry AJA said:</w:t>
      </w:r>
    </w:p>
    <w:p w14:paraId="049899F0" w14:textId="77777777" w:rsidR="00B87242" w:rsidRPr="00D81EFC" w:rsidRDefault="00B87242" w:rsidP="0029408E">
      <w:pPr>
        <w:tabs>
          <w:tab w:val="left" w:pos="363"/>
        </w:tabs>
        <w:spacing w:before="60"/>
        <w:ind w:left="567" w:right="567"/>
        <w:jc w:val="both"/>
        <w:rPr>
          <w:rFonts w:ascii="Arial" w:hAnsi="Arial" w:cs="Arial"/>
          <w:color w:val="000000"/>
          <w:sz w:val="20"/>
        </w:rPr>
      </w:pPr>
      <w:r w:rsidRPr="00D81EFC">
        <w:rPr>
          <w:rFonts w:ascii="Arial" w:hAnsi="Arial" w:cs="Arial"/>
          <w:color w:val="000000"/>
          <w:sz w:val="20"/>
        </w:rPr>
        <w:t>“The appellants were sentenced to a custodial term for an offence which they did not commit and which – on the agreed facts – they could not have committed.  Their actual offence was the intentional destruction of milk crates.  Though the unintended consequences of their conduct were very serious, the actual offence was one of very low culpability.  Particularly in view of their youth and personal circumstances, a custodial term could never have been warranted.”</w:t>
      </w:r>
    </w:p>
    <w:p w14:paraId="6D56388B" w14:textId="77777777" w:rsidR="00B87242" w:rsidRPr="00D81EFC" w:rsidRDefault="004A28BC" w:rsidP="004A28BC">
      <w:pPr>
        <w:spacing w:before="120"/>
        <w:jc w:val="both"/>
        <w:rPr>
          <w:rFonts w:ascii="Arial" w:hAnsi="Arial" w:cs="Arial"/>
          <w:color w:val="000000"/>
          <w:sz w:val="20"/>
        </w:rPr>
      </w:pPr>
      <w:r w:rsidRPr="00D81EFC">
        <w:rPr>
          <w:rFonts w:ascii="Arial" w:hAnsi="Arial" w:cs="Arial"/>
          <w:color w:val="000000"/>
          <w:sz w:val="20"/>
        </w:rPr>
        <w:t xml:space="preserve">At [16]-[22] the Court of Appeal </w:t>
      </w:r>
    </w:p>
    <w:p w14:paraId="1FC41AB8" w14:textId="77777777" w:rsidR="004A28BC" w:rsidRPr="00D81EFC" w:rsidRDefault="004A28BC" w:rsidP="0029408E">
      <w:pPr>
        <w:tabs>
          <w:tab w:val="left" w:pos="363"/>
        </w:tabs>
        <w:spacing w:before="60"/>
        <w:ind w:left="567" w:right="567"/>
        <w:jc w:val="both"/>
        <w:rPr>
          <w:rFonts w:ascii="Arial" w:hAnsi="Arial" w:cs="Arial"/>
          <w:color w:val="000000"/>
          <w:sz w:val="20"/>
          <w:szCs w:val="20"/>
        </w:rPr>
      </w:pPr>
      <w:r w:rsidRPr="00D81EFC">
        <w:rPr>
          <w:rFonts w:ascii="Arial" w:hAnsi="Arial" w:cs="Arial"/>
          <w:color w:val="000000"/>
          <w:sz w:val="20"/>
          <w:szCs w:val="20"/>
        </w:rPr>
        <w:t xml:space="preserve">[16] “Arson is a sub-category of the offence of intentionally destroying or damaging property, under s 197 of the </w:t>
      </w:r>
      <w:r w:rsidRPr="00D81EFC">
        <w:rPr>
          <w:rFonts w:ascii="Arial" w:hAnsi="Arial" w:cs="Arial"/>
          <w:i/>
          <w:color w:val="000000"/>
          <w:sz w:val="20"/>
          <w:szCs w:val="20"/>
        </w:rPr>
        <w:t>Crimes Act 1958</w:t>
      </w:r>
      <w:r w:rsidRPr="00D81EFC">
        <w:rPr>
          <w:rFonts w:ascii="Arial" w:hAnsi="Arial" w:cs="Arial"/>
          <w:color w:val="000000"/>
          <w:sz w:val="20"/>
          <w:szCs w:val="20"/>
        </w:rPr>
        <w:t>.  Section 197(1) provides:</w:t>
      </w:r>
    </w:p>
    <w:p w14:paraId="4141BFD0" w14:textId="77777777" w:rsidR="004A28BC" w:rsidRPr="00D81EFC" w:rsidRDefault="004A28BC" w:rsidP="004A28BC">
      <w:pPr>
        <w:tabs>
          <w:tab w:val="left" w:pos="363"/>
        </w:tabs>
        <w:ind w:left="1134" w:right="1134"/>
        <w:jc w:val="both"/>
        <w:rPr>
          <w:rFonts w:ascii="Arial" w:hAnsi="Arial" w:cs="Arial"/>
          <w:color w:val="000000"/>
          <w:sz w:val="20"/>
          <w:szCs w:val="20"/>
        </w:rPr>
      </w:pPr>
      <w:r w:rsidRPr="00D81EFC">
        <w:rPr>
          <w:rFonts w:ascii="Arial" w:hAnsi="Arial" w:cs="Arial"/>
          <w:color w:val="000000"/>
          <w:sz w:val="20"/>
          <w:szCs w:val="20"/>
        </w:rPr>
        <w:t>‘A person who intentionally and without lawful excuse destroys or damages any property belonging to another or to himself and another shall be guilty of an indictable offence and liable to level 5 imprisonment (10 years maximum).’</w:t>
      </w:r>
    </w:p>
    <w:p w14:paraId="12686688" w14:textId="77777777" w:rsidR="004A28BC" w:rsidRPr="00D81EFC" w:rsidRDefault="004A28BC" w:rsidP="004A28BC">
      <w:pPr>
        <w:tabs>
          <w:tab w:val="left" w:pos="363"/>
        </w:tabs>
        <w:ind w:left="567" w:right="567"/>
        <w:jc w:val="both"/>
        <w:rPr>
          <w:rFonts w:ascii="Arial" w:hAnsi="Arial" w:cs="Arial"/>
          <w:color w:val="000000"/>
          <w:sz w:val="20"/>
          <w:szCs w:val="20"/>
        </w:rPr>
      </w:pPr>
      <w:r w:rsidRPr="00D81EFC">
        <w:rPr>
          <w:rFonts w:ascii="Arial" w:hAnsi="Arial" w:cs="Arial"/>
          <w:color w:val="000000"/>
          <w:sz w:val="20"/>
          <w:szCs w:val="20"/>
        </w:rPr>
        <w:t>Section 197(6) provides:</w:t>
      </w:r>
    </w:p>
    <w:p w14:paraId="4A322C53" w14:textId="77777777" w:rsidR="004A28BC" w:rsidRPr="00D81EFC" w:rsidRDefault="004A28BC" w:rsidP="004A28BC">
      <w:pPr>
        <w:tabs>
          <w:tab w:val="left" w:pos="363"/>
        </w:tabs>
        <w:ind w:left="1134" w:right="1134"/>
        <w:jc w:val="both"/>
        <w:rPr>
          <w:rFonts w:ascii="Arial" w:hAnsi="Arial" w:cs="Arial"/>
          <w:color w:val="000000"/>
          <w:sz w:val="20"/>
          <w:szCs w:val="20"/>
        </w:rPr>
      </w:pPr>
      <w:r w:rsidRPr="00D81EFC">
        <w:rPr>
          <w:rFonts w:ascii="Arial" w:hAnsi="Arial" w:cs="Arial"/>
          <w:color w:val="000000"/>
          <w:sz w:val="20"/>
          <w:szCs w:val="20"/>
        </w:rPr>
        <w:t>‘An offence against this section committed by destroying or damaging property by fire shall be charged as arson.’</w:t>
      </w:r>
    </w:p>
    <w:p w14:paraId="01DB397C" w14:textId="77777777" w:rsidR="004A28BC" w:rsidRPr="00D81EFC" w:rsidRDefault="004A28BC" w:rsidP="0029408E">
      <w:pPr>
        <w:tabs>
          <w:tab w:val="left" w:pos="363"/>
        </w:tabs>
        <w:spacing w:before="60"/>
        <w:ind w:left="567" w:right="567"/>
        <w:jc w:val="both"/>
        <w:rPr>
          <w:rFonts w:ascii="Arial" w:hAnsi="Arial" w:cs="Arial"/>
          <w:color w:val="000000"/>
          <w:sz w:val="20"/>
          <w:szCs w:val="20"/>
        </w:rPr>
      </w:pPr>
      <w:r w:rsidRPr="00D81EFC">
        <w:rPr>
          <w:rFonts w:ascii="Arial" w:hAnsi="Arial" w:cs="Arial"/>
          <w:color w:val="000000"/>
          <w:sz w:val="20"/>
        </w:rPr>
        <w:t xml:space="preserve">[17] </w:t>
      </w:r>
      <w:r w:rsidRPr="00D81EFC">
        <w:rPr>
          <w:rFonts w:ascii="Arial" w:hAnsi="Arial" w:cs="Arial"/>
          <w:color w:val="000000"/>
          <w:sz w:val="20"/>
          <w:szCs w:val="20"/>
        </w:rPr>
        <w:t>The element of intention is dealt with exhaustively by s 197(4), which provides:</w:t>
      </w:r>
    </w:p>
    <w:p w14:paraId="5238E88B" w14:textId="77777777" w:rsidR="00CB5C2D" w:rsidRPr="00D81EFC" w:rsidRDefault="00CB5C2D" w:rsidP="00CB5C2D">
      <w:pPr>
        <w:tabs>
          <w:tab w:val="left" w:pos="363"/>
        </w:tabs>
        <w:ind w:left="1134" w:right="1134"/>
        <w:jc w:val="both"/>
        <w:rPr>
          <w:rFonts w:ascii="Arial" w:hAnsi="Arial" w:cs="Arial"/>
          <w:color w:val="000000"/>
          <w:sz w:val="20"/>
          <w:szCs w:val="20"/>
        </w:rPr>
      </w:pPr>
      <w:r w:rsidRPr="00D81EFC">
        <w:rPr>
          <w:rFonts w:ascii="Arial" w:hAnsi="Arial" w:cs="Arial"/>
          <w:color w:val="000000"/>
          <w:sz w:val="20"/>
          <w:szCs w:val="20"/>
        </w:rPr>
        <w:t>‘For the purposes of subsections (1) and (2) a person who destroys or damages property shall be taken as doing so intentionally if, but only if—</w:t>
      </w:r>
    </w:p>
    <w:p w14:paraId="6C3DF390" w14:textId="77777777" w:rsidR="004A28BC" w:rsidRPr="00D81EFC" w:rsidRDefault="004A28BC" w:rsidP="00CB5C2D">
      <w:pPr>
        <w:pStyle w:val="Quote1"/>
        <w:tabs>
          <w:tab w:val="left" w:pos="567"/>
        </w:tabs>
        <w:spacing w:after="0" w:line="240" w:lineRule="auto"/>
        <w:ind w:left="1701" w:right="1134" w:hanging="567"/>
        <w:rPr>
          <w:rFonts w:ascii="Arial" w:hAnsi="Arial" w:cs="Arial"/>
          <w:color w:val="000000"/>
          <w:sz w:val="20"/>
        </w:rPr>
      </w:pPr>
      <w:r w:rsidRPr="00D81EFC">
        <w:rPr>
          <w:rFonts w:ascii="Arial" w:hAnsi="Arial" w:cs="Arial"/>
          <w:color w:val="000000"/>
          <w:sz w:val="20"/>
        </w:rPr>
        <w:t>(a)</w:t>
      </w:r>
      <w:r w:rsidRPr="00D81EFC">
        <w:rPr>
          <w:rFonts w:ascii="Arial" w:hAnsi="Arial" w:cs="Arial"/>
          <w:color w:val="000000"/>
          <w:sz w:val="20"/>
        </w:rPr>
        <w:tab/>
        <w:t>his purpose or one of his purposes is to destroy or damage property; or</w:t>
      </w:r>
    </w:p>
    <w:p w14:paraId="1FB5CEB4" w14:textId="77777777" w:rsidR="00CB5C2D" w:rsidRPr="00D81EFC" w:rsidRDefault="00CB5C2D" w:rsidP="00CB5C2D">
      <w:pPr>
        <w:pStyle w:val="Quote1"/>
        <w:tabs>
          <w:tab w:val="left" w:pos="567"/>
        </w:tabs>
        <w:spacing w:after="0" w:line="240" w:lineRule="auto"/>
        <w:ind w:left="1701" w:right="1134" w:hanging="567"/>
        <w:rPr>
          <w:rFonts w:ascii="Arial" w:hAnsi="Arial" w:cs="Arial"/>
          <w:color w:val="000000"/>
          <w:sz w:val="20"/>
        </w:rPr>
      </w:pPr>
      <w:r w:rsidRPr="00D81EFC">
        <w:rPr>
          <w:rFonts w:ascii="Arial" w:hAnsi="Arial" w:cs="Arial"/>
          <w:color w:val="000000"/>
          <w:sz w:val="20"/>
        </w:rPr>
        <w:t>(b)</w:t>
      </w:r>
      <w:r w:rsidRPr="00D81EFC">
        <w:rPr>
          <w:rFonts w:ascii="Arial" w:hAnsi="Arial" w:cs="Arial"/>
          <w:color w:val="000000"/>
          <w:sz w:val="20"/>
        </w:rPr>
        <w:tab/>
        <w:t>he knows or believes that his conduct is more likely than not to result in destruction of or damage to property.’</w:t>
      </w:r>
    </w:p>
    <w:p w14:paraId="1CC79EBE" w14:textId="77777777" w:rsidR="00CB5C2D" w:rsidRPr="00D81EFC" w:rsidRDefault="00CB5C2D" w:rsidP="0029408E">
      <w:pPr>
        <w:tabs>
          <w:tab w:val="left" w:pos="363"/>
        </w:tabs>
        <w:spacing w:before="60"/>
        <w:ind w:left="567" w:right="567"/>
        <w:jc w:val="both"/>
        <w:rPr>
          <w:rFonts w:ascii="Arial" w:hAnsi="Arial" w:cs="Arial"/>
          <w:color w:val="000000"/>
          <w:sz w:val="20"/>
          <w:szCs w:val="20"/>
        </w:rPr>
      </w:pPr>
      <w:r w:rsidRPr="00D81EFC">
        <w:rPr>
          <w:rFonts w:ascii="Arial" w:hAnsi="Arial" w:cs="Arial"/>
          <w:color w:val="000000"/>
          <w:sz w:val="20"/>
          <w:szCs w:val="20"/>
        </w:rPr>
        <w:t xml:space="preserve">[18] This subsection makes clear that proof of the offence depends on showing that the offender had turned his/her mind to the likely destruction or damage of property, either because that was his/her conscious purpose or because (s)he was aware that destruction or damage was ‘more likely than not to result’.  Of these alternatives, only the first is what would ordinarily be understood as intentional conduct.  The second alternative is a statutory </w:t>
      </w:r>
      <w:r w:rsidRPr="00D81EFC">
        <w:rPr>
          <w:rFonts w:ascii="Arial" w:hAnsi="Arial" w:cs="Arial"/>
          <w:color w:val="000000"/>
          <w:sz w:val="20"/>
          <w:szCs w:val="20"/>
        </w:rPr>
        <w:lastRenderedPageBreak/>
        <w:t xml:space="preserve">form of recklessness: cf. </w:t>
      </w:r>
      <w:r w:rsidRPr="00D81EFC">
        <w:rPr>
          <w:rFonts w:ascii="Arial" w:hAnsi="Arial" w:cs="Arial"/>
          <w:i/>
          <w:color w:val="000000"/>
          <w:sz w:val="20"/>
          <w:szCs w:val="20"/>
        </w:rPr>
        <w:t xml:space="preserve">The Queen v Crabbe </w:t>
      </w:r>
      <w:r w:rsidRPr="00D81EFC">
        <w:rPr>
          <w:rFonts w:ascii="Arial" w:hAnsi="Arial" w:cs="Arial"/>
          <w:color w:val="000000"/>
          <w:sz w:val="20"/>
          <w:szCs w:val="20"/>
        </w:rPr>
        <w:t xml:space="preserve">(1985) 156 CLR 464, 469–70; see </w:t>
      </w:r>
      <w:r w:rsidRPr="00D81EFC">
        <w:rPr>
          <w:rFonts w:ascii="Arial" w:hAnsi="Arial" w:cs="Arial"/>
          <w:i/>
          <w:color w:val="000000"/>
          <w:sz w:val="20"/>
          <w:szCs w:val="20"/>
        </w:rPr>
        <w:t>R v Stephenson</w:t>
      </w:r>
      <w:r w:rsidRPr="00D81EFC">
        <w:rPr>
          <w:rFonts w:ascii="Arial" w:hAnsi="Arial" w:cs="Arial"/>
          <w:color w:val="000000"/>
          <w:sz w:val="20"/>
          <w:szCs w:val="20"/>
        </w:rPr>
        <w:t xml:space="preserve"> [1979] 1 QB 695 (CA).  As the Director’s submission noted, the subsection does not incorporate any concept of negligence.</w:t>
      </w:r>
    </w:p>
    <w:p w14:paraId="3121A036" w14:textId="77777777" w:rsidR="00CB5C2D" w:rsidRPr="00D81EFC" w:rsidRDefault="00CB5C2D" w:rsidP="0029408E">
      <w:pPr>
        <w:tabs>
          <w:tab w:val="left" w:pos="363"/>
        </w:tabs>
        <w:spacing w:before="60"/>
        <w:ind w:left="567" w:right="567"/>
        <w:jc w:val="both"/>
        <w:rPr>
          <w:rFonts w:ascii="Arial" w:hAnsi="Arial" w:cs="Arial"/>
          <w:color w:val="000000"/>
          <w:sz w:val="20"/>
          <w:szCs w:val="20"/>
        </w:rPr>
      </w:pPr>
      <w:r w:rsidRPr="00D81EFC">
        <w:rPr>
          <w:rFonts w:ascii="Arial" w:hAnsi="Arial" w:cs="Arial"/>
          <w:color w:val="000000"/>
          <w:sz w:val="20"/>
          <w:szCs w:val="20"/>
        </w:rPr>
        <w:t>[19] As a matter of ordinary language, the conduct which s 197(1) criminalises is the intentional bringing about of a result, that is, the destruction of or damage to the property the subject of the charge (the ‘subject property’).  It follows, in our view, that s 197(4) must be read as requiring proof that the offender:</w:t>
      </w:r>
    </w:p>
    <w:p w14:paraId="720C1281" w14:textId="77777777" w:rsidR="00CB5C2D" w:rsidRPr="00D81EFC" w:rsidRDefault="00CB5C2D" w:rsidP="00CB5C2D">
      <w:pPr>
        <w:ind w:left="1134" w:right="567" w:hanging="567"/>
        <w:jc w:val="both"/>
        <w:rPr>
          <w:rFonts w:ascii="Arial" w:hAnsi="Arial" w:cs="Arial"/>
          <w:color w:val="000000"/>
          <w:sz w:val="20"/>
          <w:szCs w:val="20"/>
        </w:rPr>
      </w:pPr>
      <w:r w:rsidRPr="00D81EFC">
        <w:rPr>
          <w:rFonts w:ascii="Arial" w:hAnsi="Arial" w:cs="Arial"/>
          <w:color w:val="000000"/>
          <w:sz w:val="20"/>
          <w:szCs w:val="20"/>
        </w:rPr>
        <w:t>(a)</w:t>
      </w:r>
      <w:r w:rsidRPr="00D81EFC">
        <w:rPr>
          <w:rFonts w:ascii="Arial" w:hAnsi="Arial" w:cs="Arial"/>
          <w:color w:val="000000"/>
          <w:sz w:val="20"/>
          <w:szCs w:val="20"/>
        </w:rPr>
        <w:tab/>
        <w:t>had the purpose of destroying or damaging the subject property; or</w:t>
      </w:r>
    </w:p>
    <w:p w14:paraId="542EC55D" w14:textId="77777777" w:rsidR="00CB5C2D" w:rsidRPr="00D81EFC" w:rsidRDefault="00CB5C2D" w:rsidP="00CB5C2D">
      <w:pPr>
        <w:ind w:left="1134" w:right="567" w:hanging="567"/>
        <w:jc w:val="both"/>
        <w:rPr>
          <w:rFonts w:ascii="Arial" w:hAnsi="Arial" w:cs="Arial"/>
          <w:color w:val="000000"/>
          <w:sz w:val="20"/>
          <w:szCs w:val="20"/>
        </w:rPr>
      </w:pPr>
      <w:r w:rsidRPr="00D81EFC">
        <w:rPr>
          <w:rFonts w:ascii="Arial" w:hAnsi="Arial" w:cs="Arial"/>
          <w:color w:val="000000"/>
          <w:sz w:val="20"/>
          <w:szCs w:val="20"/>
        </w:rPr>
        <w:t>(b)</w:t>
      </w:r>
      <w:r w:rsidRPr="00D81EFC">
        <w:rPr>
          <w:rFonts w:ascii="Arial" w:hAnsi="Arial" w:cs="Arial"/>
          <w:color w:val="000000"/>
          <w:sz w:val="20"/>
          <w:szCs w:val="20"/>
        </w:rPr>
        <w:tab/>
        <w:t>knew or believed that his conduct ‘was more likely than not to result in’ the destruction of or damage to the subject property.</w:t>
      </w:r>
    </w:p>
    <w:p w14:paraId="21566D35" w14:textId="77777777" w:rsidR="00CB5C2D" w:rsidRPr="00D81EFC" w:rsidRDefault="00CB5C2D" w:rsidP="0029408E">
      <w:pPr>
        <w:spacing w:before="60"/>
        <w:ind w:left="567" w:right="567"/>
        <w:jc w:val="both"/>
        <w:rPr>
          <w:rFonts w:ascii="Arial" w:hAnsi="Arial" w:cs="Arial"/>
          <w:color w:val="000000"/>
          <w:sz w:val="20"/>
          <w:szCs w:val="20"/>
        </w:rPr>
      </w:pPr>
      <w:r w:rsidRPr="00D81EFC">
        <w:rPr>
          <w:rFonts w:ascii="Arial" w:hAnsi="Arial" w:cs="Arial"/>
          <w:color w:val="000000"/>
          <w:sz w:val="20"/>
          <w:szCs w:val="20"/>
        </w:rPr>
        <w:t xml:space="preserve">[20] That is certainly how the former s 197 was interpreted.  As first enacted in the </w:t>
      </w:r>
      <w:r w:rsidRPr="00D81EFC">
        <w:rPr>
          <w:rFonts w:ascii="Arial" w:hAnsi="Arial" w:cs="Arial"/>
          <w:i/>
          <w:color w:val="000000"/>
          <w:sz w:val="20"/>
          <w:szCs w:val="20"/>
        </w:rPr>
        <w:t>Crimes Act 1958</w:t>
      </w:r>
      <w:r w:rsidRPr="00D81EFC">
        <w:rPr>
          <w:rFonts w:ascii="Arial" w:hAnsi="Arial" w:cs="Arial"/>
          <w:color w:val="000000"/>
          <w:sz w:val="20"/>
          <w:szCs w:val="20"/>
        </w:rPr>
        <w:t xml:space="preserve">, s 197 created the offence of ‘unlawfully and maliciously [setting] fire to any dwelling-house any person being therein’.  In </w:t>
      </w:r>
      <w:r w:rsidRPr="00D81EFC">
        <w:rPr>
          <w:rFonts w:ascii="Arial" w:hAnsi="Arial" w:cs="Arial"/>
          <w:i/>
          <w:color w:val="000000"/>
          <w:sz w:val="20"/>
          <w:szCs w:val="20"/>
        </w:rPr>
        <w:t>R v Whitehead</w:t>
      </w:r>
      <w:r w:rsidR="001B10F3" w:rsidRPr="00D81EFC">
        <w:rPr>
          <w:rFonts w:ascii="Arial" w:hAnsi="Arial" w:cs="Arial"/>
          <w:color w:val="000000"/>
          <w:sz w:val="20"/>
          <w:szCs w:val="20"/>
          <w:lang w:val="fr-FR"/>
        </w:rPr>
        <w:t xml:space="preserve"> </w:t>
      </w:r>
      <w:r w:rsidR="00167A6C" w:rsidRPr="00D81EFC">
        <w:rPr>
          <w:rFonts w:ascii="Arial" w:hAnsi="Arial" w:cs="Arial"/>
          <w:color w:val="000000"/>
          <w:sz w:val="20"/>
          <w:szCs w:val="20"/>
          <w:lang w:val="fr-FR"/>
        </w:rPr>
        <w:t>[1960] VR 12, 13,</w:t>
      </w:r>
      <w:r w:rsidRPr="00D81EFC">
        <w:rPr>
          <w:rFonts w:ascii="Arial" w:hAnsi="Arial" w:cs="Arial"/>
          <w:color w:val="000000"/>
          <w:sz w:val="20"/>
          <w:szCs w:val="20"/>
        </w:rPr>
        <w:t xml:space="preserve"> Hudson J held that the word ‘maliciously’ involved proof by the Crown that</w:t>
      </w:r>
    </w:p>
    <w:p w14:paraId="0BA85DBA" w14:textId="77777777" w:rsidR="00167A6C" w:rsidRPr="00D81EFC" w:rsidRDefault="00167A6C" w:rsidP="00167A6C">
      <w:pPr>
        <w:tabs>
          <w:tab w:val="left" w:pos="363"/>
        </w:tabs>
        <w:ind w:left="1134" w:right="1134"/>
        <w:jc w:val="both"/>
        <w:rPr>
          <w:rFonts w:ascii="Arial" w:hAnsi="Arial" w:cs="Arial"/>
          <w:color w:val="000000"/>
          <w:sz w:val="20"/>
          <w:szCs w:val="20"/>
        </w:rPr>
      </w:pPr>
      <w:r w:rsidRPr="00D81EFC">
        <w:rPr>
          <w:rFonts w:ascii="Arial" w:hAnsi="Arial" w:cs="Arial"/>
          <w:color w:val="000000"/>
          <w:sz w:val="20"/>
          <w:szCs w:val="20"/>
        </w:rPr>
        <w:t>‘</w:t>
      </w:r>
      <w:r w:rsidR="004A28BC" w:rsidRPr="00D81EFC">
        <w:rPr>
          <w:rFonts w:ascii="Arial" w:hAnsi="Arial" w:cs="Arial"/>
          <w:color w:val="000000"/>
          <w:sz w:val="20"/>
          <w:szCs w:val="20"/>
        </w:rPr>
        <w:t xml:space="preserve">the accused did the act or acts which resulted in setting fire to the house </w:t>
      </w:r>
      <w:r w:rsidR="004A28BC" w:rsidRPr="00D81EFC">
        <w:rPr>
          <w:rFonts w:ascii="Arial" w:hAnsi="Arial" w:cs="Arial"/>
          <w:i/>
          <w:color w:val="000000"/>
          <w:sz w:val="20"/>
          <w:szCs w:val="20"/>
        </w:rPr>
        <w:t>with the intention of bringing about this result</w:t>
      </w:r>
      <w:r w:rsidR="004A28BC" w:rsidRPr="00D81EFC">
        <w:rPr>
          <w:rFonts w:ascii="Arial" w:hAnsi="Arial" w:cs="Arial"/>
          <w:color w:val="000000"/>
          <w:sz w:val="20"/>
          <w:szCs w:val="20"/>
        </w:rPr>
        <w:t xml:space="preserve">, or that he did such act or acts </w:t>
      </w:r>
      <w:r w:rsidR="004A28BC" w:rsidRPr="00D81EFC">
        <w:rPr>
          <w:rFonts w:ascii="Arial" w:hAnsi="Arial" w:cs="Arial"/>
          <w:i/>
          <w:color w:val="000000"/>
          <w:sz w:val="20"/>
          <w:szCs w:val="20"/>
        </w:rPr>
        <w:t>foreseeing that they would probably produce this result</w:t>
      </w:r>
      <w:r w:rsidR="004A28BC" w:rsidRPr="00D81EFC">
        <w:rPr>
          <w:rFonts w:ascii="Arial" w:hAnsi="Arial" w:cs="Arial"/>
          <w:color w:val="000000"/>
          <w:sz w:val="20"/>
          <w:szCs w:val="20"/>
        </w:rPr>
        <w:t>, but was reckless as to the consequence of his acts</w:t>
      </w:r>
      <w:r w:rsidRPr="00D81EFC">
        <w:rPr>
          <w:rFonts w:ascii="Arial" w:hAnsi="Arial" w:cs="Arial"/>
          <w:color w:val="000000"/>
          <w:sz w:val="20"/>
          <w:szCs w:val="20"/>
        </w:rPr>
        <w:t>’</w:t>
      </w:r>
      <w:r w:rsidR="004A28BC" w:rsidRPr="00D81EFC">
        <w:rPr>
          <w:rFonts w:ascii="Arial" w:hAnsi="Arial" w:cs="Arial"/>
          <w:color w:val="000000"/>
          <w:sz w:val="20"/>
          <w:szCs w:val="20"/>
        </w:rPr>
        <w:t>.</w:t>
      </w:r>
    </w:p>
    <w:p w14:paraId="55206962" w14:textId="77777777" w:rsidR="00167A6C" w:rsidRPr="00D81EFC" w:rsidRDefault="00167A6C" w:rsidP="0029408E">
      <w:pPr>
        <w:spacing w:before="60"/>
        <w:ind w:left="567" w:right="567"/>
        <w:jc w:val="both"/>
        <w:rPr>
          <w:rFonts w:ascii="Arial" w:hAnsi="Arial" w:cs="Arial"/>
          <w:color w:val="000000"/>
          <w:sz w:val="20"/>
          <w:szCs w:val="20"/>
        </w:rPr>
      </w:pPr>
      <w:r w:rsidRPr="00D81EFC">
        <w:rPr>
          <w:rFonts w:ascii="Arial" w:hAnsi="Arial" w:cs="Arial"/>
          <w:color w:val="000000"/>
          <w:sz w:val="20"/>
          <w:szCs w:val="20"/>
        </w:rPr>
        <w:t xml:space="preserve">[21] We recognise, however, that the language of s 197(4) is not so specific.  Thus, s 197(4)(a) speaks of the offender having a (generalised) purpose ‘to destroy or damage </w:t>
      </w:r>
      <w:r w:rsidRPr="00D81EFC">
        <w:rPr>
          <w:rFonts w:ascii="Arial" w:hAnsi="Arial" w:cs="Arial"/>
          <w:i/>
          <w:color w:val="000000"/>
          <w:sz w:val="20"/>
          <w:szCs w:val="20"/>
        </w:rPr>
        <w:t>property’</w:t>
      </w:r>
      <w:r w:rsidRPr="00D81EFC">
        <w:rPr>
          <w:rFonts w:ascii="Arial" w:hAnsi="Arial" w:cs="Arial"/>
          <w:color w:val="000000"/>
          <w:sz w:val="20"/>
          <w:szCs w:val="20"/>
        </w:rPr>
        <w:t xml:space="preserve">.  Read literally, the subsection would have the result that a person who destroyed particular property would be taken to have done so intentionally, even though he/she had no purpose to destroy or damage </w:t>
      </w:r>
      <w:r w:rsidRPr="00D81EFC">
        <w:rPr>
          <w:rFonts w:ascii="Arial" w:hAnsi="Arial" w:cs="Arial"/>
          <w:i/>
          <w:color w:val="000000"/>
          <w:sz w:val="20"/>
          <w:szCs w:val="20"/>
        </w:rPr>
        <w:t>that</w:t>
      </w:r>
      <w:r w:rsidRPr="00D81EFC">
        <w:rPr>
          <w:rFonts w:ascii="Arial" w:hAnsi="Arial" w:cs="Arial"/>
          <w:color w:val="000000"/>
          <w:sz w:val="20"/>
          <w:szCs w:val="20"/>
        </w:rPr>
        <w:t xml:space="preserve"> property and no awareness that his/her conduct was likely to destroy or damage </w:t>
      </w:r>
      <w:r w:rsidRPr="00D81EFC">
        <w:rPr>
          <w:rFonts w:ascii="Arial" w:hAnsi="Arial" w:cs="Arial"/>
          <w:i/>
          <w:color w:val="000000"/>
          <w:sz w:val="20"/>
          <w:szCs w:val="20"/>
        </w:rPr>
        <w:t>that</w:t>
      </w:r>
      <w:r w:rsidRPr="00D81EFC">
        <w:rPr>
          <w:rFonts w:ascii="Arial" w:hAnsi="Arial" w:cs="Arial"/>
          <w:color w:val="000000"/>
          <w:sz w:val="20"/>
          <w:szCs w:val="20"/>
        </w:rPr>
        <w:t xml:space="preserve"> property.</w:t>
      </w:r>
    </w:p>
    <w:p w14:paraId="5777B303" w14:textId="77777777" w:rsidR="00167A6C" w:rsidRPr="00D81EFC" w:rsidRDefault="00167A6C" w:rsidP="0029408E">
      <w:pPr>
        <w:spacing w:before="60"/>
        <w:ind w:left="567" w:right="567"/>
        <w:jc w:val="both"/>
        <w:rPr>
          <w:rFonts w:ascii="Arial" w:hAnsi="Arial" w:cs="Arial"/>
          <w:color w:val="000000"/>
          <w:sz w:val="20"/>
          <w:szCs w:val="20"/>
        </w:rPr>
      </w:pPr>
      <w:r w:rsidRPr="00D81EFC">
        <w:rPr>
          <w:rFonts w:ascii="Arial" w:hAnsi="Arial" w:cs="Arial"/>
          <w:color w:val="000000"/>
          <w:sz w:val="20"/>
          <w:szCs w:val="20"/>
        </w:rPr>
        <w:t xml:space="preserve">[22] Given the clear language of s 197(1) itself, Parliament cannot have meant by subsection (4) to deem </w:t>
      </w:r>
      <w:r w:rsidRPr="00D81EFC">
        <w:rPr>
          <w:rFonts w:ascii="Arial" w:hAnsi="Arial" w:cs="Arial"/>
          <w:i/>
          <w:color w:val="000000"/>
          <w:sz w:val="20"/>
          <w:szCs w:val="20"/>
        </w:rPr>
        <w:t>unintended</w:t>
      </w:r>
      <w:r w:rsidRPr="00D81EFC">
        <w:rPr>
          <w:rFonts w:ascii="Arial" w:hAnsi="Arial" w:cs="Arial"/>
          <w:color w:val="000000"/>
          <w:sz w:val="20"/>
          <w:szCs w:val="20"/>
        </w:rPr>
        <w:t xml:space="preserve"> (and uncontemplated) damage to property to be </w:t>
      </w:r>
      <w:r w:rsidRPr="00D81EFC">
        <w:rPr>
          <w:rFonts w:ascii="Arial" w:hAnsi="Arial" w:cs="Arial"/>
          <w:i/>
          <w:color w:val="000000"/>
          <w:sz w:val="20"/>
          <w:szCs w:val="20"/>
        </w:rPr>
        <w:t>intentional</w:t>
      </w:r>
      <w:r w:rsidRPr="00D81EFC">
        <w:rPr>
          <w:rFonts w:ascii="Arial" w:hAnsi="Arial" w:cs="Arial"/>
          <w:color w:val="000000"/>
          <w:sz w:val="20"/>
          <w:szCs w:val="20"/>
        </w:rPr>
        <w:t xml:space="preserve"> damage, carrying a maximum penalty of 10 years’ imprisonment.  As we have noted, this would have represented a wholesale departure from the previous position regarding arson offences.”</w:t>
      </w:r>
    </w:p>
    <w:p w14:paraId="076C1125" w14:textId="77777777" w:rsidR="00593E24" w:rsidRDefault="00593E24" w:rsidP="00B9162E">
      <w:pPr>
        <w:rPr>
          <w:rFonts w:ascii="Arial" w:hAnsi="Arial" w:cs="Arial"/>
          <w:color w:val="000000"/>
          <w:sz w:val="20"/>
        </w:rPr>
      </w:pPr>
    </w:p>
    <w:p w14:paraId="23A9C698" w14:textId="77777777" w:rsidR="0029408E" w:rsidRDefault="0029408E" w:rsidP="0029408E">
      <w:pPr>
        <w:jc w:val="both"/>
        <w:rPr>
          <w:rFonts w:ascii="Arial" w:hAnsi="Arial" w:cs="Arial"/>
          <w:color w:val="000000"/>
          <w:sz w:val="20"/>
        </w:rPr>
      </w:pPr>
      <w:r>
        <w:rPr>
          <w:rFonts w:ascii="Arial" w:hAnsi="Arial" w:cs="Arial"/>
          <w:color w:val="000000"/>
          <w:sz w:val="20"/>
        </w:rPr>
        <w:t xml:space="preserve">In </w:t>
      </w:r>
      <w:r w:rsidRPr="001046A5">
        <w:rPr>
          <w:rFonts w:ascii="Arial" w:hAnsi="Arial" w:cs="Arial"/>
          <w:i/>
          <w:iCs/>
          <w:color w:val="000000"/>
          <w:sz w:val="20"/>
        </w:rPr>
        <w:t>Burma v The King</w:t>
      </w:r>
      <w:r>
        <w:rPr>
          <w:rFonts w:ascii="Arial" w:hAnsi="Arial" w:cs="Arial"/>
          <w:color w:val="000000"/>
          <w:sz w:val="20"/>
        </w:rPr>
        <w:t xml:space="preserve"> [2026] VSCA 147 the 18-year-old offender (aged 20 at the time of the appeal) had been </w:t>
      </w:r>
      <w:r w:rsidRPr="00814890">
        <w:rPr>
          <w:rFonts w:ascii="Arial" w:hAnsi="Arial" w:cs="Arial"/>
          <w:color w:val="000000"/>
          <w:sz w:val="20"/>
        </w:rPr>
        <w:t>recruited for tobacco shop arson</w:t>
      </w:r>
      <w:r>
        <w:rPr>
          <w:rFonts w:ascii="Arial" w:hAnsi="Arial" w:cs="Arial"/>
          <w:color w:val="000000"/>
          <w:sz w:val="20"/>
        </w:rPr>
        <w:t>s</w:t>
      </w:r>
      <w:r w:rsidRPr="00814890">
        <w:rPr>
          <w:rFonts w:ascii="Arial" w:hAnsi="Arial" w:cs="Arial"/>
          <w:color w:val="000000"/>
          <w:sz w:val="20"/>
        </w:rPr>
        <w:t xml:space="preserve"> and other criminal endeavour</w:t>
      </w:r>
      <w:r>
        <w:rPr>
          <w:rFonts w:ascii="Arial" w:hAnsi="Arial" w:cs="Arial"/>
          <w:color w:val="000000"/>
          <w:sz w:val="20"/>
        </w:rPr>
        <w:t xml:space="preserve">s. He had </w:t>
      </w:r>
      <w:r w:rsidRPr="00814890">
        <w:rPr>
          <w:rFonts w:ascii="Arial" w:hAnsi="Arial" w:cs="Arial"/>
          <w:i/>
          <w:iCs/>
          <w:color w:val="000000"/>
          <w:sz w:val="20"/>
        </w:rPr>
        <w:t>Bugmy</w:t>
      </w:r>
      <w:r>
        <w:rPr>
          <w:rFonts w:ascii="Arial" w:hAnsi="Arial" w:cs="Arial"/>
          <w:color w:val="000000"/>
          <w:sz w:val="20"/>
        </w:rPr>
        <w:t xml:space="preserve"> and </w:t>
      </w:r>
      <w:r w:rsidRPr="00814890">
        <w:rPr>
          <w:rFonts w:ascii="Arial" w:hAnsi="Arial" w:cs="Arial"/>
          <w:i/>
          <w:iCs/>
          <w:color w:val="000000"/>
          <w:sz w:val="20"/>
        </w:rPr>
        <w:t>Verdins</w:t>
      </w:r>
      <w:r>
        <w:rPr>
          <w:rFonts w:ascii="Arial" w:hAnsi="Arial" w:cs="Arial"/>
          <w:color w:val="000000"/>
          <w:sz w:val="20"/>
        </w:rPr>
        <w:t xml:space="preserve"> characteristics and an “appalling” Children’s Court criminal history. He had pleaded guilty after a sentence indication hearing to multiple offences committed while he was on bail, including </w:t>
      </w:r>
      <w:r w:rsidRPr="00814890">
        <w:rPr>
          <w:rFonts w:ascii="Arial" w:hAnsi="Arial" w:cs="Arial"/>
          <w:color w:val="000000"/>
          <w:sz w:val="20"/>
        </w:rPr>
        <w:t xml:space="preserve">arson </w:t>
      </w:r>
      <w:r>
        <w:rPr>
          <w:rFonts w:ascii="Arial" w:hAnsi="Arial" w:cs="Arial"/>
          <w:color w:val="000000"/>
          <w:sz w:val="20"/>
        </w:rPr>
        <w:t>x 3</w:t>
      </w:r>
      <w:r w:rsidRPr="00814890">
        <w:rPr>
          <w:rFonts w:ascii="Arial" w:hAnsi="Arial" w:cs="Arial"/>
          <w:color w:val="000000"/>
          <w:sz w:val="20"/>
        </w:rPr>
        <w:t xml:space="preserve">, theft </w:t>
      </w:r>
      <w:r>
        <w:rPr>
          <w:rFonts w:ascii="Arial" w:hAnsi="Arial" w:cs="Arial"/>
          <w:color w:val="000000"/>
          <w:sz w:val="20"/>
        </w:rPr>
        <w:t>x 2</w:t>
      </w:r>
      <w:r w:rsidRPr="00814890">
        <w:rPr>
          <w:rFonts w:ascii="Arial" w:hAnsi="Arial" w:cs="Arial"/>
          <w:color w:val="000000"/>
          <w:sz w:val="20"/>
        </w:rPr>
        <w:t>, damaging property and possessing and using a firearm</w:t>
      </w:r>
      <w:r>
        <w:rPr>
          <w:rFonts w:ascii="Arial" w:hAnsi="Arial" w:cs="Arial"/>
          <w:color w:val="000000"/>
          <w:sz w:val="20"/>
        </w:rPr>
        <w:t>. The TES was IMP23m + CCO 2y made up as follows–</w:t>
      </w:r>
    </w:p>
    <w:p w14:paraId="3CCB6205" w14:textId="77777777" w:rsidR="0029408E" w:rsidRDefault="0029408E">
      <w:pPr>
        <w:pStyle w:val="ListParagraph"/>
        <w:numPr>
          <w:ilvl w:val="0"/>
          <w:numId w:val="75"/>
        </w:numPr>
        <w:spacing w:after="0" w:line="240" w:lineRule="auto"/>
        <w:ind w:left="357" w:hanging="357"/>
        <w:jc w:val="both"/>
        <w:rPr>
          <w:rFonts w:ascii="Arial" w:hAnsi="Arial" w:cs="Arial"/>
          <w:color w:val="000000"/>
          <w:sz w:val="20"/>
        </w:rPr>
      </w:pPr>
      <w:r>
        <w:rPr>
          <w:rFonts w:ascii="Arial" w:hAnsi="Arial" w:cs="Arial"/>
          <w:color w:val="000000"/>
          <w:sz w:val="20"/>
        </w:rPr>
        <w:t>an aggregate of IMP18m + CCO 2y on 2 charges of arson;</w:t>
      </w:r>
    </w:p>
    <w:p w14:paraId="617C3C7F" w14:textId="77777777" w:rsidR="0029408E" w:rsidRDefault="0029408E">
      <w:pPr>
        <w:pStyle w:val="ListParagraph"/>
        <w:numPr>
          <w:ilvl w:val="0"/>
          <w:numId w:val="75"/>
        </w:numPr>
        <w:spacing w:after="0" w:line="240" w:lineRule="auto"/>
        <w:ind w:left="357" w:hanging="357"/>
        <w:jc w:val="both"/>
        <w:rPr>
          <w:rFonts w:ascii="Arial" w:hAnsi="Arial" w:cs="Arial"/>
          <w:color w:val="000000"/>
          <w:sz w:val="20"/>
        </w:rPr>
      </w:pPr>
      <w:r>
        <w:rPr>
          <w:rFonts w:ascii="Arial" w:hAnsi="Arial" w:cs="Arial"/>
          <w:color w:val="000000"/>
          <w:sz w:val="20"/>
        </w:rPr>
        <w:t>an aggregate of IMP17m of which 5m was cumulative + CCO 2y on charges of arson, damaging property and theft; and</w:t>
      </w:r>
    </w:p>
    <w:p w14:paraId="7629B671" w14:textId="77777777" w:rsidR="0029408E" w:rsidRPr="00814890" w:rsidRDefault="0029408E">
      <w:pPr>
        <w:pStyle w:val="ListParagraph"/>
        <w:numPr>
          <w:ilvl w:val="0"/>
          <w:numId w:val="75"/>
        </w:numPr>
        <w:spacing w:after="0" w:line="240" w:lineRule="auto"/>
        <w:ind w:left="357" w:hanging="357"/>
        <w:jc w:val="both"/>
        <w:rPr>
          <w:rFonts w:ascii="Arial" w:hAnsi="Arial" w:cs="Arial"/>
          <w:color w:val="000000"/>
          <w:sz w:val="20"/>
        </w:rPr>
      </w:pPr>
      <w:r>
        <w:rPr>
          <w:rFonts w:ascii="Arial" w:hAnsi="Arial" w:cs="Arial"/>
          <w:color w:val="000000"/>
          <w:sz w:val="20"/>
        </w:rPr>
        <w:t xml:space="preserve">a concurrent aggregate of IMP1y on charges of theft, prohibited person possess firearm and using a loaded firearm in a public place. </w:t>
      </w:r>
    </w:p>
    <w:p w14:paraId="46A93844" w14:textId="77777777" w:rsidR="0029408E" w:rsidRDefault="0029408E" w:rsidP="0029408E">
      <w:pPr>
        <w:jc w:val="both"/>
        <w:rPr>
          <w:rFonts w:ascii="Arial" w:hAnsi="Arial" w:cs="Arial"/>
          <w:color w:val="000000"/>
          <w:sz w:val="20"/>
        </w:rPr>
      </w:pPr>
      <w:r>
        <w:rPr>
          <w:rFonts w:ascii="Arial" w:hAnsi="Arial" w:cs="Arial"/>
          <w:color w:val="000000"/>
          <w:sz w:val="20"/>
        </w:rPr>
        <w:t xml:space="preserve">The sentencing judge had also made a declaration under s.18(1) of the </w:t>
      </w:r>
      <w:r w:rsidRPr="009B4F12">
        <w:rPr>
          <w:rFonts w:ascii="Arial" w:hAnsi="Arial" w:cs="Arial"/>
          <w:i/>
          <w:iCs/>
          <w:color w:val="000000"/>
          <w:sz w:val="20"/>
        </w:rPr>
        <w:t>Sentencing Act 1991</w:t>
      </w:r>
      <w:r>
        <w:rPr>
          <w:rFonts w:ascii="Arial" w:hAnsi="Arial" w:cs="Arial"/>
          <w:color w:val="000000"/>
          <w:sz w:val="20"/>
        </w:rPr>
        <w:t xml:space="preserve"> that </w:t>
      </w:r>
      <w:r w:rsidRPr="00814890">
        <w:rPr>
          <w:rFonts w:ascii="Arial" w:hAnsi="Arial" w:cs="Arial"/>
          <w:color w:val="000000"/>
          <w:sz w:val="20"/>
        </w:rPr>
        <w:t xml:space="preserve">479 days </w:t>
      </w:r>
      <w:r>
        <w:rPr>
          <w:rFonts w:ascii="Arial" w:hAnsi="Arial" w:cs="Arial"/>
          <w:color w:val="000000"/>
          <w:sz w:val="20"/>
        </w:rPr>
        <w:t>of pre-sentence detention wa</w:t>
      </w:r>
      <w:r w:rsidRPr="00814890">
        <w:rPr>
          <w:rFonts w:ascii="Arial" w:hAnsi="Arial" w:cs="Arial"/>
          <w:color w:val="000000"/>
          <w:sz w:val="20"/>
        </w:rPr>
        <w:t xml:space="preserve">s </w:t>
      </w:r>
      <w:r w:rsidRPr="00814890">
        <w:rPr>
          <w:rFonts w:ascii="Arial" w:hAnsi="Arial" w:cs="Arial"/>
          <w:b/>
          <w:bCs/>
          <w:color w:val="000000"/>
          <w:sz w:val="20"/>
          <w:u w:val="single"/>
        </w:rPr>
        <w:t>not</w:t>
      </w:r>
      <w:r w:rsidRPr="00814890">
        <w:rPr>
          <w:rFonts w:ascii="Arial" w:hAnsi="Arial" w:cs="Arial"/>
          <w:color w:val="000000"/>
          <w:sz w:val="20"/>
        </w:rPr>
        <w:t xml:space="preserve"> to be reckoned as time served</w:t>
      </w:r>
      <w:r>
        <w:rPr>
          <w:rFonts w:ascii="Arial" w:hAnsi="Arial" w:cs="Arial"/>
          <w:color w:val="000000"/>
          <w:sz w:val="20"/>
        </w:rPr>
        <w:t>. The effect of this declaration was that the applicant would be imprisoned for approximately 3y3m and when released was required to undertake a 2y CCO with 100 hours of unpaid community work.</w:t>
      </w:r>
    </w:p>
    <w:p w14:paraId="001CC89E" w14:textId="64E06862" w:rsidR="0029408E" w:rsidRDefault="0029408E" w:rsidP="0029408E">
      <w:pPr>
        <w:spacing w:before="60"/>
        <w:jc w:val="both"/>
        <w:rPr>
          <w:rFonts w:ascii="Arial" w:hAnsi="Arial" w:cs="Arial"/>
          <w:color w:val="000000"/>
          <w:sz w:val="20"/>
        </w:rPr>
      </w:pPr>
      <w:r>
        <w:rPr>
          <w:rFonts w:ascii="Arial" w:hAnsi="Arial" w:cs="Arial"/>
          <w:color w:val="000000"/>
          <w:sz w:val="20"/>
        </w:rPr>
        <w:t>In refusing leave to appeal Boyce &amp; T Forrest JJA said at [38]-[39] [emphasis added]:</w:t>
      </w:r>
    </w:p>
    <w:p w14:paraId="6B490D11" w14:textId="77777777" w:rsidR="0029408E" w:rsidRPr="006E5948" w:rsidRDefault="0029408E" w:rsidP="0029408E">
      <w:pPr>
        <w:spacing w:before="60"/>
        <w:ind w:left="567" w:right="567"/>
        <w:jc w:val="both"/>
        <w:rPr>
          <w:rFonts w:ascii="Arial" w:hAnsi="Arial" w:cs="Arial"/>
          <w:color w:val="000000"/>
          <w:sz w:val="20"/>
        </w:rPr>
      </w:pPr>
      <w:r>
        <w:rPr>
          <w:rFonts w:ascii="Arial" w:hAnsi="Arial" w:cs="Arial"/>
          <w:color w:val="000000"/>
          <w:sz w:val="20"/>
        </w:rPr>
        <w:t>[38]</w:t>
      </w:r>
      <w:r w:rsidRPr="009B4F12">
        <w:rPr>
          <w:rFonts w:ascii="Arial" w:hAnsi="Arial" w:cs="Arial"/>
          <w:color w:val="000000"/>
          <w:sz w:val="20"/>
        </w:rPr>
        <w:t xml:space="preserve"> </w:t>
      </w:r>
      <w:r>
        <w:rPr>
          <w:rFonts w:ascii="Arial" w:hAnsi="Arial" w:cs="Arial"/>
          <w:color w:val="000000"/>
          <w:sz w:val="20"/>
        </w:rPr>
        <w:t>“</w:t>
      </w:r>
      <w:r w:rsidRPr="009B4F12">
        <w:rPr>
          <w:rFonts w:ascii="Arial" w:hAnsi="Arial" w:cs="Arial"/>
          <w:color w:val="000000"/>
          <w:sz w:val="20"/>
        </w:rPr>
        <w:t xml:space="preserve">The applicant’s offending is undoubtedly serious. His complicity in the discharge of firearms in a retail and residential environment, acting as an agent for hire to the criminal underworld, cannot be described otherwise. Similarly, </w:t>
      </w:r>
      <w:r w:rsidRPr="0029408E">
        <w:rPr>
          <w:rFonts w:ascii="Arial" w:hAnsi="Arial" w:cs="Arial"/>
          <w:b/>
          <w:bCs/>
          <w:color w:val="000000"/>
          <w:sz w:val="20"/>
        </w:rPr>
        <w:t>carrying out arsons and property damage on a contractual basis is grave offending.</w:t>
      </w:r>
      <w:r w:rsidRPr="006E5948">
        <w:rPr>
          <w:rFonts w:ascii="Arial" w:hAnsi="Arial" w:cs="Arial"/>
          <w:color w:val="000000"/>
          <w:sz w:val="20"/>
        </w:rPr>
        <w:t xml:space="preserve"> It is notorious that this type of conduct, which is currently endemic in Melbourne and some regional centres, is a cause of community alarm and distress. Courts must act strongly to discourage such activity. General deterrence and community protection must assume real significance in the sentencing calculus.</w:t>
      </w:r>
    </w:p>
    <w:p w14:paraId="6C8743CE" w14:textId="77777777" w:rsidR="0029408E" w:rsidRPr="009B4F12" w:rsidRDefault="0029408E" w:rsidP="0029408E">
      <w:pPr>
        <w:spacing w:before="60"/>
        <w:ind w:left="567" w:right="567"/>
        <w:jc w:val="both"/>
        <w:rPr>
          <w:rFonts w:ascii="Arial" w:hAnsi="Arial" w:cs="Arial"/>
          <w:color w:val="000000"/>
          <w:sz w:val="20"/>
          <w:szCs w:val="20"/>
        </w:rPr>
      </w:pPr>
      <w:r w:rsidRPr="006E5948">
        <w:rPr>
          <w:rFonts w:ascii="Arial" w:hAnsi="Arial" w:cs="Arial"/>
          <w:color w:val="000000"/>
          <w:sz w:val="20"/>
        </w:rPr>
        <w:t xml:space="preserve">[39] It is an unfortunate reality that criminal contractors target the young, deprived and vulnerable to carry out their anti-social and destructive orders. </w:t>
      </w:r>
      <w:r w:rsidRPr="00D45966">
        <w:rPr>
          <w:rFonts w:ascii="Arial" w:hAnsi="Arial" w:cs="Arial"/>
          <w:b/>
          <w:bCs/>
          <w:color w:val="000000"/>
          <w:sz w:val="20"/>
        </w:rPr>
        <w:t>Whilst rehabilitation cannot be overlooked in sentencing these young offenders, in many cases, it may not be able to acquire the prominence it would otherwise assume. General deterrence and community protection demand that prominence.</w:t>
      </w:r>
      <w:r w:rsidRPr="006E5948">
        <w:rPr>
          <w:rFonts w:ascii="Arial" w:hAnsi="Arial" w:cs="Arial"/>
          <w:color w:val="000000"/>
          <w:sz w:val="20"/>
        </w:rPr>
        <w:t xml:space="preserve"> As an aside, when the criminal underworld contractors are ultimately brought before the courts, they should </w:t>
      </w:r>
      <w:r w:rsidRPr="006E5948">
        <w:rPr>
          <w:rFonts w:ascii="Arial" w:hAnsi="Arial" w:cs="Arial"/>
          <w:color w:val="000000"/>
          <w:sz w:val="20"/>
        </w:rPr>
        <w:lastRenderedPageBreak/>
        <w:t>prepare themselves for condign punishment — in plain language, that means very lengthy terms of imprisonment.</w:t>
      </w:r>
      <w:r>
        <w:rPr>
          <w:rFonts w:ascii="Arial" w:hAnsi="Arial" w:cs="Arial"/>
          <w:color w:val="000000"/>
          <w:sz w:val="20"/>
        </w:rPr>
        <w:t>”</w:t>
      </w:r>
    </w:p>
    <w:p w14:paraId="1C411D04" w14:textId="77777777" w:rsidR="0029408E" w:rsidRDefault="0029408E" w:rsidP="0029408E">
      <w:pPr>
        <w:jc w:val="both"/>
        <w:rPr>
          <w:rFonts w:ascii="Arial" w:hAnsi="Arial" w:cs="Arial"/>
          <w:color w:val="000000"/>
          <w:sz w:val="20"/>
        </w:rPr>
      </w:pPr>
    </w:p>
    <w:p w14:paraId="57DA7FEC" w14:textId="0E332A32" w:rsidR="00593E24" w:rsidRPr="00D81EFC" w:rsidRDefault="00593E24" w:rsidP="00593E24">
      <w:pPr>
        <w:pStyle w:val="Heading3"/>
        <w:keepNext/>
        <w:spacing w:line="240" w:lineRule="auto"/>
        <w:rPr>
          <w:rFonts w:ascii="Arial" w:hAnsi="Arial" w:cs="Arial"/>
          <w:b/>
          <w:bCs/>
          <w:color w:val="000000"/>
          <w:sz w:val="20"/>
        </w:rPr>
      </w:pPr>
      <w:bookmarkStart w:id="506" w:name="_7.12.4_Sexual_touching"/>
      <w:bookmarkEnd w:id="506"/>
      <w:r w:rsidRPr="00D81EFC">
        <w:rPr>
          <w:rFonts w:ascii="Arial" w:hAnsi="Arial" w:cs="Arial"/>
          <w:b/>
          <w:bCs/>
          <w:color w:val="000000"/>
          <w:sz w:val="20"/>
        </w:rPr>
        <w:t>7.12.</w:t>
      </w:r>
      <w:r>
        <w:rPr>
          <w:rFonts w:ascii="Arial" w:hAnsi="Arial" w:cs="Arial"/>
          <w:b/>
          <w:bCs/>
          <w:color w:val="000000"/>
          <w:sz w:val="20"/>
        </w:rPr>
        <w:t>4</w:t>
      </w:r>
      <w:r w:rsidRPr="00D81EFC">
        <w:rPr>
          <w:rFonts w:ascii="Arial" w:hAnsi="Arial" w:cs="Arial"/>
          <w:b/>
          <w:bCs/>
          <w:color w:val="000000"/>
          <w:sz w:val="20"/>
        </w:rPr>
        <w:tab/>
      </w:r>
      <w:r>
        <w:rPr>
          <w:rFonts w:ascii="Arial" w:hAnsi="Arial" w:cs="Arial"/>
          <w:b/>
          <w:bCs/>
          <w:color w:val="000000"/>
          <w:sz w:val="20"/>
        </w:rPr>
        <w:t>Sexual touching</w:t>
      </w:r>
    </w:p>
    <w:p w14:paraId="788A5BCA" w14:textId="0D4612CF" w:rsidR="00744537" w:rsidRDefault="00593E24" w:rsidP="005F39D7">
      <w:pPr>
        <w:spacing w:before="120"/>
        <w:jc w:val="both"/>
        <w:rPr>
          <w:rFonts w:ascii="Arial" w:hAnsi="Arial" w:cs="Arial"/>
          <w:sz w:val="20"/>
          <w:szCs w:val="20"/>
        </w:rPr>
      </w:pPr>
      <w:r w:rsidRPr="005F39D7">
        <w:rPr>
          <w:rFonts w:ascii="Arial" w:hAnsi="Arial" w:cs="Arial"/>
          <w:color w:val="000000"/>
          <w:sz w:val="20"/>
          <w:szCs w:val="20"/>
        </w:rPr>
        <w:t xml:space="preserve">In </w:t>
      </w:r>
      <w:r w:rsidRPr="005F39D7">
        <w:rPr>
          <w:rFonts w:ascii="Arial" w:hAnsi="Arial" w:cs="Arial"/>
          <w:i/>
          <w:iCs/>
          <w:color w:val="000000"/>
          <w:sz w:val="20"/>
          <w:szCs w:val="20"/>
        </w:rPr>
        <w:t xml:space="preserve">AB v </w:t>
      </w:r>
      <w:r w:rsidRPr="005F39D7">
        <w:rPr>
          <w:rFonts w:ascii="Arial" w:hAnsi="Arial" w:cs="Arial"/>
          <w:i/>
          <w:iCs/>
          <w:sz w:val="20"/>
          <w:szCs w:val="20"/>
        </w:rPr>
        <w:t>Paulet</w:t>
      </w:r>
      <w:r w:rsidRPr="005F39D7">
        <w:rPr>
          <w:rFonts w:ascii="Arial" w:hAnsi="Arial" w:cs="Arial"/>
          <w:sz w:val="20"/>
          <w:szCs w:val="20"/>
        </w:rPr>
        <w:t xml:space="preserve"> [2022] VSC 414 on appeal </w:t>
      </w:r>
      <w:r w:rsidR="005F39D7" w:rsidRPr="005F39D7">
        <w:rPr>
          <w:rFonts w:ascii="Arial" w:hAnsi="Arial" w:cs="Arial"/>
          <w:sz w:val="20"/>
          <w:szCs w:val="20"/>
        </w:rPr>
        <w:t>(</w:t>
      </w:r>
      <w:r w:rsidRPr="005F39D7">
        <w:rPr>
          <w:rFonts w:ascii="Arial" w:hAnsi="Arial" w:cs="Arial"/>
          <w:sz w:val="20"/>
          <w:szCs w:val="20"/>
        </w:rPr>
        <w:t>by hearing de novo</w:t>
      </w:r>
      <w:r w:rsidR="005F39D7" w:rsidRPr="005F39D7">
        <w:rPr>
          <w:rFonts w:ascii="Arial" w:hAnsi="Arial" w:cs="Arial"/>
          <w:sz w:val="20"/>
          <w:szCs w:val="20"/>
        </w:rPr>
        <w:t>)</w:t>
      </w:r>
      <w:r w:rsidRPr="005F39D7">
        <w:rPr>
          <w:rFonts w:ascii="Arial" w:hAnsi="Arial" w:cs="Arial"/>
          <w:sz w:val="20"/>
          <w:szCs w:val="20"/>
        </w:rPr>
        <w:t xml:space="preserve"> against conviction by the Magistrates’ Court, the County Court found AB guilty of two charges of sexually assaulting CD and one charge of stalking her and fined AB $10,000 without conviction.  </w:t>
      </w:r>
      <w:r w:rsidR="00744537">
        <w:rPr>
          <w:rFonts w:ascii="Arial" w:hAnsi="Arial" w:cs="Arial"/>
          <w:sz w:val="20"/>
          <w:szCs w:val="20"/>
        </w:rPr>
        <w:t xml:space="preserve">AB had met CD for the first time on a tram.  After 30 minutes of friendly conversation on the tram CD declined AB’s invitation to date.  At CD’s stop, AB followed CD off the tram, well before his stop, and chatted further with her on the footpath.  After declining AB’s request for her phone number, CD put AB’s details into her phone and promised to text him.  The County Court judge had found that, as they went to part, </w:t>
      </w:r>
      <w:r w:rsidR="00744537" w:rsidRPr="005F39D7">
        <w:rPr>
          <w:rFonts w:ascii="Arial" w:hAnsi="Arial" w:cs="Arial"/>
          <w:sz w:val="20"/>
          <w:szCs w:val="20"/>
        </w:rPr>
        <w:t>CD offered her hand to shake but AB pulled her closer and kissed her che</w:t>
      </w:r>
      <w:r w:rsidR="00744537">
        <w:rPr>
          <w:rFonts w:ascii="Arial" w:hAnsi="Arial" w:cs="Arial"/>
          <w:sz w:val="20"/>
          <w:szCs w:val="20"/>
        </w:rPr>
        <w:t xml:space="preserve">ek.  They </w:t>
      </w:r>
      <w:r w:rsidR="00744537" w:rsidRPr="005F39D7">
        <w:rPr>
          <w:rFonts w:ascii="Arial" w:hAnsi="Arial" w:cs="Arial"/>
          <w:sz w:val="20"/>
          <w:szCs w:val="20"/>
        </w:rPr>
        <w:t>then bid each other good evening</w:t>
      </w:r>
      <w:r w:rsidR="00744537">
        <w:rPr>
          <w:rFonts w:ascii="Arial" w:hAnsi="Arial" w:cs="Arial"/>
          <w:sz w:val="20"/>
          <w:szCs w:val="20"/>
        </w:rPr>
        <w:t xml:space="preserve">.  In </w:t>
      </w:r>
      <w:r w:rsidR="00744537" w:rsidRPr="005F39D7">
        <w:rPr>
          <w:rFonts w:ascii="Arial" w:hAnsi="Arial" w:cs="Arial"/>
          <w:sz w:val="20"/>
          <w:szCs w:val="20"/>
        </w:rPr>
        <w:t>cross-examination, CD agreed AB leant in to kiss</w:t>
      </w:r>
      <w:r w:rsidR="00744537">
        <w:rPr>
          <w:rFonts w:ascii="Arial" w:hAnsi="Arial" w:cs="Arial"/>
          <w:sz w:val="20"/>
          <w:szCs w:val="20"/>
        </w:rPr>
        <w:t xml:space="preserve"> her </w:t>
      </w:r>
      <w:r w:rsidR="00744537" w:rsidRPr="005F39D7">
        <w:rPr>
          <w:rFonts w:ascii="Arial" w:hAnsi="Arial" w:cs="Arial"/>
          <w:sz w:val="20"/>
          <w:szCs w:val="20"/>
        </w:rPr>
        <w:t>cheek but did not actually do so, whereas, in re</w:t>
      </w:r>
      <w:r w:rsidR="00744537">
        <w:rPr>
          <w:rFonts w:ascii="Arial" w:hAnsi="Arial" w:cs="Arial"/>
          <w:sz w:val="20"/>
          <w:szCs w:val="20"/>
        </w:rPr>
        <w:noBreakHyphen/>
      </w:r>
      <w:r w:rsidR="00744537" w:rsidRPr="005F39D7">
        <w:rPr>
          <w:rFonts w:ascii="Arial" w:hAnsi="Arial" w:cs="Arial"/>
          <w:sz w:val="20"/>
          <w:szCs w:val="20"/>
        </w:rPr>
        <w:t xml:space="preserve">examination, said she misunderstood </w:t>
      </w:r>
      <w:r w:rsidR="00744537">
        <w:rPr>
          <w:rFonts w:ascii="Arial" w:hAnsi="Arial" w:cs="Arial"/>
          <w:sz w:val="20"/>
          <w:szCs w:val="20"/>
        </w:rPr>
        <w:t xml:space="preserve">the </w:t>
      </w:r>
      <w:r w:rsidR="00744537" w:rsidRPr="005F39D7">
        <w:rPr>
          <w:rFonts w:ascii="Arial" w:hAnsi="Arial" w:cs="Arial"/>
          <w:sz w:val="20"/>
          <w:szCs w:val="20"/>
        </w:rPr>
        <w:t xml:space="preserve">earlier question and confirmed </w:t>
      </w:r>
      <w:r w:rsidR="00744537">
        <w:rPr>
          <w:rFonts w:ascii="Arial" w:hAnsi="Arial" w:cs="Arial"/>
          <w:sz w:val="20"/>
          <w:szCs w:val="20"/>
        </w:rPr>
        <w:t xml:space="preserve">the </w:t>
      </w:r>
      <w:r w:rsidR="00744537" w:rsidRPr="005F39D7">
        <w:rPr>
          <w:rFonts w:ascii="Arial" w:hAnsi="Arial" w:cs="Arial"/>
          <w:sz w:val="20"/>
          <w:szCs w:val="20"/>
        </w:rPr>
        <w:t>kiss occurred</w:t>
      </w:r>
      <w:r w:rsidR="00744537">
        <w:rPr>
          <w:rFonts w:ascii="Arial" w:hAnsi="Arial" w:cs="Arial"/>
          <w:sz w:val="20"/>
          <w:szCs w:val="20"/>
        </w:rPr>
        <w:t>.</w:t>
      </w:r>
    </w:p>
    <w:p w14:paraId="766B6D1C" w14:textId="5995E92E" w:rsidR="00593E24" w:rsidRPr="005F39D7" w:rsidRDefault="005F39D7" w:rsidP="005F39D7">
      <w:pPr>
        <w:spacing w:before="120"/>
        <w:jc w:val="both"/>
        <w:rPr>
          <w:rFonts w:ascii="Arial" w:hAnsi="Arial" w:cs="Arial"/>
          <w:color w:val="000000"/>
          <w:sz w:val="20"/>
          <w:szCs w:val="20"/>
        </w:rPr>
      </w:pPr>
      <w:r w:rsidRPr="005F39D7">
        <w:rPr>
          <w:rFonts w:ascii="Arial" w:hAnsi="Arial" w:cs="Arial"/>
          <w:sz w:val="20"/>
          <w:szCs w:val="20"/>
        </w:rPr>
        <w:t xml:space="preserve">On application by AB for judicial review, </w:t>
      </w:r>
      <w:r w:rsidR="00593E24" w:rsidRPr="005F39D7">
        <w:rPr>
          <w:rFonts w:ascii="Arial" w:hAnsi="Arial" w:cs="Arial"/>
          <w:sz w:val="20"/>
          <w:szCs w:val="20"/>
        </w:rPr>
        <w:t>Croucher</w:t>
      </w:r>
      <w:r w:rsidRPr="005F39D7">
        <w:rPr>
          <w:rFonts w:ascii="Arial" w:hAnsi="Arial" w:cs="Arial"/>
          <w:sz w:val="20"/>
          <w:szCs w:val="20"/>
        </w:rPr>
        <w:t> </w:t>
      </w:r>
      <w:r w:rsidR="00593E24" w:rsidRPr="005F39D7">
        <w:rPr>
          <w:rFonts w:ascii="Arial" w:hAnsi="Arial" w:cs="Arial"/>
          <w:sz w:val="20"/>
          <w:szCs w:val="20"/>
        </w:rPr>
        <w:t xml:space="preserve">J quashed all three findings of </w:t>
      </w:r>
      <w:r w:rsidRPr="005F39D7">
        <w:rPr>
          <w:rFonts w:ascii="Arial" w:hAnsi="Arial" w:cs="Arial"/>
          <w:sz w:val="20"/>
          <w:szCs w:val="20"/>
        </w:rPr>
        <w:t>guilt, held that the evidence was incapable of warranting a finding or conclusion that either instance of touching was sexual</w:t>
      </w:r>
      <w:r>
        <w:rPr>
          <w:rFonts w:ascii="Arial" w:hAnsi="Arial" w:cs="Arial"/>
          <w:sz w:val="20"/>
          <w:szCs w:val="20"/>
        </w:rPr>
        <w:t xml:space="preserve"> and remitted the stalking charge to the County Court for rehearing.  At [</w:t>
      </w:r>
      <w:r w:rsidR="003A2654">
        <w:rPr>
          <w:rFonts w:ascii="Arial" w:hAnsi="Arial" w:cs="Arial"/>
          <w:sz w:val="20"/>
          <w:szCs w:val="20"/>
        </w:rPr>
        <w:t>3</w:t>
      </w:r>
      <w:r>
        <w:rPr>
          <w:rFonts w:ascii="Arial" w:hAnsi="Arial" w:cs="Arial"/>
          <w:sz w:val="20"/>
          <w:szCs w:val="20"/>
        </w:rPr>
        <w:t>]</w:t>
      </w:r>
      <w:r w:rsidR="003A2654">
        <w:rPr>
          <w:rFonts w:ascii="Arial" w:hAnsi="Arial" w:cs="Arial"/>
          <w:sz w:val="20"/>
          <w:szCs w:val="20"/>
        </w:rPr>
        <w:t xml:space="preserve">-[4] </w:t>
      </w:r>
      <w:r w:rsidR="00744537">
        <w:rPr>
          <w:rFonts w:ascii="Arial" w:hAnsi="Arial" w:cs="Arial"/>
          <w:sz w:val="20"/>
          <w:szCs w:val="20"/>
        </w:rPr>
        <w:t>Croucher J</w:t>
      </w:r>
      <w:r w:rsidR="003A2654">
        <w:rPr>
          <w:rFonts w:ascii="Arial" w:hAnsi="Arial" w:cs="Arial"/>
          <w:sz w:val="20"/>
          <w:szCs w:val="20"/>
        </w:rPr>
        <w:t xml:space="preserve"> </w:t>
      </w:r>
      <w:r w:rsidR="00EF6C91">
        <w:rPr>
          <w:rFonts w:ascii="Arial" w:hAnsi="Arial" w:cs="Arial"/>
          <w:sz w:val="20"/>
          <w:szCs w:val="20"/>
        </w:rPr>
        <w:t>summarised his reasons as follows</w:t>
      </w:r>
      <w:r w:rsidR="003A2654">
        <w:rPr>
          <w:rFonts w:ascii="Arial" w:hAnsi="Arial" w:cs="Arial"/>
          <w:sz w:val="20"/>
          <w:szCs w:val="20"/>
        </w:rPr>
        <w:t>:</w:t>
      </w:r>
    </w:p>
    <w:p w14:paraId="717E8C4A" w14:textId="376B4E66" w:rsidR="003A2654" w:rsidRDefault="003A2654" w:rsidP="003A2654">
      <w:pPr>
        <w:spacing w:before="60"/>
        <w:ind w:left="567" w:right="567"/>
        <w:jc w:val="both"/>
        <w:rPr>
          <w:rFonts w:ascii="Arial" w:hAnsi="Arial" w:cs="Arial"/>
          <w:sz w:val="20"/>
          <w:szCs w:val="20"/>
        </w:rPr>
      </w:pPr>
      <w:r>
        <w:rPr>
          <w:rFonts w:ascii="Arial" w:hAnsi="Arial" w:cs="Arial"/>
          <w:sz w:val="20"/>
          <w:szCs w:val="20"/>
        </w:rPr>
        <w:t>“</w:t>
      </w:r>
      <w:r w:rsidRPr="003A2654">
        <w:rPr>
          <w:rFonts w:ascii="Arial" w:hAnsi="Arial" w:cs="Arial"/>
          <w:sz w:val="20"/>
          <w:szCs w:val="20"/>
        </w:rPr>
        <w:t xml:space="preserve">Necessary to his decisions on sexual assault were the judge’s conclusions that AB’s kiss to CD’s cheek and his fleeting touch to the side of her waist over heavy clothing each amounted to </w:t>
      </w:r>
      <w:r w:rsidR="00744537">
        <w:rPr>
          <w:rFonts w:ascii="Arial" w:hAnsi="Arial" w:cs="Arial"/>
          <w:sz w:val="20"/>
          <w:szCs w:val="20"/>
        </w:rPr>
        <w:t>‘</w:t>
      </w:r>
      <w:r w:rsidRPr="003A2654">
        <w:rPr>
          <w:rFonts w:ascii="Arial" w:hAnsi="Arial" w:cs="Arial"/>
          <w:sz w:val="20"/>
          <w:szCs w:val="20"/>
        </w:rPr>
        <w:t>sexual</w:t>
      </w:r>
      <w:r w:rsidR="00744537">
        <w:rPr>
          <w:rFonts w:ascii="Arial" w:hAnsi="Arial" w:cs="Arial"/>
          <w:sz w:val="20"/>
          <w:szCs w:val="20"/>
        </w:rPr>
        <w:t>’</w:t>
      </w:r>
      <w:r w:rsidRPr="003A2654">
        <w:rPr>
          <w:rFonts w:ascii="Arial" w:hAnsi="Arial" w:cs="Arial"/>
          <w:sz w:val="20"/>
          <w:szCs w:val="20"/>
        </w:rPr>
        <w:t xml:space="preserve"> touching, an element of that offence. True it is that the applicable statutory test potentially allows a broad range of physical contact to amount to sexual touching. However, on no rational application of that test to the facts as found, or to the evidence before his Honour, could either instance of touching be classified as sexual. Strikingly, the judge failed even advert to the provisions in which a key part of the statutory test is found. Instead, his Honour must have applied the wrong test, or misapplied the right test, which explains his otherwise inexplicable conclusions on this element.</w:t>
      </w:r>
    </w:p>
    <w:p w14:paraId="74621DCF" w14:textId="08FF4C20" w:rsidR="005F39D7" w:rsidRPr="003A2654" w:rsidRDefault="003A2654" w:rsidP="003A2654">
      <w:pPr>
        <w:spacing w:before="60"/>
        <w:ind w:left="567" w:right="567"/>
        <w:jc w:val="both"/>
        <w:rPr>
          <w:rFonts w:ascii="Arial" w:hAnsi="Arial" w:cs="Arial"/>
          <w:color w:val="000000"/>
          <w:sz w:val="16"/>
          <w:szCs w:val="20"/>
        </w:rPr>
      </w:pPr>
      <w:r w:rsidRPr="003A2654">
        <w:rPr>
          <w:rFonts w:ascii="Arial" w:hAnsi="Arial" w:cs="Arial"/>
          <w:sz w:val="20"/>
          <w:szCs w:val="20"/>
        </w:rPr>
        <w:t>In addition, on all three charges, the judge erred by failing to have regard to relevant matters, including critical parts of AB’s account, and by giving inadequate reasons. Further, there was no evidence for his finding on a material particular of the charge of stalking.</w:t>
      </w:r>
      <w:r>
        <w:rPr>
          <w:rFonts w:ascii="Arial" w:hAnsi="Arial" w:cs="Arial"/>
          <w:sz w:val="20"/>
          <w:szCs w:val="20"/>
        </w:rPr>
        <w:t>”</w:t>
      </w:r>
    </w:p>
    <w:p w14:paraId="0E91C10E" w14:textId="09D6A388" w:rsidR="00EF6C91" w:rsidRDefault="00EF6C91" w:rsidP="00744537">
      <w:pPr>
        <w:spacing w:before="60"/>
        <w:rPr>
          <w:rFonts w:ascii="Arial" w:hAnsi="Arial" w:cs="Arial"/>
          <w:color w:val="000000"/>
          <w:sz w:val="20"/>
        </w:rPr>
      </w:pPr>
      <w:r>
        <w:rPr>
          <w:rFonts w:ascii="Arial" w:hAnsi="Arial" w:cs="Arial"/>
          <w:color w:val="000000"/>
          <w:sz w:val="20"/>
        </w:rPr>
        <w:t>Elaborating on the above summary Croucher J said at [17]-[</w:t>
      </w:r>
      <w:r w:rsidR="00A63670">
        <w:rPr>
          <w:rFonts w:ascii="Arial" w:hAnsi="Arial" w:cs="Arial"/>
          <w:color w:val="000000"/>
          <w:sz w:val="20"/>
        </w:rPr>
        <w:t>29</w:t>
      </w:r>
      <w:r>
        <w:rPr>
          <w:rFonts w:ascii="Arial" w:hAnsi="Arial" w:cs="Arial"/>
          <w:color w:val="000000"/>
          <w:sz w:val="20"/>
        </w:rPr>
        <w:t>]:</w:t>
      </w:r>
    </w:p>
    <w:p w14:paraId="53A4BE88" w14:textId="67B8ABEE" w:rsidR="00EF6C91" w:rsidRDefault="00A63670" w:rsidP="00EF6C91">
      <w:pPr>
        <w:spacing w:before="60"/>
        <w:ind w:left="567" w:right="567"/>
        <w:jc w:val="both"/>
        <w:rPr>
          <w:rFonts w:ascii="Arial" w:hAnsi="Arial" w:cs="Arial"/>
          <w:sz w:val="20"/>
          <w:szCs w:val="20"/>
        </w:rPr>
      </w:pPr>
      <w:r>
        <w:rPr>
          <w:rFonts w:ascii="Arial" w:hAnsi="Arial" w:cs="Arial"/>
          <w:sz w:val="20"/>
          <w:szCs w:val="20"/>
        </w:rPr>
        <w:t xml:space="preserve">[17] </w:t>
      </w:r>
      <w:r w:rsidR="00EF6C91">
        <w:rPr>
          <w:rFonts w:ascii="Arial" w:hAnsi="Arial" w:cs="Arial"/>
          <w:sz w:val="20"/>
          <w:szCs w:val="20"/>
        </w:rPr>
        <w:t>“</w:t>
      </w:r>
      <w:r w:rsidR="00EF6C91" w:rsidRPr="00EF6C91">
        <w:rPr>
          <w:rFonts w:ascii="Arial" w:hAnsi="Arial" w:cs="Arial"/>
          <w:sz w:val="20"/>
          <w:szCs w:val="20"/>
        </w:rPr>
        <w:t xml:space="preserve">On 1 July 2015, the offence of indecent assault was abrogated and replaced with the offence of sexual assault. By s 40(1) of the </w:t>
      </w:r>
      <w:r w:rsidR="00EF6C91" w:rsidRPr="00EF6C91">
        <w:rPr>
          <w:rFonts w:ascii="Arial" w:hAnsi="Arial" w:cs="Arial"/>
          <w:i/>
          <w:iCs/>
          <w:sz w:val="20"/>
          <w:szCs w:val="20"/>
        </w:rPr>
        <w:t>Crimes Act 1958</w:t>
      </w:r>
      <w:r w:rsidR="00EF6C91" w:rsidRPr="00EF6C91">
        <w:rPr>
          <w:rFonts w:ascii="Arial" w:hAnsi="Arial" w:cs="Arial"/>
          <w:sz w:val="20"/>
          <w:szCs w:val="20"/>
        </w:rPr>
        <w:t xml:space="preserve"> (Vic) (“the VCA”), sexual assault is committed if:</w:t>
      </w:r>
    </w:p>
    <w:p w14:paraId="345B05B8" w14:textId="30C28380" w:rsidR="00EF6C91" w:rsidRDefault="00EF6C91" w:rsidP="00EF6C91">
      <w:pPr>
        <w:ind w:left="567" w:right="567"/>
        <w:jc w:val="both"/>
        <w:rPr>
          <w:rFonts w:ascii="Arial" w:hAnsi="Arial" w:cs="Arial"/>
          <w:sz w:val="20"/>
          <w:szCs w:val="20"/>
        </w:rPr>
      </w:pPr>
      <w:r w:rsidRPr="00EF6C91">
        <w:rPr>
          <w:rFonts w:ascii="Arial" w:hAnsi="Arial" w:cs="Arial"/>
          <w:sz w:val="20"/>
          <w:szCs w:val="20"/>
        </w:rPr>
        <w:t>a) a person (</w:t>
      </w:r>
      <w:r w:rsidR="00744537">
        <w:rPr>
          <w:rFonts w:ascii="Arial" w:hAnsi="Arial" w:cs="Arial"/>
          <w:sz w:val="20"/>
          <w:szCs w:val="20"/>
        </w:rPr>
        <w:t>‘</w:t>
      </w:r>
      <w:r w:rsidRPr="00EF6C91">
        <w:rPr>
          <w:rFonts w:ascii="Arial" w:hAnsi="Arial" w:cs="Arial"/>
          <w:sz w:val="20"/>
          <w:szCs w:val="20"/>
        </w:rPr>
        <w:t>the accused</w:t>
      </w:r>
      <w:r w:rsidR="00744537">
        <w:rPr>
          <w:rFonts w:ascii="Arial" w:hAnsi="Arial" w:cs="Arial"/>
          <w:sz w:val="20"/>
          <w:szCs w:val="20"/>
        </w:rPr>
        <w:t>’</w:t>
      </w:r>
      <w:r w:rsidRPr="00EF6C91">
        <w:rPr>
          <w:rFonts w:ascii="Arial" w:hAnsi="Arial" w:cs="Arial"/>
          <w:sz w:val="20"/>
          <w:szCs w:val="20"/>
        </w:rPr>
        <w:t>) intentionally touches another (</w:t>
      </w:r>
      <w:r w:rsidR="00744537">
        <w:rPr>
          <w:rFonts w:ascii="Arial" w:hAnsi="Arial" w:cs="Arial"/>
          <w:sz w:val="20"/>
          <w:szCs w:val="20"/>
        </w:rPr>
        <w:t>‘</w:t>
      </w:r>
      <w:r w:rsidRPr="00EF6C91">
        <w:rPr>
          <w:rFonts w:ascii="Arial" w:hAnsi="Arial" w:cs="Arial"/>
          <w:sz w:val="20"/>
          <w:szCs w:val="20"/>
        </w:rPr>
        <w:t>the complainant</w:t>
      </w:r>
      <w:r w:rsidR="00744537">
        <w:rPr>
          <w:rFonts w:ascii="Arial" w:hAnsi="Arial" w:cs="Arial"/>
          <w:sz w:val="20"/>
          <w:szCs w:val="20"/>
        </w:rPr>
        <w:t>’</w:t>
      </w:r>
      <w:r w:rsidRPr="00EF6C91">
        <w:rPr>
          <w:rFonts w:ascii="Arial" w:hAnsi="Arial" w:cs="Arial"/>
          <w:sz w:val="20"/>
          <w:szCs w:val="20"/>
        </w:rPr>
        <w:t>);</w:t>
      </w:r>
    </w:p>
    <w:p w14:paraId="2FCC0B6D" w14:textId="77777777" w:rsidR="00EF6C91" w:rsidRDefault="00EF6C91" w:rsidP="00EF6C91">
      <w:pPr>
        <w:ind w:left="567" w:right="567"/>
        <w:jc w:val="both"/>
        <w:rPr>
          <w:rFonts w:ascii="Arial" w:hAnsi="Arial" w:cs="Arial"/>
          <w:sz w:val="20"/>
          <w:szCs w:val="20"/>
        </w:rPr>
      </w:pPr>
      <w:r w:rsidRPr="00EF6C91">
        <w:rPr>
          <w:rFonts w:ascii="Arial" w:hAnsi="Arial" w:cs="Arial"/>
          <w:sz w:val="20"/>
          <w:szCs w:val="20"/>
        </w:rPr>
        <w:t>b) the touching is sexual;</w:t>
      </w:r>
    </w:p>
    <w:p w14:paraId="0BE4E16E" w14:textId="77777777" w:rsidR="00EF6C91" w:rsidRDefault="00EF6C91" w:rsidP="00B03E6B">
      <w:pPr>
        <w:ind w:left="567" w:right="567"/>
        <w:jc w:val="both"/>
        <w:rPr>
          <w:rFonts w:ascii="Arial" w:hAnsi="Arial" w:cs="Arial"/>
          <w:sz w:val="20"/>
          <w:szCs w:val="20"/>
        </w:rPr>
      </w:pPr>
      <w:r w:rsidRPr="00EF6C91">
        <w:rPr>
          <w:rFonts w:ascii="Arial" w:hAnsi="Arial" w:cs="Arial"/>
          <w:sz w:val="20"/>
          <w:szCs w:val="20"/>
        </w:rPr>
        <w:t>c) the complainant does not consent to the touching; and</w:t>
      </w:r>
    </w:p>
    <w:p w14:paraId="0F5B04E4" w14:textId="77777777" w:rsidR="00EF6C91" w:rsidRDefault="00EF6C91" w:rsidP="00EF6C91">
      <w:pPr>
        <w:ind w:left="567" w:right="567"/>
        <w:jc w:val="both"/>
        <w:rPr>
          <w:rFonts w:ascii="Arial" w:hAnsi="Arial" w:cs="Arial"/>
          <w:sz w:val="20"/>
          <w:szCs w:val="20"/>
        </w:rPr>
      </w:pPr>
      <w:r w:rsidRPr="00EF6C91">
        <w:rPr>
          <w:rFonts w:ascii="Arial" w:hAnsi="Arial" w:cs="Arial"/>
          <w:sz w:val="20"/>
          <w:szCs w:val="20"/>
        </w:rPr>
        <w:t>d) the accused does not reasonably believe that the complainant consents to the touching.</w:t>
      </w:r>
    </w:p>
    <w:p w14:paraId="0024ACB2" w14:textId="2F5B474C" w:rsidR="00744537" w:rsidRDefault="00A63670" w:rsidP="00EF6C91">
      <w:pPr>
        <w:spacing w:before="60"/>
        <w:ind w:left="567" w:right="567"/>
        <w:jc w:val="both"/>
        <w:rPr>
          <w:rFonts w:ascii="Arial" w:hAnsi="Arial" w:cs="Arial"/>
          <w:sz w:val="20"/>
          <w:szCs w:val="20"/>
        </w:rPr>
      </w:pPr>
      <w:r>
        <w:rPr>
          <w:rFonts w:ascii="Arial" w:hAnsi="Arial" w:cs="Arial"/>
          <w:sz w:val="20"/>
          <w:szCs w:val="20"/>
        </w:rPr>
        <w:t xml:space="preserve">[18] </w:t>
      </w:r>
      <w:r w:rsidR="00EF6C91" w:rsidRPr="00744537">
        <w:rPr>
          <w:rFonts w:ascii="Arial" w:hAnsi="Arial" w:cs="Arial"/>
          <w:sz w:val="20"/>
          <w:szCs w:val="20"/>
        </w:rPr>
        <w:t xml:space="preserve">In the main, this application concerns the second element: sexual touching. </w:t>
      </w:r>
      <w:r w:rsidR="00744537" w:rsidRPr="00744537">
        <w:rPr>
          <w:rFonts w:ascii="Arial" w:hAnsi="Arial" w:cs="Arial"/>
          <w:sz w:val="20"/>
          <w:szCs w:val="20"/>
        </w:rPr>
        <w:t>In relation to the cheek-kiss, AB also challenges the judge’s findings and reasons in respect of the first and third elements of the offence.</w:t>
      </w:r>
      <w:r w:rsidR="00EF6C91" w:rsidRPr="00744537">
        <w:rPr>
          <w:rFonts w:ascii="Arial" w:hAnsi="Arial" w:cs="Arial"/>
          <w:sz w:val="20"/>
          <w:szCs w:val="20"/>
        </w:rPr>
        <w:t xml:space="preserve"> On the meaning of </w:t>
      </w:r>
      <w:r w:rsidR="00744537">
        <w:rPr>
          <w:rFonts w:ascii="Arial" w:hAnsi="Arial" w:cs="Arial"/>
          <w:sz w:val="20"/>
          <w:szCs w:val="20"/>
        </w:rPr>
        <w:t>“</w:t>
      </w:r>
      <w:r w:rsidR="00EF6C91" w:rsidRPr="00744537">
        <w:rPr>
          <w:rFonts w:ascii="Arial" w:hAnsi="Arial" w:cs="Arial"/>
          <w:sz w:val="20"/>
          <w:szCs w:val="20"/>
        </w:rPr>
        <w:t>‘sexual’, in relation to</w:t>
      </w:r>
      <w:r w:rsidR="00EF6C91" w:rsidRPr="00EF6C91">
        <w:rPr>
          <w:rFonts w:ascii="Arial" w:hAnsi="Arial" w:cs="Arial"/>
          <w:sz w:val="20"/>
          <w:szCs w:val="20"/>
        </w:rPr>
        <w:t xml:space="preserve"> touching,” s</w:t>
      </w:r>
      <w:r w:rsidR="00744537">
        <w:rPr>
          <w:rFonts w:ascii="Arial" w:hAnsi="Arial" w:cs="Arial"/>
          <w:sz w:val="20"/>
          <w:szCs w:val="20"/>
        </w:rPr>
        <w:t> </w:t>
      </w:r>
      <w:r w:rsidR="00EF6C91" w:rsidRPr="00EF6C91">
        <w:rPr>
          <w:rFonts w:ascii="Arial" w:hAnsi="Arial" w:cs="Arial"/>
          <w:sz w:val="20"/>
          <w:szCs w:val="20"/>
        </w:rPr>
        <w:t>35(1) of the VCA directs attention to s 35B. Section 35B(2) provides that:</w:t>
      </w:r>
    </w:p>
    <w:p w14:paraId="2E6DE573" w14:textId="77777777" w:rsidR="00744537" w:rsidRDefault="00744537" w:rsidP="00B9162E">
      <w:pPr>
        <w:spacing w:before="60"/>
        <w:ind w:left="1021" w:right="1021"/>
        <w:jc w:val="both"/>
        <w:rPr>
          <w:rFonts w:ascii="Arial" w:hAnsi="Arial" w:cs="Arial"/>
          <w:sz w:val="18"/>
          <w:szCs w:val="18"/>
        </w:rPr>
      </w:pPr>
      <w:r w:rsidRPr="00744537">
        <w:rPr>
          <w:rFonts w:ascii="Arial" w:hAnsi="Arial" w:cs="Arial"/>
          <w:sz w:val="18"/>
          <w:szCs w:val="18"/>
        </w:rPr>
        <w:t>Touching may be sexual due to—</w:t>
      </w:r>
    </w:p>
    <w:p w14:paraId="4D45711B" w14:textId="77777777" w:rsidR="00744537" w:rsidRDefault="00744537" w:rsidP="00744537">
      <w:pPr>
        <w:ind w:left="1021" w:right="1021"/>
        <w:jc w:val="both"/>
        <w:rPr>
          <w:rFonts w:ascii="Arial" w:hAnsi="Arial" w:cs="Arial"/>
          <w:sz w:val="18"/>
          <w:szCs w:val="18"/>
        </w:rPr>
      </w:pPr>
      <w:r w:rsidRPr="00744537">
        <w:rPr>
          <w:rFonts w:ascii="Arial" w:hAnsi="Arial" w:cs="Arial"/>
          <w:sz w:val="18"/>
          <w:szCs w:val="18"/>
        </w:rPr>
        <w:t>(a) the area of the body that is touched or used in the touching, including (but not limited to) the genital or anal region, the buttocks or, in the case of a female or a person who identifies as a female, the breasts; or</w:t>
      </w:r>
    </w:p>
    <w:p w14:paraId="60BB8CBC" w14:textId="77777777" w:rsidR="00744537" w:rsidRDefault="00744537" w:rsidP="00744537">
      <w:pPr>
        <w:ind w:left="1021" w:right="1021"/>
        <w:jc w:val="both"/>
        <w:rPr>
          <w:rFonts w:ascii="Arial" w:hAnsi="Arial" w:cs="Arial"/>
          <w:sz w:val="18"/>
          <w:szCs w:val="18"/>
        </w:rPr>
      </w:pPr>
      <w:r w:rsidRPr="00744537">
        <w:rPr>
          <w:rFonts w:ascii="Arial" w:hAnsi="Arial" w:cs="Arial"/>
          <w:sz w:val="18"/>
          <w:szCs w:val="18"/>
        </w:rPr>
        <w:t>(b) the fact that the person doing the touching seeks or gets sexual arousal or sexual gratification from the touching; or</w:t>
      </w:r>
    </w:p>
    <w:p w14:paraId="5447842C" w14:textId="1612ED74" w:rsidR="00744537" w:rsidRDefault="00744537" w:rsidP="00744537">
      <w:pPr>
        <w:ind w:left="1021" w:right="1021"/>
        <w:jc w:val="both"/>
        <w:rPr>
          <w:rFonts w:ascii="Arial" w:hAnsi="Arial" w:cs="Arial"/>
          <w:sz w:val="20"/>
          <w:szCs w:val="20"/>
        </w:rPr>
      </w:pPr>
      <w:r w:rsidRPr="00744537">
        <w:rPr>
          <w:rFonts w:ascii="Arial" w:hAnsi="Arial" w:cs="Arial"/>
          <w:sz w:val="18"/>
          <w:szCs w:val="18"/>
        </w:rPr>
        <w:t>(c) any other aspect of the touching, including the circumstances in which it is done.</w:t>
      </w:r>
    </w:p>
    <w:p w14:paraId="580EB730" w14:textId="6BDFD70F" w:rsidR="00744537" w:rsidRDefault="00A63670" w:rsidP="00EF6C91">
      <w:pPr>
        <w:spacing w:before="60"/>
        <w:ind w:left="567" w:right="567"/>
        <w:jc w:val="both"/>
        <w:rPr>
          <w:rFonts w:ascii="Arial" w:hAnsi="Arial" w:cs="Arial"/>
          <w:sz w:val="20"/>
          <w:szCs w:val="20"/>
        </w:rPr>
      </w:pPr>
      <w:r>
        <w:rPr>
          <w:rFonts w:ascii="Arial" w:hAnsi="Arial" w:cs="Arial"/>
          <w:sz w:val="20"/>
          <w:szCs w:val="20"/>
        </w:rPr>
        <w:t xml:space="preserve">[19] </w:t>
      </w:r>
      <w:r w:rsidR="00EF6C91" w:rsidRPr="00EF6C91">
        <w:rPr>
          <w:rFonts w:ascii="Arial" w:hAnsi="Arial" w:cs="Arial"/>
          <w:sz w:val="20"/>
          <w:szCs w:val="20"/>
        </w:rPr>
        <w:t>Section 48B(a) provides that it is no defence to sexual assault that the accused was under a mistaken but honest and reasonable belief that the touching was not sexual.</w:t>
      </w:r>
    </w:p>
    <w:p w14:paraId="5CF89E82" w14:textId="717E8F22" w:rsidR="00744537" w:rsidRDefault="00A63670" w:rsidP="00EF6C91">
      <w:pPr>
        <w:spacing w:before="60"/>
        <w:ind w:left="567" w:right="567"/>
        <w:jc w:val="both"/>
        <w:rPr>
          <w:rFonts w:ascii="Arial" w:hAnsi="Arial" w:cs="Arial"/>
          <w:sz w:val="20"/>
          <w:szCs w:val="20"/>
        </w:rPr>
      </w:pPr>
      <w:r>
        <w:rPr>
          <w:rFonts w:ascii="Arial" w:hAnsi="Arial" w:cs="Arial"/>
          <w:sz w:val="20"/>
          <w:szCs w:val="20"/>
        </w:rPr>
        <w:t xml:space="preserve">[20] </w:t>
      </w:r>
      <w:r w:rsidR="00EF6C91" w:rsidRPr="00EF6C91">
        <w:rPr>
          <w:rFonts w:ascii="Arial" w:hAnsi="Arial" w:cs="Arial"/>
          <w:sz w:val="20"/>
          <w:szCs w:val="20"/>
        </w:rPr>
        <w:t>Sexual assault was designed to replace “the outdated and ambiguous concept of ‘indecency’ with the clearer concept of sexual touching without consent”. As we shall see, however, the new provisions are, in some respects, not so easily construed, and do not lend themselves to a simple statement of the test for when touching will be sexual.</w:t>
      </w:r>
    </w:p>
    <w:p w14:paraId="149B713A" w14:textId="1F9B63F0" w:rsidR="00A63670" w:rsidRDefault="00A63670" w:rsidP="00EF6C91">
      <w:pPr>
        <w:spacing w:before="60"/>
        <w:ind w:left="567" w:right="567"/>
        <w:jc w:val="both"/>
        <w:rPr>
          <w:rFonts w:ascii="Arial" w:hAnsi="Arial" w:cs="Arial"/>
          <w:sz w:val="20"/>
          <w:szCs w:val="20"/>
        </w:rPr>
      </w:pPr>
      <w:r>
        <w:rPr>
          <w:rFonts w:ascii="Arial" w:hAnsi="Arial" w:cs="Arial"/>
          <w:sz w:val="20"/>
          <w:szCs w:val="20"/>
        </w:rPr>
        <w:t xml:space="preserve">[21] </w:t>
      </w:r>
      <w:r w:rsidR="00EF6C91" w:rsidRPr="00EF6C91">
        <w:rPr>
          <w:rFonts w:ascii="Arial" w:hAnsi="Arial" w:cs="Arial"/>
          <w:sz w:val="20"/>
          <w:szCs w:val="20"/>
        </w:rPr>
        <w:t>Nevertheless, I have concluded that the question whether an instance of touching was sexual is to be determined objectively, having regard to the considerations mentioned in s</w:t>
      </w:r>
      <w:r w:rsidR="00744537">
        <w:rPr>
          <w:rFonts w:ascii="Arial" w:hAnsi="Arial" w:cs="Arial"/>
          <w:sz w:val="20"/>
          <w:szCs w:val="20"/>
        </w:rPr>
        <w:t> </w:t>
      </w:r>
      <w:r w:rsidR="00EF6C91" w:rsidRPr="00EF6C91">
        <w:rPr>
          <w:rFonts w:ascii="Arial" w:hAnsi="Arial" w:cs="Arial"/>
          <w:sz w:val="20"/>
          <w:szCs w:val="20"/>
        </w:rPr>
        <w:t xml:space="preserve">35B(2), and to the overriding requirement in s 40(1)(b) itself that the touching be </w:t>
      </w:r>
      <w:r w:rsidR="00744537">
        <w:rPr>
          <w:rFonts w:ascii="Arial" w:hAnsi="Arial" w:cs="Arial"/>
          <w:sz w:val="20"/>
          <w:szCs w:val="20"/>
        </w:rPr>
        <w:t>‘</w:t>
      </w:r>
      <w:r w:rsidR="00EF6C91" w:rsidRPr="00EF6C91">
        <w:rPr>
          <w:rFonts w:ascii="Arial" w:hAnsi="Arial" w:cs="Arial"/>
          <w:sz w:val="20"/>
          <w:szCs w:val="20"/>
        </w:rPr>
        <w:t>sexual</w:t>
      </w:r>
      <w:r w:rsidR="00744537">
        <w:rPr>
          <w:rFonts w:ascii="Arial" w:hAnsi="Arial" w:cs="Arial"/>
          <w:sz w:val="20"/>
          <w:szCs w:val="20"/>
        </w:rPr>
        <w:t>’</w:t>
      </w:r>
      <w:r w:rsidR="00EF6C91" w:rsidRPr="00EF6C91">
        <w:rPr>
          <w:rFonts w:ascii="Arial" w:hAnsi="Arial" w:cs="Arial"/>
          <w:sz w:val="20"/>
          <w:szCs w:val="20"/>
        </w:rPr>
        <w:t xml:space="preserve">. However, some subjective considerations may be relevant to that determination. One example is whether the accused had a sexual purpose specified in s 35B(2)(b). Another is </w:t>
      </w:r>
      <w:r w:rsidR="00EF6C91" w:rsidRPr="00EF6C91">
        <w:rPr>
          <w:rFonts w:ascii="Arial" w:hAnsi="Arial" w:cs="Arial"/>
          <w:sz w:val="20"/>
          <w:szCs w:val="20"/>
        </w:rPr>
        <w:lastRenderedPageBreak/>
        <w:t>whether the accused had a non-sexual purpose for the touching (as distinct from a belief of the kind mentioned in s 48B(a)).</w:t>
      </w:r>
    </w:p>
    <w:p w14:paraId="2D8CDDC7" w14:textId="242A3756" w:rsidR="00A63670" w:rsidRDefault="00A63670" w:rsidP="00EF6C91">
      <w:pPr>
        <w:spacing w:before="60"/>
        <w:ind w:left="567" w:right="567"/>
        <w:jc w:val="both"/>
        <w:rPr>
          <w:rFonts w:ascii="Arial" w:hAnsi="Arial" w:cs="Arial"/>
          <w:sz w:val="20"/>
          <w:szCs w:val="20"/>
        </w:rPr>
      </w:pPr>
      <w:r>
        <w:rPr>
          <w:rFonts w:ascii="Arial" w:hAnsi="Arial" w:cs="Arial"/>
          <w:sz w:val="20"/>
          <w:szCs w:val="20"/>
        </w:rPr>
        <w:t xml:space="preserve">[22] </w:t>
      </w:r>
      <w:r w:rsidR="00EF6C91" w:rsidRPr="00EF6C91">
        <w:rPr>
          <w:rFonts w:ascii="Arial" w:hAnsi="Arial" w:cs="Arial"/>
          <w:sz w:val="20"/>
          <w:szCs w:val="20"/>
        </w:rPr>
        <w:t>In my view, neither the judge’s findings of fact nor any aspect of the evidence could allow either instance of touching to be held to be sexual. I have scoured the evidence and the judge’s reasons for something that might justify or explain the impugned conclusions. But I have found nothing.</w:t>
      </w:r>
    </w:p>
    <w:p w14:paraId="5DC8301E" w14:textId="2F050843" w:rsidR="00A63670" w:rsidRDefault="00A63670" w:rsidP="00EF6C91">
      <w:pPr>
        <w:spacing w:before="60"/>
        <w:ind w:left="567" w:right="567"/>
        <w:jc w:val="both"/>
        <w:rPr>
          <w:rFonts w:ascii="Arial" w:hAnsi="Arial" w:cs="Arial"/>
          <w:sz w:val="20"/>
          <w:szCs w:val="20"/>
        </w:rPr>
      </w:pPr>
      <w:r>
        <w:rPr>
          <w:rFonts w:ascii="Arial" w:hAnsi="Arial" w:cs="Arial"/>
          <w:sz w:val="20"/>
          <w:szCs w:val="20"/>
        </w:rPr>
        <w:t xml:space="preserve">[23] </w:t>
      </w:r>
      <w:r w:rsidR="00EF6C91" w:rsidRPr="00EF6C91">
        <w:rPr>
          <w:rFonts w:ascii="Arial" w:hAnsi="Arial" w:cs="Arial"/>
          <w:sz w:val="20"/>
          <w:szCs w:val="20"/>
        </w:rPr>
        <w:t>Only by application of the wrong test, misapplication of the right test, irrational reasoning and/or guesswork could the conclusions that these instances of touching were sexual be reached. Limited though they are, the judge’s reasons show that he erred in these ways. Astonishingly, his Honour made no mention of s 35B(2) or its terms either in his reasons or during the hearing (nor, for that matter, did counsel raise this provision). The facts as found by the judge were incapable of warranting a conclusion, in law, that either instance of touching was sexual. No aspect of the evidence, absent speculation, was capable rationally of establishing any fact that might justify a conclusion of sexual touching.</w:t>
      </w:r>
    </w:p>
    <w:p w14:paraId="206EB355" w14:textId="4BDAEDAE" w:rsidR="00A63670" w:rsidRDefault="00A63670" w:rsidP="00EF6C91">
      <w:pPr>
        <w:spacing w:before="60"/>
        <w:ind w:left="567" w:right="567"/>
        <w:jc w:val="both"/>
        <w:rPr>
          <w:rFonts w:ascii="Arial" w:hAnsi="Arial" w:cs="Arial"/>
          <w:sz w:val="20"/>
          <w:szCs w:val="20"/>
        </w:rPr>
      </w:pPr>
      <w:r>
        <w:rPr>
          <w:rFonts w:ascii="Arial" w:hAnsi="Arial" w:cs="Arial"/>
          <w:sz w:val="20"/>
          <w:szCs w:val="20"/>
        </w:rPr>
        <w:t xml:space="preserve">[24] </w:t>
      </w:r>
      <w:r w:rsidR="00EF6C91" w:rsidRPr="00EF6C91">
        <w:rPr>
          <w:rFonts w:ascii="Arial" w:hAnsi="Arial" w:cs="Arial"/>
          <w:sz w:val="20"/>
          <w:szCs w:val="20"/>
        </w:rPr>
        <w:t xml:space="preserve">I also consider that the judge erred by failing to have regard to AB’s explanations for the charged instances of touching. In particular, his Honour did not even mention that AB told police that he went to kiss CD on the cheek </w:t>
      </w:r>
      <w:r>
        <w:rPr>
          <w:rFonts w:ascii="Arial" w:hAnsi="Arial" w:cs="Arial"/>
          <w:sz w:val="20"/>
          <w:szCs w:val="20"/>
        </w:rPr>
        <w:t>‘</w:t>
      </w:r>
      <w:r w:rsidR="00EF6C91" w:rsidRPr="00EF6C91">
        <w:rPr>
          <w:rFonts w:ascii="Arial" w:hAnsi="Arial" w:cs="Arial"/>
          <w:sz w:val="20"/>
          <w:szCs w:val="20"/>
        </w:rPr>
        <w:t>as a gesture … of a good way, not like it’s a man and a woman</w:t>
      </w:r>
      <w:r>
        <w:rPr>
          <w:rFonts w:ascii="Arial" w:hAnsi="Arial" w:cs="Arial"/>
          <w:sz w:val="20"/>
          <w:szCs w:val="20"/>
        </w:rPr>
        <w:t>’</w:t>
      </w:r>
      <w:r w:rsidR="00EF6C91" w:rsidRPr="00EF6C91">
        <w:rPr>
          <w:rFonts w:ascii="Arial" w:hAnsi="Arial" w:cs="Arial"/>
          <w:sz w:val="20"/>
          <w:szCs w:val="20"/>
        </w:rPr>
        <w:t>, or that he said that he was just trying to get CD’s attention when he touched her waist.</w:t>
      </w:r>
    </w:p>
    <w:p w14:paraId="1635B3F6" w14:textId="0607450D" w:rsidR="00A63670" w:rsidRDefault="00A63670" w:rsidP="00EF6C91">
      <w:pPr>
        <w:spacing w:before="60"/>
        <w:ind w:left="567" w:right="567"/>
        <w:jc w:val="both"/>
        <w:rPr>
          <w:rFonts w:ascii="Arial" w:hAnsi="Arial" w:cs="Arial"/>
          <w:sz w:val="20"/>
          <w:szCs w:val="20"/>
        </w:rPr>
      </w:pPr>
      <w:r>
        <w:rPr>
          <w:rFonts w:ascii="Arial" w:hAnsi="Arial" w:cs="Arial"/>
          <w:sz w:val="20"/>
          <w:szCs w:val="20"/>
        </w:rPr>
        <w:t xml:space="preserve">[25] </w:t>
      </w:r>
      <w:r w:rsidR="00EF6C91" w:rsidRPr="00EF6C91">
        <w:rPr>
          <w:rFonts w:ascii="Arial" w:hAnsi="Arial" w:cs="Arial"/>
          <w:sz w:val="20"/>
          <w:szCs w:val="20"/>
        </w:rPr>
        <w:t>Further, the judge did not adequately explain why he concluded that these instances of touching were sexual, and I find that his Honour fell into error in this respect, too.</w:t>
      </w:r>
    </w:p>
    <w:p w14:paraId="31F30B50" w14:textId="7DDDA1A6" w:rsidR="00A63670" w:rsidRDefault="00A63670" w:rsidP="00EF6C91">
      <w:pPr>
        <w:spacing w:before="60"/>
        <w:ind w:left="567" w:right="567"/>
        <w:jc w:val="both"/>
        <w:rPr>
          <w:rFonts w:ascii="Arial" w:hAnsi="Arial" w:cs="Arial"/>
          <w:sz w:val="20"/>
          <w:szCs w:val="20"/>
        </w:rPr>
      </w:pPr>
      <w:r>
        <w:rPr>
          <w:rFonts w:ascii="Arial" w:hAnsi="Arial" w:cs="Arial"/>
          <w:sz w:val="20"/>
          <w:szCs w:val="20"/>
        </w:rPr>
        <w:t xml:space="preserve">[26] </w:t>
      </w:r>
      <w:r w:rsidR="00EF6C91" w:rsidRPr="00EF6C91">
        <w:rPr>
          <w:rFonts w:ascii="Arial" w:hAnsi="Arial" w:cs="Arial"/>
          <w:sz w:val="20"/>
          <w:szCs w:val="20"/>
        </w:rPr>
        <w:t>Accordingly, the findings of guilt on the sexual assault charges are vitiated by jurisdictional error and error of law on the face of the record.</w:t>
      </w:r>
    </w:p>
    <w:p w14:paraId="360E68C1" w14:textId="0F4FB23D" w:rsidR="00EF6C91" w:rsidRDefault="00A63670" w:rsidP="00EF6C91">
      <w:pPr>
        <w:spacing w:before="60"/>
        <w:ind w:left="567" w:right="567"/>
        <w:jc w:val="both"/>
        <w:rPr>
          <w:rFonts w:ascii="Arial" w:hAnsi="Arial" w:cs="Arial"/>
          <w:sz w:val="20"/>
          <w:szCs w:val="20"/>
        </w:rPr>
      </w:pPr>
      <w:r>
        <w:rPr>
          <w:rFonts w:ascii="Arial" w:hAnsi="Arial" w:cs="Arial"/>
          <w:sz w:val="20"/>
          <w:szCs w:val="20"/>
        </w:rPr>
        <w:t xml:space="preserve">[27] </w:t>
      </w:r>
      <w:r w:rsidR="00EF6C91" w:rsidRPr="00EF6C91">
        <w:rPr>
          <w:rFonts w:ascii="Arial" w:hAnsi="Arial" w:cs="Arial"/>
          <w:sz w:val="20"/>
          <w:szCs w:val="20"/>
        </w:rPr>
        <w:t>I accept that the finding of guilt of stalking is also tainted with vitiating legal errors.</w:t>
      </w:r>
    </w:p>
    <w:p w14:paraId="7F757592" w14:textId="733A33C3" w:rsidR="00A63670" w:rsidRDefault="00A63670" w:rsidP="00EF6C91">
      <w:pPr>
        <w:spacing w:before="60"/>
        <w:ind w:left="567" w:right="567"/>
        <w:jc w:val="both"/>
        <w:rPr>
          <w:rFonts w:ascii="Arial" w:hAnsi="Arial" w:cs="Arial"/>
          <w:sz w:val="20"/>
          <w:szCs w:val="20"/>
        </w:rPr>
      </w:pPr>
      <w:r>
        <w:rPr>
          <w:rFonts w:ascii="Arial" w:hAnsi="Arial" w:cs="Arial"/>
          <w:sz w:val="20"/>
          <w:szCs w:val="20"/>
        </w:rPr>
        <w:t xml:space="preserve">[28] One </w:t>
      </w:r>
      <w:r w:rsidRPr="00A63670">
        <w:rPr>
          <w:rFonts w:ascii="Arial" w:hAnsi="Arial" w:cs="Arial"/>
          <w:sz w:val="20"/>
          <w:szCs w:val="20"/>
        </w:rPr>
        <w:t>example arises out of the judge’s finding that, during their interaction on the second occasion, despite CD telling him not to follow her, AB did just that — by following her onto the tram she took shortly thereafter. But, on closer analysis, CD’s own evidence was incapable of proving that AB had boarded the same tram at all. Instead, it showed that, after CD’s remarks, the two went their separate ways.</w:t>
      </w:r>
    </w:p>
    <w:p w14:paraId="1AE0BFF8" w14:textId="2FEEEB42" w:rsidR="00A63670" w:rsidRPr="00EF6C91" w:rsidRDefault="00A63670" w:rsidP="00EF6C91">
      <w:pPr>
        <w:spacing w:before="60"/>
        <w:ind w:left="567" w:right="567"/>
        <w:jc w:val="both"/>
        <w:rPr>
          <w:rFonts w:ascii="Arial" w:hAnsi="Arial" w:cs="Arial"/>
          <w:color w:val="000000"/>
          <w:sz w:val="16"/>
          <w:szCs w:val="20"/>
        </w:rPr>
      </w:pPr>
      <w:r>
        <w:rPr>
          <w:rFonts w:ascii="Arial" w:hAnsi="Arial" w:cs="Arial"/>
          <w:sz w:val="20"/>
          <w:szCs w:val="20"/>
        </w:rPr>
        <w:t xml:space="preserve">[29] </w:t>
      </w:r>
      <w:r w:rsidRPr="00A63670">
        <w:rPr>
          <w:rFonts w:ascii="Arial" w:hAnsi="Arial" w:cs="Arial"/>
          <w:sz w:val="20"/>
          <w:szCs w:val="20"/>
        </w:rPr>
        <w:t>The judge’s reasons on stalking were inadequate as well. For example, it is at least unclear whether his Honour found that AB hit the tram during his final interaction with CD, an allegation for which, the Director conceded, there was in the end no evidence. For this reason, and others, it is unclear on which of the instances of conduct alleged the judge reached the finding of guilt of stalking.</w:t>
      </w:r>
      <w:r>
        <w:rPr>
          <w:rFonts w:ascii="Arial" w:hAnsi="Arial" w:cs="Arial"/>
          <w:sz w:val="20"/>
          <w:szCs w:val="20"/>
        </w:rPr>
        <w:t>”</w:t>
      </w:r>
    </w:p>
    <w:p w14:paraId="60DE71E4" w14:textId="77777777" w:rsidR="004458C6" w:rsidRDefault="004458C6" w:rsidP="004458C6">
      <w:pPr>
        <w:ind w:left="720" w:hanging="720"/>
        <w:jc w:val="both"/>
        <w:rPr>
          <w:rFonts w:ascii="Arial" w:hAnsi="Arial" w:cs="Arial"/>
          <w:sz w:val="20"/>
          <w:szCs w:val="20"/>
        </w:rPr>
      </w:pPr>
    </w:p>
    <w:p w14:paraId="12ECCE5A" w14:textId="768398E1" w:rsidR="00D46F48" w:rsidRPr="00D81EFC" w:rsidRDefault="00D46F48" w:rsidP="00D46F48">
      <w:pPr>
        <w:pStyle w:val="Heading3"/>
        <w:keepNext/>
        <w:keepLines/>
        <w:widowControl/>
        <w:spacing w:line="240" w:lineRule="auto"/>
        <w:rPr>
          <w:rFonts w:ascii="Arial" w:hAnsi="Arial" w:cs="Arial"/>
          <w:b/>
          <w:bCs/>
          <w:color w:val="000000"/>
          <w:sz w:val="20"/>
        </w:rPr>
      </w:pPr>
      <w:r w:rsidRPr="00D81EFC">
        <w:rPr>
          <w:rFonts w:ascii="Arial" w:hAnsi="Arial" w:cs="Arial"/>
          <w:b/>
          <w:bCs/>
          <w:color w:val="000000"/>
          <w:sz w:val="20"/>
        </w:rPr>
        <w:t>7.12.</w:t>
      </w:r>
      <w:r>
        <w:rPr>
          <w:rFonts w:ascii="Arial" w:hAnsi="Arial" w:cs="Arial"/>
          <w:b/>
          <w:bCs/>
          <w:color w:val="000000"/>
          <w:sz w:val="20"/>
        </w:rPr>
        <w:t>5</w:t>
      </w:r>
      <w:r w:rsidRPr="00D81EFC">
        <w:rPr>
          <w:rFonts w:ascii="Arial" w:hAnsi="Arial" w:cs="Arial"/>
          <w:b/>
          <w:bCs/>
          <w:color w:val="000000"/>
          <w:sz w:val="20"/>
        </w:rPr>
        <w:tab/>
      </w:r>
      <w:r>
        <w:rPr>
          <w:rFonts w:ascii="Arial" w:hAnsi="Arial" w:cs="Arial"/>
          <w:b/>
          <w:bCs/>
          <w:color w:val="000000"/>
          <w:sz w:val="20"/>
        </w:rPr>
        <w:t>Dangerous driving causing death/serious injury</w:t>
      </w:r>
    </w:p>
    <w:p w14:paraId="15634C5B" w14:textId="77777777" w:rsidR="00D46F48" w:rsidRPr="00D46F48" w:rsidRDefault="00D46F48" w:rsidP="00D46F48">
      <w:pPr>
        <w:spacing w:before="120"/>
        <w:jc w:val="both"/>
        <w:rPr>
          <w:rFonts w:ascii="Arial" w:hAnsi="Arial" w:cs="Arial"/>
          <w:sz w:val="20"/>
          <w:szCs w:val="20"/>
        </w:rPr>
      </w:pPr>
      <w:r w:rsidRPr="00D46F48">
        <w:rPr>
          <w:rFonts w:ascii="Arial" w:hAnsi="Arial" w:cs="Arial"/>
          <w:b/>
          <w:bCs/>
          <w:i/>
          <w:iCs/>
          <w:sz w:val="20"/>
          <w:szCs w:val="20"/>
        </w:rPr>
        <w:t>R v Duong</w:t>
      </w:r>
      <w:r w:rsidRPr="00D46F48">
        <w:rPr>
          <w:rFonts w:ascii="Arial" w:hAnsi="Arial" w:cs="Arial"/>
          <w:sz w:val="20"/>
          <w:szCs w:val="20"/>
        </w:rPr>
        <w:t xml:space="preserve"> [2022] VSC 816 was a judge-alone trial in the Supreme Court in which the accused, Kevin Duong, was charged with one count of dangerous driving causing death contrary to s.319(1) </w:t>
      </w:r>
      <w:r w:rsidRPr="00D46F48">
        <w:rPr>
          <w:rFonts w:ascii="Arial" w:hAnsi="Arial" w:cs="Arial"/>
          <w:i/>
          <w:iCs/>
          <w:sz w:val="20"/>
          <w:szCs w:val="20"/>
        </w:rPr>
        <w:t>Crimes Act 1958</w:t>
      </w:r>
      <w:r w:rsidRPr="00D46F48">
        <w:rPr>
          <w:rFonts w:ascii="Arial" w:hAnsi="Arial" w:cs="Arial"/>
          <w:sz w:val="20"/>
          <w:szCs w:val="20"/>
        </w:rPr>
        <w:t>.  The trial was heard in the Supreme Court rather than the County Court due to backlogs caused by the COVID-19 pandemic.  The focus of the charge was that Mr Duong drove in a manner (not a speed) that was dangerous to the public having regard to all the circumstances of the case.  Jane Dixon J dismissed the charge.</w:t>
      </w:r>
    </w:p>
    <w:p w14:paraId="1D74FF34" w14:textId="77777777" w:rsidR="00D46F48" w:rsidRPr="00D46F48" w:rsidRDefault="00D46F48" w:rsidP="00D46F48">
      <w:pPr>
        <w:jc w:val="both"/>
        <w:rPr>
          <w:rFonts w:ascii="Arial" w:hAnsi="Arial" w:cs="Arial"/>
          <w:sz w:val="20"/>
          <w:szCs w:val="20"/>
        </w:rPr>
      </w:pPr>
    </w:p>
    <w:p w14:paraId="2C6F2497" w14:textId="77777777" w:rsidR="00D46F48" w:rsidRPr="00D46F48" w:rsidRDefault="00D46F48" w:rsidP="00D46F48">
      <w:pPr>
        <w:jc w:val="both"/>
        <w:rPr>
          <w:rFonts w:ascii="Arial" w:hAnsi="Arial" w:cs="Arial"/>
          <w:sz w:val="20"/>
          <w:szCs w:val="20"/>
        </w:rPr>
      </w:pPr>
      <w:r w:rsidRPr="00D46F48">
        <w:rPr>
          <w:rFonts w:ascii="Arial" w:hAnsi="Arial" w:cs="Arial"/>
          <w:sz w:val="20"/>
          <w:szCs w:val="20"/>
        </w:rPr>
        <w:t>At [13]-[36] her Honour summarised the general directions given in a criminal trial which a judge sitting alone must apply.  In particular at [21]-[30] her Honour detailed the basis on which she was required to assess the credibility and reliability of each witness (including at [24]-[30] the special requirements for expert witnesses) and the appropriate weight to be attached to their evidence.</w:t>
      </w:r>
    </w:p>
    <w:p w14:paraId="3EDB7F42" w14:textId="77777777" w:rsidR="00D46F48" w:rsidRPr="00D46F48" w:rsidRDefault="00D46F48" w:rsidP="00D46F48">
      <w:pPr>
        <w:jc w:val="both"/>
        <w:rPr>
          <w:rFonts w:ascii="Arial" w:hAnsi="Arial" w:cs="Arial"/>
          <w:sz w:val="20"/>
          <w:szCs w:val="20"/>
        </w:rPr>
      </w:pPr>
    </w:p>
    <w:p w14:paraId="05ADEEFB" w14:textId="77777777" w:rsidR="00D46F48" w:rsidRPr="00D46F48" w:rsidRDefault="00D46F48" w:rsidP="00D46F48">
      <w:pPr>
        <w:jc w:val="both"/>
        <w:rPr>
          <w:rFonts w:ascii="Arial" w:hAnsi="Arial" w:cs="Arial"/>
          <w:sz w:val="20"/>
          <w:szCs w:val="20"/>
        </w:rPr>
      </w:pPr>
      <w:r w:rsidRPr="00D46F48">
        <w:rPr>
          <w:rFonts w:ascii="Arial" w:hAnsi="Arial" w:cs="Arial"/>
          <w:sz w:val="20"/>
          <w:szCs w:val="20"/>
        </w:rPr>
        <w:t>On the evening of Saturday 20 July 2019 at approximately 8:40pm Mr Duong – then aged 25 – had driven his Holden Astra vehicle [WHP111] out of a service station at the south-west corner of the intersection of Blackburn and Wellington Roads in Clayton and had crossed three northbound traffic lanes in Blackburn Rd before entering the right turn lane.  With a green light facing him he then commenced to turn right in order to head east in Wellington Rd.</w:t>
      </w:r>
    </w:p>
    <w:p w14:paraId="2EF09BD8" w14:textId="77777777" w:rsidR="00DE3B13" w:rsidRPr="00D46F48" w:rsidRDefault="00DE3B13" w:rsidP="00DE3B13">
      <w:pPr>
        <w:jc w:val="both"/>
        <w:rPr>
          <w:rFonts w:ascii="Arial" w:hAnsi="Arial" w:cs="Arial"/>
          <w:sz w:val="20"/>
          <w:szCs w:val="20"/>
        </w:rPr>
      </w:pPr>
    </w:p>
    <w:p w14:paraId="5F978BBA" w14:textId="77777777" w:rsidR="00DE3B13" w:rsidRPr="00D46F48" w:rsidRDefault="00DE3B13" w:rsidP="00DE3B13">
      <w:pPr>
        <w:jc w:val="both"/>
        <w:rPr>
          <w:rFonts w:ascii="Arial" w:hAnsi="Arial" w:cs="Arial"/>
          <w:sz w:val="20"/>
          <w:szCs w:val="20"/>
        </w:rPr>
      </w:pPr>
      <w:r w:rsidRPr="00D46F48">
        <w:rPr>
          <w:rFonts w:ascii="Arial" w:hAnsi="Arial" w:cs="Arial"/>
          <w:sz w:val="20"/>
          <w:szCs w:val="20"/>
        </w:rPr>
        <w:t>The 18 year old deceased, David Dang, was sitting in a wheelchair restrained in the rear of a Maxi Cab M5549 which was travelling south in the left hand lane of Blackburn Rd.  The Maxi Cab was “probably travelling at a speed of between 50 to 70 kilometres per hour before [the driver] apprehended the risk of a collision”.  The speed limit governing the Maxi Cab was 70kph.  Jane Dixon J was satisfied that the Maxi Cab entered the intersection on a green light and had right of way to proceed straight through the intersection.  A collision occurred between the two vehicles and Mr Dang sustained life-threatening injuries from which he died in hospital early the following day.</w:t>
      </w:r>
    </w:p>
    <w:p w14:paraId="10DAA4CA" w14:textId="77777777" w:rsidR="00DE3B13" w:rsidRPr="00D46F48" w:rsidRDefault="00DE3B13" w:rsidP="00D46F48">
      <w:pPr>
        <w:jc w:val="both"/>
        <w:rPr>
          <w:rFonts w:ascii="Arial" w:hAnsi="Arial" w:cs="Arial"/>
          <w:sz w:val="20"/>
          <w:szCs w:val="20"/>
        </w:rPr>
      </w:pPr>
    </w:p>
    <w:p w14:paraId="653F8B4E" w14:textId="77777777" w:rsidR="00D46F48" w:rsidRPr="00D46F48" w:rsidRDefault="00D46F48" w:rsidP="00D46F48">
      <w:pPr>
        <w:jc w:val="center"/>
        <w:rPr>
          <w:rFonts w:ascii="Arial" w:hAnsi="Arial" w:cs="Arial"/>
        </w:rPr>
      </w:pPr>
      <w:r w:rsidRPr="00D46F48">
        <w:rPr>
          <w:rFonts w:ascii="Arial" w:hAnsi="Arial" w:cs="Arial"/>
          <w:noProof/>
        </w:rPr>
        <w:drawing>
          <wp:inline distT="0" distB="0" distL="0" distR="0" wp14:anchorId="105E7FC9" wp14:editId="1458EF47">
            <wp:extent cx="2577111" cy="289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11768"/>
                    <a:stretch/>
                  </pic:blipFill>
                  <pic:spPr bwMode="auto">
                    <a:xfrm>
                      <a:off x="0" y="0"/>
                      <a:ext cx="2577111" cy="2898000"/>
                    </a:xfrm>
                    <a:prstGeom prst="rect">
                      <a:avLst/>
                    </a:prstGeom>
                    <a:ln>
                      <a:noFill/>
                    </a:ln>
                    <a:extLst>
                      <a:ext uri="{53640926-AAD7-44D8-BBD7-CCE9431645EC}">
                        <a14:shadowObscured xmlns:a14="http://schemas.microsoft.com/office/drawing/2010/main"/>
                      </a:ext>
                    </a:extLst>
                  </pic:spPr>
                </pic:pic>
              </a:graphicData>
            </a:graphic>
          </wp:inline>
        </w:drawing>
      </w:r>
      <w:r w:rsidRPr="00D46F48">
        <w:rPr>
          <w:rFonts w:ascii="Arial" w:hAnsi="Arial" w:cs="Arial"/>
        </w:rPr>
        <w:t xml:space="preserve">    </w:t>
      </w:r>
      <w:r w:rsidRPr="00D46F48">
        <w:rPr>
          <w:rFonts w:ascii="Arial" w:hAnsi="Arial" w:cs="Arial"/>
          <w:noProof/>
        </w:rPr>
        <w:drawing>
          <wp:inline distT="0" distB="0" distL="0" distR="0" wp14:anchorId="32E0458B" wp14:editId="60D8BBA9">
            <wp:extent cx="2625967" cy="2880000"/>
            <wp:effectExtent l="19050" t="19050" r="22225" b="15875"/>
            <wp:docPr id="2" name="Picture 2" descr="Compass SVG Nautical Clipart Navigation Compass Nautical DXF 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ss SVG Nautical Clipart Navigation Compass Nautical DXF image 1"/>
                    <pic:cNvPicPr>
                      <a:picLocks noChangeAspect="1" noChangeArrowheads="1"/>
                    </pic:cNvPicPr>
                  </pic:nvPicPr>
                  <pic:blipFill rotWithShape="1">
                    <a:blip r:embed="rId42">
                      <a:extLst>
                        <a:ext uri="{28A0092B-C50C-407E-A947-70E740481C1C}">
                          <a14:useLocalDpi xmlns:a14="http://schemas.microsoft.com/office/drawing/2010/main" val="0"/>
                        </a:ext>
                      </a:extLst>
                    </a:blip>
                    <a:srcRect l="16133" r="15427"/>
                    <a:stretch/>
                  </pic:blipFill>
                  <pic:spPr bwMode="auto">
                    <a:xfrm>
                      <a:off x="0" y="0"/>
                      <a:ext cx="2625967" cy="2880000"/>
                    </a:xfrm>
                    <a:prstGeom prst="rect">
                      <a:avLst/>
                    </a:prstGeom>
                    <a:noFill/>
                    <a:ln w="12700">
                      <a:solidFill>
                        <a:schemeClr val="tx1"/>
                      </a:solidFill>
                    </a:ln>
                    <a:extLst>
                      <a:ext uri="{53640926-AAD7-44D8-BBD7-CCE9431645EC}">
                        <a14:shadowObscured xmlns:a14="http://schemas.microsoft.com/office/drawing/2010/main"/>
                      </a:ext>
                    </a:extLst>
                  </pic:spPr>
                </pic:pic>
              </a:graphicData>
            </a:graphic>
          </wp:inline>
        </w:drawing>
      </w:r>
    </w:p>
    <w:p w14:paraId="7F88CB97" w14:textId="77777777" w:rsidR="00D46F48" w:rsidRPr="00D46F48" w:rsidRDefault="00D46F48" w:rsidP="00D46F48">
      <w:pPr>
        <w:jc w:val="both"/>
        <w:rPr>
          <w:rFonts w:ascii="Arial" w:hAnsi="Arial" w:cs="Arial"/>
          <w:sz w:val="20"/>
          <w:szCs w:val="20"/>
        </w:rPr>
      </w:pPr>
    </w:p>
    <w:p w14:paraId="3DF74A41" w14:textId="77777777" w:rsidR="00D46F48" w:rsidRPr="00D46F48" w:rsidRDefault="00D46F48" w:rsidP="00D46F48">
      <w:pPr>
        <w:jc w:val="both"/>
        <w:rPr>
          <w:rFonts w:ascii="Arial" w:hAnsi="Arial" w:cs="Arial"/>
          <w:sz w:val="20"/>
          <w:szCs w:val="20"/>
        </w:rPr>
      </w:pPr>
      <w:r w:rsidRPr="00D46F48">
        <w:rPr>
          <w:rFonts w:ascii="Arial" w:hAnsi="Arial" w:cs="Arial"/>
          <w:sz w:val="20"/>
          <w:szCs w:val="20"/>
        </w:rPr>
        <w:t>The accused's driving was not adversely impacted by drug or alcohol use, sleep deprivation, tiredness, poor eyesight, inattention through being distracted by others, or use of a phone.  He was not driving at an excessive speed and speed was not a contributing factor in the collision.  Jane Dixon J accepted evidence that the accused's usual manner of driving was, and is, generally careful and attentive, that he had no prior criminal history nor any recorded traffic violations.  Her Honour was satisfied that the accused was familiar with and experienced in using the intersection and that there was no evidence of poor driving behaviour by him prior to the moment before the collision.</w:t>
      </w:r>
    </w:p>
    <w:p w14:paraId="52E876C1" w14:textId="77777777" w:rsidR="00D46F48" w:rsidRPr="00D46F48" w:rsidRDefault="00D46F48" w:rsidP="00D46F48">
      <w:pPr>
        <w:jc w:val="both"/>
        <w:rPr>
          <w:rFonts w:ascii="Arial" w:hAnsi="Arial" w:cs="Arial"/>
          <w:sz w:val="20"/>
          <w:szCs w:val="20"/>
        </w:rPr>
      </w:pPr>
    </w:p>
    <w:p w14:paraId="3B20AD78" w14:textId="77777777" w:rsidR="00D46F48" w:rsidRPr="00D46F48" w:rsidRDefault="00D46F48" w:rsidP="00D46F48">
      <w:pPr>
        <w:jc w:val="both"/>
        <w:rPr>
          <w:rFonts w:ascii="Arial" w:hAnsi="Arial" w:cs="Arial"/>
          <w:sz w:val="20"/>
          <w:szCs w:val="20"/>
        </w:rPr>
      </w:pPr>
      <w:r w:rsidRPr="00D46F48">
        <w:rPr>
          <w:rFonts w:ascii="Arial" w:hAnsi="Arial" w:cs="Arial"/>
          <w:sz w:val="20"/>
          <w:szCs w:val="20"/>
        </w:rPr>
        <w:t>In dismissing the charge Jane Dixon J said at [281]-[290] [emphasis added]:</w:t>
      </w:r>
    </w:p>
    <w:p w14:paraId="6FABA8E3" w14:textId="77777777" w:rsidR="00D46F48" w:rsidRPr="00D46F48" w:rsidRDefault="00D46F48" w:rsidP="00D46F48">
      <w:pPr>
        <w:spacing w:before="60"/>
        <w:ind w:left="567" w:right="567"/>
        <w:jc w:val="both"/>
        <w:rPr>
          <w:rFonts w:ascii="Arial" w:hAnsi="Arial" w:cs="Arial"/>
          <w:sz w:val="20"/>
          <w:szCs w:val="20"/>
        </w:rPr>
      </w:pPr>
      <w:r w:rsidRPr="00D46F48">
        <w:rPr>
          <w:rFonts w:ascii="Arial" w:hAnsi="Arial" w:cs="Arial"/>
          <w:sz w:val="20"/>
          <w:szCs w:val="20"/>
        </w:rPr>
        <w:t>[281] “An error involving a failure to give way may, but will not always, involve a failure to keep a proper lookout for oncoming vehicles. The act of driving on a public highway usually involves a multiplicity of decisions about when it is safe to enter or traverse through a lane of traffic.  A driver may be keeping a lookout but misjudge the speed of oncoming traffic or its distance away.</w:t>
      </w:r>
    </w:p>
    <w:p w14:paraId="277AF391" w14:textId="77777777" w:rsidR="00D46F48" w:rsidRPr="00D46F48" w:rsidRDefault="00D46F48" w:rsidP="00D46F48">
      <w:pPr>
        <w:spacing w:before="60"/>
        <w:ind w:left="567" w:right="567"/>
        <w:jc w:val="both"/>
        <w:rPr>
          <w:rFonts w:ascii="Arial" w:hAnsi="Arial" w:cs="Arial"/>
          <w:sz w:val="20"/>
          <w:szCs w:val="20"/>
        </w:rPr>
      </w:pPr>
      <w:r w:rsidRPr="00D46F48">
        <w:rPr>
          <w:rFonts w:ascii="Arial" w:hAnsi="Arial" w:cs="Arial"/>
          <w:sz w:val="20"/>
          <w:szCs w:val="20"/>
        </w:rPr>
        <w:t xml:space="preserve">[282] In my opinion, this case is similar to the case of </w:t>
      </w:r>
      <w:r w:rsidRPr="00D46F48">
        <w:rPr>
          <w:rFonts w:ascii="Arial" w:hAnsi="Arial" w:cs="Arial"/>
          <w:i/>
          <w:iCs/>
          <w:sz w:val="20"/>
          <w:szCs w:val="20"/>
        </w:rPr>
        <w:t xml:space="preserve">McBride v The Queen </w:t>
      </w:r>
      <w:r w:rsidRPr="00D46F48">
        <w:rPr>
          <w:rFonts w:ascii="Arial" w:hAnsi="Arial" w:cs="Arial"/>
          <w:sz w:val="20"/>
          <w:szCs w:val="20"/>
        </w:rPr>
        <w:t>(1966) 115 CLR 44 where Barwick CJ said at 49: ‘Beyond the inference which could be drawn from these basic facts there was no direct evidence that the applicant was driving inattentively, and particularly no specific evidence that he was so inattentive that his driving was dangerous to the public.’</w:t>
      </w:r>
    </w:p>
    <w:p w14:paraId="32DED91E" w14:textId="77777777" w:rsidR="00D46F48" w:rsidRPr="00D46F48" w:rsidRDefault="00D46F48" w:rsidP="00D46F48">
      <w:pPr>
        <w:spacing w:before="60"/>
        <w:ind w:left="567" w:right="567"/>
        <w:jc w:val="both"/>
        <w:rPr>
          <w:rFonts w:ascii="Arial" w:hAnsi="Arial" w:cs="Arial"/>
          <w:sz w:val="20"/>
          <w:szCs w:val="20"/>
        </w:rPr>
      </w:pPr>
      <w:r w:rsidRPr="00D46F48">
        <w:rPr>
          <w:rFonts w:ascii="Arial" w:hAnsi="Arial" w:cs="Arial"/>
          <w:sz w:val="20"/>
          <w:szCs w:val="20"/>
        </w:rPr>
        <w:t>[283] … I was persuaded…, based on the evidence of D/Sgt Williams, that the design of traffic signals at the time of the collision was less than ideal, having regard to the applicable speed limits for cars travelling along Wellington Road and Blackburn Road, and bearing in mind the degree of difficulty for drivers in judging the speed of an oncoming vehicle (relative to a vehicle viewed from the side). I appreciate that the difficulty of this exercise would be even greater at night time…</w:t>
      </w:r>
    </w:p>
    <w:p w14:paraId="2A3C2CC4" w14:textId="77777777" w:rsidR="00D46F48" w:rsidRPr="00D46F48" w:rsidRDefault="00D46F48" w:rsidP="00D46F48">
      <w:pPr>
        <w:spacing w:before="60"/>
        <w:ind w:left="567" w:right="567"/>
        <w:jc w:val="both"/>
        <w:rPr>
          <w:rFonts w:ascii="Arial" w:hAnsi="Arial" w:cs="Arial"/>
          <w:sz w:val="20"/>
          <w:szCs w:val="20"/>
        </w:rPr>
      </w:pPr>
      <w:r w:rsidRPr="00D46F48">
        <w:rPr>
          <w:rFonts w:ascii="Arial" w:hAnsi="Arial" w:cs="Arial"/>
          <w:sz w:val="20"/>
          <w:szCs w:val="20"/>
        </w:rPr>
        <w:t xml:space="preserve">[285] In considering whether the accused’s driving was dangerous, I am conscious that there must be some feature which is identified not as a want to care, but which subjects the public to some risk over and above that ordinarily associated with the driving of a motor vehicle, including driving by persons who may on occasions drive with less than due care and attention: </w:t>
      </w:r>
      <w:r w:rsidRPr="00D46F48">
        <w:rPr>
          <w:rFonts w:ascii="Arial" w:hAnsi="Arial" w:cs="Arial"/>
          <w:i/>
          <w:iCs/>
          <w:sz w:val="20"/>
          <w:szCs w:val="20"/>
        </w:rPr>
        <w:t>Jiminez</w:t>
      </w:r>
      <w:r w:rsidRPr="00D46F48">
        <w:rPr>
          <w:rFonts w:ascii="Arial" w:hAnsi="Arial" w:cs="Arial"/>
          <w:sz w:val="20"/>
          <w:szCs w:val="20"/>
        </w:rPr>
        <w:t xml:space="preserve"> (1992) 173 CLR 572 (Mason CJ, Brennan, Deane, Dawson, Toohey and Gaudron JJ).</w:t>
      </w:r>
    </w:p>
    <w:p w14:paraId="618E1F03" w14:textId="77777777" w:rsidR="00D46F48" w:rsidRPr="00D46F48" w:rsidRDefault="00D46F48" w:rsidP="00D46F48">
      <w:pPr>
        <w:spacing w:before="60"/>
        <w:ind w:left="567" w:right="567"/>
        <w:jc w:val="both"/>
        <w:rPr>
          <w:rFonts w:ascii="Arial" w:hAnsi="Arial" w:cs="Arial"/>
          <w:sz w:val="20"/>
          <w:szCs w:val="20"/>
        </w:rPr>
      </w:pPr>
      <w:r w:rsidRPr="00D46F48">
        <w:rPr>
          <w:rFonts w:ascii="Arial" w:hAnsi="Arial" w:cs="Arial"/>
          <w:sz w:val="20"/>
          <w:szCs w:val="20"/>
        </w:rPr>
        <w:t xml:space="preserve">[286] This case is different from the facts and evidence present in </w:t>
      </w:r>
      <w:r w:rsidRPr="00D46F48">
        <w:rPr>
          <w:rFonts w:ascii="Arial" w:hAnsi="Arial" w:cs="Arial"/>
          <w:i/>
          <w:iCs/>
          <w:sz w:val="20"/>
          <w:szCs w:val="20"/>
        </w:rPr>
        <w:t>Georgiou v The Queen</w:t>
      </w:r>
      <w:r w:rsidRPr="00D46F48">
        <w:rPr>
          <w:rFonts w:ascii="Arial" w:hAnsi="Arial" w:cs="Arial"/>
          <w:sz w:val="20"/>
          <w:szCs w:val="20"/>
        </w:rPr>
        <w:t xml:space="preserve"> [2022] VSCA 172…[where the] trial judge made a finding that the driver was inattentive to the roadway ahead of her for nine seconds, and that because of that prolonged period of inattention she was guilty of dangerous driving.</w:t>
      </w:r>
    </w:p>
    <w:p w14:paraId="24489EB1" w14:textId="77777777" w:rsidR="00D46F48" w:rsidRPr="00D46F48" w:rsidRDefault="00D46F48" w:rsidP="00D46F48">
      <w:pPr>
        <w:spacing w:before="60"/>
        <w:ind w:left="567" w:right="567"/>
        <w:jc w:val="both"/>
        <w:rPr>
          <w:rFonts w:ascii="Arial" w:hAnsi="Arial" w:cs="Arial"/>
          <w:b/>
          <w:bCs/>
          <w:sz w:val="20"/>
          <w:szCs w:val="20"/>
        </w:rPr>
      </w:pPr>
      <w:r w:rsidRPr="00D46F48">
        <w:rPr>
          <w:rFonts w:ascii="Arial" w:hAnsi="Arial" w:cs="Arial"/>
          <w:sz w:val="20"/>
          <w:szCs w:val="20"/>
        </w:rPr>
        <w:t xml:space="preserve">[287] In the present case, I am not satisfied that the accused's manner of driving prior to the collision created risks that significantly exceeded the risks ordinarily associated with driving (which is an inherently risky activity). I have kept in mind that people do not always drive as they should. </w:t>
      </w:r>
      <w:r w:rsidRPr="00D46F48">
        <w:rPr>
          <w:rFonts w:ascii="Arial" w:hAnsi="Arial" w:cs="Arial"/>
          <w:b/>
          <w:bCs/>
          <w:sz w:val="20"/>
          <w:szCs w:val="20"/>
        </w:rPr>
        <w:t>The mere fact that a collision occurred due to an error in the accused's driving does not mean that driving must have been dangerous</w:t>
      </w:r>
      <w:r w:rsidRPr="00D46F48">
        <w:rPr>
          <w:rFonts w:ascii="Arial" w:hAnsi="Arial" w:cs="Arial"/>
          <w:i/>
          <w:iCs/>
          <w:sz w:val="20"/>
          <w:szCs w:val="20"/>
        </w:rPr>
        <w:t xml:space="preserve">: see </w:t>
      </w:r>
      <w:r w:rsidRPr="00D46F48">
        <w:rPr>
          <w:rFonts w:ascii="Arial" w:hAnsi="Arial" w:cs="Arial"/>
          <w:sz w:val="20"/>
          <w:szCs w:val="20"/>
        </w:rPr>
        <w:lastRenderedPageBreak/>
        <w:t xml:space="preserve">Criminal Charge Book at #7.2.6.  There was nothing intrinsically dangerous about the accused’s manner of driving, taking into consideration the particular circumstances surrounding it. </w:t>
      </w:r>
      <w:r w:rsidRPr="00D46F48">
        <w:rPr>
          <w:rFonts w:ascii="Arial" w:hAnsi="Arial" w:cs="Arial"/>
          <w:b/>
          <w:bCs/>
          <w:sz w:val="20"/>
          <w:szCs w:val="20"/>
        </w:rPr>
        <w:t>Negligence, even in some glaring respect, is not enough to make out dangerous driving</w:t>
      </w:r>
      <w:r w:rsidRPr="00D46F48">
        <w:rPr>
          <w:rFonts w:ascii="Arial" w:hAnsi="Arial" w:cs="Arial"/>
          <w:sz w:val="20"/>
          <w:szCs w:val="20"/>
        </w:rPr>
        <w:t xml:space="preserve">: </w:t>
      </w:r>
      <w:r w:rsidRPr="00D46F48">
        <w:rPr>
          <w:rFonts w:ascii="Arial" w:hAnsi="Arial" w:cs="Arial"/>
          <w:i/>
          <w:iCs/>
          <w:sz w:val="20"/>
          <w:szCs w:val="20"/>
        </w:rPr>
        <w:t>McBride</w:t>
      </w:r>
      <w:r w:rsidRPr="00D46F48">
        <w:rPr>
          <w:rFonts w:ascii="Arial" w:hAnsi="Arial" w:cs="Arial"/>
          <w:sz w:val="20"/>
          <w:szCs w:val="20"/>
        </w:rPr>
        <w:t xml:space="preserve"> at 51.</w:t>
      </w:r>
    </w:p>
    <w:p w14:paraId="10FCB5A9" w14:textId="77777777" w:rsidR="00D46F48" w:rsidRPr="00D46F48" w:rsidRDefault="00D46F48" w:rsidP="00D46F48">
      <w:pPr>
        <w:spacing w:before="60"/>
        <w:ind w:left="567" w:right="567"/>
        <w:jc w:val="both"/>
        <w:rPr>
          <w:rFonts w:ascii="Arial" w:hAnsi="Arial" w:cs="Arial"/>
          <w:sz w:val="20"/>
          <w:szCs w:val="20"/>
        </w:rPr>
      </w:pPr>
      <w:r w:rsidRPr="00D46F48">
        <w:rPr>
          <w:rFonts w:ascii="Arial" w:hAnsi="Arial" w:cs="Arial"/>
          <w:sz w:val="20"/>
          <w:szCs w:val="20"/>
        </w:rPr>
        <w:t xml:space="preserve">[288] In order for the prosecution to establish dangerous driving, it must be proven beyond reasonable doubt that Mr Duong’s driving involved such a serious breach of the proper conduct of a vehicle upon the highway so as to be in reality – and not speculatively – dangerous to others. </w:t>
      </w:r>
      <w:r w:rsidRPr="00D46F48">
        <w:rPr>
          <w:rFonts w:ascii="Arial" w:hAnsi="Arial" w:cs="Arial"/>
          <w:b/>
          <w:bCs/>
          <w:sz w:val="20"/>
          <w:szCs w:val="20"/>
        </w:rPr>
        <w:t>This does not involve a mere breach of duty however grave to a particular person having significance only if damage is caused thereby</w:t>
      </w:r>
      <w:r w:rsidRPr="00D46F48">
        <w:rPr>
          <w:rFonts w:ascii="Arial" w:hAnsi="Arial" w:cs="Arial"/>
          <w:sz w:val="20"/>
          <w:szCs w:val="20"/>
        </w:rPr>
        <w:t xml:space="preserve">: </w:t>
      </w:r>
      <w:r w:rsidRPr="00D46F48">
        <w:rPr>
          <w:rFonts w:ascii="Arial" w:hAnsi="Arial" w:cs="Arial"/>
          <w:i/>
          <w:iCs/>
          <w:sz w:val="20"/>
          <w:szCs w:val="20"/>
        </w:rPr>
        <w:t>McBride</w:t>
      </w:r>
      <w:r w:rsidRPr="00D46F48">
        <w:rPr>
          <w:rFonts w:ascii="Arial" w:hAnsi="Arial" w:cs="Arial"/>
          <w:sz w:val="20"/>
          <w:szCs w:val="20"/>
        </w:rPr>
        <w:t xml:space="preserve"> at 50.</w:t>
      </w:r>
    </w:p>
    <w:p w14:paraId="49D1C134" w14:textId="77777777" w:rsidR="00D46F48" w:rsidRPr="00D46F48" w:rsidRDefault="00D46F48" w:rsidP="00D46F48">
      <w:pPr>
        <w:spacing w:before="60"/>
        <w:ind w:left="567" w:right="567"/>
        <w:jc w:val="both"/>
        <w:rPr>
          <w:rFonts w:ascii="Arial" w:hAnsi="Arial" w:cs="Arial"/>
          <w:sz w:val="20"/>
          <w:szCs w:val="20"/>
        </w:rPr>
      </w:pPr>
      <w:r w:rsidRPr="00D46F48">
        <w:rPr>
          <w:rFonts w:ascii="Arial" w:hAnsi="Arial" w:cs="Arial"/>
          <w:sz w:val="20"/>
          <w:szCs w:val="20"/>
        </w:rPr>
        <w:t xml:space="preserve">[289] Whilst various scenarios might account for the accused's failure to give way when he proceeded to turn through the lane in which Mr Singh was travelling – thereby leading to the collision – </w:t>
      </w:r>
      <w:r w:rsidRPr="00D46F48">
        <w:rPr>
          <w:rFonts w:ascii="Arial" w:hAnsi="Arial" w:cs="Arial"/>
          <w:b/>
          <w:bCs/>
          <w:sz w:val="20"/>
          <w:szCs w:val="20"/>
        </w:rPr>
        <w:t>I cannot exclude the reasonable possibility that the accused acted as a result of a relatively spontaneous and momentary error of judgment or perception or some combination of the two.</w:t>
      </w:r>
    </w:p>
    <w:p w14:paraId="0EEDB332" w14:textId="77777777" w:rsidR="00D46F48" w:rsidRPr="00D46F48" w:rsidRDefault="00D46F48" w:rsidP="00D46F48">
      <w:pPr>
        <w:spacing w:before="60"/>
        <w:ind w:left="567" w:right="567"/>
        <w:jc w:val="both"/>
        <w:rPr>
          <w:rFonts w:ascii="Arial" w:hAnsi="Arial" w:cs="Arial"/>
          <w:sz w:val="20"/>
          <w:szCs w:val="20"/>
        </w:rPr>
      </w:pPr>
      <w:r w:rsidRPr="00D46F48">
        <w:rPr>
          <w:rFonts w:ascii="Arial" w:hAnsi="Arial" w:cs="Arial"/>
          <w:sz w:val="20"/>
          <w:szCs w:val="20"/>
        </w:rPr>
        <w:t>[290] The evidence does not satisfy me that the accused drove in a manner dangerous to the public, having regard to all the circumstances of the case. I am not satisfied that the prosecution have discharged their onus to establish guilt of dangerous driving to the very high standard of proof required in criminal cases, being proof beyond reasonable doubt.”</w:t>
      </w:r>
    </w:p>
    <w:p w14:paraId="50004DB2" w14:textId="77777777" w:rsidR="00D46F48" w:rsidRPr="00D46F48" w:rsidRDefault="00D46F48" w:rsidP="00D46F48">
      <w:pPr>
        <w:jc w:val="both"/>
        <w:rPr>
          <w:rFonts w:ascii="Arial" w:hAnsi="Arial" w:cs="Arial"/>
          <w:sz w:val="20"/>
          <w:szCs w:val="20"/>
        </w:rPr>
      </w:pPr>
    </w:p>
    <w:p w14:paraId="36B178E9" w14:textId="77777777" w:rsidR="00D46F48" w:rsidRPr="00D46F48" w:rsidRDefault="00D46F48" w:rsidP="00D46F48">
      <w:pPr>
        <w:jc w:val="both"/>
        <w:rPr>
          <w:rFonts w:ascii="Arial" w:hAnsi="Arial" w:cs="Arial"/>
          <w:sz w:val="20"/>
          <w:szCs w:val="20"/>
        </w:rPr>
      </w:pPr>
      <w:r w:rsidRPr="00D46F48">
        <w:rPr>
          <w:rFonts w:ascii="Arial" w:hAnsi="Arial" w:cs="Arial"/>
          <w:sz w:val="20"/>
          <w:szCs w:val="20"/>
        </w:rPr>
        <w:t>Since Jane Dixon J found that Mr Duong’s driving was not dangerous, her Honour did not consider it necessary to determine the additional issue of whether the impact from the collision was the substantial and operating cause of Mr Dang’s death or whether the collision impact was merely ancillary to the improper fastening of his seatbelts and was not legally causative of his death.</w:t>
      </w:r>
    </w:p>
    <w:p w14:paraId="3EE571C9" w14:textId="77777777" w:rsidR="00053497" w:rsidRPr="00D46F48" w:rsidRDefault="00053497" w:rsidP="00053497">
      <w:pPr>
        <w:jc w:val="both"/>
        <w:rPr>
          <w:rFonts w:ascii="Arial" w:hAnsi="Arial" w:cs="Arial"/>
          <w:sz w:val="20"/>
          <w:szCs w:val="20"/>
        </w:rPr>
      </w:pPr>
      <w:bookmarkStart w:id="507" w:name="_Hlk147754752"/>
    </w:p>
    <w:p w14:paraId="034B135A" w14:textId="67C4378D" w:rsidR="00053497" w:rsidRPr="00D81EFC" w:rsidRDefault="00053497" w:rsidP="008A7E3B">
      <w:pPr>
        <w:pStyle w:val="Heading3"/>
        <w:keepNext/>
        <w:keepLines/>
        <w:widowControl/>
        <w:spacing w:after="120" w:line="240" w:lineRule="auto"/>
        <w:rPr>
          <w:rFonts w:ascii="Arial" w:hAnsi="Arial" w:cs="Arial"/>
          <w:b/>
          <w:bCs/>
          <w:color w:val="000000"/>
          <w:sz w:val="20"/>
        </w:rPr>
      </w:pPr>
      <w:bookmarkStart w:id="508" w:name="_7.12.7_Theft"/>
      <w:bookmarkEnd w:id="508"/>
      <w:r w:rsidRPr="00D81EFC">
        <w:rPr>
          <w:rFonts w:ascii="Arial" w:hAnsi="Arial" w:cs="Arial"/>
          <w:b/>
          <w:bCs/>
          <w:color w:val="000000"/>
          <w:sz w:val="20"/>
        </w:rPr>
        <w:t>7.12.</w:t>
      </w:r>
      <w:r w:rsidR="001458BB">
        <w:rPr>
          <w:rFonts w:ascii="Arial" w:hAnsi="Arial" w:cs="Arial"/>
          <w:b/>
          <w:bCs/>
          <w:color w:val="000000"/>
          <w:sz w:val="20"/>
        </w:rPr>
        <w:t>6</w:t>
      </w:r>
      <w:r w:rsidRPr="00D81EFC">
        <w:rPr>
          <w:rFonts w:ascii="Arial" w:hAnsi="Arial" w:cs="Arial"/>
          <w:b/>
          <w:bCs/>
          <w:color w:val="000000"/>
          <w:sz w:val="20"/>
        </w:rPr>
        <w:tab/>
      </w:r>
      <w:r>
        <w:rPr>
          <w:rFonts w:ascii="Arial" w:hAnsi="Arial" w:cs="Arial"/>
          <w:b/>
          <w:bCs/>
          <w:color w:val="000000"/>
          <w:sz w:val="20"/>
        </w:rPr>
        <w:t>Theft</w:t>
      </w:r>
    </w:p>
    <w:p w14:paraId="4A727B2A" w14:textId="77777777" w:rsidR="0000550B" w:rsidRDefault="0000550B" w:rsidP="00D46F48">
      <w:pPr>
        <w:jc w:val="both"/>
        <w:rPr>
          <w:rFonts w:ascii="Arial" w:hAnsi="Arial" w:cs="Arial"/>
          <w:sz w:val="20"/>
          <w:szCs w:val="20"/>
        </w:rPr>
      </w:pPr>
      <w:r>
        <w:rPr>
          <w:rFonts w:ascii="Arial" w:hAnsi="Arial" w:cs="Arial"/>
          <w:sz w:val="20"/>
          <w:szCs w:val="20"/>
        </w:rPr>
        <w:t>The basic definition of ‘theft’ is in s.</w:t>
      </w:r>
      <w:r w:rsidR="00F1462D">
        <w:rPr>
          <w:rFonts w:ascii="Arial" w:hAnsi="Arial" w:cs="Arial"/>
          <w:sz w:val="20"/>
          <w:szCs w:val="20"/>
        </w:rPr>
        <w:t xml:space="preserve">72 of the </w:t>
      </w:r>
      <w:r w:rsidR="00F1462D" w:rsidRPr="0000550B">
        <w:rPr>
          <w:rFonts w:ascii="Arial" w:hAnsi="Arial" w:cs="Arial"/>
          <w:i/>
          <w:iCs/>
          <w:sz w:val="20"/>
          <w:szCs w:val="20"/>
        </w:rPr>
        <w:t>Crimes Act 1958</w:t>
      </w:r>
      <w:r w:rsidR="00F1462D">
        <w:rPr>
          <w:rFonts w:ascii="Arial" w:hAnsi="Arial" w:cs="Arial"/>
          <w:sz w:val="20"/>
          <w:szCs w:val="20"/>
        </w:rPr>
        <w:t xml:space="preserve"> (Vic):</w:t>
      </w:r>
    </w:p>
    <w:p w14:paraId="08B2B80C" w14:textId="4EE4DF52" w:rsidR="0000550B" w:rsidRDefault="0000550B" w:rsidP="0000550B">
      <w:pPr>
        <w:spacing w:before="60"/>
        <w:ind w:left="1021" w:right="567" w:hanging="454"/>
        <w:jc w:val="both"/>
        <w:rPr>
          <w:rFonts w:ascii="Arial" w:hAnsi="Arial" w:cs="Arial"/>
          <w:sz w:val="20"/>
          <w:szCs w:val="20"/>
        </w:rPr>
      </w:pPr>
      <w:r w:rsidRPr="0000550B">
        <w:rPr>
          <w:rFonts w:ascii="Arial" w:hAnsi="Arial" w:cs="Arial"/>
          <w:sz w:val="20"/>
          <w:szCs w:val="20"/>
        </w:rPr>
        <w:t>“(1)</w:t>
      </w:r>
      <w:r w:rsidRPr="0000550B">
        <w:rPr>
          <w:rFonts w:ascii="Arial" w:hAnsi="Arial" w:cs="Arial"/>
          <w:sz w:val="20"/>
          <w:szCs w:val="20"/>
        </w:rPr>
        <w:tab/>
        <w:t>A person steals if he dishonestly appropriates property belonging to another with the intention of permanently depriving the other of it.</w:t>
      </w:r>
    </w:p>
    <w:p w14:paraId="1FC30173" w14:textId="231AB908" w:rsidR="0000550B" w:rsidRPr="0000550B" w:rsidRDefault="0000550B" w:rsidP="0000550B">
      <w:pPr>
        <w:spacing w:before="60"/>
        <w:ind w:left="1021" w:right="567" w:hanging="454"/>
        <w:jc w:val="both"/>
        <w:rPr>
          <w:rFonts w:ascii="Arial" w:hAnsi="Arial" w:cs="Arial"/>
          <w:sz w:val="16"/>
          <w:szCs w:val="16"/>
        </w:rPr>
      </w:pPr>
      <w:r>
        <w:rPr>
          <w:rFonts w:ascii="Arial" w:hAnsi="Arial" w:cs="Arial"/>
          <w:sz w:val="20"/>
          <w:szCs w:val="20"/>
        </w:rPr>
        <w:t>(2)</w:t>
      </w:r>
      <w:r>
        <w:rPr>
          <w:rFonts w:ascii="Arial" w:hAnsi="Arial" w:cs="Arial"/>
          <w:sz w:val="20"/>
          <w:szCs w:val="20"/>
        </w:rPr>
        <w:tab/>
      </w:r>
      <w:r w:rsidRPr="0000550B">
        <w:rPr>
          <w:rFonts w:ascii="Arial" w:hAnsi="Arial" w:cs="Arial"/>
          <w:sz w:val="20"/>
          <w:szCs w:val="20"/>
        </w:rPr>
        <w:t>A person who steals is guilty of theft; and ‘thief’ shall be construed accordingly.</w:t>
      </w:r>
      <w:r>
        <w:rPr>
          <w:rFonts w:ascii="Arial" w:hAnsi="Arial" w:cs="Arial"/>
          <w:sz w:val="20"/>
          <w:szCs w:val="20"/>
        </w:rPr>
        <w:t>”</w:t>
      </w:r>
    </w:p>
    <w:p w14:paraId="45A642FD" w14:textId="6D3B5639" w:rsidR="00F1462D" w:rsidRDefault="0086097C" w:rsidP="0086097C">
      <w:pPr>
        <w:spacing w:before="60"/>
        <w:jc w:val="both"/>
        <w:rPr>
          <w:rFonts w:ascii="Arial" w:hAnsi="Arial" w:cs="Arial"/>
          <w:sz w:val="20"/>
          <w:szCs w:val="20"/>
        </w:rPr>
      </w:pPr>
      <w:r>
        <w:rPr>
          <w:rFonts w:ascii="Arial" w:hAnsi="Arial" w:cs="Arial"/>
          <w:sz w:val="20"/>
          <w:szCs w:val="20"/>
        </w:rPr>
        <w:t>Section 71 provides that for the purposes of s.72:</w:t>
      </w:r>
    </w:p>
    <w:p w14:paraId="43CD290E" w14:textId="1CE24413" w:rsidR="0086097C" w:rsidRPr="0086097C" w:rsidRDefault="0086097C" w:rsidP="00591749">
      <w:pPr>
        <w:pStyle w:val="ListParagraph"/>
        <w:numPr>
          <w:ilvl w:val="0"/>
          <w:numId w:val="72"/>
        </w:numPr>
        <w:spacing w:before="60" w:after="0" w:line="240" w:lineRule="auto"/>
        <w:ind w:left="924" w:right="567" w:hanging="357"/>
        <w:jc w:val="both"/>
        <w:rPr>
          <w:rFonts w:ascii="Arial" w:hAnsi="Arial" w:cs="Arial"/>
          <w:sz w:val="20"/>
          <w:szCs w:val="20"/>
        </w:rPr>
      </w:pPr>
      <w:r>
        <w:rPr>
          <w:rFonts w:ascii="Arial" w:hAnsi="Arial" w:cs="Arial"/>
          <w:sz w:val="20"/>
          <w:szCs w:val="20"/>
        </w:rPr>
        <w:t>“</w:t>
      </w:r>
      <w:r w:rsidRPr="0086097C">
        <w:rPr>
          <w:rFonts w:ascii="Arial" w:hAnsi="Arial" w:cs="Arial"/>
          <w:b/>
          <w:i/>
          <w:iCs/>
          <w:sz w:val="20"/>
          <w:szCs w:val="16"/>
        </w:rPr>
        <w:t>property</w:t>
      </w:r>
      <w:r w:rsidRPr="0086097C">
        <w:rPr>
          <w:rFonts w:ascii="Arial" w:hAnsi="Arial" w:cs="Arial"/>
          <w:sz w:val="20"/>
          <w:szCs w:val="16"/>
        </w:rPr>
        <w:t xml:space="preserve"> includes money and all other property real or personal including things in action and other intangible property</w:t>
      </w:r>
      <w:r>
        <w:rPr>
          <w:rFonts w:ascii="Arial" w:hAnsi="Arial" w:cs="Arial"/>
          <w:sz w:val="20"/>
          <w:szCs w:val="16"/>
        </w:rPr>
        <w:t>”; and</w:t>
      </w:r>
    </w:p>
    <w:p w14:paraId="55C9B01E" w14:textId="77777777" w:rsidR="0086097C" w:rsidRPr="0086097C" w:rsidRDefault="0086097C" w:rsidP="0086097C">
      <w:pPr>
        <w:jc w:val="both"/>
        <w:rPr>
          <w:rFonts w:ascii="Arial" w:hAnsi="Arial" w:cs="Arial"/>
          <w:sz w:val="6"/>
          <w:szCs w:val="6"/>
        </w:rPr>
      </w:pPr>
    </w:p>
    <w:p w14:paraId="24A2308C" w14:textId="3095E4C6" w:rsidR="0086097C" w:rsidRPr="0086097C" w:rsidRDefault="0086097C" w:rsidP="00591749">
      <w:pPr>
        <w:pStyle w:val="ListParagraph"/>
        <w:numPr>
          <w:ilvl w:val="0"/>
          <w:numId w:val="72"/>
        </w:numPr>
        <w:spacing w:after="0" w:line="240" w:lineRule="auto"/>
        <w:ind w:left="924" w:right="567" w:hanging="357"/>
        <w:jc w:val="both"/>
        <w:rPr>
          <w:rFonts w:ascii="Arial" w:hAnsi="Arial" w:cs="Arial"/>
          <w:sz w:val="20"/>
          <w:szCs w:val="20"/>
        </w:rPr>
      </w:pPr>
      <w:r>
        <w:rPr>
          <w:rFonts w:ascii="Arial" w:hAnsi="Arial" w:cs="Arial"/>
          <w:sz w:val="20"/>
          <w:szCs w:val="16"/>
        </w:rPr>
        <w:t>“</w:t>
      </w:r>
      <w:r w:rsidRPr="0086097C">
        <w:rPr>
          <w:rFonts w:ascii="Arial" w:hAnsi="Arial" w:cs="Arial"/>
          <w:sz w:val="20"/>
          <w:szCs w:val="16"/>
        </w:rPr>
        <w:t>property shall be regarded as belonging to any person having possession or control of it, or having in it any proprietary right or interest (not being an equitable interest arising only from an agreement to transfer or grant an interest)</w:t>
      </w:r>
      <w:r>
        <w:rPr>
          <w:rFonts w:ascii="Arial" w:hAnsi="Arial" w:cs="Arial"/>
          <w:sz w:val="20"/>
          <w:szCs w:val="16"/>
        </w:rPr>
        <w:t>”</w:t>
      </w:r>
      <w:r w:rsidRPr="0086097C">
        <w:rPr>
          <w:rFonts w:ascii="Arial" w:hAnsi="Arial" w:cs="Arial"/>
          <w:sz w:val="20"/>
          <w:szCs w:val="16"/>
        </w:rPr>
        <w:t>.</w:t>
      </w:r>
    </w:p>
    <w:p w14:paraId="48E6C967" w14:textId="77777777" w:rsidR="0086097C" w:rsidRDefault="0086097C" w:rsidP="00D46F48">
      <w:pPr>
        <w:jc w:val="both"/>
        <w:rPr>
          <w:rFonts w:ascii="Arial" w:hAnsi="Arial" w:cs="Arial"/>
          <w:sz w:val="20"/>
          <w:szCs w:val="20"/>
        </w:rPr>
      </w:pPr>
    </w:p>
    <w:p w14:paraId="09C6FB1B" w14:textId="6BAD58C7" w:rsidR="00756EE4" w:rsidRDefault="00053497" w:rsidP="00D46F48">
      <w:pPr>
        <w:jc w:val="both"/>
        <w:rPr>
          <w:rFonts w:ascii="Arial" w:hAnsi="Arial" w:cs="Arial"/>
          <w:sz w:val="20"/>
          <w:szCs w:val="20"/>
        </w:rPr>
      </w:pPr>
      <w:r>
        <w:rPr>
          <w:rFonts w:ascii="Arial" w:hAnsi="Arial" w:cs="Arial"/>
          <w:sz w:val="20"/>
          <w:szCs w:val="20"/>
        </w:rPr>
        <w:t xml:space="preserve">In </w:t>
      </w:r>
      <w:bookmarkStart w:id="509" w:name="_Hlk215130905"/>
      <w:r w:rsidR="00050673" w:rsidRPr="00050673">
        <w:rPr>
          <w:rFonts w:ascii="Arial" w:hAnsi="Arial" w:cs="Arial"/>
          <w:i/>
          <w:iCs/>
          <w:sz w:val="20"/>
          <w:szCs w:val="20"/>
        </w:rPr>
        <w:t>Yeates (a pseudonym) v The King</w:t>
      </w:r>
      <w:r w:rsidR="00050673">
        <w:rPr>
          <w:rFonts w:ascii="Arial" w:hAnsi="Arial" w:cs="Arial"/>
          <w:sz w:val="20"/>
          <w:szCs w:val="20"/>
        </w:rPr>
        <w:t xml:space="preserve"> [2025] VSCA 288 </w:t>
      </w:r>
      <w:bookmarkEnd w:id="509"/>
      <w:r w:rsidR="00050673">
        <w:rPr>
          <w:rFonts w:ascii="Arial" w:hAnsi="Arial" w:cs="Arial"/>
          <w:sz w:val="20"/>
          <w:szCs w:val="20"/>
        </w:rPr>
        <w:t xml:space="preserve">the applicant had been charged with receiving a seed phrase in his capacity as a Commonwealth public official which he used to steal </w:t>
      </w:r>
      <w:r w:rsidR="00050673" w:rsidRPr="00050673">
        <w:rPr>
          <w:rFonts w:ascii="Arial" w:hAnsi="Arial" w:cs="Arial"/>
          <w:sz w:val="20"/>
          <w:szCs w:val="20"/>
        </w:rPr>
        <w:t>81.61677759 Bitcoin</w:t>
      </w:r>
      <w:r w:rsidR="00050673">
        <w:rPr>
          <w:rFonts w:ascii="Arial" w:hAnsi="Arial" w:cs="Arial"/>
          <w:sz w:val="20"/>
          <w:szCs w:val="20"/>
        </w:rPr>
        <w:t xml:space="preserve"> then valued at </w:t>
      </w:r>
      <w:r w:rsidR="00050673" w:rsidRPr="00050673">
        <w:rPr>
          <w:rFonts w:ascii="Arial" w:hAnsi="Arial" w:cs="Arial"/>
          <w:sz w:val="20"/>
          <w:szCs w:val="20"/>
        </w:rPr>
        <w:t>about AUD492,607</w:t>
      </w:r>
      <w:r w:rsidR="00050673">
        <w:rPr>
          <w:rFonts w:ascii="Arial" w:hAnsi="Arial" w:cs="Arial"/>
          <w:sz w:val="20"/>
          <w:szCs w:val="20"/>
        </w:rPr>
        <w:t xml:space="preserve">. </w:t>
      </w:r>
      <w:r w:rsidR="00680844">
        <w:rPr>
          <w:rFonts w:ascii="Arial" w:hAnsi="Arial" w:cs="Arial"/>
          <w:sz w:val="20"/>
          <w:szCs w:val="20"/>
        </w:rPr>
        <w:t xml:space="preserve">In an interlocutory decision Judge O’Connell held that Bitcoin was property for the </w:t>
      </w:r>
      <w:r w:rsidR="00680844" w:rsidRPr="00680844">
        <w:rPr>
          <w:rFonts w:ascii="Arial" w:hAnsi="Arial" w:cs="Arial"/>
          <w:sz w:val="20"/>
          <w:szCs w:val="20"/>
        </w:rPr>
        <w:t xml:space="preserve">purposes of s 72 of the </w:t>
      </w:r>
      <w:r w:rsidR="00680844" w:rsidRPr="00680844">
        <w:rPr>
          <w:rFonts w:ascii="Arial" w:hAnsi="Arial" w:cs="Arial"/>
          <w:i/>
          <w:iCs/>
          <w:sz w:val="20"/>
          <w:szCs w:val="20"/>
        </w:rPr>
        <w:t>Crimes Act 1958</w:t>
      </w:r>
      <w:r w:rsidR="00680844">
        <w:rPr>
          <w:rFonts w:ascii="Arial" w:hAnsi="Arial" w:cs="Arial"/>
          <w:sz w:val="20"/>
          <w:szCs w:val="20"/>
        </w:rPr>
        <w:t xml:space="preserve">. On appeal </w:t>
      </w:r>
      <w:r w:rsidR="00756EE4">
        <w:rPr>
          <w:rFonts w:ascii="Arial" w:hAnsi="Arial" w:cs="Arial"/>
          <w:sz w:val="20"/>
          <w:szCs w:val="20"/>
        </w:rPr>
        <w:t>the Court of Appeal held:</w:t>
      </w:r>
    </w:p>
    <w:p w14:paraId="10928876" w14:textId="00F885AD" w:rsidR="00F1462D" w:rsidRDefault="00680844" w:rsidP="00591749">
      <w:pPr>
        <w:pStyle w:val="ListParagraph"/>
        <w:numPr>
          <w:ilvl w:val="4"/>
          <w:numId w:val="27"/>
        </w:numPr>
        <w:ind w:left="357" w:hanging="357"/>
        <w:jc w:val="both"/>
        <w:rPr>
          <w:rFonts w:ascii="Arial" w:hAnsi="Arial" w:cs="Arial"/>
          <w:sz w:val="20"/>
          <w:szCs w:val="20"/>
        </w:rPr>
      </w:pPr>
      <w:r>
        <w:rPr>
          <w:rFonts w:ascii="Arial" w:hAnsi="Arial" w:cs="Arial"/>
          <w:sz w:val="20"/>
          <w:szCs w:val="20"/>
        </w:rPr>
        <w:t>At [</w:t>
      </w:r>
      <w:r w:rsidR="00F1462D">
        <w:rPr>
          <w:rFonts w:ascii="Arial" w:hAnsi="Arial" w:cs="Arial"/>
          <w:sz w:val="20"/>
          <w:szCs w:val="20"/>
        </w:rPr>
        <w:t>92</w:t>
      </w:r>
      <w:r>
        <w:rPr>
          <w:rFonts w:ascii="Arial" w:hAnsi="Arial" w:cs="Arial"/>
          <w:sz w:val="20"/>
          <w:szCs w:val="20"/>
        </w:rPr>
        <w:t xml:space="preserve">]: </w:t>
      </w:r>
      <w:r w:rsidR="00F1462D" w:rsidRPr="00F1462D">
        <w:rPr>
          <w:rFonts w:ascii="Arial" w:hAnsi="Arial" w:cs="Arial"/>
          <w:sz w:val="20"/>
          <w:szCs w:val="20"/>
        </w:rPr>
        <w:t xml:space="preserve">The applicant’s submission that Bitcoin is nothing more than mere information, a string of code representing a credit entry in software, </w:t>
      </w:r>
      <w:r w:rsidR="00F1462D">
        <w:rPr>
          <w:rFonts w:ascii="Arial" w:hAnsi="Arial" w:cs="Arial"/>
          <w:sz w:val="20"/>
          <w:szCs w:val="20"/>
        </w:rPr>
        <w:t>is</w:t>
      </w:r>
      <w:r w:rsidR="00F1462D" w:rsidRPr="00F1462D">
        <w:rPr>
          <w:rFonts w:ascii="Arial" w:hAnsi="Arial" w:cs="Arial"/>
          <w:sz w:val="20"/>
          <w:szCs w:val="20"/>
        </w:rPr>
        <w:t xml:space="preserve"> rejected.</w:t>
      </w:r>
    </w:p>
    <w:p w14:paraId="026165C8" w14:textId="6A90D44A" w:rsidR="0000550B" w:rsidRDefault="00F1462D" w:rsidP="00591749">
      <w:pPr>
        <w:pStyle w:val="ListParagraph"/>
        <w:numPr>
          <w:ilvl w:val="4"/>
          <w:numId w:val="27"/>
        </w:numPr>
        <w:ind w:left="357" w:hanging="357"/>
        <w:jc w:val="both"/>
        <w:rPr>
          <w:rFonts w:ascii="Arial" w:hAnsi="Arial" w:cs="Arial"/>
          <w:sz w:val="20"/>
          <w:szCs w:val="20"/>
        </w:rPr>
      </w:pPr>
      <w:r>
        <w:rPr>
          <w:rFonts w:ascii="Arial" w:hAnsi="Arial" w:cs="Arial"/>
          <w:sz w:val="20"/>
          <w:szCs w:val="20"/>
        </w:rPr>
        <w:t>At [</w:t>
      </w:r>
      <w:r w:rsidR="0000550B">
        <w:rPr>
          <w:rFonts w:ascii="Arial" w:hAnsi="Arial" w:cs="Arial"/>
          <w:sz w:val="20"/>
          <w:szCs w:val="20"/>
        </w:rPr>
        <w:t>114</w:t>
      </w:r>
      <w:r>
        <w:rPr>
          <w:rFonts w:ascii="Arial" w:hAnsi="Arial" w:cs="Arial"/>
          <w:sz w:val="20"/>
          <w:szCs w:val="20"/>
        </w:rPr>
        <w:t xml:space="preserve">]: </w:t>
      </w:r>
      <w:r w:rsidRPr="00F1462D">
        <w:rPr>
          <w:rFonts w:ascii="Arial" w:hAnsi="Arial" w:cs="Arial"/>
          <w:sz w:val="20"/>
          <w:szCs w:val="20"/>
        </w:rPr>
        <w:t xml:space="preserve">Bitcoin satisfies the </w:t>
      </w:r>
      <w:r w:rsidR="0000550B">
        <w:rPr>
          <w:rFonts w:ascii="Arial" w:hAnsi="Arial" w:cs="Arial"/>
          <w:sz w:val="20"/>
          <w:szCs w:val="20"/>
        </w:rPr>
        <w:t xml:space="preserve">4 </w:t>
      </w:r>
      <w:r w:rsidRPr="00F1462D">
        <w:rPr>
          <w:rFonts w:ascii="Arial" w:hAnsi="Arial" w:cs="Arial"/>
          <w:sz w:val="20"/>
          <w:szCs w:val="20"/>
        </w:rPr>
        <w:t>characteristics of property</w:t>
      </w:r>
      <w:r>
        <w:rPr>
          <w:rFonts w:ascii="Arial" w:hAnsi="Arial" w:cs="Arial"/>
          <w:sz w:val="20"/>
          <w:szCs w:val="20"/>
        </w:rPr>
        <w:t xml:space="preserve"> </w:t>
      </w:r>
      <w:r w:rsidR="0000550B">
        <w:rPr>
          <w:rFonts w:ascii="Arial" w:hAnsi="Arial" w:cs="Arial"/>
          <w:sz w:val="20"/>
          <w:szCs w:val="20"/>
        </w:rPr>
        <w:t xml:space="preserve">identified by Lord Wilberforce in </w:t>
      </w:r>
      <w:r w:rsidR="0000550B" w:rsidRPr="0000550B">
        <w:rPr>
          <w:rFonts w:ascii="Arial" w:hAnsi="Arial" w:cs="Arial"/>
          <w:i/>
          <w:iCs/>
          <w:sz w:val="20"/>
          <w:szCs w:val="20"/>
        </w:rPr>
        <w:t>National Provincial Bank Ltd v Ainsworth</w:t>
      </w:r>
      <w:r w:rsidR="0000550B" w:rsidRPr="0000550B">
        <w:rPr>
          <w:rFonts w:ascii="Arial" w:hAnsi="Arial" w:cs="Arial"/>
          <w:sz w:val="20"/>
          <w:szCs w:val="20"/>
        </w:rPr>
        <w:t xml:space="preserve"> [1965] AC 1175</w:t>
      </w:r>
      <w:r w:rsidR="0000550B">
        <w:rPr>
          <w:rFonts w:ascii="Arial" w:hAnsi="Arial" w:cs="Arial"/>
          <w:sz w:val="20"/>
          <w:szCs w:val="20"/>
        </w:rPr>
        <w:t>. These characteristics are:</w:t>
      </w:r>
    </w:p>
    <w:p w14:paraId="210D64AD" w14:textId="661F67FF" w:rsidR="00F1462D" w:rsidRDefault="00A25454" w:rsidP="00591749">
      <w:pPr>
        <w:pStyle w:val="ListParagraph"/>
        <w:numPr>
          <w:ilvl w:val="0"/>
          <w:numId w:val="71"/>
        </w:numPr>
        <w:ind w:left="811" w:hanging="454"/>
        <w:jc w:val="both"/>
        <w:rPr>
          <w:rFonts w:ascii="Arial" w:hAnsi="Arial" w:cs="Arial"/>
          <w:sz w:val="20"/>
          <w:szCs w:val="20"/>
        </w:rPr>
      </w:pPr>
      <w:r>
        <w:rPr>
          <w:rFonts w:ascii="Arial" w:hAnsi="Arial" w:cs="Arial"/>
          <w:sz w:val="20"/>
          <w:szCs w:val="20"/>
        </w:rPr>
        <w:t xml:space="preserve">At [94]: </w:t>
      </w:r>
      <w:r w:rsidR="0000550B" w:rsidRPr="0000550B">
        <w:rPr>
          <w:rFonts w:ascii="Arial" w:hAnsi="Arial" w:cs="Arial"/>
          <w:sz w:val="20"/>
          <w:szCs w:val="20"/>
        </w:rPr>
        <w:t>Property must be definable. It must be a ‘thing’</w:t>
      </w:r>
      <w:r w:rsidR="0000550B">
        <w:rPr>
          <w:rFonts w:ascii="Arial" w:hAnsi="Arial" w:cs="Arial"/>
          <w:sz w:val="20"/>
          <w:szCs w:val="20"/>
        </w:rPr>
        <w:t>.</w:t>
      </w:r>
    </w:p>
    <w:p w14:paraId="3689697C" w14:textId="1CE3A0D1" w:rsidR="0000550B" w:rsidRDefault="00A25454" w:rsidP="00591749">
      <w:pPr>
        <w:pStyle w:val="ListParagraph"/>
        <w:numPr>
          <w:ilvl w:val="0"/>
          <w:numId w:val="71"/>
        </w:numPr>
        <w:ind w:left="811" w:hanging="454"/>
        <w:jc w:val="both"/>
        <w:rPr>
          <w:rFonts w:ascii="Arial" w:hAnsi="Arial" w:cs="Arial"/>
          <w:sz w:val="20"/>
          <w:szCs w:val="20"/>
        </w:rPr>
      </w:pPr>
      <w:r>
        <w:rPr>
          <w:rFonts w:ascii="Arial" w:hAnsi="Arial" w:cs="Arial"/>
          <w:sz w:val="20"/>
          <w:szCs w:val="20"/>
        </w:rPr>
        <w:t xml:space="preserve">At [98]: </w:t>
      </w:r>
      <w:r w:rsidR="0000550B">
        <w:rPr>
          <w:rFonts w:ascii="Arial" w:hAnsi="Arial" w:cs="Arial"/>
          <w:sz w:val="20"/>
          <w:szCs w:val="20"/>
        </w:rPr>
        <w:t>P</w:t>
      </w:r>
      <w:r w:rsidR="0000550B" w:rsidRPr="0000550B">
        <w:rPr>
          <w:rFonts w:ascii="Arial" w:hAnsi="Arial" w:cs="Arial"/>
          <w:sz w:val="20"/>
          <w:szCs w:val="20"/>
        </w:rPr>
        <w:t>roperty must be identifiable by third parties. That is, that the thing has an owner must be capable of being recognised by third parties. The owner must have the power to exclude others from the asset.</w:t>
      </w:r>
    </w:p>
    <w:p w14:paraId="07C0C8C9" w14:textId="72380C4E" w:rsidR="0000550B" w:rsidRDefault="00A25454" w:rsidP="00591749">
      <w:pPr>
        <w:pStyle w:val="ListParagraph"/>
        <w:numPr>
          <w:ilvl w:val="0"/>
          <w:numId w:val="71"/>
        </w:numPr>
        <w:ind w:left="811" w:hanging="454"/>
        <w:jc w:val="both"/>
        <w:rPr>
          <w:rFonts w:ascii="Arial" w:hAnsi="Arial" w:cs="Arial"/>
          <w:sz w:val="20"/>
          <w:szCs w:val="20"/>
        </w:rPr>
      </w:pPr>
      <w:r>
        <w:rPr>
          <w:rFonts w:ascii="Arial" w:hAnsi="Arial" w:cs="Arial"/>
          <w:sz w:val="20"/>
          <w:szCs w:val="20"/>
        </w:rPr>
        <w:t xml:space="preserve">At [101]: </w:t>
      </w:r>
      <w:r w:rsidR="0000550B">
        <w:rPr>
          <w:rFonts w:ascii="Arial" w:hAnsi="Arial" w:cs="Arial"/>
          <w:sz w:val="20"/>
          <w:szCs w:val="20"/>
        </w:rPr>
        <w:t>T</w:t>
      </w:r>
      <w:r w:rsidR="0000550B" w:rsidRPr="0000550B">
        <w:rPr>
          <w:rFonts w:ascii="Arial" w:hAnsi="Arial" w:cs="Arial"/>
          <w:sz w:val="20"/>
          <w:szCs w:val="20"/>
        </w:rPr>
        <w:t>he property must be capable in its nature of assumption by third parties. This has two aspects: that third parties must respect the right of the owner in the property and be subject to legal sanction if they assert a claim to ownership without justification and, usually, that the property is a desirable asset.</w:t>
      </w:r>
    </w:p>
    <w:p w14:paraId="148DBD77" w14:textId="04DE4C89" w:rsidR="0000550B" w:rsidRPr="0000550B" w:rsidRDefault="00A25454" w:rsidP="00591749">
      <w:pPr>
        <w:pStyle w:val="ListParagraph"/>
        <w:numPr>
          <w:ilvl w:val="0"/>
          <w:numId w:val="71"/>
        </w:numPr>
        <w:ind w:left="811" w:hanging="454"/>
        <w:jc w:val="both"/>
        <w:rPr>
          <w:rFonts w:ascii="Arial" w:hAnsi="Arial" w:cs="Arial"/>
          <w:sz w:val="20"/>
          <w:szCs w:val="20"/>
        </w:rPr>
      </w:pPr>
      <w:r>
        <w:rPr>
          <w:rFonts w:ascii="Arial" w:hAnsi="Arial" w:cs="Arial"/>
          <w:sz w:val="20"/>
          <w:szCs w:val="20"/>
        </w:rPr>
        <w:t>At [</w:t>
      </w:r>
      <w:r w:rsidR="00756EE4">
        <w:rPr>
          <w:rFonts w:ascii="Arial" w:hAnsi="Arial" w:cs="Arial"/>
          <w:sz w:val="20"/>
          <w:szCs w:val="20"/>
        </w:rPr>
        <w:t>106</w:t>
      </w:r>
      <w:r>
        <w:rPr>
          <w:rFonts w:ascii="Arial" w:hAnsi="Arial" w:cs="Arial"/>
          <w:sz w:val="20"/>
          <w:szCs w:val="20"/>
        </w:rPr>
        <w:t xml:space="preserve">]: </w:t>
      </w:r>
      <w:r w:rsidR="00756EE4">
        <w:rPr>
          <w:rFonts w:ascii="Arial" w:hAnsi="Arial" w:cs="Arial"/>
          <w:sz w:val="20"/>
          <w:szCs w:val="20"/>
        </w:rPr>
        <w:t>T</w:t>
      </w:r>
      <w:r w:rsidR="00756EE4" w:rsidRPr="00756EE4">
        <w:rPr>
          <w:rFonts w:ascii="Arial" w:hAnsi="Arial" w:cs="Arial"/>
          <w:sz w:val="20"/>
          <w:szCs w:val="20"/>
        </w:rPr>
        <w:t>he thing has some degree of permanence and stability.</w:t>
      </w:r>
    </w:p>
    <w:p w14:paraId="19C5DB4C" w14:textId="5A66CA66" w:rsidR="00680844" w:rsidRDefault="0000550B" w:rsidP="00591749">
      <w:pPr>
        <w:pStyle w:val="ListParagraph"/>
        <w:numPr>
          <w:ilvl w:val="4"/>
          <w:numId w:val="27"/>
        </w:numPr>
        <w:spacing w:after="0" w:line="240" w:lineRule="auto"/>
        <w:ind w:left="357" w:hanging="357"/>
        <w:jc w:val="both"/>
        <w:rPr>
          <w:rFonts w:ascii="Arial" w:hAnsi="Arial" w:cs="Arial"/>
          <w:sz w:val="20"/>
          <w:szCs w:val="20"/>
        </w:rPr>
      </w:pPr>
      <w:r>
        <w:rPr>
          <w:rFonts w:ascii="Arial" w:hAnsi="Arial" w:cs="Arial"/>
          <w:sz w:val="20"/>
          <w:szCs w:val="20"/>
        </w:rPr>
        <w:t>At [</w:t>
      </w:r>
      <w:r w:rsidR="0052714D">
        <w:rPr>
          <w:rFonts w:ascii="Arial" w:hAnsi="Arial" w:cs="Arial"/>
          <w:sz w:val="20"/>
          <w:szCs w:val="20"/>
        </w:rPr>
        <w:t>123</w:t>
      </w:r>
      <w:r>
        <w:rPr>
          <w:rFonts w:ascii="Arial" w:hAnsi="Arial" w:cs="Arial"/>
          <w:sz w:val="20"/>
          <w:szCs w:val="20"/>
        </w:rPr>
        <w:t xml:space="preserve">]: </w:t>
      </w:r>
      <w:r w:rsidR="0052714D" w:rsidRPr="0052714D">
        <w:rPr>
          <w:rFonts w:ascii="Arial" w:hAnsi="Arial" w:cs="Arial"/>
          <w:sz w:val="20"/>
          <w:szCs w:val="20"/>
        </w:rPr>
        <w:t>Bitcoin is intangible property in that it is other than mere information and satisfies the Ainsworth characteristics of property.</w:t>
      </w:r>
    </w:p>
    <w:p w14:paraId="760CD4D9" w14:textId="2F27217B" w:rsidR="00680844" w:rsidRDefault="00680844" w:rsidP="00591749">
      <w:pPr>
        <w:pStyle w:val="ListParagraph"/>
        <w:numPr>
          <w:ilvl w:val="4"/>
          <w:numId w:val="27"/>
        </w:numPr>
        <w:spacing w:after="0" w:line="240" w:lineRule="auto"/>
        <w:ind w:left="357" w:hanging="357"/>
        <w:jc w:val="both"/>
        <w:rPr>
          <w:rFonts w:ascii="Arial" w:hAnsi="Arial" w:cs="Arial"/>
          <w:sz w:val="20"/>
          <w:szCs w:val="20"/>
        </w:rPr>
      </w:pPr>
      <w:r>
        <w:rPr>
          <w:rFonts w:ascii="Arial" w:hAnsi="Arial" w:cs="Arial"/>
          <w:sz w:val="20"/>
          <w:szCs w:val="20"/>
        </w:rPr>
        <w:t>At</w:t>
      </w:r>
      <w:r w:rsidR="0086097C">
        <w:rPr>
          <w:rFonts w:ascii="Arial" w:hAnsi="Arial" w:cs="Arial"/>
          <w:sz w:val="20"/>
          <w:szCs w:val="20"/>
        </w:rPr>
        <w:t xml:space="preserve"> [130]-[131]: The public policy reasons raised by the applicant do not warrant a conclusion that </w:t>
      </w:r>
      <w:r w:rsidR="0086097C" w:rsidRPr="0086097C">
        <w:rPr>
          <w:rFonts w:ascii="Arial" w:hAnsi="Arial" w:cs="Arial"/>
          <w:sz w:val="20"/>
          <w:szCs w:val="20"/>
        </w:rPr>
        <w:t xml:space="preserve">cryptocurrencies </w:t>
      </w:r>
      <w:r w:rsidR="0086097C">
        <w:rPr>
          <w:rFonts w:ascii="Arial" w:hAnsi="Arial" w:cs="Arial"/>
          <w:sz w:val="20"/>
          <w:szCs w:val="20"/>
        </w:rPr>
        <w:t xml:space="preserve">should </w:t>
      </w:r>
      <w:r w:rsidR="0086097C" w:rsidRPr="0086097C">
        <w:rPr>
          <w:rFonts w:ascii="Arial" w:hAnsi="Arial" w:cs="Arial"/>
          <w:sz w:val="20"/>
          <w:szCs w:val="20"/>
        </w:rPr>
        <w:t>not be treated in law as property</w:t>
      </w:r>
      <w:r w:rsidR="0086097C">
        <w:rPr>
          <w:rFonts w:ascii="Arial" w:hAnsi="Arial" w:cs="Arial"/>
          <w:sz w:val="20"/>
          <w:szCs w:val="20"/>
        </w:rPr>
        <w:t>.</w:t>
      </w:r>
    </w:p>
    <w:p w14:paraId="49C3D9B5" w14:textId="519A27DD" w:rsidR="00050673" w:rsidRPr="0086097C" w:rsidRDefault="00A25454" w:rsidP="0086097C">
      <w:pPr>
        <w:spacing w:before="60"/>
        <w:jc w:val="both"/>
        <w:rPr>
          <w:rFonts w:ascii="Arial" w:hAnsi="Arial" w:cs="Arial"/>
          <w:sz w:val="20"/>
          <w:szCs w:val="20"/>
        </w:rPr>
      </w:pPr>
      <w:r w:rsidRPr="0086097C">
        <w:rPr>
          <w:rFonts w:ascii="Arial" w:hAnsi="Arial" w:cs="Arial"/>
          <w:sz w:val="20"/>
          <w:szCs w:val="20"/>
        </w:rPr>
        <w:lastRenderedPageBreak/>
        <w:t>Th</w:t>
      </w:r>
      <w:r w:rsidR="0086097C">
        <w:rPr>
          <w:rFonts w:ascii="Arial" w:hAnsi="Arial" w:cs="Arial"/>
          <w:sz w:val="20"/>
          <w:szCs w:val="20"/>
        </w:rPr>
        <w:t>e above</w:t>
      </w:r>
      <w:r w:rsidRPr="0086097C">
        <w:rPr>
          <w:rFonts w:ascii="Arial" w:hAnsi="Arial" w:cs="Arial"/>
          <w:sz w:val="20"/>
          <w:szCs w:val="20"/>
        </w:rPr>
        <w:t xml:space="preserve"> </w:t>
      </w:r>
      <w:r w:rsidR="00CD26B9">
        <w:rPr>
          <w:rFonts w:ascii="Arial" w:hAnsi="Arial" w:cs="Arial"/>
          <w:sz w:val="20"/>
          <w:szCs w:val="20"/>
        </w:rPr>
        <w:t>reasons</w:t>
      </w:r>
      <w:r w:rsidRPr="0086097C">
        <w:rPr>
          <w:rFonts w:ascii="Arial" w:hAnsi="Arial" w:cs="Arial"/>
          <w:sz w:val="20"/>
          <w:szCs w:val="20"/>
        </w:rPr>
        <w:t xml:space="preserve"> led Emerton P and Taylor &amp; Kidd JJA to </w:t>
      </w:r>
      <w:r w:rsidR="00756EE4" w:rsidRPr="0086097C">
        <w:rPr>
          <w:rFonts w:ascii="Arial" w:hAnsi="Arial" w:cs="Arial"/>
          <w:sz w:val="20"/>
          <w:szCs w:val="20"/>
        </w:rPr>
        <w:t xml:space="preserve">refuse leave to appeal and to </w:t>
      </w:r>
      <w:r w:rsidRPr="0086097C">
        <w:rPr>
          <w:rFonts w:ascii="Arial" w:hAnsi="Arial" w:cs="Arial"/>
          <w:sz w:val="20"/>
          <w:szCs w:val="20"/>
        </w:rPr>
        <w:t>conclude at [</w:t>
      </w:r>
      <w:r w:rsidR="00756EE4" w:rsidRPr="0086097C">
        <w:rPr>
          <w:rFonts w:ascii="Arial" w:hAnsi="Arial" w:cs="Arial"/>
          <w:sz w:val="20"/>
          <w:szCs w:val="20"/>
        </w:rPr>
        <w:t>132</w:t>
      </w:r>
      <w:r w:rsidRPr="0086097C">
        <w:rPr>
          <w:rFonts w:ascii="Arial" w:hAnsi="Arial" w:cs="Arial"/>
          <w:sz w:val="20"/>
          <w:szCs w:val="20"/>
        </w:rPr>
        <w:t>]:</w:t>
      </w:r>
    </w:p>
    <w:p w14:paraId="66CD28E0" w14:textId="40C8B575" w:rsidR="00756EE4" w:rsidRPr="00756EE4" w:rsidRDefault="00756EE4" w:rsidP="0052714D">
      <w:pPr>
        <w:spacing w:before="60"/>
        <w:ind w:left="567" w:right="567"/>
        <w:jc w:val="both"/>
        <w:rPr>
          <w:rFonts w:ascii="Arial" w:hAnsi="Arial" w:cs="Arial"/>
          <w:sz w:val="20"/>
          <w:szCs w:val="20"/>
        </w:rPr>
      </w:pPr>
      <w:r w:rsidRPr="00756EE4">
        <w:rPr>
          <w:rFonts w:ascii="Arial" w:hAnsi="Arial" w:cs="Arial"/>
          <w:sz w:val="20"/>
          <w:szCs w:val="20"/>
        </w:rPr>
        <w:t xml:space="preserve">“Bitcoin is intangible property. It falls within the s 71 definition of property in the </w:t>
      </w:r>
      <w:r w:rsidRPr="0052714D">
        <w:rPr>
          <w:rFonts w:ascii="Arial" w:hAnsi="Arial" w:cs="Arial"/>
          <w:i/>
          <w:iCs/>
          <w:sz w:val="20"/>
          <w:szCs w:val="20"/>
        </w:rPr>
        <w:t>Crimes Act</w:t>
      </w:r>
      <w:r w:rsidRPr="00756EE4">
        <w:rPr>
          <w:rFonts w:ascii="Arial" w:hAnsi="Arial" w:cs="Arial"/>
          <w:sz w:val="20"/>
          <w:szCs w:val="20"/>
        </w:rPr>
        <w:t>. A charge of theft preferred in relation to the dishonest appropriation of Bitcoin pursuant to s 72 of the Crimes Act is sound in law.</w:t>
      </w:r>
    </w:p>
    <w:p w14:paraId="13756776" w14:textId="77777777" w:rsidR="009634A3" w:rsidRPr="00D46F48" w:rsidRDefault="009634A3" w:rsidP="009634A3">
      <w:pPr>
        <w:jc w:val="both"/>
        <w:rPr>
          <w:rFonts w:ascii="Arial" w:hAnsi="Arial" w:cs="Arial"/>
          <w:sz w:val="20"/>
          <w:szCs w:val="20"/>
        </w:rPr>
      </w:pPr>
      <w:bookmarkStart w:id="510" w:name="_7.13_‘Crossover_kids’"/>
      <w:bookmarkEnd w:id="510"/>
    </w:p>
    <w:p w14:paraId="1A0ECCD2" w14:textId="77777777" w:rsidR="009634A3" w:rsidRPr="00D81EFC" w:rsidRDefault="009634A3" w:rsidP="009634A3">
      <w:pPr>
        <w:pStyle w:val="Heading3"/>
        <w:keepNext/>
        <w:keepLines/>
        <w:widowControl/>
        <w:spacing w:after="120" w:line="240" w:lineRule="auto"/>
        <w:rPr>
          <w:rFonts w:ascii="Arial" w:hAnsi="Arial" w:cs="Arial"/>
          <w:b/>
          <w:bCs/>
          <w:color w:val="000000"/>
          <w:sz w:val="20"/>
        </w:rPr>
      </w:pPr>
      <w:bookmarkStart w:id="511" w:name="_7.12.6_Committing_an"/>
      <w:bookmarkEnd w:id="511"/>
      <w:r w:rsidRPr="00D81EFC">
        <w:rPr>
          <w:rFonts w:ascii="Arial" w:hAnsi="Arial" w:cs="Arial"/>
          <w:b/>
          <w:bCs/>
          <w:color w:val="000000"/>
          <w:sz w:val="20"/>
        </w:rPr>
        <w:t>7.12.</w:t>
      </w:r>
      <w:r>
        <w:rPr>
          <w:rFonts w:ascii="Arial" w:hAnsi="Arial" w:cs="Arial"/>
          <w:b/>
          <w:bCs/>
          <w:color w:val="000000"/>
          <w:sz w:val="20"/>
        </w:rPr>
        <w:t>7</w:t>
      </w:r>
      <w:r w:rsidRPr="00D81EFC">
        <w:rPr>
          <w:rFonts w:ascii="Arial" w:hAnsi="Arial" w:cs="Arial"/>
          <w:b/>
          <w:bCs/>
          <w:color w:val="000000"/>
          <w:sz w:val="20"/>
        </w:rPr>
        <w:tab/>
      </w:r>
      <w:r>
        <w:rPr>
          <w:rFonts w:ascii="Arial" w:hAnsi="Arial" w:cs="Arial"/>
          <w:b/>
          <w:bCs/>
          <w:color w:val="000000"/>
          <w:sz w:val="20"/>
        </w:rPr>
        <w:t>Committing an act that outrages public decency</w:t>
      </w:r>
    </w:p>
    <w:p w14:paraId="44D45B8C" w14:textId="77777777" w:rsidR="009634A3" w:rsidRPr="009634A3" w:rsidRDefault="009634A3" w:rsidP="009634A3">
      <w:pPr>
        <w:jc w:val="both"/>
        <w:rPr>
          <w:rFonts w:ascii="Arial" w:hAnsi="Arial" w:cs="Arial"/>
          <w:sz w:val="20"/>
          <w:szCs w:val="20"/>
        </w:rPr>
      </w:pPr>
      <w:r>
        <w:rPr>
          <w:rFonts w:ascii="Arial" w:hAnsi="Arial" w:cs="Arial"/>
          <w:sz w:val="20"/>
          <w:szCs w:val="20"/>
        </w:rPr>
        <w:t xml:space="preserve">In </w:t>
      </w:r>
      <w:r w:rsidRPr="00E44E68">
        <w:rPr>
          <w:rFonts w:ascii="Arial" w:hAnsi="Arial" w:cs="Arial"/>
          <w:i/>
          <w:iCs/>
          <w:sz w:val="20"/>
          <w:szCs w:val="20"/>
        </w:rPr>
        <w:t>Pusey v The King</w:t>
      </w:r>
      <w:r>
        <w:rPr>
          <w:rFonts w:ascii="Arial" w:hAnsi="Arial" w:cs="Arial"/>
          <w:sz w:val="20"/>
          <w:szCs w:val="20"/>
        </w:rPr>
        <w:t xml:space="preserve"> [2024] VSCA 110 the applicant had pleaded guilty to an offence of committing an act which outraged public decency.  At the scene of an accident in which four police members were fatally injured, the applicant had engaged in voyeuristic filming and callous commentary on the condition and plight of the severely incapacitated victims.  In refusing the applicant’s application for leave to appeal against conviction, the Court of Appeal (Emerton ACJ, Beach &amp; Kaye JJA) affirmed that the offence of outraging public decency was part of the law of Victoria and that the conduct of the applicant constituted </w:t>
      </w:r>
      <w:r w:rsidRPr="006C0A55">
        <w:rPr>
          <w:rFonts w:ascii="Arial" w:hAnsi="Arial" w:cs="Arial"/>
          <w:sz w:val="20"/>
          <w:szCs w:val="20"/>
        </w:rPr>
        <w:t xml:space="preserve">such an offence. In so deciding their Honours considered a number of authorities including </w:t>
      </w:r>
      <w:r w:rsidRPr="006C0A55">
        <w:rPr>
          <w:rFonts w:ascii="Arial" w:hAnsi="Arial" w:cs="Arial"/>
          <w:i/>
          <w:iCs/>
          <w:sz w:val="20"/>
          <w:szCs w:val="20"/>
        </w:rPr>
        <w:t>R v Madercine</w:t>
      </w:r>
      <w:r w:rsidRPr="006C0A55">
        <w:rPr>
          <w:rFonts w:ascii="Arial" w:hAnsi="Arial" w:cs="Arial"/>
          <w:sz w:val="20"/>
          <w:szCs w:val="20"/>
        </w:rPr>
        <w:t xml:space="preserve"> (1899) 20 LR (NSW) 36; </w:t>
      </w:r>
      <w:r w:rsidRPr="006C0A55">
        <w:rPr>
          <w:rFonts w:ascii="Arial" w:hAnsi="Arial" w:cs="Arial"/>
          <w:i/>
          <w:iCs/>
          <w:sz w:val="20"/>
          <w:szCs w:val="20"/>
        </w:rPr>
        <w:t>R v Black</w:t>
      </w:r>
      <w:r w:rsidRPr="006C0A55">
        <w:rPr>
          <w:rFonts w:ascii="Arial" w:hAnsi="Arial" w:cs="Arial"/>
          <w:sz w:val="20"/>
          <w:szCs w:val="20"/>
        </w:rPr>
        <w:t xml:space="preserve"> (1921) 21 SR (NSW) 748; </w:t>
      </w:r>
      <w:r w:rsidRPr="006C0A55">
        <w:rPr>
          <w:rFonts w:ascii="Arial" w:hAnsi="Arial" w:cs="Arial"/>
          <w:i/>
          <w:iCs/>
          <w:sz w:val="20"/>
          <w:szCs w:val="20"/>
        </w:rPr>
        <w:t>R v Udod</w:t>
      </w:r>
      <w:r w:rsidRPr="006C0A55">
        <w:rPr>
          <w:rFonts w:ascii="Arial" w:hAnsi="Arial" w:cs="Arial"/>
          <w:sz w:val="20"/>
          <w:szCs w:val="20"/>
        </w:rPr>
        <w:t xml:space="preserve"> [1951] SASR 176; </w:t>
      </w:r>
      <w:r w:rsidRPr="006C0A55">
        <w:rPr>
          <w:rFonts w:ascii="Arial" w:hAnsi="Arial" w:cs="Arial"/>
          <w:i/>
          <w:iCs/>
          <w:sz w:val="20"/>
          <w:szCs w:val="20"/>
        </w:rPr>
        <w:t>R v Towe</w:t>
      </w:r>
      <w:r w:rsidRPr="006C0A55">
        <w:rPr>
          <w:rFonts w:ascii="Arial" w:hAnsi="Arial" w:cs="Arial"/>
          <w:sz w:val="20"/>
          <w:szCs w:val="20"/>
        </w:rPr>
        <w:t xml:space="preserve"> [1953] VLR 381; </w:t>
      </w:r>
      <w:r w:rsidRPr="006C0A55">
        <w:rPr>
          <w:rFonts w:ascii="Arial" w:hAnsi="Arial" w:cs="Arial"/>
          <w:i/>
          <w:iCs/>
          <w:sz w:val="20"/>
          <w:szCs w:val="20"/>
        </w:rPr>
        <w:t>R v Fonyadi</w:t>
      </w:r>
      <w:r w:rsidRPr="006C0A55">
        <w:rPr>
          <w:rFonts w:ascii="Arial" w:hAnsi="Arial" w:cs="Arial"/>
          <w:sz w:val="20"/>
          <w:szCs w:val="20"/>
        </w:rPr>
        <w:t xml:space="preserve"> [1963] VR 86; </w:t>
      </w:r>
      <w:r w:rsidRPr="006C0A55">
        <w:rPr>
          <w:rFonts w:ascii="Arial" w:hAnsi="Arial" w:cs="Arial"/>
          <w:i/>
          <w:iCs/>
          <w:sz w:val="20"/>
          <w:szCs w:val="20"/>
        </w:rPr>
        <w:t>R v Reinsch</w:t>
      </w:r>
      <w:r w:rsidRPr="006C0A55">
        <w:rPr>
          <w:rFonts w:ascii="Arial" w:hAnsi="Arial" w:cs="Arial"/>
          <w:sz w:val="20"/>
          <w:szCs w:val="20"/>
        </w:rPr>
        <w:t xml:space="preserve"> (1978) NSWLR 483; </w:t>
      </w:r>
      <w:r w:rsidRPr="006C0A55">
        <w:rPr>
          <w:rFonts w:ascii="Arial" w:hAnsi="Arial" w:cs="Arial"/>
          <w:i/>
          <w:iCs/>
          <w:sz w:val="20"/>
          <w:szCs w:val="20"/>
        </w:rPr>
        <w:t>R v Gibson; R</w:t>
      </w:r>
      <w:r>
        <w:rPr>
          <w:rFonts w:ascii="Arial" w:hAnsi="Arial" w:cs="Arial"/>
          <w:i/>
          <w:iCs/>
          <w:sz w:val="20"/>
          <w:szCs w:val="20"/>
        </w:rPr>
        <w:t> </w:t>
      </w:r>
      <w:r w:rsidRPr="006C0A55">
        <w:rPr>
          <w:rFonts w:ascii="Arial" w:hAnsi="Arial" w:cs="Arial"/>
          <w:i/>
          <w:iCs/>
          <w:sz w:val="20"/>
          <w:szCs w:val="20"/>
        </w:rPr>
        <w:t>v Sylveire</w:t>
      </w:r>
      <w:r w:rsidRPr="006C0A55">
        <w:rPr>
          <w:rFonts w:ascii="Arial" w:hAnsi="Arial" w:cs="Arial"/>
          <w:sz w:val="20"/>
          <w:szCs w:val="20"/>
        </w:rPr>
        <w:t xml:space="preserve"> [1990] 2 QB 619; </w:t>
      </w:r>
      <w:r w:rsidRPr="006C0A55">
        <w:rPr>
          <w:rFonts w:ascii="Arial" w:hAnsi="Arial" w:cs="Arial"/>
          <w:i/>
          <w:iCs/>
          <w:sz w:val="20"/>
          <w:szCs w:val="20"/>
        </w:rPr>
        <w:t>R v Hamilton</w:t>
      </w:r>
      <w:r w:rsidRPr="006C0A55">
        <w:rPr>
          <w:rFonts w:ascii="Arial" w:hAnsi="Arial" w:cs="Arial"/>
          <w:sz w:val="20"/>
          <w:szCs w:val="20"/>
        </w:rPr>
        <w:t xml:space="preserve"> [2008] 1 QB 224; </w:t>
      </w:r>
      <w:r w:rsidRPr="006C0A55">
        <w:rPr>
          <w:rFonts w:ascii="Arial" w:hAnsi="Arial" w:cs="Arial"/>
          <w:i/>
          <w:iCs/>
          <w:sz w:val="20"/>
          <w:szCs w:val="20"/>
        </w:rPr>
        <w:t>Knuller (Publishing, Printing and Promotions) Ltd v DPP</w:t>
      </w:r>
      <w:r w:rsidRPr="006C0A55">
        <w:rPr>
          <w:rFonts w:ascii="Arial" w:hAnsi="Arial" w:cs="Arial"/>
          <w:sz w:val="20"/>
          <w:szCs w:val="20"/>
        </w:rPr>
        <w:t xml:space="preserve"> [1973] AC 435; </w:t>
      </w:r>
      <w:r w:rsidRPr="006C0A55">
        <w:rPr>
          <w:rFonts w:ascii="Arial" w:hAnsi="Arial" w:cs="Arial"/>
          <w:i/>
          <w:iCs/>
          <w:sz w:val="20"/>
          <w:szCs w:val="20"/>
        </w:rPr>
        <w:t>R v Anderson</w:t>
      </w:r>
      <w:r w:rsidRPr="006C0A55">
        <w:rPr>
          <w:rFonts w:ascii="Arial" w:hAnsi="Arial" w:cs="Arial"/>
          <w:sz w:val="20"/>
          <w:szCs w:val="20"/>
        </w:rPr>
        <w:t xml:space="preserve"> [2008] EWCA Crim 12; </w:t>
      </w:r>
      <w:r w:rsidRPr="006C0A55">
        <w:rPr>
          <w:rFonts w:ascii="Arial" w:hAnsi="Arial" w:cs="Arial"/>
          <w:i/>
          <w:iCs/>
          <w:sz w:val="20"/>
          <w:szCs w:val="20"/>
        </w:rPr>
        <w:t>R v Mayling</w:t>
      </w:r>
      <w:r w:rsidRPr="006C0A55">
        <w:rPr>
          <w:rFonts w:ascii="Arial" w:hAnsi="Arial" w:cs="Arial"/>
          <w:sz w:val="20"/>
          <w:szCs w:val="20"/>
        </w:rPr>
        <w:t xml:space="preserve"> [1963] 2 QB 717; R v Wellard (1884) 14 QBD 63</w:t>
      </w:r>
    </w:p>
    <w:p w14:paraId="03DBAC3C" w14:textId="77777777" w:rsidR="00134935" w:rsidRPr="00D46F48" w:rsidRDefault="00134935" w:rsidP="00134935">
      <w:pPr>
        <w:jc w:val="both"/>
        <w:rPr>
          <w:rFonts w:ascii="Arial" w:hAnsi="Arial" w:cs="Arial"/>
          <w:sz w:val="20"/>
          <w:szCs w:val="20"/>
        </w:rPr>
      </w:pPr>
    </w:p>
    <w:p w14:paraId="1D6B3CC9" w14:textId="6621B29F" w:rsidR="00134935" w:rsidRPr="00D81EFC" w:rsidRDefault="00134935" w:rsidP="00134935">
      <w:pPr>
        <w:pStyle w:val="Heading3"/>
        <w:keepNext/>
        <w:keepLines/>
        <w:widowControl/>
        <w:spacing w:after="120" w:line="240" w:lineRule="auto"/>
        <w:rPr>
          <w:rFonts w:ascii="Arial" w:hAnsi="Arial" w:cs="Arial"/>
          <w:b/>
          <w:bCs/>
          <w:color w:val="000000"/>
          <w:sz w:val="20"/>
        </w:rPr>
      </w:pPr>
      <w:bookmarkStart w:id="512" w:name="_7.12.8_Intentionally_distributing"/>
      <w:bookmarkEnd w:id="512"/>
      <w:r w:rsidRPr="00D81EFC">
        <w:rPr>
          <w:rFonts w:ascii="Arial" w:hAnsi="Arial" w:cs="Arial"/>
          <w:b/>
          <w:bCs/>
          <w:color w:val="000000"/>
          <w:sz w:val="20"/>
        </w:rPr>
        <w:t>7.12.</w:t>
      </w:r>
      <w:r w:rsidR="001458BB">
        <w:rPr>
          <w:rFonts w:ascii="Arial" w:hAnsi="Arial" w:cs="Arial"/>
          <w:b/>
          <w:bCs/>
          <w:color w:val="000000"/>
          <w:sz w:val="20"/>
        </w:rPr>
        <w:t>8</w:t>
      </w:r>
      <w:r w:rsidRPr="00D81EFC">
        <w:rPr>
          <w:rFonts w:ascii="Arial" w:hAnsi="Arial" w:cs="Arial"/>
          <w:b/>
          <w:bCs/>
          <w:color w:val="000000"/>
          <w:sz w:val="20"/>
        </w:rPr>
        <w:tab/>
      </w:r>
      <w:r>
        <w:rPr>
          <w:rFonts w:ascii="Arial" w:hAnsi="Arial" w:cs="Arial"/>
          <w:b/>
          <w:bCs/>
          <w:color w:val="000000"/>
          <w:sz w:val="20"/>
        </w:rPr>
        <w:t>Intentionally distributing an intimate image contrary to community standards</w:t>
      </w:r>
    </w:p>
    <w:p w14:paraId="55A86E38" w14:textId="7F09F475" w:rsidR="00152254" w:rsidRDefault="001458BB" w:rsidP="00037294">
      <w:pPr>
        <w:jc w:val="both"/>
        <w:rPr>
          <w:rFonts w:ascii="Arial" w:hAnsi="Arial" w:cs="Arial"/>
          <w:sz w:val="20"/>
          <w:szCs w:val="20"/>
        </w:rPr>
      </w:pPr>
      <w:r>
        <w:rPr>
          <w:rFonts w:ascii="Arial" w:hAnsi="Arial" w:cs="Arial"/>
          <w:sz w:val="20"/>
          <w:szCs w:val="20"/>
        </w:rPr>
        <w:t xml:space="preserve">Section 41DA of the </w:t>
      </w:r>
      <w:r w:rsidRPr="001458BB">
        <w:rPr>
          <w:rFonts w:ascii="Arial" w:hAnsi="Arial" w:cs="Arial"/>
          <w:i/>
          <w:iCs/>
          <w:sz w:val="20"/>
          <w:szCs w:val="20"/>
        </w:rPr>
        <w:t>Summary Offences Act 196</w:t>
      </w:r>
      <w:r w:rsidR="00037294">
        <w:rPr>
          <w:rFonts w:ascii="Arial" w:hAnsi="Arial" w:cs="Arial"/>
          <w:i/>
          <w:iCs/>
          <w:sz w:val="20"/>
          <w:szCs w:val="20"/>
        </w:rPr>
        <w:t>6</w:t>
      </w:r>
      <w:r>
        <w:rPr>
          <w:rFonts w:ascii="Arial" w:hAnsi="Arial" w:cs="Arial"/>
          <w:sz w:val="20"/>
          <w:szCs w:val="20"/>
        </w:rPr>
        <w:t xml:space="preserve"> pr</w:t>
      </w:r>
      <w:r w:rsidR="00037294">
        <w:rPr>
          <w:rFonts w:ascii="Arial" w:hAnsi="Arial" w:cs="Arial"/>
          <w:sz w:val="20"/>
          <w:szCs w:val="20"/>
        </w:rPr>
        <w:t xml:space="preserve">ohibited </w:t>
      </w:r>
      <w:r w:rsidR="00152254" w:rsidRPr="00152254">
        <w:rPr>
          <w:rFonts w:ascii="Arial" w:hAnsi="Arial" w:cs="Arial"/>
          <w:sz w:val="20"/>
          <w:szCs w:val="20"/>
        </w:rPr>
        <w:t>the intentional ‘distribution’ of an ‘intimate image’ of another person to a third person, in circumstances where the distribution of the intimate image was contrary to ‘community standards of acceptable conduct’. Th</w:t>
      </w:r>
      <w:r w:rsidR="00037294">
        <w:rPr>
          <w:rFonts w:ascii="Arial" w:hAnsi="Arial" w:cs="Arial"/>
          <w:sz w:val="20"/>
          <w:szCs w:val="20"/>
        </w:rPr>
        <w:t>is summary</w:t>
      </w:r>
      <w:r w:rsidR="00152254" w:rsidRPr="00152254">
        <w:rPr>
          <w:rFonts w:ascii="Arial" w:hAnsi="Arial" w:cs="Arial"/>
          <w:sz w:val="20"/>
          <w:szCs w:val="20"/>
        </w:rPr>
        <w:t xml:space="preserve"> offence, which was introduced in 2014</w:t>
      </w:r>
      <w:r w:rsidR="00037294">
        <w:rPr>
          <w:rFonts w:ascii="Arial" w:hAnsi="Arial" w:cs="Arial"/>
          <w:sz w:val="20"/>
          <w:szCs w:val="20"/>
        </w:rPr>
        <w:t xml:space="preserve"> and carried a maximum sentence of 2 years imprisonment</w:t>
      </w:r>
      <w:r w:rsidR="00152254" w:rsidRPr="00152254">
        <w:rPr>
          <w:rFonts w:ascii="Arial" w:hAnsi="Arial" w:cs="Arial"/>
          <w:sz w:val="20"/>
          <w:szCs w:val="20"/>
        </w:rPr>
        <w:t xml:space="preserve">, was replaced in July 2023 (shortly after the </w:t>
      </w:r>
      <w:r w:rsidR="00037294">
        <w:rPr>
          <w:rFonts w:ascii="Arial" w:hAnsi="Arial" w:cs="Arial"/>
          <w:sz w:val="20"/>
          <w:szCs w:val="20"/>
        </w:rPr>
        <w:t xml:space="preserve">offending in the case of </w:t>
      </w:r>
      <w:r w:rsidR="00037294" w:rsidRPr="00037294">
        <w:rPr>
          <w:rFonts w:ascii="Arial" w:hAnsi="Arial" w:cs="Arial"/>
          <w:i/>
          <w:iCs/>
          <w:sz w:val="20"/>
          <w:szCs w:val="20"/>
        </w:rPr>
        <w:t>Baumann v The King</w:t>
      </w:r>
      <w:r w:rsidR="00037294">
        <w:rPr>
          <w:rFonts w:ascii="Arial" w:hAnsi="Arial" w:cs="Arial"/>
          <w:sz w:val="20"/>
          <w:szCs w:val="20"/>
        </w:rPr>
        <w:t xml:space="preserve"> discussed below</w:t>
      </w:r>
      <w:r w:rsidR="00152254" w:rsidRPr="00152254">
        <w:rPr>
          <w:rFonts w:ascii="Arial" w:hAnsi="Arial" w:cs="Arial"/>
          <w:sz w:val="20"/>
          <w:szCs w:val="20"/>
        </w:rPr>
        <w:t xml:space="preserve">) by an indictable offence </w:t>
      </w:r>
      <w:r w:rsidR="00037294">
        <w:rPr>
          <w:rFonts w:ascii="Arial" w:hAnsi="Arial" w:cs="Arial"/>
          <w:sz w:val="20"/>
          <w:szCs w:val="20"/>
        </w:rPr>
        <w:t xml:space="preserve">pursuant to s.53S of the </w:t>
      </w:r>
      <w:r w:rsidR="00037294" w:rsidRPr="00037294">
        <w:rPr>
          <w:rFonts w:ascii="Arial" w:hAnsi="Arial" w:cs="Arial"/>
          <w:i/>
          <w:iCs/>
          <w:sz w:val="20"/>
          <w:szCs w:val="20"/>
        </w:rPr>
        <w:t>Crimes Act 1958</w:t>
      </w:r>
      <w:r w:rsidR="00037294">
        <w:rPr>
          <w:rFonts w:ascii="Arial" w:hAnsi="Arial" w:cs="Arial"/>
          <w:i/>
          <w:iCs/>
          <w:sz w:val="20"/>
          <w:szCs w:val="20"/>
        </w:rPr>
        <w:t xml:space="preserve"> </w:t>
      </w:r>
      <w:r w:rsidR="00037294">
        <w:rPr>
          <w:rFonts w:ascii="Arial" w:hAnsi="Arial" w:cs="Arial"/>
          <w:sz w:val="20"/>
          <w:szCs w:val="20"/>
        </w:rPr>
        <w:t xml:space="preserve">of intentionally distributing an intimate image ‘contrary to community standards of acceptable conduct’ </w:t>
      </w:r>
      <w:r w:rsidR="00152254" w:rsidRPr="00152254">
        <w:rPr>
          <w:rFonts w:ascii="Arial" w:hAnsi="Arial" w:cs="Arial"/>
          <w:sz w:val="20"/>
          <w:szCs w:val="20"/>
        </w:rPr>
        <w:t>carrying a maximum sentence of 3 years’ imprisonment.</w:t>
      </w:r>
    </w:p>
    <w:p w14:paraId="4710F315" w14:textId="77777777" w:rsidR="00134935" w:rsidRDefault="00134935" w:rsidP="00200D50">
      <w:pPr>
        <w:ind w:left="720" w:hanging="720"/>
        <w:jc w:val="both"/>
        <w:rPr>
          <w:rFonts w:ascii="Arial" w:hAnsi="Arial" w:cs="Arial"/>
          <w:sz w:val="20"/>
          <w:szCs w:val="20"/>
        </w:rPr>
      </w:pPr>
    </w:p>
    <w:p w14:paraId="3C546CF8" w14:textId="6A2CEEE1" w:rsidR="00037294" w:rsidRDefault="00037294" w:rsidP="00037294">
      <w:pPr>
        <w:jc w:val="both"/>
        <w:rPr>
          <w:rFonts w:ascii="Arial" w:hAnsi="Arial" w:cs="Arial"/>
          <w:sz w:val="20"/>
          <w:szCs w:val="20"/>
        </w:rPr>
      </w:pPr>
      <w:r>
        <w:rPr>
          <w:rFonts w:ascii="Arial" w:hAnsi="Arial" w:cs="Arial"/>
          <w:sz w:val="20"/>
          <w:szCs w:val="20"/>
        </w:rPr>
        <w:t xml:space="preserve">In </w:t>
      </w:r>
      <w:r w:rsidRPr="00037294">
        <w:rPr>
          <w:rFonts w:ascii="Arial" w:hAnsi="Arial" w:cs="Arial"/>
          <w:i/>
          <w:iCs/>
          <w:sz w:val="20"/>
          <w:szCs w:val="20"/>
        </w:rPr>
        <w:t>Baumann (a pseudonym) v The King</w:t>
      </w:r>
      <w:r>
        <w:rPr>
          <w:rFonts w:ascii="Arial" w:hAnsi="Arial" w:cs="Arial"/>
          <w:sz w:val="20"/>
          <w:szCs w:val="20"/>
        </w:rPr>
        <w:t xml:space="preserve"> [2026] VSCA 174 the </w:t>
      </w:r>
      <w:r w:rsidRPr="00134935">
        <w:rPr>
          <w:rFonts w:ascii="Arial" w:hAnsi="Arial" w:cs="Arial"/>
          <w:sz w:val="20"/>
          <w:szCs w:val="20"/>
        </w:rPr>
        <w:t xml:space="preserve">applicant </w:t>
      </w:r>
      <w:r w:rsidR="00316722">
        <w:rPr>
          <w:rFonts w:ascii="Arial" w:hAnsi="Arial" w:cs="Arial"/>
          <w:sz w:val="20"/>
          <w:szCs w:val="20"/>
        </w:rPr>
        <w:t xml:space="preserve">had </w:t>
      </w:r>
      <w:r w:rsidRPr="00134935">
        <w:rPr>
          <w:rFonts w:ascii="Arial" w:hAnsi="Arial" w:cs="Arial"/>
          <w:sz w:val="20"/>
          <w:szCs w:val="20"/>
        </w:rPr>
        <w:t xml:space="preserve">pleaded guilty to common assault, making a threat to kill, a rolled-up charge of rape, and three summary offences including </w:t>
      </w:r>
      <w:r>
        <w:rPr>
          <w:rFonts w:ascii="Arial" w:hAnsi="Arial" w:cs="Arial"/>
          <w:sz w:val="20"/>
          <w:szCs w:val="20"/>
        </w:rPr>
        <w:t xml:space="preserve">a rolled-up </w:t>
      </w:r>
      <w:r w:rsidRPr="00134935">
        <w:rPr>
          <w:rFonts w:ascii="Arial" w:hAnsi="Arial" w:cs="Arial"/>
          <w:sz w:val="20"/>
          <w:szCs w:val="20"/>
        </w:rPr>
        <w:t>charge of distribution of intimate images.</w:t>
      </w:r>
      <w:r>
        <w:rPr>
          <w:rFonts w:ascii="Arial" w:hAnsi="Arial" w:cs="Arial"/>
          <w:sz w:val="20"/>
          <w:szCs w:val="20"/>
        </w:rPr>
        <w:t xml:space="preserve"> </w:t>
      </w:r>
      <w:r w:rsidRPr="00134935">
        <w:rPr>
          <w:rFonts w:ascii="Arial" w:hAnsi="Arial" w:cs="Arial"/>
          <w:sz w:val="20"/>
          <w:szCs w:val="20"/>
        </w:rPr>
        <w:t xml:space="preserve">The applicant </w:t>
      </w:r>
      <w:r w:rsidR="00316722">
        <w:rPr>
          <w:rFonts w:ascii="Arial" w:hAnsi="Arial" w:cs="Arial"/>
          <w:sz w:val="20"/>
          <w:szCs w:val="20"/>
        </w:rPr>
        <w:t xml:space="preserve">had </w:t>
      </w:r>
      <w:r w:rsidRPr="00134935">
        <w:rPr>
          <w:rFonts w:ascii="Arial" w:hAnsi="Arial" w:cs="Arial"/>
          <w:sz w:val="20"/>
          <w:szCs w:val="20"/>
        </w:rPr>
        <w:t>sent two people a number of videos showing him raping his intimate partner. All the offending took place in the course of an extended attack by the applicant on his intimate partner, during which she was raped five times, physically assaulted, and threatened with a knife. She was about 23 weeks pregnant.</w:t>
      </w:r>
      <w:r w:rsidR="00316722">
        <w:rPr>
          <w:rFonts w:ascii="Arial" w:hAnsi="Arial" w:cs="Arial"/>
          <w:sz w:val="20"/>
          <w:szCs w:val="20"/>
        </w:rPr>
        <w:t xml:space="preserve"> </w:t>
      </w:r>
      <w:r>
        <w:rPr>
          <w:rFonts w:ascii="Arial" w:hAnsi="Arial" w:cs="Arial"/>
          <w:sz w:val="20"/>
          <w:szCs w:val="20"/>
        </w:rPr>
        <w:t>H</w:t>
      </w:r>
      <w:r w:rsidRPr="00134935">
        <w:rPr>
          <w:rFonts w:ascii="Arial" w:hAnsi="Arial" w:cs="Arial"/>
          <w:sz w:val="20"/>
          <w:szCs w:val="20"/>
        </w:rPr>
        <w:t xml:space="preserve">e was sentenced to </w:t>
      </w:r>
      <w:r>
        <w:rPr>
          <w:rFonts w:ascii="Arial" w:hAnsi="Arial" w:cs="Arial"/>
          <w:sz w:val="20"/>
          <w:szCs w:val="20"/>
        </w:rPr>
        <w:t>IMP9y6m</w:t>
      </w:r>
      <w:r w:rsidRPr="00134935">
        <w:rPr>
          <w:rFonts w:ascii="Arial" w:hAnsi="Arial" w:cs="Arial"/>
          <w:sz w:val="20"/>
          <w:szCs w:val="20"/>
        </w:rPr>
        <w:t xml:space="preserve"> on the rape charge and </w:t>
      </w:r>
      <w:r>
        <w:rPr>
          <w:rFonts w:ascii="Arial" w:hAnsi="Arial" w:cs="Arial"/>
          <w:sz w:val="20"/>
          <w:szCs w:val="20"/>
        </w:rPr>
        <w:t>IMP</w:t>
      </w:r>
      <w:r w:rsidRPr="00134935">
        <w:rPr>
          <w:rFonts w:ascii="Arial" w:hAnsi="Arial" w:cs="Arial"/>
          <w:sz w:val="20"/>
          <w:szCs w:val="20"/>
        </w:rPr>
        <w:t>12</w:t>
      </w:r>
      <w:r>
        <w:rPr>
          <w:rFonts w:ascii="Arial" w:hAnsi="Arial" w:cs="Arial"/>
          <w:sz w:val="20"/>
          <w:szCs w:val="20"/>
        </w:rPr>
        <w:t>m</w:t>
      </w:r>
      <w:r w:rsidRPr="00134935">
        <w:rPr>
          <w:rFonts w:ascii="Arial" w:hAnsi="Arial" w:cs="Arial"/>
          <w:sz w:val="20"/>
          <w:szCs w:val="20"/>
        </w:rPr>
        <w:t xml:space="preserve"> on each of the common assault and threat to kill charges (to be served concurrently with the rape sentence). In respect of the summary offences, he was sentenced to </w:t>
      </w:r>
      <w:r>
        <w:rPr>
          <w:rFonts w:ascii="Arial" w:hAnsi="Arial" w:cs="Arial"/>
          <w:sz w:val="20"/>
          <w:szCs w:val="20"/>
        </w:rPr>
        <w:t xml:space="preserve">IMP14m </w:t>
      </w:r>
      <w:r w:rsidRPr="00134935">
        <w:rPr>
          <w:rFonts w:ascii="Arial" w:hAnsi="Arial" w:cs="Arial"/>
          <w:sz w:val="20"/>
          <w:szCs w:val="20"/>
        </w:rPr>
        <w:t>on the distribution of images charge</w:t>
      </w:r>
      <w:r>
        <w:rPr>
          <w:rFonts w:ascii="Arial" w:hAnsi="Arial" w:cs="Arial"/>
          <w:sz w:val="20"/>
          <w:szCs w:val="20"/>
        </w:rPr>
        <w:t xml:space="preserve"> (</w:t>
      </w:r>
      <w:r w:rsidRPr="00134935">
        <w:rPr>
          <w:rFonts w:ascii="Arial" w:hAnsi="Arial" w:cs="Arial"/>
          <w:sz w:val="20"/>
          <w:szCs w:val="20"/>
        </w:rPr>
        <w:t>7</w:t>
      </w:r>
      <w:r>
        <w:rPr>
          <w:rFonts w:ascii="Arial" w:hAnsi="Arial" w:cs="Arial"/>
          <w:sz w:val="20"/>
          <w:szCs w:val="20"/>
        </w:rPr>
        <w:t>m</w:t>
      </w:r>
      <w:r w:rsidRPr="00134935">
        <w:rPr>
          <w:rFonts w:ascii="Arial" w:hAnsi="Arial" w:cs="Arial"/>
          <w:sz w:val="20"/>
          <w:szCs w:val="20"/>
        </w:rPr>
        <w:t xml:space="preserve"> of which was to be served cumulatively with the rape sentence, </w:t>
      </w:r>
      <w:r>
        <w:rPr>
          <w:rFonts w:ascii="Arial" w:hAnsi="Arial" w:cs="Arial"/>
          <w:sz w:val="20"/>
          <w:szCs w:val="20"/>
        </w:rPr>
        <w:t>IMP</w:t>
      </w:r>
      <w:r w:rsidRPr="00134935">
        <w:rPr>
          <w:rFonts w:ascii="Arial" w:hAnsi="Arial" w:cs="Arial"/>
          <w:sz w:val="20"/>
          <w:szCs w:val="20"/>
        </w:rPr>
        <w:t>9</w:t>
      </w:r>
      <w:r>
        <w:rPr>
          <w:rFonts w:ascii="Arial" w:hAnsi="Arial" w:cs="Arial"/>
          <w:sz w:val="20"/>
          <w:szCs w:val="20"/>
        </w:rPr>
        <w:t>m</w:t>
      </w:r>
      <w:r w:rsidRPr="00134935">
        <w:rPr>
          <w:rFonts w:ascii="Arial" w:hAnsi="Arial" w:cs="Arial"/>
          <w:sz w:val="20"/>
          <w:szCs w:val="20"/>
        </w:rPr>
        <w:t xml:space="preserve"> for assault with a weapon and </w:t>
      </w:r>
      <w:r>
        <w:rPr>
          <w:rFonts w:ascii="Arial" w:hAnsi="Arial" w:cs="Arial"/>
          <w:sz w:val="20"/>
          <w:szCs w:val="20"/>
        </w:rPr>
        <w:t>IMP</w:t>
      </w:r>
      <w:r w:rsidRPr="00134935">
        <w:rPr>
          <w:rFonts w:ascii="Arial" w:hAnsi="Arial" w:cs="Arial"/>
          <w:sz w:val="20"/>
          <w:szCs w:val="20"/>
        </w:rPr>
        <w:t>6m for contravention of a family violence order (with 2m</w:t>
      </w:r>
      <w:r>
        <w:rPr>
          <w:rFonts w:ascii="Arial" w:hAnsi="Arial" w:cs="Arial"/>
          <w:sz w:val="20"/>
          <w:szCs w:val="20"/>
        </w:rPr>
        <w:t xml:space="preserve"> &amp;</w:t>
      </w:r>
      <w:r w:rsidRPr="00134935">
        <w:rPr>
          <w:rFonts w:ascii="Arial" w:hAnsi="Arial" w:cs="Arial"/>
          <w:sz w:val="20"/>
          <w:szCs w:val="20"/>
        </w:rPr>
        <w:t xml:space="preserve"> 1</w:t>
      </w:r>
      <w:r>
        <w:rPr>
          <w:rFonts w:ascii="Arial" w:hAnsi="Arial" w:cs="Arial"/>
          <w:sz w:val="20"/>
          <w:szCs w:val="20"/>
        </w:rPr>
        <w:t>m</w:t>
      </w:r>
      <w:r w:rsidRPr="00134935">
        <w:rPr>
          <w:rFonts w:ascii="Arial" w:hAnsi="Arial" w:cs="Arial"/>
          <w:sz w:val="20"/>
          <w:szCs w:val="20"/>
        </w:rPr>
        <w:t xml:space="preserve"> respectively to be served cumulatively with the rape sentence). The total effective sentence was therefore </w:t>
      </w:r>
      <w:r>
        <w:rPr>
          <w:rFonts w:ascii="Arial" w:hAnsi="Arial" w:cs="Arial"/>
          <w:sz w:val="20"/>
          <w:szCs w:val="20"/>
        </w:rPr>
        <w:t>IMP</w:t>
      </w:r>
      <w:r w:rsidRPr="00134935">
        <w:rPr>
          <w:rFonts w:ascii="Arial" w:hAnsi="Arial" w:cs="Arial"/>
          <w:sz w:val="20"/>
          <w:szCs w:val="20"/>
        </w:rPr>
        <w:t>10</w:t>
      </w:r>
      <w:r>
        <w:rPr>
          <w:rFonts w:ascii="Arial" w:hAnsi="Arial" w:cs="Arial"/>
          <w:sz w:val="20"/>
          <w:szCs w:val="20"/>
        </w:rPr>
        <w:t>y</w:t>
      </w:r>
      <w:r w:rsidRPr="00134935">
        <w:rPr>
          <w:rFonts w:ascii="Arial" w:hAnsi="Arial" w:cs="Arial"/>
          <w:sz w:val="20"/>
          <w:szCs w:val="20"/>
        </w:rPr>
        <w:t>4</w:t>
      </w:r>
      <w:r>
        <w:rPr>
          <w:rFonts w:ascii="Arial" w:hAnsi="Arial" w:cs="Arial"/>
          <w:sz w:val="20"/>
          <w:szCs w:val="20"/>
        </w:rPr>
        <w:t>m</w:t>
      </w:r>
      <w:r w:rsidR="006B4D64">
        <w:rPr>
          <w:rFonts w:ascii="Arial" w:hAnsi="Arial" w:cs="Arial"/>
          <w:sz w:val="20"/>
          <w:szCs w:val="20"/>
        </w:rPr>
        <w:t xml:space="preserve"> with a non-parole period of 7y2m.</w:t>
      </w:r>
    </w:p>
    <w:p w14:paraId="2C6E410B" w14:textId="2FD6E3F4" w:rsidR="00037294" w:rsidRDefault="00316722" w:rsidP="00316722">
      <w:pPr>
        <w:spacing w:before="120"/>
        <w:jc w:val="both"/>
        <w:rPr>
          <w:rFonts w:ascii="Arial" w:hAnsi="Arial" w:cs="Arial"/>
          <w:sz w:val="20"/>
          <w:szCs w:val="20"/>
        </w:rPr>
      </w:pPr>
      <w:r>
        <w:rPr>
          <w:rFonts w:ascii="Arial" w:hAnsi="Arial" w:cs="Arial"/>
          <w:sz w:val="20"/>
          <w:szCs w:val="20"/>
        </w:rPr>
        <w:t xml:space="preserve">The proposed ground of appeal alleging manifest excess was confined to the distribution of images charge and the </w:t>
      </w:r>
      <w:r w:rsidR="006B4D64">
        <w:rPr>
          <w:rFonts w:ascii="Arial" w:hAnsi="Arial" w:cs="Arial"/>
          <w:sz w:val="20"/>
          <w:szCs w:val="20"/>
        </w:rPr>
        <w:t xml:space="preserve">associated </w:t>
      </w:r>
      <w:r>
        <w:rPr>
          <w:rFonts w:ascii="Arial" w:hAnsi="Arial" w:cs="Arial"/>
          <w:sz w:val="20"/>
          <w:szCs w:val="20"/>
        </w:rPr>
        <w:t>order for cumulation. In refusing leave to appeal McLeish &amp; Boyce JJA said</w:t>
      </w:r>
      <w:r w:rsidR="00C94432">
        <w:rPr>
          <w:rFonts w:ascii="Arial" w:hAnsi="Arial" w:cs="Arial"/>
          <w:sz w:val="20"/>
          <w:szCs w:val="20"/>
        </w:rPr>
        <w:t>:</w:t>
      </w:r>
    </w:p>
    <w:p w14:paraId="3DD2D0E5" w14:textId="00BC5355" w:rsidR="00C94432" w:rsidRDefault="00C94432" w:rsidP="00C94432">
      <w:pPr>
        <w:spacing w:before="60"/>
        <w:ind w:left="567" w:right="567"/>
        <w:jc w:val="both"/>
        <w:rPr>
          <w:rFonts w:ascii="Arial" w:hAnsi="Arial" w:cs="Arial"/>
          <w:sz w:val="20"/>
          <w:szCs w:val="20"/>
        </w:rPr>
      </w:pPr>
      <w:r>
        <w:rPr>
          <w:rFonts w:ascii="Arial" w:hAnsi="Arial" w:cs="Arial"/>
          <w:sz w:val="20"/>
          <w:szCs w:val="20"/>
        </w:rPr>
        <w:t xml:space="preserve">[37] “The </w:t>
      </w:r>
      <w:r w:rsidRPr="00C94432">
        <w:rPr>
          <w:rFonts w:ascii="Arial" w:hAnsi="Arial" w:cs="Arial"/>
          <w:sz w:val="20"/>
          <w:szCs w:val="20"/>
        </w:rPr>
        <w:t xml:space="preserve">mitigating factors upon which the applicant relied were significant, especially his early guilty plea and the </w:t>
      </w:r>
      <w:r w:rsidRPr="00C94432">
        <w:rPr>
          <w:rFonts w:ascii="Arial" w:hAnsi="Arial" w:cs="Arial"/>
          <w:i/>
          <w:iCs/>
          <w:sz w:val="20"/>
          <w:szCs w:val="20"/>
        </w:rPr>
        <w:t>Bugmy</w:t>
      </w:r>
      <w:r w:rsidRPr="00C94432">
        <w:rPr>
          <w:rFonts w:ascii="Arial" w:hAnsi="Arial" w:cs="Arial"/>
          <w:sz w:val="20"/>
          <w:szCs w:val="20"/>
        </w:rPr>
        <w:t xml:space="preserve"> considerations. On the other hand, the latter factor raised the need for protection of the community, in circumstances where there was ample ground for concern that the applicant may reoffend against a future intimate partner.</w:t>
      </w:r>
    </w:p>
    <w:p w14:paraId="41C38AC3" w14:textId="071F9750" w:rsidR="00C94432" w:rsidRDefault="00C94432" w:rsidP="00C94432">
      <w:pPr>
        <w:spacing w:before="60"/>
        <w:ind w:left="567" w:right="567"/>
        <w:jc w:val="both"/>
        <w:rPr>
          <w:rFonts w:ascii="Arial" w:hAnsi="Arial" w:cs="Arial"/>
          <w:sz w:val="20"/>
          <w:szCs w:val="20"/>
        </w:rPr>
      </w:pPr>
      <w:r>
        <w:rPr>
          <w:rFonts w:ascii="Arial" w:hAnsi="Arial" w:cs="Arial"/>
          <w:sz w:val="20"/>
          <w:szCs w:val="20"/>
        </w:rPr>
        <w:t>…</w:t>
      </w:r>
    </w:p>
    <w:p w14:paraId="7C4BBDE8" w14:textId="0645AFA6" w:rsidR="00C94432" w:rsidRDefault="00C94432" w:rsidP="00C94432">
      <w:pPr>
        <w:spacing w:before="60"/>
        <w:ind w:left="567" w:right="567"/>
        <w:jc w:val="both"/>
        <w:rPr>
          <w:rFonts w:ascii="Arial" w:hAnsi="Arial" w:cs="Arial"/>
          <w:sz w:val="20"/>
          <w:szCs w:val="20"/>
        </w:rPr>
      </w:pPr>
      <w:r>
        <w:rPr>
          <w:rFonts w:ascii="Arial" w:hAnsi="Arial" w:cs="Arial"/>
          <w:sz w:val="20"/>
          <w:szCs w:val="20"/>
        </w:rPr>
        <w:t xml:space="preserve">[39] </w:t>
      </w:r>
      <w:r w:rsidRPr="00C94432">
        <w:rPr>
          <w:rFonts w:ascii="Arial" w:hAnsi="Arial" w:cs="Arial"/>
          <w:sz w:val="20"/>
          <w:szCs w:val="20"/>
        </w:rPr>
        <w:t>The sentence was high, just under 60 per cent of the maximum term of 2 years’ imprisonment, after an early guilty plea. But despite the mitigating features to which we have referred, the case called for specific deterrence in light of the applicant’s prior convictions, high risk of reoffending and limited prospects of rehabilitation. The offending was a rolled-up charge involving four very serious instances of offending against s 41DA. It called for a substantial term of imprisonment in its own right.</w:t>
      </w:r>
    </w:p>
    <w:p w14:paraId="6DA0437C" w14:textId="7A09F025" w:rsidR="00134935" w:rsidRDefault="00C94432" w:rsidP="00C94432">
      <w:pPr>
        <w:spacing w:before="60"/>
        <w:ind w:left="567" w:right="567"/>
        <w:jc w:val="both"/>
        <w:rPr>
          <w:rFonts w:ascii="Arial" w:hAnsi="Arial" w:cs="Arial"/>
          <w:sz w:val="20"/>
          <w:szCs w:val="20"/>
        </w:rPr>
      </w:pPr>
      <w:r>
        <w:rPr>
          <w:rFonts w:ascii="Arial" w:hAnsi="Arial" w:cs="Arial"/>
          <w:sz w:val="20"/>
          <w:szCs w:val="20"/>
        </w:rPr>
        <w:t>[</w:t>
      </w:r>
      <w:r w:rsidRPr="00C94432">
        <w:rPr>
          <w:rFonts w:ascii="Arial" w:hAnsi="Arial" w:cs="Arial"/>
          <w:sz w:val="20"/>
          <w:szCs w:val="20"/>
        </w:rPr>
        <w:t>40</w:t>
      </w:r>
      <w:r>
        <w:rPr>
          <w:rFonts w:ascii="Arial" w:hAnsi="Arial" w:cs="Arial"/>
          <w:sz w:val="20"/>
          <w:szCs w:val="20"/>
        </w:rPr>
        <w:t>]</w:t>
      </w:r>
      <w:r w:rsidRPr="00C94432">
        <w:rPr>
          <w:rFonts w:ascii="Arial" w:hAnsi="Arial" w:cs="Arial"/>
          <w:sz w:val="20"/>
          <w:szCs w:val="20"/>
        </w:rPr>
        <w:t xml:space="preserve"> In our opinion, the sentence of 14 months’ imprisonment, and the order for 7 months of that sentence to be cumulated on the base sentence, were well within the range of available sentencing options.</w:t>
      </w:r>
      <w:r>
        <w:rPr>
          <w:rFonts w:ascii="Arial" w:hAnsi="Arial" w:cs="Arial"/>
          <w:sz w:val="20"/>
          <w:szCs w:val="20"/>
        </w:rPr>
        <w:t>”</w:t>
      </w:r>
    </w:p>
    <w:p w14:paraId="06B4281B" w14:textId="77777777" w:rsidR="00134935" w:rsidRDefault="00134935" w:rsidP="00200D50">
      <w:pPr>
        <w:ind w:left="720" w:hanging="720"/>
        <w:jc w:val="both"/>
        <w:rPr>
          <w:rFonts w:ascii="Arial" w:hAnsi="Arial" w:cs="Arial"/>
          <w:sz w:val="20"/>
          <w:szCs w:val="20"/>
        </w:rPr>
      </w:pPr>
    </w:p>
    <w:p w14:paraId="368D1189" w14:textId="27D3AE77" w:rsidR="00F22097" w:rsidRPr="00F22097" w:rsidRDefault="00F22097" w:rsidP="009574E1">
      <w:pPr>
        <w:pStyle w:val="Heading2"/>
        <w:keepNext/>
        <w:keepLines/>
        <w:tabs>
          <w:tab w:val="left" w:pos="567"/>
        </w:tabs>
        <w:spacing w:line="240" w:lineRule="auto"/>
        <w:ind w:left="567" w:hanging="567"/>
        <w:rPr>
          <w:rFonts w:ascii="Arial" w:hAnsi="Arial" w:cs="Arial"/>
          <w:b/>
          <w:bCs/>
          <w:color w:val="000000" w:themeColor="text1"/>
        </w:rPr>
      </w:pPr>
      <w:r w:rsidRPr="00C41B48">
        <w:rPr>
          <w:rFonts w:ascii="Arial" w:hAnsi="Arial" w:cs="Arial"/>
          <w:b/>
          <w:bCs/>
          <w:color w:val="000000"/>
        </w:rPr>
        <w:lastRenderedPageBreak/>
        <w:t>7.1</w:t>
      </w:r>
      <w:r>
        <w:rPr>
          <w:rFonts w:ascii="Arial" w:hAnsi="Arial" w:cs="Arial"/>
          <w:b/>
          <w:bCs/>
          <w:color w:val="000000"/>
        </w:rPr>
        <w:t>3</w:t>
      </w:r>
      <w:r w:rsidRPr="00C41B48">
        <w:rPr>
          <w:rFonts w:ascii="Arial" w:hAnsi="Arial" w:cs="Arial"/>
          <w:b/>
          <w:bCs/>
          <w:color w:val="000000"/>
        </w:rPr>
        <w:tab/>
      </w:r>
      <w:r w:rsidR="004336F6">
        <w:rPr>
          <w:rFonts w:ascii="Arial" w:hAnsi="Arial" w:cs="Arial"/>
          <w:b/>
          <w:bCs/>
          <w:color w:val="000000"/>
        </w:rPr>
        <w:t>I</w:t>
      </w:r>
      <w:r w:rsidRPr="00F22097">
        <w:rPr>
          <w:rStyle w:val="Hyperlink"/>
          <w:rFonts w:ascii="Arial" w:hAnsi="Arial" w:cs="Arial"/>
          <w:b/>
          <w:bCs/>
          <w:color w:val="000000" w:themeColor="text1"/>
          <w:u w:val="none"/>
        </w:rPr>
        <w:t xml:space="preserve">mpact of a child’s </w:t>
      </w:r>
      <w:r w:rsidR="004336F6">
        <w:rPr>
          <w:rStyle w:val="Hyperlink"/>
          <w:rFonts w:ascii="Arial" w:hAnsi="Arial" w:cs="Arial"/>
          <w:b/>
          <w:bCs/>
          <w:color w:val="000000" w:themeColor="text1"/>
          <w:u w:val="none"/>
        </w:rPr>
        <w:t xml:space="preserve">/ young adult’s </w:t>
      </w:r>
      <w:r w:rsidRPr="00F22097">
        <w:rPr>
          <w:rStyle w:val="Hyperlink"/>
          <w:rFonts w:ascii="Arial" w:hAnsi="Arial" w:cs="Arial"/>
          <w:b/>
          <w:bCs/>
          <w:color w:val="000000" w:themeColor="text1"/>
          <w:u w:val="none"/>
        </w:rPr>
        <w:t xml:space="preserve">mental </w:t>
      </w:r>
      <w:r w:rsidR="00A13592">
        <w:rPr>
          <w:rStyle w:val="Hyperlink"/>
          <w:rFonts w:ascii="Arial" w:hAnsi="Arial" w:cs="Arial"/>
          <w:b/>
          <w:bCs/>
          <w:color w:val="000000" w:themeColor="text1"/>
          <w:u w:val="none"/>
        </w:rPr>
        <w:t>development</w:t>
      </w:r>
      <w:r w:rsidRPr="00F22097">
        <w:rPr>
          <w:rStyle w:val="Hyperlink"/>
          <w:rFonts w:ascii="Arial" w:hAnsi="Arial" w:cs="Arial"/>
          <w:b/>
          <w:bCs/>
          <w:color w:val="000000" w:themeColor="text1"/>
          <w:u w:val="none"/>
        </w:rPr>
        <w:t xml:space="preserve"> on offending</w:t>
      </w:r>
    </w:p>
    <w:bookmarkEnd w:id="507"/>
    <w:p w14:paraId="517720A3" w14:textId="5CE69281" w:rsidR="00F22097" w:rsidRPr="00F22097" w:rsidRDefault="00F22097" w:rsidP="00DA38A8">
      <w:pPr>
        <w:keepNext/>
        <w:keepLines/>
        <w:rPr>
          <w:rFonts w:ascii="Arial" w:hAnsi="Arial" w:cs="Arial"/>
          <w:color w:val="000000" w:themeColor="text1"/>
          <w:sz w:val="20"/>
        </w:rPr>
      </w:pPr>
    </w:p>
    <w:p w14:paraId="5055C8C2" w14:textId="0C89A1AC" w:rsidR="00603010" w:rsidRPr="009574E1" w:rsidRDefault="00603010" w:rsidP="009574E1">
      <w:pPr>
        <w:ind w:left="454" w:hanging="454"/>
        <w:jc w:val="both"/>
        <w:rPr>
          <w:rFonts w:ascii="Arial" w:hAnsi="Arial" w:cs="Arial"/>
          <w:sz w:val="20"/>
          <w:szCs w:val="20"/>
        </w:rPr>
      </w:pPr>
      <w:r>
        <w:rPr>
          <w:rFonts w:ascii="Arial" w:hAnsi="Arial" w:cs="Arial"/>
          <w:sz w:val="20"/>
          <w:szCs w:val="20"/>
        </w:rPr>
        <w:t>(</w:t>
      </w:r>
      <w:r w:rsidRPr="00603010">
        <w:rPr>
          <w:rFonts w:ascii="Arial" w:hAnsi="Arial" w:cs="Arial"/>
          <w:sz w:val="20"/>
          <w:szCs w:val="20"/>
        </w:rPr>
        <w:t>1</w:t>
      </w:r>
      <w:r>
        <w:rPr>
          <w:rFonts w:ascii="Arial" w:hAnsi="Arial" w:cs="Arial"/>
          <w:sz w:val="20"/>
          <w:szCs w:val="20"/>
        </w:rPr>
        <w:t>)</w:t>
      </w:r>
      <w:r w:rsidRPr="00603010">
        <w:rPr>
          <w:rFonts w:ascii="Arial" w:hAnsi="Arial" w:cs="Arial"/>
          <w:sz w:val="20"/>
          <w:szCs w:val="20"/>
        </w:rPr>
        <w:tab/>
        <w:t xml:space="preserve">In the last 30 years there has been a great deal of research into psychological and social growth and associated brain development of children and adolescents.  </w:t>
      </w:r>
      <w:r w:rsidR="009574E1">
        <w:rPr>
          <w:rFonts w:ascii="Arial" w:hAnsi="Arial" w:cs="Arial"/>
          <w:sz w:val="20"/>
          <w:szCs w:val="20"/>
        </w:rPr>
        <w:t xml:space="preserve">One well-known </w:t>
      </w:r>
      <w:r w:rsidRPr="00603010">
        <w:rPr>
          <w:rFonts w:ascii="Arial" w:hAnsi="Arial" w:cs="Arial"/>
          <w:sz w:val="20"/>
          <w:szCs w:val="20"/>
        </w:rPr>
        <w:t>writ</w:t>
      </w:r>
      <w:r w:rsidR="009574E1">
        <w:rPr>
          <w:rFonts w:ascii="Arial" w:hAnsi="Arial" w:cs="Arial"/>
          <w:sz w:val="20"/>
          <w:szCs w:val="20"/>
        </w:rPr>
        <w:t>er</w:t>
      </w:r>
      <w:r w:rsidRPr="00603010">
        <w:rPr>
          <w:rFonts w:ascii="Arial" w:hAnsi="Arial" w:cs="Arial"/>
          <w:sz w:val="20"/>
          <w:szCs w:val="20"/>
        </w:rPr>
        <w:t xml:space="preserve"> in the area of developmental psychology is American psychologist and teacher Dr Laurence Steinberg </w:t>
      </w:r>
      <w:r w:rsidR="009574E1">
        <w:rPr>
          <w:rFonts w:ascii="Arial" w:hAnsi="Arial" w:cs="Arial"/>
          <w:sz w:val="20"/>
          <w:szCs w:val="20"/>
        </w:rPr>
        <w:t xml:space="preserve">who </w:t>
      </w:r>
      <w:r w:rsidR="009574E1" w:rsidRPr="009574E1">
        <w:rPr>
          <w:rFonts w:ascii="Arial" w:hAnsi="Arial" w:cs="Arial"/>
          <w:sz w:val="20"/>
          <w:szCs w:val="20"/>
        </w:rPr>
        <w:t>is the author or co-author of approximately 400 articles on growth and development during the years of adolescence</w:t>
      </w:r>
      <w:r w:rsidR="00D206A5">
        <w:rPr>
          <w:rFonts w:ascii="Arial" w:hAnsi="Arial" w:cs="Arial"/>
          <w:sz w:val="20"/>
          <w:szCs w:val="20"/>
        </w:rPr>
        <w:t>.  Dr Steinberg’s</w:t>
      </w:r>
      <w:r w:rsidR="009574E1" w:rsidRPr="00603010">
        <w:rPr>
          <w:rFonts w:ascii="Arial" w:hAnsi="Arial" w:cs="Arial"/>
          <w:sz w:val="20"/>
          <w:szCs w:val="20"/>
        </w:rPr>
        <w:t xml:space="preserve"> </w:t>
      </w:r>
      <w:r w:rsidRPr="00603010">
        <w:rPr>
          <w:rFonts w:ascii="Arial" w:hAnsi="Arial" w:cs="Arial"/>
          <w:sz w:val="20"/>
          <w:szCs w:val="20"/>
        </w:rPr>
        <w:t xml:space="preserve">own research has included a range of topics in the study of contemporary adolescence, including parent-adolescent relationships, risk-taking and decision making, mental health, adolescent brain development, school-year employment, academic </w:t>
      </w:r>
      <w:r w:rsidRPr="009574E1">
        <w:rPr>
          <w:rFonts w:ascii="Arial" w:hAnsi="Arial" w:cs="Arial"/>
          <w:sz w:val="20"/>
          <w:szCs w:val="20"/>
        </w:rPr>
        <w:t>achievement and juvenile crime and justice</w:t>
      </w:r>
      <w:r w:rsidR="009574E1" w:rsidRPr="009574E1">
        <w:rPr>
          <w:rFonts w:ascii="Arial" w:hAnsi="Arial" w:cs="Arial"/>
          <w:sz w:val="20"/>
          <w:szCs w:val="20"/>
        </w:rPr>
        <w:t>.</w:t>
      </w:r>
    </w:p>
    <w:p w14:paraId="54044616" w14:textId="22CB4BD3" w:rsidR="00603010" w:rsidRPr="00603010" w:rsidRDefault="009574E1" w:rsidP="00997FBC">
      <w:pPr>
        <w:spacing w:before="120"/>
        <w:ind w:left="454" w:hanging="454"/>
        <w:jc w:val="both"/>
        <w:rPr>
          <w:rFonts w:ascii="Arial" w:hAnsi="Arial" w:cs="Arial"/>
          <w:sz w:val="20"/>
          <w:szCs w:val="20"/>
        </w:rPr>
      </w:pPr>
      <w:r>
        <w:rPr>
          <w:rFonts w:ascii="Arial" w:hAnsi="Arial" w:cs="Arial"/>
          <w:sz w:val="20"/>
          <w:szCs w:val="20"/>
        </w:rPr>
        <w:t>(2)</w:t>
      </w:r>
      <w:r>
        <w:rPr>
          <w:rFonts w:ascii="Arial" w:hAnsi="Arial" w:cs="Arial"/>
          <w:sz w:val="20"/>
          <w:szCs w:val="20"/>
        </w:rPr>
        <w:tab/>
      </w:r>
      <w:r w:rsidR="00603010" w:rsidRPr="00603010">
        <w:rPr>
          <w:rFonts w:ascii="Arial" w:hAnsi="Arial" w:cs="Arial"/>
          <w:sz w:val="20"/>
          <w:szCs w:val="20"/>
        </w:rPr>
        <w:t xml:space="preserve">Social scientists who study adolescence differentiate between </w:t>
      </w:r>
      <w:r w:rsidR="00603010" w:rsidRPr="00603010">
        <w:rPr>
          <w:rFonts w:ascii="Arial" w:hAnsi="Arial" w:cs="Arial"/>
          <w:b/>
          <w:bCs/>
          <w:sz w:val="20"/>
          <w:szCs w:val="20"/>
        </w:rPr>
        <w:t>early adolescence</w:t>
      </w:r>
      <w:r w:rsidR="00603010" w:rsidRPr="00603010">
        <w:rPr>
          <w:rFonts w:ascii="Arial" w:hAnsi="Arial" w:cs="Arial"/>
          <w:sz w:val="20"/>
          <w:szCs w:val="20"/>
        </w:rPr>
        <w:t xml:space="preserve"> (about ages 10</w:t>
      </w:r>
      <w:r>
        <w:rPr>
          <w:rFonts w:ascii="Arial" w:hAnsi="Arial" w:cs="Arial"/>
          <w:sz w:val="20"/>
          <w:szCs w:val="20"/>
        </w:rPr>
        <w:noBreakHyphen/>
      </w:r>
      <w:r w:rsidR="00603010" w:rsidRPr="00603010">
        <w:rPr>
          <w:rFonts w:ascii="Arial" w:hAnsi="Arial" w:cs="Arial"/>
          <w:sz w:val="20"/>
          <w:szCs w:val="20"/>
        </w:rPr>
        <w:t xml:space="preserve">13), </w:t>
      </w:r>
      <w:r w:rsidR="00603010" w:rsidRPr="00603010">
        <w:rPr>
          <w:rFonts w:ascii="Arial" w:hAnsi="Arial" w:cs="Arial"/>
          <w:b/>
          <w:bCs/>
          <w:sz w:val="20"/>
          <w:szCs w:val="20"/>
        </w:rPr>
        <w:t>middle adolescence</w:t>
      </w:r>
      <w:r w:rsidR="00603010" w:rsidRPr="00603010">
        <w:rPr>
          <w:rFonts w:ascii="Arial" w:hAnsi="Arial" w:cs="Arial"/>
          <w:sz w:val="20"/>
          <w:szCs w:val="20"/>
        </w:rPr>
        <w:t xml:space="preserve"> (about ages 14-17) and </w:t>
      </w:r>
      <w:r w:rsidR="00603010" w:rsidRPr="00603010">
        <w:rPr>
          <w:rFonts w:ascii="Arial" w:hAnsi="Arial" w:cs="Arial"/>
          <w:b/>
          <w:bCs/>
          <w:sz w:val="20"/>
          <w:szCs w:val="20"/>
        </w:rPr>
        <w:t>late adolescence</w:t>
      </w:r>
      <w:r w:rsidR="00603010" w:rsidRPr="00603010">
        <w:rPr>
          <w:rFonts w:ascii="Arial" w:hAnsi="Arial" w:cs="Arial"/>
          <w:sz w:val="20"/>
          <w:szCs w:val="20"/>
        </w:rPr>
        <w:t xml:space="preserve"> (about ages 18-21).  In</w:t>
      </w:r>
      <w:r>
        <w:rPr>
          <w:rFonts w:ascii="Arial" w:hAnsi="Arial" w:cs="Arial"/>
          <w:sz w:val="20"/>
          <w:szCs w:val="20"/>
        </w:rPr>
        <w:t> </w:t>
      </w:r>
      <w:r w:rsidR="00603010" w:rsidRPr="00603010">
        <w:rPr>
          <w:rFonts w:ascii="Arial" w:hAnsi="Arial" w:cs="Arial"/>
          <w:sz w:val="20"/>
          <w:szCs w:val="20"/>
        </w:rPr>
        <w:t>discussing development during adolescence Steinberg considers it is important to differentiate not only between adolescence and childhood or between adolescence and adulthood but also between the various phases of adolescence itself.</w:t>
      </w:r>
    </w:p>
    <w:p w14:paraId="2FB376FD" w14:textId="3B8A8A5A" w:rsidR="00603010" w:rsidRPr="00603010" w:rsidRDefault="009574E1" w:rsidP="00997FBC">
      <w:pPr>
        <w:spacing w:before="120"/>
        <w:ind w:left="454" w:hanging="454"/>
        <w:jc w:val="both"/>
        <w:rPr>
          <w:rFonts w:ascii="Arial" w:hAnsi="Arial" w:cs="Arial"/>
          <w:sz w:val="20"/>
          <w:szCs w:val="20"/>
        </w:rPr>
      </w:pPr>
      <w:r>
        <w:rPr>
          <w:rFonts w:ascii="Arial" w:hAnsi="Arial" w:cs="Arial"/>
          <w:sz w:val="20"/>
          <w:szCs w:val="20"/>
        </w:rPr>
        <w:t>(3)</w:t>
      </w:r>
      <w:r>
        <w:rPr>
          <w:rFonts w:ascii="Arial" w:hAnsi="Arial" w:cs="Arial"/>
          <w:sz w:val="20"/>
          <w:szCs w:val="20"/>
        </w:rPr>
        <w:tab/>
      </w:r>
      <w:r w:rsidR="00603010" w:rsidRPr="00603010">
        <w:rPr>
          <w:rFonts w:ascii="Arial" w:hAnsi="Arial" w:cs="Arial"/>
          <w:sz w:val="20"/>
          <w:szCs w:val="20"/>
        </w:rPr>
        <w:t>Describing adolescent brain development, Steinberg says</w:t>
      </w:r>
      <w:r>
        <w:rPr>
          <w:rFonts w:ascii="Arial" w:hAnsi="Arial" w:cs="Arial"/>
          <w:sz w:val="20"/>
          <w:szCs w:val="20"/>
        </w:rPr>
        <w:t xml:space="preserve"> at p</w:t>
      </w:r>
      <w:r w:rsidR="00A13592">
        <w:rPr>
          <w:rFonts w:ascii="Arial" w:hAnsi="Arial" w:cs="Arial"/>
          <w:sz w:val="20"/>
          <w:szCs w:val="20"/>
        </w:rPr>
        <w:t>p</w:t>
      </w:r>
      <w:r>
        <w:rPr>
          <w:rFonts w:ascii="Arial" w:hAnsi="Arial" w:cs="Arial"/>
          <w:sz w:val="20"/>
          <w:szCs w:val="20"/>
        </w:rPr>
        <w:t>.</w:t>
      </w:r>
      <w:r w:rsidR="00A13592">
        <w:rPr>
          <w:rFonts w:ascii="Arial" w:hAnsi="Arial" w:cs="Arial"/>
          <w:sz w:val="20"/>
          <w:szCs w:val="20"/>
        </w:rPr>
        <w:t>55-56</w:t>
      </w:r>
      <w:r>
        <w:rPr>
          <w:rFonts w:ascii="Arial" w:hAnsi="Arial" w:cs="Arial"/>
          <w:sz w:val="20"/>
          <w:szCs w:val="20"/>
        </w:rPr>
        <w:t xml:space="preserve"> of </w:t>
      </w:r>
      <w:r w:rsidRPr="009574E1">
        <w:rPr>
          <w:rFonts w:ascii="Arial" w:hAnsi="Arial" w:cs="Arial"/>
          <w:i/>
          <w:iCs/>
          <w:sz w:val="20"/>
          <w:szCs w:val="20"/>
        </w:rPr>
        <w:t>Adolescence</w:t>
      </w:r>
      <w:r w:rsidRPr="009574E1">
        <w:rPr>
          <w:rFonts w:ascii="Arial" w:hAnsi="Arial" w:cs="Arial"/>
          <w:sz w:val="20"/>
          <w:szCs w:val="20"/>
        </w:rPr>
        <w:t xml:space="preserve"> (12</w:t>
      </w:r>
      <w:r w:rsidRPr="009574E1">
        <w:rPr>
          <w:rFonts w:ascii="Arial" w:hAnsi="Arial" w:cs="Arial"/>
          <w:sz w:val="20"/>
          <w:szCs w:val="20"/>
          <w:vertAlign w:val="superscript"/>
        </w:rPr>
        <w:t>th</w:t>
      </w:r>
      <w:r w:rsidRPr="009574E1">
        <w:rPr>
          <w:rFonts w:ascii="Arial" w:hAnsi="Arial" w:cs="Arial"/>
          <w:sz w:val="20"/>
          <w:szCs w:val="20"/>
        </w:rPr>
        <w:t xml:space="preserve"> ed., 2020)</w:t>
      </w:r>
      <w:r>
        <w:rPr>
          <w:rFonts w:ascii="Arial" w:hAnsi="Arial" w:cs="Arial"/>
          <w:sz w:val="20"/>
          <w:szCs w:val="20"/>
        </w:rPr>
        <w:t xml:space="preserve"> [citations omitted and emphasis added]</w:t>
      </w:r>
      <w:r w:rsidR="00603010" w:rsidRPr="00603010">
        <w:rPr>
          <w:rFonts w:ascii="Arial" w:hAnsi="Arial" w:cs="Arial"/>
          <w:sz w:val="20"/>
          <w:szCs w:val="20"/>
        </w:rPr>
        <w:t>:</w:t>
      </w:r>
    </w:p>
    <w:p w14:paraId="12E8A712" w14:textId="77777777" w:rsidR="00603010" w:rsidRPr="00603010" w:rsidRDefault="00603010" w:rsidP="00A13592">
      <w:pPr>
        <w:spacing w:before="60"/>
        <w:ind w:left="454"/>
        <w:jc w:val="both"/>
        <w:rPr>
          <w:rFonts w:ascii="Arial" w:hAnsi="Arial" w:cs="Arial"/>
          <w:i/>
          <w:iCs/>
          <w:sz w:val="20"/>
          <w:szCs w:val="20"/>
        </w:rPr>
      </w:pPr>
      <w:r w:rsidRPr="00603010">
        <w:rPr>
          <w:rFonts w:ascii="Arial" w:hAnsi="Arial" w:cs="Arial"/>
          <w:i/>
          <w:iCs/>
          <w:sz w:val="20"/>
          <w:szCs w:val="20"/>
        </w:rPr>
        <w:t>“The brain undergoes significant changes in both structure and function during adolescence.  These changes alter the way adolescents think and process information, as well as how they interact with others.</w:t>
      </w:r>
    </w:p>
    <w:p w14:paraId="025E2B3E" w14:textId="77777777" w:rsidR="00603010" w:rsidRPr="00603010" w:rsidRDefault="00603010" w:rsidP="009574E1">
      <w:pPr>
        <w:spacing w:before="60"/>
        <w:ind w:left="454"/>
        <w:jc w:val="both"/>
        <w:rPr>
          <w:rFonts w:ascii="Arial" w:hAnsi="Arial" w:cs="Arial"/>
          <w:i/>
          <w:iCs/>
          <w:sz w:val="20"/>
          <w:szCs w:val="20"/>
        </w:rPr>
      </w:pPr>
      <w:r w:rsidRPr="00603010">
        <w:rPr>
          <w:rFonts w:ascii="Arial" w:hAnsi="Arial" w:cs="Arial"/>
          <w:b/>
          <w:bCs/>
          <w:i/>
          <w:iCs/>
          <w:sz w:val="20"/>
          <w:szCs w:val="20"/>
        </w:rPr>
        <w:t>Changes in Brain Structure During Adolescence</w:t>
      </w:r>
      <w:r w:rsidRPr="00603010">
        <w:rPr>
          <w:rFonts w:ascii="Arial" w:hAnsi="Arial" w:cs="Arial"/>
          <w:i/>
          <w:iCs/>
          <w:sz w:val="20"/>
          <w:szCs w:val="20"/>
        </w:rPr>
        <w:t>: During adolescence, the brain is ‘remodelled’ through synaptic pruning and myelination in particular brain regions.  One part of the brain that is pruned dramatically in adolescence is the prefrontal cortex, the region of the brain most important for sophisticated thinking abilities, such as planning, thinking ahead, weighing risks and rewards, and controlling impulses.  Pruning also takes place in other parts of the cortex during adolescence.  There is also continued myelination of the cortex throughout adolescence, which also leads to many cognitive advances.  Myelination is stimulated by puberty but also by experiences such as education and exercise.</w:t>
      </w:r>
    </w:p>
    <w:p w14:paraId="71ADAADC" w14:textId="77777777" w:rsidR="00603010" w:rsidRPr="00603010" w:rsidRDefault="00603010" w:rsidP="009574E1">
      <w:pPr>
        <w:spacing w:before="60"/>
        <w:ind w:left="454"/>
        <w:jc w:val="both"/>
        <w:rPr>
          <w:rFonts w:ascii="Arial" w:hAnsi="Arial" w:cs="Arial"/>
          <w:i/>
          <w:iCs/>
          <w:sz w:val="20"/>
          <w:szCs w:val="20"/>
        </w:rPr>
      </w:pPr>
      <w:r w:rsidRPr="00603010">
        <w:rPr>
          <w:rFonts w:ascii="Arial" w:hAnsi="Arial" w:cs="Arial"/>
          <w:i/>
          <w:iCs/>
          <w:sz w:val="20"/>
          <w:szCs w:val="20"/>
        </w:rPr>
        <w:t xml:space="preserve">Although scientists initially focused on the thinning of gray matter as the main feature of structural change in the brain at adolescence, there has been increasing interest in the importance of the increase in white matter, which improves the efficiency of connections within and across brain regions. Better connectivity between different parts of the cortex allows us to think faster and better. Better connectivity between the prefrontal cortex and the limbic system, an area of the brain involved in the processing of emotions, social information and rewards and punishment, leads to improvements in our ability to regulate our emotions and coordinate our thoughts and feelings. </w:t>
      </w:r>
      <w:r w:rsidRPr="003317F7">
        <w:rPr>
          <w:rFonts w:ascii="Arial" w:hAnsi="Arial" w:cs="Arial"/>
          <w:b/>
          <w:bCs/>
          <w:i/>
          <w:iCs/>
          <w:sz w:val="20"/>
          <w:szCs w:val="20"/>
        </w:rPr>
        <w:t>Structural maturation of the prefrontal cortex is not complete until the mid-20s.</w:t>
      </w:r>
    </w:p>
    <w:p w14:paraId="2E80A2C0" w14:textId="77777777" w:rsidR="00603010" w:rsidRPr="00603010" w:rsidRDefault="00603010" w:rsidP="009574E1">
      <w:pPr>
        <w:spacing w:before="60"/>
        <w:ind w:left="454"/>
        <w:jc w:val="both"/>
        <w:rPr>
          <w:rFonts w:ascii="Arial" w:hAnsi="Arial" w:cs="Arial"/>
          <w:i/>
          <w:iCs/>
          <w:sz w:val="20"/>
          <w:szCs w:val="20"/>
        </w:rPr>
      </w:pPr>
      <w:r w:rsidRPr="00603010">
        <w:rPr>
          <w:rFonts w:ascii="Arial" w:hAnsi="Arial" w:cs="Arial"/>
          <w:b/>
          <w:bCs/>
          <w:i/>
          <w:iCs/>
          <w:sz w:val="20"/>
          <w:szCs w:val="20"/>
        </w:rPr>
        <w:t>Changes in Brain Function During Adolescence:</w:t>
      </w:r>
      <w:r w:rsidRPr="00603010">
        <w:rPr>
          <w:rFonts w:ascii="Arial" w:hAnsi="Arial" w:cs="Arial"/>
          <w:i/>
          <w:iCs/>
          <w:sz w:val="20"/>
          <w:szCs w:val="20"/>
        </w:rPr>
        <w:t xml:space="preserve">  The two most important changes in brain function involving the prefrontal cortex in adolescence both lead to greater efficiency in information processing. First, patterns of activation </w:t>
      </w:r>
      <w:r w:rsidRPr="00603010">
        <w:rPr>
          <w:rFonts w:ascii="Arial" w:hAnsi="Arial" w:cs="Arial"/>
          <w:sz w:val="20"/>
          <w:szCs w:val="20"/>
        </w:rPr>
        <w:t>within</w:t>
      </w:r>
      <w:r w:rsidRPr="00603010">
        <w:rPr>
          <w:rFonts w:ascii="Arial" w:hAnsi="Arial" w:cs="Arial"/>
          <w:i/>
          <w:iCs/>
          <w:sz w:val="20"/>
          <w:szCs w:val="20"/>
        </w:rPr>
        <w:t xml:space="preserve"> the prefrontal cortex generally become more focused. For instance, in experiments in which participants are presented with a rapid succession of images and asked to push a button when a certain image appears, but refrain from pushing it when a different image appears (a process known as </w:t>
      </w:r>
      <w:r w:rsidRPr="00603010">
        <w:rPr>
          <w:rFonts w:ascii="Arial" w:hAnsi="Arial" w:cs="Arial"/>
          <w:b/>
          <w:bCs/>
          <w:i/>
          <w:iCs/>
          <w:sz w:val="20"/>
          <w:szCs w:val="20"/>
        </w:rPr>
        <w:t>response inhibition</w:t>
      </w:r>
      <w:r w:rsidRPr="00603010">
        <w:rPr>
          <w:rFonts w:ascii="Arial" w:hAnsi="Arial" w:cs="Arial"/>
          <w:i/>
          <w:iCs/>
          <w:sz w:val="20"/>
          <w:szCs w:val="20"/>
        </w:rPr>
        <w:t xml:space="preserve">), adolescents are less likely than children to activate prefrontal regions that are not relevant to performing the task well. As adolescents grow into adulthood and these brain functions further mature, self-control improves, as does performance on tests that measure other aspects of advanced thinking, often referred to as </w:t>
      </w:r>
      <w:r w:rsidRPr="00603010">
        <w:rPr>
          <w:rFonts w:ascii="Arial" w:hAnsi="Arial" w:cs="Arial"/>
          <w:b/>
          <w:bCs/>
          <w:i/>
          <w:iCs/>
          <w:sz w:val="20"/>
          <w:szCs w:val="20"/>
        </w:rPr>
        <w:t>executive function</w:t>
      </w:r>
      <w:r w:rsidRPr="00603010">
        <w:rPr>
          <w:rFonts w:ascii="Arial" w:hAnsi="Arial" w:cs="Arial"/>
          <w:i/>
          <w:iCs/>
          <w:sz w:val="20"/>
          <w:szCs w:val="20"/>
        </w:rPr>
        <w:t>.</w:t>
      </w:r>
    </w:p>
    <w:p w14:paraId="17F06EA7" w14:textId="515A225D" w:rsidR="00603010" w:rsidRPr="00603010" w:rsidRDefault="00603010" w:rsidP="009574E1">
      <w:pPr>
        <w:spacing w:before="60"/>
        <w:ind w:left="454"/>
        <w:jc w:val="both"/>
        <w:rPr>
          <w:rFonts w:ascii="Arial" w:hAnsi="Arial" w:cs="Arial"/>
          <w:i/>
          <w:iCs/>
          <w:sz w:val="20"/>
          <w:szCs w:val="20"/>
        </w:rPr>
      </w:pPr>
      <w:r w:rsidRPr="00603010">
        <w:rPr>
          <w:rFonts w:ascii="Arial" w:hAnsi="Arial" w:cs="Arial"/>
          <w:i/>
          <w:iCs/>
          <w:sz w:val="20"/>
          <w:szCs w:val="20"/>
        </w:rPr>
        <w:t xml:space="preserve">Second, over the course of adolescence, individuals become more likely to use multiple parts of the brain simultaneously and coordinate activity between prefrontal regions and other areas …[T]his is especially important on difficult tasks, where the task demands may overtax the prefrontal cortex working alone, and especially on tasks that require self-control, where it is necessary to coordinate thinking and feeling. </w:t>
      </w:r>
      <w:r w:rsidRPr="00603010">
        <w:rPr>
          <w:rFonts w:ascii="Arial" w:hAnsi="Arial" w:cs="Arial"/>
          <w:b/>
          <w:bCs/>
          <w:i/>
          <w:iCs/>
          <w:sz w:val="20"/>
          <w:szCs w:val="20"/>
        </w:rPr>
        <w:t>In fact, when adolescents who are tested for self-control are told that they will be rewarded for controlling themselves, they perform better than when no such rewards are offered.</w:t>
      </w:r>
      <w:r w:rsidRPr="00603010">
        <w:rPr>
          <w:rFonts w:ascii="Arial" w:hAnsi="Arial" w:cs="Arial"/>
          <w:i/>
          <w:iCs/>
          <w:sz w:val="20"/>
          <w:szCs w:val="20"/>
        </w:rPr>
        <w:t>”</w:t>
      </w:r>
    </w:p>
    <w:p w14:paraId="71E91B65" w14:textId="5840FDE7" w:rsidR="00603010" w:rsidRPr="00603010" w:rsidRDefault="00A13592" w:rsidP="00997FBC">
      <w:pPr>
        <w:spacing w:before="120" w:after="60"/>
        <w:ind w:left="454" w:hanging="454"/>
        <w:jc w:val="both"/>
        <w:rPr>
          <w:rFonts w:ascii="Arial" w:hAnsi="Arial" w:cs="Arial"/>
          <w:sz w:val="20"/>
          <w:szCs w:val="20"/>
        </w:rPr>
      </w:pPr>
      <w:r>
        <w:rPr>
          <w:rFonts w:ascii="Arial" w:hAnsi="Arial" w:cs="Arial"/>
          <w:sz w:val="20"/>
          <w:szCs w:val="20"/>
        </w:rPr>
        <w:t>(</w:t>
      </w:r>
      <w:r w:rsidR="00603010" w:rsidRPr="00603010">
        <w:rPr>
          <w:rFonts w:ascii="Arial" w:hAnsi="Arial" w:cs="Arial"/>
          <w:sz w:val="20"/>
          <w:szCs w:val="20"/>
        </w:rPr>
        <w:t>4</w:t>
      </w:r>
      <w:r>
        <w:rPr>
          <w:rFonts w:ascii="Arial" w:hAnsi="Arial" w:cs="Arial"/>
          <w:sz w:val="20"/>
          <w:szCs w:val="20"/>
        </w:rPr>
        <w:t>)</w:t>
      </w:r>
      <w:r w:rsidR="00603010" w:rsidRPr="00603010">
        <w:rPr>
          <w:rFonts w:ascii="Arial" w:hAnsi="Arial" w:cs="Arial"/>
          <w:sz w:val="20"/>
          <w:szCs w:val="20"/>
        </w:rPr>
        <w:tab/>
        <w:t>Steinberg’s comment about the value of rewards for enhancing self-control raises related question</w:t>
      </w:r>
      <w:r w:rsidR="00EB49E5">
        <w:rPr>
          <w:rFonts w:ascii="Arial" w:hAnsi="Arial" w:cs="Arial"/>
          <w:sz w:val="20"/>
          <w:szCs w:val="20"/>
        </w:rPr>
        <w:t>s</w:t>
      </w:r>
      <w:r w:rsidR="00603010" w:rsidRPr="00603010">
        <w:rPr>
          <w:rFonts w:ascii="Arial" w:hAnsi="Arial" w:cs="Arial"/>
          <w:sz w:val="20"/>
          <w:szCs w:val="20"/>
        </w:rPr>
        <w:t xml:space="preserve"> about the value of </w:t>
      </w:r>
      <w:r w:rsidR="00EB49E5">
        <w:rPr>
          <w:rFonts w:ascii="Arial" w:hAnsi="Arial" w:cs="Arial"/>
          <w:sz w:val="20"/>
          <w:szCs w:val="20"/>
        </w:rPr>
        <w:t xml:space="preserve">– or risk inherent in – </w:t>
      </w:r>
      <w:r w:rsidR="00603010" w:rsidRPr="00603010">
        <w:rPr>
          <w:rFonts w:ascii="Arial" w:hAnsi="Arial" w:cs="Arial"/>
          <w:sz w:val="20"/>
          <w:szCs w:val="20"/>
        </w:rPr>
        <w:t>any</w:t>
      </w:r>
      <w:r w:rsidR="00EB49E5">
        <w:rPr>
          <w:rFonts w:ascii="Arial" w:hAnsi="Arial" w:cs="Arial"/>
          <w:sz w:val="20"/>
          <w:szCs w:val="20"/>
        </w:rPr>
        <w:t xml:space="preserve"> </w:t>
      </w:r>
      <w:r w:rsidR="00603010" w:rsidRPr="00603010">
        <w:rPr>
          <w:rFonts w:ascii="Arial" w:hAnsi="Arial" w:cs="Arial"/>
          <w:sz w:val="20"/>
          <w:szCs w:val="20"/>
        </w:rPr>
        <w:t xml:space="preserve">sort of deterrence </w:t>
      </w:r>
      <w:r w:rsidR="00BD5BFB">
        <w:rPr>
          <w:rFonts w:ascii="Arial" w:hAnsi="Arial" w:cs="Arial"/>
          <w:sz w:val="20"/>
          <w:szCs w:val="20"/>
        </w:rPr>
        <w:t>(</w:t>
      </w:r>
      <w:r w:rsidR="00603010" w:rsidRPr="00603010">
        <w:rPr>
          <w:rFonts w:ascii="Arial" w:hAnsi="Arial" w:cs="Arial"/>
          <w:sz w:val="20"/>
          <w:szCs w:val="20"/>
        </w:rPr>
        <w:t>with its underlying connotation of punishment</w:t>
      </w:r>
      <w:r w:rsidR="00BD5BFB">
        <w:rPr>
          <w:rFonts w:ascii="Arial" w:hAnsi="Arial" w:cs="Arial"/>
          <w:sz w:val="20"/>
          <w:szCs w:val="20"/>
        </w:rPr>
        <w:t xml:space="preserve">) </w:t>
      </w:r>
      <w:r w:rsidR="00603010" w:rsidRPr="00603010">
        <w:rPr>
          <w:rFonts w:ascii="Arial" w:hAnsi="Arial" w:cs="Arial"/>
          <w:sz w:val="20"/>
          <w:szCs w:val="20"/>
        </w:rPr>
        <w:t>as a sentencing principle for adolescents</w:t>
      </w:r>
      <w:r w:rsidR="00732B8B">
        <w:rPr>
          <w:rFonts w:ascii="Arial" w:hAnsi="Arial" w:cs="Arial"/>
          <w:sz w:val="20"/>
          <w:szCs w:val="20"/>
        </w:rPr>
        <w:t>.  It</w:t>
      </w:r>
      <w:r w:rsidR="00603010" w:rsidRPr="00603010">
        <w:rPr>
          <w:rFonts w:ascii="Arial" w:hAnsi="Arial" w:cs="Arial"/>
          <w:sz w:val="20"/>
          <w:szCs w:val="20"/>
        </w:rPr>
        <w:t xml:space="preserve"> </w:t>
      </w:r>
      <w:r w:rsidR="00F622A8">
        <w:rPr>
          <w:rFonts w:ascii="Arial" w:hAnsi="Arial" w:cs="Arial"/>
          <w:sz w:val="20"/>
          <w:szCs w:val="20"/>
        </w:rPr>
        <w:t xml:space="preserve">underpins the decision of </w:t>
      </w:r>
      <w:r w:rsidR="00603010" w:rsidRPr="00603010">
        <w:rPr>
          <w:rFonts w:ascii="Arial" w:hAnsi="Arial" w:cs="Arial"/>
          <w:sz w:val="20"/>
          <w:szCs w:val="20"/>
        </w:rPr>
        <w:t xml:space="preserve">the Victorian Court of Appeal </w:t>
      </w:r>
      <w:r>
        <w:rPr>
          <w:rFonts w:ascii="Arial" w:hAnsi="Arial" w:cs="Arial"/>
          <w:sz w:val="20"/>
          <w:szCs w:val="20"/>
        </w:rPr>
        <w:t>(</w:t>
      </w:r>
      <w:r w:rsidRPr="00A13592">
        <w:rPr>
          <w:rFonts w:ascii="Arial" w:hAnsi="Arial" w:cs="Arial"/>
          <w:color w:val="000000"/>
          <w:sz w:val="20"/>
          <w:szCs w:val="20"/>
        </w:rPr>
        <w:t>Maxwell P, Harper JA &amp; Lasry AJA</w:t>
      </w:r>
      <w:r>
        <w:rPr>
          <w:rFonts w:ascii="Arial" w:hAnsi="Arial" w:cs="Arial"/>
          <w:color w:val="000000"/>
          <w:sz w:val="20"/>
          <w:szCs w:val="20"/>
        </w:rPr>
        <w:t>)</w:t>
      </w:r>
      <w:r w:rsidRPr="00A13592">
        <w:rPr>
          <w:rFonts w:ascii="Arial" w:hAnsi="Arial" w:cs="Arial"/>
          <w:sz w:val="20"/>
          <w:szCs w:val="20"/>
        </w:rPr>
        <w:t xml:space="preserve"> in </w:t>
      </w:r>
      <w:r w:rsidRPr="00A13592">
        <w:rPr>
          <w:rFonts w:ascii="Arial" w:hAnsi="Arial" w:cs="Arial"/>
          <w:i/>
          <w:color w:val="000000"/>
          <w:sz w:val="20"/>
          <w:szCs w:val="20"/>
        </w:rPr>
        <w:t>CNK v The Queen</w:t>
      </w:r>
      <w:r w:rsidRPr="00A13592">
        <w:rPr>
          <w:rFonts w:ascii="Arial" w:hAnsi="Arial" w:cs="Arial"/>
          <w:color w:val="000000"/>
          <w:sz w:val="20"/>
          <w:szCs w:val="20"/>
        </w:rPr>
        <w:t xml:space="preserve"> (2011) 32</w:t>
      </w:r>
      <w:r w:rsidR="00BD5BFB">
        <w:rPr>
          <w:rFonts w:ascii="Arial" w:hAnsi="Arial" w:cs="Arial"/>
          <w:color w:val="000000"/>
          <w:sz w:val="20"/>
          <w:szCs w:val="20"/>
        </w:rPr>
        <w:t> </w:t>
      </w:r>
      <w:r w:rsidRPr="00A13592">
        <w:rPr>
          <w:rFonts w:ascii="Arial" w:hAnsi="Arial" w:cs="Arial"/>
          <w:color w:val="000000"/>
          <w:sz w:val="20"/>
          <w:szCs w:val="20"/>
        </w:rPr>
        <w:t>VR 641; [2011] VSCA 228</w:t>
      </w:r>
      <w:r w:rsidR="00732B8B">
        <w:rPr>
          <w:rFonts w:ascii="Arial" w:hAnsi="Arial" w:cs="Arial"/>
          <w:color w:val="000000"/>
          <w:sz w:val="20"/>
          <w:szCs w:val="20"/>
        </w:rPr>
        <w:t xml:space="preserve"> </w:t>
      </w:r>
      <w:r w:rsidRPr="00A13592">
        <w:rPr>
          <w:rFonts w:ascii="Arial" w:hAnsi="Arial" w:cs="Arial"/>
          <w:sz w:val="20"/>
          <w:szCs w:val="20"/>
        </w:rPr>
        <w:t>that general deterrence is not an applicable sentencing principle under the CYFA</w:t>
      </w:r>
      <w:r w:rsidR="00732B8B">
        <w:rPr>
          <w:rFonts w:ascii="Arial" w:hAnsi="Arial" w:cs="Arial"/>
          <w:sz w:val="20"/>
          <w:szCs w:val="20"/>
        </w:rPr>
        <w:t xml:space="preserve">. </w:t>
      </w:r>
      <w:r w:rsidR="003317F7">
        <w:rPr>
          <w:rFonts w:ascii="Arial" w:hAnsi="Arial" w:cs="Arial"/>
          <w:sz w:val="20"/>
          <w:szCs w:val="20"/>
        </w:rPr>
        <w:t xml:space="preserve"> Referring to </w:t>
      </w:r>
      <w:r w:rsidRPr="00A13592">
        <w:rPr>
          <w:rFonts w:ascii="Arial" w:hAnsi="Arial" w:cs="Arial"/>
          <w:i/>
          <w:iCs/>
          <w:color w:val="000000"/>
          <w:sz w:val="20"/>
          <w:szCs w:val="20"/>
          <w:lang w:eastAsia="en-AU"/>
        </w:rPr>
        <w:t>Improving the Transition: Reducing Social and Psychological Morbidity During Adolescence</w:t>
      </w:r>
      <w:r w:rsidRPr="00A13592">
        <w:rPr>
          <w:rFonts w:ascii="Arial" w:hAnsi="Arial" w:cs="Arial"/>
          <w:color w:val="000000"/>
          <w:sz w:val="20"/>
          <w:szCs w:val="20"/>
          <w:lang w:eastAsia="en-AU"/>
        </w:rPr>
        <w:t>, Report to Prime Minister of New Zealand by Chief Scientific Advisor (May 2011), 28</w:t>
      </w:r>
      <w:r w:rsidR="00F622A8">
        <w:rPr>
          <w:rFonts w:ascii="Arial" w:hAnsi="Arial" w:cs="Arial"/>
          <w:color w:val="000000"/>
          <w:sz w:val="20"/>
          <w:szCs w:val="20"/>
          <w:lang w:eastAsia="en-AU"/>
        </w:rPr>
        <w:t xml:space="preserve"> </w:t>
      </w:r>
      <w:r w:rsidR="00F622A8">
        <w:rPr>
          <w:rFonts w:ascii="Arial" w:hAnsi="Arial" w:cs="Arial"/>
          <w:color w:val="000000"/>
          <w:sz w:val="20"/>
          <w:szCs w:val="20"/>
          <w:lang w:eastAsia="en-AU"/>
        </w:rPr>
        <w:lastRenderedPageBreak/>
        <w:t xml:space="preserve">which cited </w:t>
      </w:r>
      <w:r w:rsidR="00F622A8" w:rsidRPr="00A13592">
        <w:rPr>
          <w:rFonts w:ascii="Arial" w:hAnsi="Arial" w:cs="Arial"/>
          <w:color w:val="000000"/>
          <w:sz w:val="20"/>
          <w:szCs w:val="20"/>
        </w:rPr>
        <w:t xml:space="preserve">Laurence Steinberg, </w:t>
      </w:r>
      <w:r w:rsidR="00F622A8" w:rsidRPr="00A13592">
        <w:rPr>
          <w:rFonts w:ascii="Arial" w:hAnsi="Arial" w:cs="Arial"/>
          <w:i/>
          <w:iCs/>
          <w:color w:val="000000"/>
          <w:sz w:val="20"/>
          <w:szCs w:val="20"/>
        </w:rPr>
        <w:t>‘Adolescent Development and Juvenile Justice’</w:t>
      </w:r>
      <w:r w:rsidR="00F622A8" w:rsidRPr="00A13592">
        <w:rPr>
          <w:rFonts w:ascii="Arial" w:hAnsi="Arial" w:cs="Arial"/>
          <w:color w:val="000000"/>
          <w:sz w:val="20"/>
          <w:szCs w:val="20"/>
        </w:rPr>
        <w:t xml:space="preserve"> (2009) </w:t>
      </w:r>
      <w:r w:rsidR="00F622A8" w:rsidRPr="00A13592">
        <w:rPr>
          <w:rFonts w:ascii="Arial" w:hAnsi="Arial" w:cs="Arial"/>
          <w:iCs/>
          <w:color w:val="000000"/>
          <w:sz w:val="20"/>
          <w:szCs w:val="20"/>
        </w:rPr>
        <w:t>Annual Review of Clinical Psychology</w:t>
      </w:r>
      <w:r w:rsidR="00F622A8" w:rsidRPr="00A13592">
        <w:rPr>
          <w:rFonts w:ascii="Arial" w:hAnsi="Arial" w:cs="Arial"/>
          <w:color w:val="000000"/>
          <w:sz w:val="20"/>
          <w:szCs w:val="20"/>
        </w:rPr>
        <w:t xml:space="preserve"> 47, 65–68, </w:t>
      </w:r>
      <w:r w:rsidR="00BD5BFB">
        <w:rPr>
          <w:rFonts w:ascii="Arial" w:hAnsi="Arial" w:cs="Arial"/>
          <w:color w:val="000000"/>
          <w:sz w:val="20"/>
          <w:szCs w:val="20"/>
          <w:lang w:eastAsia="en-AU"/>
        </w:rPr>
        <w:t>their Honours said at [77]</w:t>
      </w:r>
      <w:r w:rsidR="00603010" w:rsidRPr="00603010">
        <w:rPr>
          <w:rFonts w:ascii="Arial" w:hAnsi="Arial" w:cs="Arial"/>
          <w:sz w:val="20"/>
          <w:szCs w:val="20"/>
        </w:rPr>
        <w:t>:</w:t>
      </w:r>
    </w:p>
    <w:p w14:paraId="16CCD606" w14:textId="6AAB2DC2" w:rsidR="00603010" w:rsidRDefault="00603010" w:rsidP="00A13592">
      <w:pPr>
        <w:spacing w:before="80"/>
        <w:ind w:left="454"/>
        <w:jc w:val="both"/>
        <w:rPr>
          <w:rFonts w:ascii="Arial" w:hAnsi="Arial" w:cs="Arial"/>
          <w:i/>
          <w:iCs/>
          <w:color w:val="000000"/>
          <w:sz w:val="20"/>
          <w:szCs w:val="20"/>
        </w:rPr>
      </w:pPr>
      <w:r w:rsidRPr="00603010">
        <w:rPr>
          <w:rFonts w:ascii="Arial" w:hAnsi="Arial" w:cs="Arial"/>
          <w:i/>
          <w:iCs/>
          <w:sz w:val="20"/>
          <w:szCs w:val="20"/>
        </w:rPr>
        <w:t xml:space="preserve">“The risk that a period of detention will be counter-productive for an offender – and hence for the community – is never higher than in relation to a young offender who has not previously been in custody. </w:t>
      </w:r>
      <w:r w:rsidRPr="00603010">
        <w:rPr>
          <w:rFonts w:ascii="Arial" w:hAnsi="Arial" w:cs="Arial"/>
          <w:i/>
          <w:iCs/>
          <w:color w:val="000000"/>
          <w:sz w:val="20"/>
          <w:szCs w:val="20"/>
        </w:rPr>
        <w:t>Research to which the Chief Scientist of New Zealand has recently drawn attention has highlighted the potential for the immature brain to respond to punitive punishments in such a way as to make recidivism more rather than less likely.”</w:t>
      </w:r>
    </w:p>
    <w:p w14:paraId="3FE08B38" w14:textId="6B3DCF83" w:rsidR="00603010" w:rsidRPr="00603010" w:rsidRDefault="00A13592" w:rsidP="00F622A8">
      <w:pPr>
        <w:spacing w:before="120"/>
        <w:ind w:left="454" w:hanging="454"/>
        <w:jc w:val="both"/>
        <w:rPr>
          <w:rFonts w:ascii="Arial" w:hAnsi="Arial" w:cs="Arial"/>
          <w:sz w:val="20"/>
          <w:szCs w:val="20"/>
        </w:rPr>
      </w:pPr>
      <w:r>
        <w:rPr>
          <w:rFonts w:ascii="Arial" w:hAnsi="Arial" w:cs="Arial"/>
          <w:sz w:val="20"/>
          <w:szCs w:val="20"/>
        </w:rPr>
        <w:t>(</w:t>
      </w:r>
      <w:r w:rsidR="00603010" w:rsidRPr="00603010">
        <w:rPr>
          <w:rFonts w:ascii="Arial" w:hAnsi="Arial" w:cs="Arial"/>
          <w:sz w:val="20"/>
          <w:szCs w:val="20"/>
        </w:rPr>
        <w:t>5</w:t>
      </w:r>
      <w:r>
        <w:rPr>
          <w:rFonts w:ascii="Arial" w:hAnsi="Arial" w:cs="Arial"/>
          <w:sz w:val="20"/>
          <w:szCs w:val="20"/>
        </w:rPr>
        <w:t>)</w:t>
      </w:r>
      <w:r w:rsidR="00603010" w:rsidRPr="00603010">
        <w:rPr>
          <w:rFonts w:ascii="Arial" w:hAnsi="Arial" w:cs="Arial"/>
          <w:sz w:val="20"/>
          <w:szCs w:val="20"/>
        </w:rPr>
        <w:tab/>
        <w:t>Steinberg’s interesting analysis continues</w:t>
      </w:r>
      <w:r w:rsidR="00603010" w:rsidRPr="00A13592">
        <w:rPr>
          <w:rFonts w:ascii="Arial" w:hAnsi="Arial" w:cs="Arial"/>
          <w:sz w:val="16"/>
          <w:szCs w:val="16"/>
        </w:rPr>
        <w:t xml:space="preserve"> </w:t>
      </w:r>
      <w:r>
        <w:rPr>
          <w:rFonts w:ascii="Arial" w:hAnsi="Arial" w:cs="Arial"/>
          <w:sz w:val="16"/>
          <w:szCs w:val="16"/>
        </w:rPr>
        <w:t xml:space="preserve">at </w:t>
      </w:r>
      <w:r w:rsidRPr="00A13592">
        <w:rPr>
          <w:rFonts w:ascii="Arial" w:hAnsi="Arial" w:cs="Arial"/>
          <w:sz w:val="20"/>
          <w:szCs w:val="20"/>
        </w:rPr>
        <w:t xml:space="preserve">pp.56-58 </w:t>
      </w:r>
      <w:r w:rsidR="00603010" w:rsidRPr="00603010">
        <w:rPr>
          <w:rFonts w:ascii="Arial" w:hAnsi="Arial" w:cs="Arial"/>
          <w:sz w:val="20"/>
          <w:szCs w:val="20"/>
        </w:rPr>
        <w:t xml:space="preserve">with a discussion of </w:t>
      </w:r>
      <w:r w:rsidR="00603010" w:rsidRPr="00603010">
        <w:rPr>
          <w:rFonts w:ascii="Arial" w:hAnsi="Arial" w:cs="Arial"/>
          <w:b/>
          <w:bCs/>
          <w:i/>
          <w:iCs/>
          <w:sz w:val="20"/>
          <w:szCs w:val="20"/>
        </w:rPr>
        <w:t>Risk and Reward</w:t>
      </w:r>
      <w:r>
        <w:rPr>
          <w:rFonts w:ascii="Arial" w:hAnsi="Arial" w:cs="Arial"/>
          <w:sz w:val="20"/>
          <w:szCs w:val="20"/>
        </w:rPr>
        <w:t xml:space="preserve"> [citations omitted]:</w:t>
      </w:r>
    </w:p>
    <w:p w14:paraId="2449BB89" w14:textId="77777777" w:rsidR="00603010" w:rsidRPr="00E318D8" w:rsidRDefault="00603010" w:rsidP="00A13592">
      <w:pPr>
        <w:spacing w:before="60"/>
        <w:ind w:left="454"/>
        <w:jc w:val="both"/>
        <w:rPr>
          <w:rFonts w:ascii="Arial" w:hAnsi="Arial" w:cs="Arial"/>
          <w:i/>
          <w:iCs/>
          <w:sz w:val="20"/>
          <w:szCs w:val="20"/>
        </w:rPr>
      </w:pPr>
      <w:r w:rsidRPr="00603010">
        <w:rPr>
          <w:rFonts w:ascii="Arial" w:hAnsi="Arial" w:cs="Arial"/>
          <w:i/>
          <w:iCs/>
          <w:sz w:val="20"/>
          <w:szCs w:val="20"/>
        </w:rPr>
        <w:t xml:space="preserve">“A different type of functional change results from changes, especially in the limbic system, in the ways in </w:t>
      </w:r>
      <w:r w:rsidRPr="00E318D8">
        <w:rPr>
          <w:rFonts w:ascii="Arial" w:hAnsi="Arial" w:cs="Arial"/>
          <w:i/>
          <w:iCs/>
          <w:sz w:val="20"/>
          <w:szCs w:val="20"/>
        </w:rPr>
        <w:t xml:space="preserve">which the brain is affected by certain neurotransmitters, including </w:t>
      </w:r>
      <w:r w:rsidRPr="00E318D8">
        <w:rPr>
          <w:rFonts w:ascii="Arial" w:hAnsi="Arial" w:cs="Arial"/>
          <w:b/>
          <w:bCs/>
          <w:i/>
          <w:iCs/>
          <w:sz w:val="20"/>
          <w:szCs w:val="20"/>
        </w:rPr>
        <w:t>dopamine</w:t>
      </w:r>
      <w:r w:rsidRPr="00E318D8">
        <w:rPr>
          <w:rFonts w:ascii="Arial" w:hAnsi="Arial" w:cs="Arial"/>
          <w:i/>
          <w:iCs/>
          <w:sz w:val="20"/>
          <w:szCs w:val="20"/>
        </w:rPr>
        <w:t xml:space="preserve"> (which plays an important role in our experience of reward) and </w:t>
      </w:r>
      <w:r w:rsidRPr="00E318D8">
        <w:rPr>
          <w:rFonts w:ascii="Arial" w:hAnsi="Arial" w:cs="Arial"/>
          <w:b/>
          <w:bCs/>
          <w:i/>
          <w:iCs/>
          <w:sz w:val="20"/>
          <w:szCs w:val="20"/>
        </w:rPr>
        <w:t>serotonin</w:t>
      </w:r>
      <w:r w:rsidRPr="00E318D8">
        <w:rPr>
          <w:rFonts w:ascii="Arial" w:hAnsi="Arial" w:cs="Arial"/>
          <w:i/>
          <w:iCs/>
          <w:sz w:val="20"/>
          <w:szCs w:val="20"/>
        </w:rPr>
        <w:t xml:space="preserve"> (which plays an important role in the experience of different moods). These changes, which are partly caused by puberty, make adolescents more emotional, more responsive to stress, more sensitive to rewards and more likely to engage in sensation seeking than either children or adults. They are also thought to increase individuals’ vulnerability to substance abuse, because they seek higher levels of reward; to depression, because of their increased vulnerability to stress; and to other mental health problems, because of their easily aroused emotions, including anger, anxiety and sadness.  One other negative consequence of this increase in emotional reactivity is an increase in adolescents’ sensitivity to feeling threatened, which may prompt some adolescents to lash out at others or deliberately seek out experiences that are frightening. As adolescents mature towards adulthood, these trends begin to reverse, and individuals become less easily aroused by positive or negative stimuli, and better able to regulate their emotions.</w:t>
      </w:r>
    </w:p>
    <w:p w14:paraId="3BAC4898" w14:textId="77777777" w:rsidR="00603010" w:rsidRPr="00603010" w:rsidRDefault="00603010" w:rsidP="00A13592">
      <w:pPr>
        <w:spacing w:before="60"/>
        <w:ind w:left="454"/>
        <w:jc w:val="both"/>
        <w:rPr>
          <w:rFonts w:ascii="Arial" w:hAnsi="Arial" w:cs="Arial"/>
          <w:i/>
          <w:iCs/>
          <w:sz w:val="20"/>
          <w:szCs w:val="20"/>
        </w:rPr>
      </w:pPr>
      <w:r w:rsidRPr="00E318D8">
        <w:rPr>
          <w:rFonts w:ascii="Arial" w:hAnsi="Arial" w:cs="Arial"/>
          <w:i/>
          <w:iCs/>
          <w:sz w:val="20"/>
          <w:szCs w:val="20"/>
        </w:rPr>
        <w:t>These changes in the functioning of the limbic system occur relatively early in adolescence, in contrast to developments in the prefrontal cortex, which are still ongoing in early adulthood. Unlike the changes that occur in the limbic system, which have been directly linked to the impact of pubertal hormones on the brain, the development of cognitive control is more or less independent of puberty. This relatively late maturation of the prefrontal cortex, particularly compared to the changes that take place in the limbic system at puberty, has been the subject of much discussion among those interested in risk taking and behavioral problems in adolescence, because this gap in timing may help explain the dramatic increase in risky behaviour that takes place between childhood and adolescence, as well as the decline in risk taking that occurs as individuals mature into adulthood</w:t>
      </w:r>
      <w:r w:rsidRPr="00603010">
        <w:rPr>
          <w:rFonts w:ascii="Arial" w:hAnsi="Arial" w:cs="Arial"/>
          <w:i/>
          <w:iCs/>
          <w:sz w:val="20"/>
          <w:szCs w:val="20"/>
        </w:rPr>
        <w:t>.</w:t>
      </w:r>
    </w:p>
    <w:p w14:paraId="5B69B02E" w14:textId="3D4EB7A5" w:rsidR="00603010" w:rsidRPr="00603010" w:rsidRDefault="00603010" w:rsidP="00A13592">
      <w:pPr>
        <w:spacing w:before="60"/>
        <w:ind w:left="454"/>
        <w:jc w:val="both"/>
        <w:rPr>
          <w:rFonts w:ascii="Arial" w:hAnsi="Arial" w:cs="Arial"/>
          <w:i/>
          <w:iCs/>
          <w:sz w:val="20"/>
          <w:szCs w:val="20"/>
        </w:rPr>
      </w:pPr>
      <w:r w:rsidRPr="00603010">
        <w:rPr>
          <w:rFonts w:ascii="Arial" w:hAnsi="Arial" w:cs="Arial"/>
          <w:i/>
          <w:iCs/>
          <w:sz w:val="20"/>
          <w:szCs w:val="20"/>
        </w:rPr>
        <w:t>In essence, the brain changes in ways that may provoke individuals to seek novelty, reward, and stimulation several years before the complete maturation of the brain systems that regulate judgment, decision making, and impulse control. In the words of one team of writers, it's like ‘starting the engines with an unskilled driver’. As the ‘braking system’ improves, in part because of maturation of the prefrontal cortex and its connections to other brain regions, and as reward seeking declines, individuals become less likely to engage in risky behaviour.”</w:t>
      </w:r>
    </w:p>
    <w:p w14:paraId="10869153" w14:textId="0E66BBAA" w:rsidR="001C4800" w:rsidRPr="001C4800" w:rsidRDefault="00A13592" w:rsidP="00051932">
      <w:pPr>
        <w:spacing w:before="120"/>
        <w:ind w:left="454" w:hanging="454"/>
        <w:jc w:val="both"/>
        <w:rPr>
          <w:rFonts w:ascii="Arial" w:hAnsi="Arial" w:cs="Arial"/>
          <w:sz w:val="20"/>
          <w:szCs w:val="20"/>
        </w:rPr>
      </w:pPr>
      <w:r>
        <w:rPr>
          <w:rFonts w:ascii="Arial" w:hAnsi="Arial" w:cs="Arial"/>
          <w:sz w:val="20"/>
          <w:szCs w:val="20"/>
        </w:rPr>
        <w:t>(6)</w:t>
      </w:r>
      <w:r>
        <w:rPr>
          <w:rFonts w:ascii="Arial" w:hAnsi="Arial" w:cs="Arial"/>
          <w:sz w:val="20"/>
          <w:szCs w:val="20"/>
        </w:rPr>
        <w:tab/>
      </w:r>
      <w:r w:rsidR="001C4800">
        <w:rPr>
          <w:rFonts w:ascii="Arial" w:hAnsi="Arial" w:cs="Arial"/>
          <w:sz w:val="20"/>
          <w:szCs w:val="20"/>
        </w:rPr>
        <w:t xml:space="preserve">The </w:t>
      </w:r>
      <w:r w:rsidR="001C4800" w:rsidRPr="001C4800">
        <w:rPr>
          <w:rFonts w:ascii="Arial" w:hAnsi="Arial" w:cs="Arial"/>
          <w:sz w:val="20"/>
          <w:szCs w:val="20"/>
        </w:rPr>
        <w:t xml:space="preserve">CCV Youth Diversion Service </w:t>
      </w:r>
      <w:r w:rsidR="001C4800">
        <w:rPr>
          <w:rFonts w:ascii="Arial" w:hAnsi="Arial" w:cs="Arial"/>
          <w:sz w:val="20"/>
          <w:szCs w:val="20"/>
        </w:rPr>
        <w:t>r</w:t>
      </w:r>
      <w:r w:rsidR="001C4800" w:rsidRPr="001C4800">
        <w:rPr>
          <w:rFonts w:ascii="Arial" w:hAnsi="Arial" w:cs="Arial"/>
          <w:sz w:val="20"/>
          <w:szCs w:val="20"/>
        </w:rPr>
        <w:t>eport dated 08/10/2018</w:t>
      </w:r>
      <w:r w:rsidR="005A0E81">
        <w:rPr>
          <w:rFonts w:ascii="Arial" w:hAnsi="Arial" w:cs="Arial"/>
          <w:sz w:val="20"/>
          <w:szCs w:val="20"/>
        </w:rPr>
        <w:t xml:space="preserve"> stated</w:t>
      </w:r>
      <w:r w:rsidR="001C4800">
        <w:rPr>
          <w:rFonts w:ascii="Arial" w:hAnsi="Arial" w:cs="Arial"/>
          <w:sz w:val="20"/>
          <w:szCs w:val="20"/>
        </w:rPr>
        <w:t xml:space="preserve"> that </w:t>
      </w:r>
      <w:r w:rsidR="001C4800" w:rsidRPr="001C4800">
        <w:rPr>
          <w:rFonts w:ascii="Arial" w:hAnsi="Arial" w:cs="Arial"/>
          <w:sz w:val="20"/>
          <w:szCs w:val="20"/>
        </w:rPr>
        <w:t xml:space="preserve">285 [20%] of the 1,404 diversion orders made by the </w:t>
      </w:r>
      <w:r w:rsidR="00707638">
        <w:rPr>
          <w:rFonts w:ascii="Arial" w:hAnsi="Arial" w:cs="Arial"/>
          <w:sz w:val="20"/>
          <w:szCs w:val="20"/>
        </w:rPr>
        <w:t xml:space="preserve">Victorian </w:t>
      </w:r>
      <w:r w:rsidR="001C4800" w:rsidRPr="001C4800">
        <w:rPr>
          <w:rFonts w:ascii="Arial" w:hAnsi="Arial" w:cs="Arial"/>
          <w:sz w:val="20"/>
          <w:szCs w:val="20"/>
        </w:rPr>
        <w:t>Children’s Court Criminal Division in the 2017</w:t>
      </w:r>
      <w:r w:rsidR="00707638">
        <w:rPr>
          <w:rFonts w:ascii="Arial" w:hAnsi="Arial" w:cs="Arial"/>
          <w:sz w:val="20"/>
          <w:szCs w:val="20"/>
        </w:rPr>
        <w:t>-</w:t>
      </w:r>
      <w:r w:rsidR="001C4800" w:rsidRPr="001C4800">
        <w:rPr>
          <w:rFonts w:ascii="Arial" w:hAnsi="Arial" w:cs="Arial"/>
          <w:sz w:val="20"/>
          <w:szCs w:val="20"/>
        </w:rPr>
        <w:t>18 financial year</w:t>
      </w:r>
      <w:r w:rsidR="001C4800">
        <w:rPr>
          <w:rFonts w:ascii="Arial" w:hAnsi="Arial" w:cs="Arial"/>
          <w:sz w:val="20"/>
          <w:szCs w:val="20"/>
        </w:rPr>
        <w:t xml:space="preserve"> were for children aged 10-14.  Of these 206 [72%] were for children aged 14 and 60 [21%] were for children aged 13.  Unsurprisingly, the breakdown figures for</w:t>
      </w:r>
      <w:r w:rsidR="00C42959">
        <w:rPr>
          <w:rFonts w:ascii="Arial" w:hAnsi="Arial" w:cs="Arial"/>
          <w:sz w:val="20"/>
          <w:szCs w:val="20"/>
        </w:rPr>
        <w:t xml:space="preserve"> the 285 diverted children </w:t>
      </w:r>
      <w:r w:rsidR="00D206A5">
        <w:rPr>
          <w:rFonts w:ascii="Arial" w:hAnsi="Arial" w:cs="Arial"/>
          <w:sz w:val="20"/>
          <w:szCs w:val="20"/>
        </w:rPr>
        <w:t xml:space="preserve">who offended at </w:t>
      </w:r>
      <w:r w:rsidR="00C42959">
        <w:rPr>
          <w:rFonts w:ascii="Arial" w:hAnsi="Arial" w:cs="Arial"/>
          <w:sz w:val="20"/>
          <w:szCs w:val="20"/>
        </w:rPr>
        <w:t>aged 10-14 evidence significant levels of disadvantage:</w:t>
      </w:r>
    </w:p>
    <w:p w14:paraId="36AB7BED" w14:textId="77777777" w:rsidR="00732B8B"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53% had current or historical child protection involvement;</w:t>
      </w:r>
    </w:p>
    <w:p w14:paraId="7370B6F6" w14:textId="77777777" w:rsidR="00732B8B"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13% were in out of home care;</w:t>
      </w:r>
    </w:p>
    <w:p w14:paraId="0718DFB8" w14:textId="77777777" w:rsidR="00732B8B"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37% had a parent, sibling or other close relative who was reported to have engaged in offending behaviour;</w:t>
      </w:r>
    </w:p>
    <w:p w14:paraId="45E0A296" w14:textId="77777777" w:rsidR="00732B8B"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19% had a cognitive impairment; and</w:t>
      </w:r>
    </w:p>
    <w:p w14:paraId="4960190A" w14:textId="77777777" w:rsidR="00732B8B"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20% were not in education, training or employment at all and 47% had a previous suspension or expulsion.</w:t>
      </w:r>
    </w:p>
    <w:p w14:paraId="72827AC1" w14:textId="755FE1FE" w:rsidR="00603010" w:rsidRPr="00C42959" w:rsidRDefault="00C42959" w:rsidP="00051932">
      <w:pPr>
        <w:spacing w:before="120"/>
        <w:ind w:left="454" w:hanging="454"/>
        <w:jc w:val="both"/>
        <w:rPr>
          <w:rFonts w:ascii="Arial" w:hAnsi="Arial" w:cs="Arial"/>
          <w:sz w:val="20"/>
          <w:szCs w:val="20"/>
        </w:rPr>
      </w:pPr>
      <w:r w:rsidRPr="00C42959">
        <w:rPr>
          <w:rFonts w:ascii="Arial" w:hAnsi="Arial" w:cs="Arial"/>
          <w:sz w:val="20"/>
          <w:szCs w:val="20"/>
        </w:rPr>
        <w:t>(7)</w:t>
      </w:r>
      <w:r w:rsidRPr="00C42959">
        <w:rPr>
          <w:rFonts w:ascii="Arial" w:hAnsi="Arial" w:cs="Arial"/>
          <w:sz w:val="20"/>
          <w:szCs w:val="20"/>
        </w:rPr>
        <w:tab/>
      </w:r>
      <w:r w:rsidR="00603010" w:rsidRPr="00C42959">
        <w:rPr>
          <w:rFonts w:ascii="Arial" w:hAnsi="Arial" w:cs="Arial"/>
          <w:sz w:val="20"/>
          <w:szCs w:val="20"/>
        </w:rPr>
        <w:t xml:space="preserve">The relatively high level of disadvantage observed in this sample of 10-14 year old offenders is also generally consistent with the Victorian youth justice supervision statistics for what have been termed </w:t>
      </w:r>
      <w:r w:rsidR="00732B8B">
        <w:rPr>
          <w:rFonts w:ascii="Arial" w:hAnsi="Arial" w:cs="Arial"/>
          <w:b/>
          <w:bCs/>
          <w:sz w:val="20"/>
          <w:szCs w:val="20"/>
        </w:rPr>
        <w:t>‘</w:t>
      </w:r>
      <w:r w:rsidR="00603010" w:rsidRPr="00C42959">
        <w:rPr>
          <w:rFonts w:ascii="Arial" w:hAnsi="Arial" w:cs="Arial"/>
          <w:b/>
          <w:bCs/>
          <w:sz w:val="20"/>
          <w:szCs w:val="20"/>
        </w:rPr>
        <w:t>crossover kids</w:t>
      </w:r>
      <w:r w:rsidR="00732B8B" w:rsidRPr="00F37066">
        <w:rPr>
          <w:rFonts w:ascii="Arial" w:hAnsi="Arial" w:cs="Arial"/>
          <w:sz w:val="20"/>
          <w:szCs w:val="20"/>
        </w:rPr>
        <w:t>’</w:t>
      </w:r>
      <w:r w:rsidR="00603010" w:rsidRPr="00C42959">
        <w:rPr>
          <w:rFonts w:ascii="Arial" w:hAnsi="Arial" w:cs="Arial"/>
          <w:sz w:val="20"/>
          <w:szCs w:val="20"/>
        </w:rPr>
        <w:t xml:space="preserve">, namely those children with experience of both the child protection and criminal justice systems.  A Sentencing Advisory Council </w:t>
      </w:r>
      <w:r>
        <w:rPr>
          <w:rFonts w:ascii="Arial" w:hAnsi="Arial" w:cs="Arial"/>
          <w:sz w:val="20"/>
          <w:szCs w:val="20"/>
        </w:rPr>
        <w:t xml:space="preserve">[SAC] </w:t>
      </w:r>
      <w:r w:rsidR="00603010" w:rsidRPr="00C42959">
        <w:rPr>
          <w:rFonts w:ascii="Arial" w:hAnsi="Arial" w:cs="Arial"/>
          <w:sz w:val="20"/>
          <w:szCs w:val="20"/>
        </w:rPr>
        <w:t>report</w:t>
      </w:r>
      <w:r w:rsidRPr="00C42959">
        <w:rPr>
          <w:rFonts w:ascii="Arial" w:hAnsi="Arial" w:cs="Arial"/>
          <w:sz w:val="20"/>
          <w:szCs w:val="20"/>
        </w:rPr>
        <w:t xml:space="preserve">, </w:t>
      </w:r>
      <w:r w:rsidRPr="00C42959">
        <w:rPr>
          <w:rFonts w:ascii="Arial" w:hAnsi="Arial" w:cs="Arial"/>
          <w:i/>
          <w:iCs/>
          <w:sz w:val="20"/>
          <w:szCs w:val="20"/>
        </w:rPr>
        <w:t>Crossover Kids: Vulnerable Children in the Youth Justice System</w:t>
      </w:r>
      <w:r w:rsidRPr="00C42959">
        <w:rPr>
          <w:rFonts w:ascii="Arial" w:hAnsi="Arial" w:cs="Arial"/>
          <w:sz w:val="20"/>
          <w:szCs w:val="20"/>
        </w:rPr>
        <w:t xml:space="preserve"> (2019), </w:t>
      </w:r>
      <w:r>
        <w:rPr>
          <w:rFonts w:ascii="Arial" w:hAnsi="Arial" w:cs="Arial"/>
          <w:sz w:val="20"/>
          <w:szCs w:val="20"/>
        </w:rPr>
        <w:t xml:space="preserve">stated at </w:t>
      </w:r>
      <w:r w:rsidRPr="00C42959">
        <w:rPr>
          <w:rFonts w:ascii="Arial" w:hAnsi="Arial" w:cs="Arial"/>
          <w:sz w:val="20"/>
          <w:szCs w:val="20"/>
        </w:rPr>
        <w:t>paragraph 4.19</w:t>
      </w:r>
      <w:r>
        <w:rPr>
          <w:rFonts w:ascii="Arial" w:hAnsi="Arial" w:cs="Arial"/>
          <w:sz w:val="20"/>
          <w:szCs w:val="20"/>
        </w:rPr>
        <w:t xml:space="preserve"> [citations omitted]</w:t>
      </w:r>
      <w:r w:rsidR="00603010" w:rsidRPr="00C42959">
        <w:rPr>
          <w:rFonts w:ascii="Arial" w:hAnsi="Arial" w:cs="Arial"/>
          <w:sz w:val="20"/>
          <w:szCs w:val="20"/>
        </w:rPr>
        <w:t>:</w:t>
      </w:r>
    </w:p>
    <w:p w14:paraId="12AC28BD" w14:textId="399B4D2E" w:rsidR="00603010" w:rsidRPr="00603010" w:rsidRDefault="00603010" w:rsidP="00C42959">
      <w:pPr>
        <w:spacing w:before="60"/>
        <w:ind w:left="454"/>
        <w:jc w:val="both"/>
        <w:rPr>
          <w:rFonts w:ascii="Arial" w:hAnsi="Arial" w:cs="Arial"/>
          <w:i/>
          <w:iCs/>
          <w:sz w:val="20"/>
          <w:szCs w:val="20"/>
        </w:rPr>
      </w:pPr>
      <w:r w:rsidRPr="00603010">
        <w:rPr>
          <w:rFonts w:ascii="Arial" w:hAnsi="Arial" w:cs="Arial"/>
          <w:i/>
          <w:iCs/>
          <w:sz w:val="20"/>
          <w:szCs w:val="20"/>
        </w:rPr>
        <w:t>“Children under youth justice supervision in Victoria were the most likely in Australia to have also received a child protection service during the same 4 year period (60.4%). This is just over 10 times the rate of child protection among the age equivalent Victorian population.”</w:t>
      </w:r>
    </w:p>
    <w:p w14:paraId="71A3A06A" w14:textId="68DE2173" w:rsidR="00603010" w:rsidRDefault="005A0E81" w:rsidP="005A0E81">
      <w:pPr>
        <w:spacing w:before="60"/>
        <w:ind w:left="454"/>
        <w:jc w:val="both"/>
        <w:rPr>
          <w:rFonts w:ascii="Arial" w:hAnsi="Arial" w:cs="Arial"/>
          <w:sz w:val="20"/>
          <w:szCs w:val="20"/>
        </w:rPr>
      </w:pPr>
      <w:r>
        <w:rPr>
          <w:rFonts w:ascii="Arial" w:hAnsi="Arial" w:cs="Arial"/>
          <w:sz w:val="20"/>
          <w:szCs w:val="20"/>
        </w:rPr>
        <w:lastRenderedPageBreak/>
        <w:t>The</w:t>
      </w:r>
      <w:r w:rsidR="00290B59">
        <w:rPr>
          <w:rFonts w:ascii="Arial" w:hAnsi="Arial" w:cs="Arial"/>
          <w:sz w:val="20"/>
          <w:szCs w:val="20"/>
        </w:rPr>
        <w:t xml:space="preserve"> particular</w:t>
      </w:r>
      <w:r>
        <w:rPr>
          <w:rFonts w:ascii="Arial" w:hAnsi="Arial" w:cs="Arial"/>
          <w:sz w:val="20"/>
          <w:szCs w:val="20"/>
        </w:rPr>
        <w:t xml:space="preserve"> </w:t>
      </w:r>
      <w:r w:rsidR="00290B59">
        <w:rPr>
          <w:rFonts w:ascii="Arial" w:hAnsi="Arial" w:cs="Arial"/>
          <w:sz w:val="20"/>
          <w:szCs w:val="20"/>
        </w:rPr>
        <w:t>‘</w:t>
      </w:r>
      <w:r w:rsidRPr="00290B59">
        <w:rPr>
          <w:rFonts w:ascii="Arial" w:hAnsi="Arial" w:cs="Arial"/>
          <w:b/>
          <w:bCs/>
          <w:sz w:val="20"/>
          <w:szCs w:val="20"/>
        </w:rPr>
        <w:t>crossover kids</w:t>
      </w:r>
      <w:r w:rsidR="00290B59">
        <w:rPr>
          <w:rFonts w:ascii="Arial" w:hAnsi="Arial" w:cs="Arial"/>
          <w:sz w:val="20"/>
          <w:szCs w:val="20"/>
        </w:rPr>
        <w:t>’</w:t>
      </w:r>
      <w:r>
        <w:rPr>
          <w:rFonts w:ascii="Arial" w:hAnsi="Arial" w:cs="Arial"/>
          <w:sz w:val="20"/>
          <w:szCs w:val="20"/>
        </w:rPr>
        <w:t xml:space="preserve"> </w:t>
      </w:r>
      <w:r w:rsidR="00956716">
        <w:rPr>
          <w:rFonts w:ascii="Arial" w:hAnsi="Arial" w:cs="Arial"/>
          <w:sz w:val="20"/>
          <w:szCs w:val="20"/>
        </w:rPr>
        <w:t xml:space="preserve">referred to here </w:t>
      </w:r>
      <w:r>
        <w:rPr>
          <w:rFonts w:ascii="Arial" w:hAnsi="Arial" w:cs="Arial"/>
          <w:sz w:val="20"/>
          <w:szCs w:val="20"/>
        </w:rPr>
        <w:t>are most likely to have offended when aged between 13 &amp; 17 since very few child offenders aged 10-1</w:t>
      </w:r>
      <w:r w:rsidR="00417EBF">
        <w:rPr>
          <w:rFonts w:ascii="Arial" w:hAnsi="Arial" w:cs="Arial"/>
          <w:sz w:val="20"/>
          <w:szCs w:val="20"/>
        </w:rPr>
        <w:t>3</w:t>
      </w:r>
      <w:r>
        <w:rPr>
          <w:rFonts w:ascii="Arial" w:hAnsi="Arial" w:cs="Arial"/>
          <w:sz w:val="20"/>
          <w:szCs w:val="20"/>
        </w:rPr>
        <w:t xml:space="preserve"> are placed on sentencing orders involving</w:t>
      </w:r>
      <w:r w:rsidR="00417EBF">
        <w:rPr>
          <w:rFonts w:ascii="Arial" w:hAnsi="Arial" w:cs="Arial"/>
          <w:sz w:val="20"/>
          <w:szCs w:val="20"/>
        </w:rPr>
        <w:t xml:space="preserve"> youth justice supervision.  For example, in 2019-20 only 38 of the 744 children placed on sentencing orders involving youth justice supervision were aged 10-13 on the date of the offending.</w:t>
      </w:r>
    </w:p>
    <w:p w14:paraId="2D4E06D5" w14:textId="04089377" w:rsidR="00603010" w:rsidRPr="00603010" w:rsidRDefault="00C42959" w:rsidP="00051932">
      <w:pPr>
        <w:spacing w:before="120"/>
        <w:ind w:left="454" w:hanging="454"/>
        <w:jc w:val="both"/>
        <w:rPr>
          <w:rFonts w:ascii="Arial" w:hAnsi="Arial" w:cs="Arial"/>
          <w:sz w:val="20"/>
          <w:szCs w:val="20"/>
        </w:rPr>
      </w:pPr>
      <w:r>
        <w:rPr>
          <w:rFonts w:ascii="Arial" w:hAnsi="Arial" w:cs="Arial"/>
          <w:sz w:val="20"/>
          <w:szCs w:val="20"/>
        </w:rPr>
        <w:t>(8)</w:t>
      </w:r>
      <w:r>
        <w:rPr>
          <w:rFonts w:ascii="Arial" w:hAnsi="Arial" w:cs="Arial"/>
          <w:sz w:val="20"/>
          <w:szCs w:val="20"/>
        </w:rPr>
        <w:tab/>
      </w:r>
      <w:r w:rsidR="00956716">
        <w:rPr>
          <w:rFonts w:ascii="Arial" w:hAnsi="Arial" w:cs="Arial"/>
          <w:sz w:val="20"/>
          <w:szCs w:val="20"/>
        </w:rPr>
        <w:t>High disadvantage levels</w:t>
      </w:r>
      <w:r w:rsidR="00603010" w:rsidRPr="00603010">
        <w:rPr>
          <w:rFonts w:ascii="Arial" w:hAnsi="Arial" w:cs="Arial"/>
          <w:sz w:val="20"/>
          <w:szCs w:val="20"/>
        </w:rPr>
        <w:t xml:space="preserve"> </w:t>
      </w:r>
      <w:r w:rsidR="00956716">
        <w:rPr>
          <w:rFonts w:ascii="Arial" w:hAnsi="Arial" w:cs="Arial"/>
          <w:sz w:val="20"/>
          <w:szCs w:val="20"/>
        </w:rPr>
        <w:t>are</w:t>
      </w:r>
      <w:r w:rsidR="00603010" w:rsidRPr="00603010">
        <w:rPr>
          <w:rFonts w:ascii="Arial" w:hAnsi="Arial" w:cs="Arial"/>
          <w:sz w:val="20"/>
          <w:szCs w:val="20"/>
        </w:rPr>
        <w:t xml:space="preserve"> also consistent with a 2017 Victoria Youth Parole Board survey and with a 2015 Victorian study by Jesuit Social Services</w:t>
      </w:r>
      <w:r w:rsidR="00732B8B">
        <w:rPr>
          <w:rFonts w:ascii="Arial" w:hAnsi="Arial" w:cs="Arial"/>
          <w:sz w:val="20"/>
          <w:szCs w:val="20"/>
        </w:rPr>
        <w:t xml:space="preserve"> </w:t>
      </w:r>
      <w:r w:rsidR="003317F7">
        <w:rPr>
          <w:rFonts w:ascii="Arial" w:hAnsi="Arial" w:cs="Arial"/>
          <w:sz w:val="20"/>
          <w:szCs w:val="20"/>
        </w:rPr>
        <w:t xml:space="preserve">– relating to children in the criminal justice system generally – </w:t>
      </w:r>
      <w:r w:rsidR="00956716">
        <w:rPr>
          <w:rFonts w:ascii="Arial" w:hAnsi="Arial" w:cs="Arial"/>
          <w:sz w:val="20"/>
          <w:szCs w:val="20"/>
        </w:rPr>
        <w:t>referred to</w:t>
      </w:r>
      <w:r w:rsidR="00732B8B">
        <w:rPr>
          <w:rFonts w:ascii="Arial" w:hAnsi="Arial" w:cs="Arial"/>
          <w:sz w:val="20"/>
          <w:szCs w:val="20"/>
        </w:rPr>
        <w:t xml:space="preserve"> in the SAC report at paragraph 4.20 as follows [citations omitted]</w:t>
      </w:r>
      <w:r w:rsidR="00603010" w:rsidRPr="00603010">
        <w:rPr>
          <w:rFonts w:ascii="Arial" w:hAnsi="Arial" w:cs="Arial"/>
          <w:sz w:val="20"/>
          <w:szCs w:val="20"/>
        </w:rPr>
        <w:t>:</w:t>
      </w:r>
    </w:p>
    <w:p w14:paraId="2568EAD4" w14:textId="118143DC" w:rsidR="00603010" w:rsidRPr="00603010" w:rsidRDefault="00603010" w:rsidP="00C42959">
      <w:pPr>
        <w:spacing w:before="60"/>
        <w:ind w:left="454"/>
        <w:jc w:val="both"/>
        <w:rPr>
          <w:rFonts w:ascii="Arial" w:hAnsi="Arial" w:cs="Arial"/>
          <w:i/>
          <w:iCs/>
          <w:sz w:val="20"/>
          <w:szCs w:val="20"/>
        </w:rPr>
      </w:pPr>
      <w:r w:rsidRPr="00603010">
        <w:rPr>
          <w:rFonts w:ascii="Arial" w:hAnsi="Arial" w:cs="Arial"/>
          <w:i/>
          <w:iCs/>
          <w:sz w:val="20"/>
          <w:szCs w:val="20"/>
        </w:rPr>
        <w:t>“A Victorian Youth Parole Board survey of 209 males and 17 females detained on sentence and remand on 1 December 2017 showed that 37% were currently and/or previously subject to a child protection order. Similarly a 2015 Victorian study by Jesuit Social Services found that vulnerable and disadvantaged children and young people were highly overrepresented among those who were on remand. The study found that all 27 children who were first remanded aged 10-12 were known to the child protection service, and 14 of the 27 children were known to the child protection service before their 3</w:t>
      </w:r>
      <w:r w:rsidRPr="00603010">
        <w:rPr>
          <w:rFonts w:ascii="Arial" w:hAnsi="Arial" w:cs="Arial"/>
          <w:i/>
          <w:iCs/>
          <w:sz w:val="20"/>
          <w:szCs w:val="20"/>
          <w:vertAlign w:val="superscript"/>
        </w:rPr>
        <w:t>rd</w:t>
      </w:r>
      <w:r w:rsidRPr="00603010">
        <w:rPr>
          <w:rFonts w:ascii="Arial" w:hAnsi="Arial" w:cs="Arial"/>
          <w:i/>
          <w:iCs/>
          <w:sz w:val="20"/>
          <w:szCs w:val="20"/>
        </w:rPr>
        <w:t xml:space="preserve"> birthday.”</w:t>
      </w:r>
    </w:p>
    <w:p w14:paraId="00C58818" w14:textId="11B37948" w:rsidR="00603010" w:rsidRPr="00051932" w:rsidRDefault="00732B8B" w:rsidP="00051932">
      <w:pPr>
        <w:spacing w:before="120"/>
        <w:ind w:left="454" w:hanging="454"/>
        <w:jc w:val="both"/>
        <w:rPr>
          <w:rFonts w:ascii="Arial" w:hAnsi="Arial" w:cs="Arial"/>
          <w:sz w:val="20"/>
          <w:szCs w:val="20"/>
        </w:rPr>
      </w:pPr>
      <w:r>
        <w:rPr>
          <w:rFonts w:ascii="Arial" w:hAnsi="Arial" w:cs="Arial"/>
          <w:sz w:val="20"/>
          <w:szCs w:val="20"/>
        </w:rPr>
        <w:t>(9)</w:t>
      </w:r>
      <w:r>
        <w:rPr>
          <w:rFonts w:ascii="Arial" w:hAnsi="Arial" w:cs="Arial"/>
          <w:sz w:val="20"/>
          <w:szCs w:val="20"/>
        </w:rPr>
        <w:tab/>
      </w:r>
      <w:r w:rsidR="00603010" w:rsidRPr="00603010">
        <w:rPr>
          <w:rFonts w:ascii="Arial" w:hAnsi="Arial" w:cs="Arial"/>
          <w:sz w:val="20"/>
          <w:szCs w:val="20"/>
        </w:rPr>
        <w:t xml:space="preserve">In addition there are high rates of mental health issues observed in the </w:t>
      </w:r>
      <w:r w:rsidR="00603010" w:rsidRPr="00603010">
        <w:rPr>
          <w:rFonts w:ascii="Arial" w:hAnsi="Arial" w:cs="Arial"/>
          <w:b/>
          <w:bCs/>
          <w:sz w:val="20"/>
          <w:szCs w:val="20"/>
        </w:rPr>
        <w:t>crossover</w:t>
      </w:r>
      <w:r w:rsidR="00603010" w:rsidRPr="00603010">
        <w:rPr>
          <w:rFonts w:ascii="Arial" w:hAnsi="Arial" w:cs="Arial"/>
          <w:sz w:val="20"/>
          <w:szCs w:val="20"/>
        </w:rPr>
        <w:t xml:space="preserve"> population</w:t>
      </w:r>
      <w:r>
        <w:rPr>
          <w:rFonts w:ascii="Arial" w:hAnsi="Arial" w:cs="Arial"/>
          <w:sz w:val="20"/>
          <w:szCs w:val="20"/>
        </w:rPr>
        <w:t xml:space="preserve"> generally</w:t>
      </w:r>
      <w:r w:rsidR="00603010" w:rsidRPr="00603010">
        <w:rPr>
          <w:rFonts w:ascii="Arial" w:hAnsi="Arial" w:cs="Arial"/>
          <w:sz w:val="20"/>
          <w:szCs w:val="20"/>
        </w:rPr>
        <w:t xml:space="preserve">.  Comprehensive research conducted by Monash University in conjunction with the CCV into the characteristics of </w:t>
      </w:r>
      <w:r w:rsidR="00F37066">
        <w:rPr>
          <w:rFonts w:ascii="Arial" w:hAnsi="Arial" w:cs="Arial"/>
          <w:sz w:val="20"/>
          <w:szCs w:val="20"/>
        </w:rPr>
        <w:t>‘</w:t>
      </w:r>
      <w:r w:rsidR="00603010" w:rsidRPr="00603010">
        <w:rPr>
          <w:rFonts w:ascii="Arial" w:hAnsi="Arial" w:cs="Arial"/>
          <w:b/>
          <w:bCs/>
          <w:sz w:val="20"/>
          <w:szCs w:val="20"/>
        </w:rPr>
        <w:t>crossover kids</w:t>
      </w:r>
      <w:r w:rsidR="00F37066" w:rsidRPr="00F37066">
        <w:rPr>
          <w:rFonts w:ascii="Arial" w:hAnsi="Arial" w:cs="Arial"/>
          <w:sz w:val="20"/>
          <w:szCs w:val="20"/>
        </w:rPr>
        <w:t>’</w:t>
      </w:r>
      <w:r w:rsidR="00603010" w:rsidRPr="00603010">
        <w:rPr>
          <w:rFonts w:ascii="Arial" w:hAnsi="Arial" w:cs="Arial"/>
          <w:sz w:val="20"/>
          <w:szCs w:val="20"/>
        </w:rPr>
        <w:t xml:space="preserve"> shows significant complexities and comorbidities in those </w:t>
      </w:r>
      <w:r w:rsidR="00603010" w:rsidRPr="00051932">
        <w:rPr>
          <w:rFonts w:ascii="Arial" w:hAnsi="Arial" w:cs="Arial"/>
          <w:sz w:val="20"/>
          <w:szCs w:val="20"/>
        </w:rPr>
        <w:t>children.  The Monash report</w:t>
      </w:r>
      <w:r w:rsidR="00051932" w:rsidRPr="00051932">
        <w:rPr>
          <w:rFonts w:ascii="Arial" w:hAnsi="Arial" w:cs="Arial"/>
          <w:sz w:val="20"/>
          <w:szCs w:val="20"/>
        </w:rPr>
        <w:t xml:space="preserve"> of</w:t>
      </w:r>
      <w:r w:rsidR="00603010" w:rsidRPr="00051932">
        <w:rPr>
          <w:rFonts w:ascii="Arial" w:hAnsi="Arial" w:cs="Arial"/>
          <w:sz w:val="20"/>
          <w:szCs w:val="20"/>
        </w:rPr>
        <w:t xml:space="preserve"> </w:t>
      </w:r>
      <w:r w:rsidR="00051932" w:rsidRPr="00051932">
        <w:rPr>
          <w:rFonts w:ascii="Arial" w:hAnsi="Arial" w:cs="Arial"/>
          <w:sz w:val="20"/>
          <w:szCs w:val="20"/>
        </w:rPr>
        <w:t xml:space="preserve">Baidawi, S and Sheehan, R, </w:t>
      </w:r>
      <w:r w:rsidR="00051932" w:rsidRPr="00051932">
        <w:rPr>
          <w:rFonts w:ascii="Arial" w:hAnsi="Arial" w:cs="Arial"/>
          <w:i/>
          <w:iCs/>
          <w:sz w:val="20"/>
          <w:szCs w:val="20"/>
        </w:rPr>
        <w:t>Cross-over kids: Effective responses to children and young people in the youth justice and statutory Child Protection systems</w:t>
      </w:r>
      <w:r w:rsidR="00051932" w:rsidRPr="00051932">
        <w:rPr>
          <w:rFonts w:ascii="Arial" w:hAnsi="Arial" w:cs="Arial"/>
          <w:sz w:val="20"/>
          <w:szCs w:val="20"/>
        </w:rPr>
        <w:t xml:space="preserve">, Report to the Criminology Research Advisory Council (2019) </w:t>
      </w:r>
      <w:r w:rsidR="00603010" w:rsidRPr="00051932">
        <w:rPr>
          <w:rFonts w:ascii="Arial" w:hAnsi="Arial" w:cs="Arial"/>
          <w:sz w:val="20"/>
          <w:szCs w:val="20"/>
        </w:rPr>
        <w:t xml:space="preserve">notes </w:t>
      </w:r>
      <w:r w:rsidR="00051932">
        <w:rPr>
          <w:rFonts w:ascii="Arial" w:hAnsi="Arial" w:cs="Arial"/>
          <w:sz w:val="20"/>
          <w:szCs w:val="20"/>
        </w:rPr>
        <w:t xml:space="preserve">at </w:t>
      </w:r>
      <w:r w:rsidR="00051932" w:rsidRPr="00051932">
        <w:rPr>
          <w:rFonts w:ascii="Arial" w:hAnsi="Arial" w:cs="Arial"/>
          <w:sz w:val="20"/>
          <w:szCs w:val="20"/>
        </w:rPr>
        <w:t xml:space="preserve">pp.8-9, 34 </w:t>
      </w:r>
      <w:r w:rsidR="00051932">
        <w:rPr>
          <w:rFonts w:ascii="Arial" w:hAnsi="Arial" w:cs="Arial"/>
          <w:sz w:val="20"/>
          <w:szCs w:val="20"/>
        </w:rPr>
        <w:t>&amp;</w:t>
      </w:r>
      <w:r w:rsidR="00051932" w:rsidRPr="00051932">
        <w:rPr>
          <w:rFonts w:ascii="Arial" w:hAnsi="Arial" w:cs="Arial"/>
          <w:sz w:val="20"/>
          <w:szCs w:val="20"/>
        </w:rPr>
        <w:t xml:space="preserve"> 68-69</w:t>
      </w:r>
      <w:r w:rsidR="00051932">
        <w:rPr>
          <w:rFonts w:ascii="Arial" w:hAnsi="Arial" w:cs="Arial"/>
          <w:sz w:val="20"/>
          <w:szCs w:val="20"/>
        </w:rPr>
        <w:t xml:space="preserve"> </w:t>
      </w:r>
      <w:r w:rsidR="00603010" w:rsidRPr="00051932">
        <w:rPr>
          <w:rFonts w:ascii="Arial" w:hAnsi="Arial" w:cs="Arial"/>
          <w:sz w:val="20"/>
          <w:szCs w:val="20"/>
        </w:rPr>
        <w:t>that</w:t>
      </w:r>
      <w:r w:rsidR="00051932">
        <w:rPr>
          <w:rFonts w:ascii="Arial" w:hAnsi="Arial" w:cs="Arial"/>
          <w:sz w:val="20"/>
          <w:szCs w:val="20"/>
        </w:rPr>
        <w:t>:</w:t>
      </w:r>
    </w:p>
    <w:p w14:paraId="3502A4FC" w14:textId="77777777" w:rsidR="00603010"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61% of children in the cohort experienced mental health problems;</w:t>
      </w:r>
    </w:p>
    <w:p w14:paraId="41802E17" w14:textId="77777777" w:rsidR="00603010"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73% engaged in substance misuse;</w:t>
      </w:r>
    </w:p>
    <w:p w14:paraId="6D7505D3" w14:textId="77777777" w:rsidR="00603010"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72% had challenging behaviours;</w:t>
      </w:r>
    </w:p>
    <w:p w14:paraId="3D6D7387" w14:textId="77777777" w:rsidR="00603010"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at least 50% had a family member with a mental illness; and</w:t>
      </w:r>
    </w:p>
    <w:p w14:paraId="2AF5CFE5" w14:textId="77777777" w:rsidR="00603010" w:rsidRPr="00603010" w:rsidRDefault="00603010"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603010">
        <w:rPr>
          <w:rFonts w:ascii="Arial" w:hAnsi="Arial" w:cs="Arial"/>
          <w:sz w:val="20"/>
          <w:szCs w:val="20"/>
        </w:rPr>
        <w:t>16% had both parents with a mental illness.</w:t>
      </w:r>
    </w:p>
    <w:p w14:paraId="33355377" w14:textId="3B08EEE9" w:rsidR="00603010" w:rsidRPr="00603010" w:rsidRDefault="00603010" w:rsidP="00051932">
      <w:pPr>
        <w:spacing w:before="60"/>
        <w:ind w:left="454"/>
        <w:jc w:val="both"/>
        <w:rPr>
          <w:rFonts w:ascii="Arial" w:hAnsi="Arial" w:cs="Arial"/>
          <w:sz w:val="20"/>
          <w:szCs w:val="20"/>
        </w:rPr>
      </w:pPr>
      <w:r w:rsidRPr="00603010">
        <w:rPr>
          <w:rFonts w:ascii="Arial" w:hAnsi="Arial" w:cs="Arial"/>
          <w:sz w:val="20"/>
          <w:szCs w:val="20"/>
        </w:rPr>
        <w:t xml:space="preserve">The study also noted that </w:t>
      </w:r>
      <w:r w:rsidRPr="00603010">
        <w:rPr>
          <w:rFonts w:ascii="Arial" w:hAnsi="Arial" w:cs="Arial"/>
          <w:i/>
          <w:iCs/>
          <w:sz w:val="20"/>
          <w:szCs w:val="20"/>
        </w:rPr>
        <w:t xml:space="preserve">“[a]round half of the children (48%) had a diagnosis of intellectual disability, borderline intellectual functioning, attention deficit hyperactivity disorder/attention deficit disorder…learning or communication disorder, or other diagnosed neurodevelopmental or neurological condition.” </w:t>
      </w:r>
      <w:r w:rsidRPr="00603010">
        <w:rPr>
          <w:rFonts w:ascii="Arial" w:hAnsi="Arial" w:cs="Arial"/>
          <w:sz w:val="20"/>
          <w:szCs w:val="20"/>
        </w:rPr>
        <w:t>Further, more than 25% of these children experienced comorbidity with diagnoses of two or more conditions.</w:t>
      </w:r>
    </w:p>
    <w:p w14:paraId="41C5E9A0" w14:textId="08578832" w:rsidR="00707638" w:rsidRDefault="00707638" w:rsidP="00707638">
      <w:pPr>
        <w:spacing w:before="120"/>
        <w:ind w:left="454" w:hanging="454"/>
        <w:jc w:val="both"/>
        <w:rPr>
          <w:rFonts w:ascii="Arial" w:hAnsi="Arial" w:cs="Arial"/>
          <w:sz w:val="20"/>
          <w:szCs w:val="20"/>
        </w:rPr>
      </w:pPr>
      <w:r>
        <w:rPr>
          <w:rFonts w:ascii="Arial" w:hAnsi="Arial" w:cs="Arial"/>
          <w:sz w:val="20"/>
          <w:szCs w:val="20"/>
        </w:rPr>
        <w:t>(10)</w:t>
      </w:r>
      <w:r>
        <w:rPr>
          <w:rFonts w:ascii="Arial" w:hAnsi="Arial" w:cs="Arial"/>
          <w:sz w:val="20"/>
          <w:szCs w:val="20"/>
        </w:rPr>
        <w:tab/>
        <w:t xml:space="preserve">The </w:t>
      </w:r>
      <w:r w:rsidR="00EB5853">
        <w:rPr>
          <w:rFonts w:ascii="Arial" w:hAnsi="Arial" w:cs="Arial"/>
          <w:sz w:val="20"/>
          <w:szCs w:val="20"/>
        </w:rPr>
        <w:t xml:space="preserve">high rates of mental health issues observed in the </w:t>
      </w:r>
      <w:r w:rsidR="00EB5853" w:rsidRPr="00EB5853">
        <w:rPr>
          <w:rFonts w:ascii="Arial" w:hAnsi="Arial" w:cs="Arial"/>
          <w:b/>
          <w:bCs/>
          <w:sz w:val="20"/>
          <w:szCs w:val="20"/>
          <w:shd w:val="clear" w:color="auto" w:fill="FFFFFF" w:themeFill="background1"/>
        </w:rPr>
        <w:t>crossover</w:t>
      </w:r>
      <w:r w:rsidR="00EB5853">
        <w:rPr>
          <w:rFonts w:ascii="Arial" w:hAnsi="Arial" w:cs="Arial"/>
          <w:sz w:val="20"/>
          <w:szCs w:val="20"/>
        </w:rPr>
        <w:t xml:space="preserve"> population </w:t>
      </w:r>
      <w:r>
        <w:rPr>
          <w:rFonts w:ascii="Arial" w:hAnsi="Arial" w:cs="Arial"/>
          <w:sz w:val="20"/>
          <w:szCs w:val="20"/>
        </w:rPr>
        <w:t>are consistent with th</w:t>
      </w:r>
      <w:r w:rsidR="00EB5853">
        <w:rPr>
          <w:rFonts w:ascii="Arial" w:hAnsi="Arial" w:cs="Arial"/>
          <w:sz w:val="20"/>
          <w:szCs w:val="20"/>
        </w:rPr>
        <w:t>e enormous overrepresentation of neurodevelopmental disorder</w:t>
      </w:r>
      <w:r w:rsidR="00425C6F">
        <w:rPr>
          <w:rFonts w:ascii="Arial" w:hAnsi="Arial" w:cs="Arial"/>
          <w:sz w:val="20"/>
          <w:szCs w:val="20"/>
        </w:rPr>
        <w:t>s</w:t>
      </w:r>
      <w:r>
        <w:rPr>
          <w:rFonts w:ascii="Arial" w:hAnsi="Arial" w:cs="Arial"/>
          <w:sz w:val="20"/>
          <w:szCs w:val="20"/>
        </w:rPr>
        <w:t xml:space="preserve"> </w:t>
      </w:r>
      <w:r w:rsidR="00EB5853">
        <w:rPr>
          <w:rFonts w:ascii="Arial" w:hAnsi="Arial" w:cs="Arial"/>
          <w:sz w:val="20"/>
          <w:szCs w:val="20"/>
        </w:rPr>
        <w:t xml:space="preserve">[NDD] in the youth justice population generally.  </w:t>
      </w:r>
      <w:r>
        <w:rPr>
          <w:rFonts w:ascii="Arial" w:hAnsi="Arial" w:cs="Arial"/>
          <w:sz w:val="20"/>
          <w:szCs w:val="20"/>
        </w:rPr>
        <w:t>Dr Katrina Harris is a paediatrician who is the head of Developmental and Community Paediatrics at Monash Children’s Hospital and Head of the Victorian Fetal Alcohol Service.  She has classified the causes of NDD as falling within six categories:</w:t>
      </w:r>
    </w:p>
    <w:p w14:paraId="60A075F7" w14:textId="77777777" w:rsidR="00707638" w:rsidRDefault="00707638"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4174D7">
        <w:rPr>
          <w:rFonts w:ascii="Arial" w:hAnsi="Arial" w:cs="Arial"/>
          <w:b/>
          <w:bCs/>
          <w:sz w:val="20"/>
          <w:szCs w:val="20"/>
        </w:rPr>
        <w:t>Genetic</w:t>
      </w:r>
      <w:r>
        <w:rPr>
          <w:rFonts w:ascii="Arial" w:hAnsi="Arial" w:cs="Arial"/>
          <w:sz w:val="20"/>
          <w:szCs w:val="20"/>
        </w:rPr>
        <w:t>: e.g. Down syndrome, fragile X;</w:t>
      </w:r>
    </w:p>
    <w:p w14:paraId="06DA7294" w14:textId="2514CFD1" w:rsidR="00707638" w:rsidRDefault="00707638" w:rsidP="00591749">
      <w:pPr>
        <w:pStyle w:val="ListParagraph"/>
        <w:numPr>
          <w:ilvl w:val="0"/>
          <w:numId w:val="53"/>
        </w:numPr>
        <w:spacing w:after="0" w:line="240" w:lineRule="auto"/>
        <w:ind w:left="811" w:hanging="357"/>
        <w:contextualSpacing w:val="0"/>
        <w:jc w:val="both"/>
        <w:rPr>
          <w:rFonts w:ascii="Arial" w:hAnsi="Arial" w:cs="Arial"/>
          <w:sz w:val="20"/>
          <w:szCs w:val="20"/>
        </w:rPr>
      </w:pPr>
      <w:r>
        <w:rPr>
          <w:rFonts w:ascii="Arial" w:hAnsi="Arial" w:cs="Arial"/>
          <w:b/>
          <w:bCs/>
          <w:sz w:val="20"/>
          <w:szCs w:val="20"/>
        </w:rPr>
        <w:t>Antenatal toxin exposures</w:t>
      </w:r>
      <w:r w:rsidRPr="004174D7">
        <w:rPr>
          <w:rFonts w:ascii="Arial" w:hAnsi="Arial" w:cs="Arial"/>
          <w:sz w:val="20"/>
          <w:szCs w:val="20"/>
        </w:rPr>
        <w:t>:</w:t>
      </w:r>
      <w:r>
        <w:rPr>
          <w:rFonts w:ascii="Arial" w:hAnsi="Arial" w:cs="Arial"/>
          <w:sz w:val="20"/>
          <w:szCs w:val="20"/>
        </w:rPr>
        <w:t xml:space="preserve"> e.g. alcohol -&gt; Fetal Alcohol Spectrum Disorders</w:t>
      </w:r>
      <w:r w:rsidR="00425C6F">
        <w:rPr>
          <w:rFonts w:ascii="Arial" w:hAnsi="Arial" w:cs="Arial"/>
          <w:sz w:val="20"/>
          <w:szCs w:val="20"/>
        </w:rPr>
        <w:t xml:space="preserve"> [FASD]</w:t>
      </w:r>
      <w:r>
        <w:rPr>
          <w:rFonts w:ascii="Arial" w:hAnsi="Arial" w:cs="Arial"/>
          <w:sz w:val="20"/>
          <w:szCs w:val="20"/>
        </w:rPr>
        <w:t>;</w:t>
      </w:r>
    </w:p>
    <w:p w14:paraId="056A562F" w14:textId="77777777" w:rsidR="00707638" w:rsidRDefault="00707638"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4174D7">
        <w:rPr>
          <w:rFonts w:ascii="Arial" w:hAnsi="Arial" w:cs="Arial"/>
          <w:b/>
          <w:bCs/>
          <w:sz w:val="20"/>
          <w:szCs w:val="20"/>
        </w:rPr>
        <w:t>Birth/prenatal trauma</w:t>
      </w:r>
      <w:r>
        <w:rPr>
          <w:rFonts w:ascii="Arial" w:hAnsi="Arial" w:cs="Arial"/>
          <w:sz w:val="20"/>
          <w:szCs w:val="20"/>
        </w:rPr>
        <w:t>: e.g. cerebral palsy;</w:t>
      </w:r>
    </w:p>
    <w:p w14:paraId="5B790850" w14:textId="77777777" w:rsidR="00707638" w:rsidRDefault="00707638"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4174D7">
        <w:rPr>
          <w:rFonts w:ascii="Arial" w:hAnsi="Arial" w:cs="Arial"/>
          <w:b/>
          <w:bCs/>
          <w:sz w:val="20"/>
          <w:szCs w:val="20"/>
        </w:rPr>
        <w:t>Medical</w:t>
      </w:r>
      <w:r>
        <w:rPr>
          <w:rFonts w:ascii="Arial" w:hAnsi="Arial" w:cs="Arial"/>
          <w:sz w:val="20"/>
          <w:szCs w:val="20"/>
        </w:rPr>
        <w:t>: e.g. meningitis, brain tumours;</w:t>
      </w:r>
    </w:p>
    <w:p w14:paraId="4D40CA97" w14:textId="77777777" w:rsidR="00707638" w:rsidRDefault="00707638" w:rsidP="00591749">
      <w:pPr>
        <w:pStyle w:val="ListParagraph"/>
        <w:numPr>
          <w:ilvl w:val="0"/>
          <w:numId w:val="53"/>
        </w:numPr>
        <w:spacing w:after="0" w:line="240" w:lineRule="auto"/>
        <w:ind w:left="811" w:hanging="357"/>
        <w:contextualSpacing w:val="0"/>
        <w:jc w:val="both"/>
        <w:rPr>
          <w:rFonts w:ascii="Arial" w:hAnsi="Arial" w:cs="Arial"/>
          <w:sz w:val="20"/>
          <w:szCs w:val="20"/>
        </w:rPr>
      </w:pPr>
      <w:r w:rsidRPr="004174D7">
        <w:rPr>
          <w:rFonts w:ascii="Arial" w:hAnsi="Arial" w:cs="Arial"/>
          <w:b/>
          <w:bCs/>
          <w:sz w:val="20"/>
          <w:szCs w:val="20"/>
        </w:rPr>
        <w:t>Childhood injury</w:t>
      </w:r>
      <w:r>
        <w:rPr>
          <w:rFonts w:ascii="Arial" w:hAnsi="Arial" w:cs="Arial"/>
          <w:sz w:val="20"/>
          <w:szCs w:val="20"/>
        </w:rPr>
        <w:t>: e.g. acquired brain injury;</w:t>
      </w:r>
    </w:p>
    <w:p w14:paraId="49A8E16A" w14:textId="77777777" w:rsidR="00707638" w:rsidRPr="00603010" w:rsidRDefault="00707638" w:rsidP="00591749">
      <w:pPr>
        <w:pStyle w:val="ListParagraph"/>
        <w:numPr>
          <w:ilvl w:val="0"/>
          <w:numId w:val="53"/>
        </w:numPr>
        <w:spacing w:after="0" w:line="240" w:lineRule="auto"/>
        <w:ind w:left="811" w:hanging="357"/>
        <w:contextualSpacing w:val="0"/>
        <w:jc w:val="both"/>
        <w:rPr>
          <w:rFonts w:ascii="Arial" w:hAnsi="Arial" w:cs="Arial"/>
          <w:sz w:val="20"/>
          <w:szCs w:val="20"/>
        </w:rPr>
      </w:pPr>
      <w:r>
        <w:rPr>
          <w:rFonts w:ascii="Arial" w:hAnsi="Arial" w:cs="Arial"/>
          <w:b/>
          <w:bCs/>
          <w:sz w:val="20"/>
          <w:szCs w:val="20"/>
        </w:rPr>
        <w:t>Psychological trauma</w:t>
      </w:r>
      <w:r w:rsidRPr="004174D7">
        <w:rPr>
          <w:rFonts w:ascii="Arial" w:hAnsi="Arial" w:cs="Arial"/>
          <w:sz w:val="20"/>
          <w:szCs w:val="20"/>
        </w:rPr>
        <w:t>:</w:t>
      </w:r>
      <w:r>
        <w:rPr>
          <w:rFonts w:ascii="Arial" w:hAnsi="Arial" w:cs="Arial"/>
          <w:sz w:val="20"/>
          <w:szCs w:val="20"/>
        </w:rPr>
        <w:t xml:space="preserve"> e.g. abuse.</w:t>
      </w:r>
    </w:p>
    <w:p w14:paraId="6EDC8230" w14:textId="05689ECA" w:rsidR="00707638" w:rsidRDefault="00EB5853" w:rsidP="00290B59">
      <w:pPr>
        <w:spacing w:before="80" w:after="80"/>
        <w:ind w:left="454"/>
        <w:jc w:val="both"/>
        <w:rPr>
          <w:rFonts w:ascii="Arial" w:hAnsi="Arial" w:cs="Arial"/>
          <w:sz w:val="20"/>
          <w:szCs w:val="20"/>
        </w:rPr>
      </w:pPr>
      <w:r>
        <w:rPr>
          <w:rFonts w:ascii="Arial" w:hAnsi="Arial" w:cs="Arial"/>
          <w:sz w:val="20"/>
          <w:szCs w:val="20"/>
        </w:rPr>
        <w:t xml:space="preserve">Citing Hughes 2012, Young 2018, Bower 2018 &amp; Holland 2021, </w:t>
      </w:r>
      <w:r w:rsidR="00425C6F">
        <w:rPr>
          <w:rFonts w:ascii="Arial" w:hAnsi="Arial" w:cs="Arial"/>
          <w:sz w:val="20"/>
          <w:szCs w:val="20"/>
        </w:rPr>
        <w:t>a</w:t>
      </w:r>
      <w:r>
        <w:rPr>
          <w:rFonts w:ascii="Arial" w:hAnsi="Arial" w:cs="Arial"/>
          <w:sz w:val="20"/>
          <w:szCs w:val="20"/>
        </w:rPr>
        <w:t xml:space="preserve"> chart provided by Dr Harris graphic</w:t>
      </w:r>
      <w:r w:rsidR="00AC5A8F">
        <w:rPr>
          <w:rFonts w:ascii="Arial" w:hAnsi="Arial" w:cs="Arial"/>
          <w:sz w:val="20"/>
          <w:szCs w:val="20"/>
        </w:rPr>
        <w:t>ally</w:t>
      </w:r>
      <w:r>
        <w:rPr>
          <w:rFonts w:ascii="Arial" w:hAnsi="Arial" w:cs="Arial"/>
          <w:sz w:val="20"/>
          <w:szCs w:val="20"/>
        </w:rPr>
        <w:t xml:space="preserve"> illustrat</w:t>
      </w:r>
      <w:r w:rsidR="00AC5A8F">
        <w:rPr>
          <w:rFonts w:ascii="Arial" w:hAnsi="Arial" w:cs="Arial"/>
          <w:sz w:val="20"/>
          <w:szCs w:val="20"/>
        </w:rPr>
        <w:t>es</w:t>
      </w:r>
      <w:r>
        <w:rPr>
          <w:rFonts w:ascii="Arial" w:hAnsi="Arial" w:cs="Arial"/>
          <w:sz w:val="20"/>
          <w:szCs w:val="20"/>
        </w:rPr>
        <w:t xml:space="preserve"> a strong causal relationship between various types of NDD and offending:</w:t>
      </w:r>
    </w:p>
    <w:tbl>
      <w:tblPr>
        <w:tblStyle w:val="TableGrid"/>
        <w:tblW w:w="8607" w:type="dxa"/>
        <w:tblInd w:w="454" w:type="dxa"/>
        <w:tblLook w:val="04A0" w:firstRow="1" w:lastRow="0" w:firstColumn="1" w:lastColumn="0" w:noHBand="0" w:noVBand="1"/>
      </w:tblPr>
      <w:tblGrid>
        <w:gridCol w:w="4003"/>
        <w:gridCol w:w="2302"/>
        <w:gridCol w:w="2302"/>
      </w:tblGrid>
      <w:tr w:rsidR="00707638" w:rsidRPr="00D206A5" w14:paraId="74D11A43" w14:textId="77777777" w:rsidTr="00A27179">
        <w:tc>
          <w:tcPr>
            <w:tcW w:w="4003" w:type="dxa"/>
            <w:vMerge w:val="restart"/>
            <w:shd w:val="clear" w:color="auto" w:fill="000000" w:themeFill="text1"/>
          </w:tcPr>
          <w:p w14:paraId="1C7B4DBF" w14:textId="77777777" w:rsidR="00707638" w:rsidRPr="00D206A5" w:rsidRDefault="00707638" w:rsidP="00A27179">
            <w:pPr>
              <w:spacing w:before="120"/>
              <w:jc w:val="center"/>
              <w:rPr>
                <w:rFonts w:ascii="Arial" w:hAnsi="Arial" w:cs="Arial"/>
                <w:b/>
                <w:bCs/>
                <w:color w:val="FFFFFF" w:themeColor="background1"/>
                <w:sz w:val="20"/>
                <w:szCs w:val="20"/>
              </w:rPr>
            </w:pPr>
            <w:r w:rsidRPr="00D206A5">
              <w:rPr>
                <w:rFonts w:ascii="Arial" w:hAnsi="Arial" w:cs="Arial"/>
                <w:b/>
                <w:bCs/>
                <w:color w:val="FFFFFF" w:themeColor="background1"/>
                <w:sz w:val="20"/>
                <w:szCs w:val="20"/>
              </w:rPr>
              <w:t>NEURODEVELOPMENTAL DISORDER</w:t>
            </w:r>
          </w:p>
        </w:tc>
        <w:tc>
          <w:tcPr>
            <w:tcW w:w="4604" w:type="dxa"/>
            <w:gridSpan w:val="2"/>
            <w:shd w:val="clear" w:color="auto" w:fill="000000" w:themeFill="text1"/>
          </w:tcPr>
          <w:p w14:paraId="416257DA" w14:textId="052D0537" w:rsidR="00707638" w:rsidRPr="00D206A5" w:rsidRDefault="00707638" w:rsidP="00A27179">
            <w:pPr>
              <w:jc w:val="center"/>
              <w:rPr>
                <w:rFonts w:ascii="Arial" w:hAnsi="Arial" w:cs="Arial"/>
                <w:b/>
                <w:bCs/>
                <w:color w:val="FFFFFF" w:themeColor="background1"/>
                <w:sz w:val="20"/>
                <w:szCs w:val="20"/>
              </w:rPr>
            </w:pPr>
            <w:r w:rsidRPr="00D206A5">
              <w:rPr>
                <w:rFonts w:ascii="Arial" w:hAnsi="Arial" w:cs="Arial"/>
                <w:b/>
                <w:bCs/>
                <w:color w:val="FFFFFF" w:themeColor="background1"/>
                <w:sz w:val="20"/>
                <w:szCs w:val="20"/>
              </w:rPr>
              <w:t>POPULATION PREVALENCE (%)</w:t>
            </w:r>
          </w:p>
        </w:tc>
      </w:tr>
      <w:tr w:rsidR="00707638" w:rsidRPr="00D206A5" w14:paraId="7078B785" w14:textId="77777777" w:rsidTr="00A27179">
        <w:tc>
          <w:tcPr>
            <w:tcW w:w="4003" w:type="dxa"/>
            <w:vMerge/>
            <w:shd w:val="clear" w:color="auto" w:fill="000000" w:themeFill="text1"/>
          </w:tcPr>
          <w:p w14:paraId="14E974E7" w14:textId="77777777" w:rsidR="00707638" w:rsidRPr="00D206A5" w:rsidRDefault="00707638" w:rsidP="00A27179">
            <w:pPr>
              <w:jc w:val="both"/>
              <w:rPr>
                <w:rFonts w:ascii="Arial" w:hAnsi="Arial" w:cs="Arial"/>
                <w:b/>
                <w:bCs/>
                <w:color w:val="FFFFFF" w:themeColor="background1"/>
                <w:sz w:val="20"/>
                <w:szCs w:val="20"/>
              </w:rPr>
            </w:pPr>
          </w:p>
        </w:tc>
        <w:tc>
          <w:tcPr>
            <w:tcW w:w="2302" w:type="dxa"/>
            <w:shd w:val="clear" w:color="auto" w:fill="000000" w:themeFill="text1"/>
          </w:tcPr>
          <w:p w14:paraId="5B367F6F" w14:textId="77777777" w:rsidR="00707638" w:rsidRPr="00D206A5" w:rsidRDefault="00707638" w:rsidP="00A27179">
            <w:pPr>
              <w:jc w:val="center"/>
              <w:rPr>
                <w:rFonts w:ascii="Arial" w:hAnsi="Arial" w:cs="Arial"/>
                <w:b/>
                <w:bCs/>
                <w:color w:val="FFFFFF" w:themeColor="background1"/>
                <w:sz w:val="20"/>
                <w:szCs w:val="20"/>
              </w:rPr>
            </w:pPr>
            <w:r w:rsidRPr="00D206A5">
              <w:rPr>
                <w:rFonts w:ascii="Arial" w:hAnsi="Arial" w:cs="Arial"/>
                <w:b/>
                <w:bCs/>
                <w:color w:val="FFFFFF" w:themeColor="background1"/>
                <w:sz w:val="20"/>
                <w:szCs w:val="20"/>
              </w:rPr>
              <w:t>General</w:t>
            </w:r>
          </w:p>
        </w:tc>
        <w:tc>
          <w:tcPr>
            <w:tcW w:w="2302" w:type="dxa"/>
            <w:shd w:val="clear" w:color="auto" w:fill="000000" w:themeFill="text1"/>
          </w:tcPr>
          <w:p w14:paraId="54C3A408" w14:textId="77777777" w:rsidR="00707638" w:rsidRPr="00D206A5" w:rsidRDefault="00707638" w:rsidP="00A27179">
            <w:pPr>
              <w:jc w:val="center"/>
              <w:rPr>
                <w:rFonts w:ascii="Arial" w:hAnsi="Arial" w:cs="Arial"/>
                <w:b/>
                <w:bCs/>
                <w:color w:val="FFFFFF" w:themeColor="background1"/>
                <w:sz w:val="20"/>
                <w:szCs w:val="20"/>
              </w:rPr>
            </w:pPr>
            <w:r w:rsidRPr="00D206A5">
              <w:rPr>
                <w:rFonts w:ascii="Arial" w:hAnsi="Arial" w:cs="Arial"/>
                <w:b/>
                <w:bCs/>
                <w:color w:val="FFFFFF" w:themeColor="background1"/>
                <w:sz w:val="20"/>
                <w:szCs w:val="20"/>
              </w:rPr>
              <w:t>Youth justice cohort</w:t>
            </w:r>
          </w:p>
        </w:tc>
      </w:tr>
      <w:tr w:rsidR="00707638" w14:paraId="1668F797" w14:textId="77777777" w:rsidTr="00A27179">
        <w:tc>
          <w:tcPr>
            <w:tcW w:w="4003" w:type="dxa"/>
          </w:tcPr>
          <w:p w14:paraId="622569BE" w14:textId="77777777" w:rsidR="00707638" w:rsidRDefault="00707638" w:rsidP="00A27179">
            <w:pPr>
              <w:jc w:val="center"/>
              <w:rPr>
                <w:rFonts w:ascii="Arial" w:hAnsi="Arial" w:cs="Arial"/>
                <w:sz w:val="20"/>
                <w:szCs w:val="20"/>
              </w:rPr>
            </w:pPr>
            <w:r>
              <w:rPr>
                <w:rFonts w:ascii="Arial" w:hAnsi="Arial" w:cs="Arial"/>
                <w:sz w:val="20"/>
                <w:szCs w:val="20"/>
              </w:rPr>
              <w:t>Intellectual disability</w:t>
            </w:r>
          </w:p>
        </w:tc>
        <w:tc>
          <w:tcPr>
            <w:tcW w:w="2302" w:type="dxa"/>
          </w:tcPr>
          <w:p w14:paraId="505684C0" w14:textId="77777777" w:rsidR="00707638" w:rsidRDefault="00707638" w:rsidP="00A27179">
            <w:pPr>
              <w:jc w:val="center"/>
              <w:rPr>
                <w:rFonts w:ascii="Arial" w:hAnsi="Arial" w:cs="Arial"/>
                <w:sz w:val="20"/>
                <w:szCs w:val="20"/>
              </w:rPr>
            </w:pPr>
            <w:r>
              <w:rPr>
                <w:rFonts w:ascii="Arial" w:hAnsi="Arial" w:cs="Arial"/>
                <w:sz w:val="20"/>
                <w:szCs w:val="20"/>
              </w:rPr>
              <w:t>2</w:t>
            </w:r>
          </w:p>
        </w:tc>
        <w:tc>
          <w:tcPr>
            <w:tcW w:w="2302" w:type="dxa"/>
          </w:tcPr>
          <w:p w14:paraId="222F94B7" w14:textId="77777777" w:rsidR="00707638" w:rsidRDefault="00707638" w:rsidP="00A27179">
            <w:pPr>
              <w:jc w:val="center"/>
              <w:rPr>
                <w:rFonts w:ascii="Arial" w:hAnsi="Arial" w:cs="Arial"/>
                <w:sz w:val="20"/>
                <w:szCs w:val="20"/>
              </w:rPr>
            </w:pPr>
            <w:r>
              <w:rPr>
                <w:rFonts w:ascii="Arial" w:hAnsi="Arial" w:cs="Arial"/>
                <w:sz w:val="20"/>
                <w:szCs w:val="20"/>
              </w:rPr>
              <w:t>&lt;25</w:t>
            </w:r>
          </w:p>
        </w:tc>
      </w:tr>
      <w:tr w:rsidR="00707638" w14:paraId="596A6765" w14:textId="77777777" w:rsidTr="00A27179">
        <w:tc>
          <w:tcPr>
            <w:tcW w:w="4003" w:type="dxa"/>
          </w:tcPr>
          <w:p w14:paraId="53EF1DCB" w14:textId="77777777" w:rsidR="00707638" w:rsidRDefault="00707638" w:rsidP="00A27179">
            <w:pPr>
              <w:jc w:val="center"/>
              <w:rPr>
                <w:rFonts w:ascii="Arial" w:hAnsi="Arial" w:cs="Arial"/>
                <w:sz w:val="20"/>
                <w:szCs w:val="20"/>
              </w:rPr>
            </w:pPr>
            <w:r>
              <w:rPr>
                <w:rFonts w:ascii="Arial" w:hAnsi="Arial" w:cs="Arial"/>
                <w:sz w:val="20"/>
                <w:szCs w:val="20"/>
              </w:rPr>
              <w:t>Autism</w:t>
            </w:r>
          </w:p>
        </w:tc>
        <w:tc>
          <w:tcPr>
            <w:tcW w:w="2302" w:type="dxa"/>
          </w:tcPr>
          <w:p w14:paraId="1756C898" w14:textId="77777777" w:rsidR="00707638" w:rsidRDefault="00707638" w:rsidP="00A27179">
            <w:pPr>
              <w:jc w:val="center"/>
              <w:rPr>
                <w:rFonts w:ascii="Arial" w:hAnsi="Arial" w:cs="Arial"/>
                <w:sz w:val="20"/>
                <w:szCs w:val="20"/>
              </w:rPr>
            </w:pPr>
            <w:r>
              <w:rPr>
                <w:rFonts w:ascii="Arial" w:hAnsi="Arial" w:cs="Arial"/>
                <w:sz w:val="20"/>
                <w:szCs w:val="20"/>
              </w:rPr>
              <w:t>1</w:t>
            </w:r>
          </w:p>
        </w:tc>
        <w:tc>
          <w:tcPr>
            <w:tcW w:w="2302" w:type="dxa"/>
          </w:tcPr>
          <w:p w14:paraId="775A2C82" w14:textId="77777777" w:rsidR="00707638" w:rsidRDefault="00707638" w:rsidP="00A27179">
            <w:pPr>
              <w:jc w:val="center"/>
              <w:rPr>
                <w:rFonts w:ascii="Arial" w:hAnsi="Arial" w:cs="Arial"/>
                <w:sz w:val="20"/>
                <w:szCs w:val="20"/>
              </w:rPr>
            </w:pPr>
            <w:r>
              <w:rPr>
                <w:rFonts w:ascii="Arial" w:hAnsi="Arial" w:cs="Arial"/>
                <w:sz w:val="20"/>
                <w:szCs w:val="20"/>
              </w:rPr>
              <w:t>15</w:t>
            </w:r>
          </w:p>
        </w:tc>
      </w:tr>
      <w:tr w:rsidR="00707638" w14:paraId="63E558BD" w14:textId="77777777" w:rsidTr="00A27179">
        <w:tc>
          <w:tcPr>
            <w:tcW w:w="4003" w:type="dxa"/>
          </w:tcPr>
          <w:p w14:paraId="620D6462" w14:textId="77777777" w:rsidR="00707638" w:rsidRDefault="00707638" w:rsidP="00A27179">
            <w:pPr>
              <w:jc w:val="center"/>
              <w:rPr>
                <w:rFonts w:ascii="Arial" w:hAnsi="Arial" w:cs="Arial"/>
                <w:sz w:val="20"/>
                <w:szCs w:val="20"/>
              </w:rPr>
            </w:pPr>
            <w:r>
              <w:rPr>
                <w:rFonts w:ascii="Arial" w:hAnsi="Arial" w:cs="Arial"/>
                <w:sz w:val="20"/>
                <w:szCs w:val="20"/>
              </w:rPr>
              <w:t>Traumatic Brain injury</w:t>
            </w:r>
          </w:p>
        </w:tc>
        <w:tc>
          <w:tcPr>
            <w:tcW w:w="2302" w:type="dxa"/>
          </w:tcPr>
          <w:p w14:paraId="36D0E383" w14:textId="77777777" w:rsidR="00707638" w:rsidRDefault="00707638" w:rsidP="00A27179">
            <w:pPr>
              <w:jc w:val="center"/>
              <w:rPr>
                <w:rFonts w:ascii="Arial" w:hAnsi="Arial" w:cs="Arial"/>
                <w:sz w:val="20"/>
                <w:szCs w:val="20"/>
              </w:rPr>
            </w:pPr>
            <w:r>
              <w:rPr>
                <w:rFonts w:ascii="Arial" w:hAnsi="Arial" w:cs="Arial"/>
                <w:sz w:val="20"/>
                <w:szCs w:val="20"/>
              </w:rPr>
              <w:t>5</w:t>
            </w:r>
          </w:p>
        </w:tc>
        <w:tc>
          <w:tcPr>
            <w:tcW w:w="2302" w:type="dxa"/>
          </w:tcPr>
          <w:p w14:paraId="06B4DF40" w14:textId="77777777" w:rsidR="00707638" w:rsidRDefault="00707638" w:rsidP="00A27179">
            <w:pPr>
              <w:jc w:val="center"/>
              <w:rPr>
                <w:rFonts w:ascii="Arial" w:hAnsi="Arial" w:cs="Arial"/>
                <w:sz w:val="20"/>
                <w:szCs w:val="20"/>
              </w:rPr>
            </w:pPr>
            <w:r>
              <w:rPr>
                <w:rFonts w:ascii="Arial" w:hAnsi="Arial" w:cs="Arial"/>
                <w:sz w:val="20"/>
                <w:szCs w:val="20"/>
              </w:rPr>
              <w:t>40</w:t>
            </w:r>
          </w:p>
        </w:tc>
      </w:tr>
      <w:tr w:rsidR="00707638" w14:paraId="436A44CB" w14:textId="77777777" w:rsidTr="00A27179">
        <w:tc>
          <w:tcPr>
            <w:tcW w:w="4003" w:type="dxa"/>
          </w:tcPr>
          <w:p w14:paraId="708A373B" w14:textId="77777777" w:rsidR="00707638" w:rsidRDefault="00707638" w:rsidP="00A27179">
            <w:pPr>
              <w:jc w:val="center"/>
              <w:rPr>
                <w:rFonts w:ascii="Arial" w:hAnsi="Arial" w:cs="Arial"/>
                <w:sz w:val="20"/>
                <w:szCs w:val="20"/>
              </w:rPr>
            </w:pPr>
            <w:r>
              <w:rPr>
                <w:rFonts w:ascii="Arial" w:hAnsi="Arial" w:cs="Arial"/>
                <w:sz w:val="20"/>
                <w:szCs w:val="20"/>
              </w:rPr>
              <w:t>Language disorder</w:t>
            </w:r>
          </w:p>
        </w:tc>
        <w:tc>
          <w:tcPr>
            <w:tcW w:w="2302" w:type="dxa"/>
          </w:tcPr>
          <w:p w14:paraId="0175B3D8" w14:textId="77777777" w:rsidR="00707638" w:rsidRDefault="00707638" w:rsidP="00A27179">
            <w:pPr>
              <w:jc w:val="center"/>
              <w:rPr>
                <w:rFonts w:ascii="Arial" w:hAnsi="Arial" w:cs="Arial"/>
                <w:sz w:val="20"/>
                <w:szCs w:val="20"/>
              </w:rPr>
            </w:pPr>
            <w:r>
              <w:rPr>
                <w:rFonts w:ascii="Arial" w:hAnsi="Arial" w:cs="Arial"/>
                <w:sz w:val="20"/>
                <w:szCs w:val="20"/>
              </w:rPr>
              <w:t>1</w:t>
            </w:r>
          </w:p>
        </w:tc>
        <w:tc>
          <w:tcPr>
            <w:tcW w:w="2302" w:type="dxa"/>
          </w:tcPr>
          <w:p w14:paraId="1B811E0B" w14:textId="77777777" w:rsidR="00707638" w:rsidRDefault="00707638" w:rsidP="00A27179">
            <w:pPr>
              <w:jc w:val="center"/>
              <w:rPr>
                <w:rFonts w:ascii="Arial" w:hAnsi="Arial" w:cs="Arial"/>
                <w:sz w:val="20"/>
                <w:szCs w:val="20"/>
              </w:rPr>
            </w:pPr>
            <w:r>
              <w:rPr>
                <w:rFonts w:ascii="Arial" w:hAnsi="Arial" w:cs="Arial"/>
                <w:sz w:val="20"/>
                <w:szCs w:val="20"/>
              </w:rPr>
              <w:t>60</w:t>
            </w:r>
          </w:p>
        </w:tc>
      </w:tr>
      <w:tr w:rsidR="00707638" w14:paraId="353CD6C1" w14:textId="77777777" w:rsidTr="00A27179">
        <w:tc>
          <w:tcPr>
            <w:tcW w:w="4003" w:type="dxa"/>
          </w:tcPr>
          <w:p w14:paraId="5EDDF8F2" w14:textId="77777777" w:rsidR="00707638" w:rsidRDefault="00707638" w:rsidP="00A27179">
            <w:pPr>
              <w:jc w:val="center"/>
              <w:rPr>
                <w:rFonts w:ascii="Arial" w:hAnsi="Arial" w:cs="Arial"/>
                <w:sz w:val="20"/>
                <w:szCs w:val="20"/>
              </w:rPr>
            </w:pPr>
            <w:r>
              <w:rPr>
                <w:rFonts w:ascii="Arial" w:hAnsi="Arial" w:cs="Arial"/>
                <w:sz w:val="20"/>
                <w:szCs w:val="20"/>
              </w:rPr>
              <w:t>FASD</w:t>
            </w:r>
          </w:p>
        </w:tc>
        <w:tc>
          <w:tcPr>
            <w:tcW w:w="2302" w:type="dxa"/>
          </w:tcPr>
          <w:p w14:paraId="04A4524E" w14:textId="77777777" w:rsidR="00707638" w:rsidRDefault="00707638" w:rsidP="00A27179">
            <w:pPr>
              <w:jc w:val="center"/>
              <w:rPr>
                <w:rFonts w:ascii="Arial" w:hAnsi="Arial" w:cs="Arial"/>
                <w:sz w:val="20"/>
                <w:szCs w:val="20"/>
              </w:rPr>
            </w:pPr>
            <w:r>
              <w:rPr>
                <w:rFonts w:ascii="Arial" w:hAnsi="Arial" w:cs="Arial"/>
                <w:sz w:val="20"/>
                <w:szCs w:val="20"/>
              </w:rPr>
              <w:t>1</w:t>
            </w:r>
          </w:p>
        </w:tc>
        <w:tc>
          <w:tcPr>
            <w:tcW w:w="2302" w:type="dxa"/>
          </w:tcPr>
          <w:p w14:paraId="2EF62D83" w14:textId="77777777" w:rsidR="00707638" w:rsidRDefault="00707638" w:rsidP="00A27179">
            <w:pPr>
              <w:jc w:val="center"/>
              <w:rPr>
                <w:rFonts w:ascii="Arial" w:hAnsi="Arial" w:cs="Arial"/>
                <w:sz w:val="20"/>
                <w:szCs w:val="20"/>
              </w:rPr>
            </w:pPr>
            <w:r>
              <w:rPr>
                <w:rFonts w:ascii="Arial" w:hAnsi="Arial" w:cs="Arial"/>
                <w:sz w:val="20"/>
                <w:szCs w:val="20"/>
              </w:rPr>
              <w:t>36</w:t>
            </w:r>
          </w:p>
        </w:tc>
      </w:tr>
      <w:tr w:rsidR="00707638" w14:paraId="72B012F0" w14:textId="77777777" w:rsidTr="00A27179">
        <w:tc>
          <w:tcPr>
            <w:tcW w:w="4003" w:type="dxa"/>
          </w:tcPr>
          <w:p w14:paraId="7A076D9F" w14:textId="77777777" w:rsidR="00707638" w:rsidRDefault="00707638" w:rsidP="00A27179">
            <w:pPr>
              <w:jc w:val="center"/>
              <w:rPr>
                <w:rFonts w:ascii="Arial" w:hAnsi="Arial" w:cs="Arial"/>
                <w:sz w:val="20"/>
                <w:szCs w:val="20"/>
              </w:rPr>
            </w:pPr>
            <w:r>
              <w:rPr>
                <w:rFonts w:ascii="Arial" w:hAnsi="Arial" w:cs="Arial"/>
                <w:sz w:val="20"/>
                <w:szCs w:val="20"/>
              </w:rPr>
              <w:t>ADHD</w:t>
            </w:r>
          </w:p>
        </w:tc>
        <w:tc>
          <w:tcPr>
            <w:tcW w:w="2302" w:type="dxa"/>
          </w:tcPr>
          <w:p w14:paraId="0A055FDB" w14:textId="77777777" w:rsidR="00707638" w:rsidRDefault="00707638" w:rsidP="00A27179">
            <w:pPr>
              <w:jc w:val="center"/>
              <w:rPr>
                <w:rFonts w:ascii="Arial" w:hAnsi="Arial" w:cs="Arial"/>
                <w:sz w:val="20"/>
                <w:szCs w:val="20"/>
              </w:rPr>
            </w:pPr>
            <w:r>
              <w:rPr>
                <w:rFonts w:ascii="Arial" w:hAnsi="Arial" w:cs="Arial"/>
                <w:sz w:val="20"/>
                <w:szCs w:val="20"/>
              </w:rPr>
              <w:t>5</w:t>
            </w:r>
          </w:p>
        </w:tc>
        <w:tc>
          <w:tcPr>
            <w:tcW w:w="2302" w:type="dxa"/>
          </w:tcPr>
          <w:p w14:paraId="0B3B080A" w14:textId="77777777" w:rsidR="00707638" w:rsidRDefault="00707638" w:rsidP="00A27179">
            <w:pPr>
              <w:jc w:val="center"/>
              <w:rPr>
                <w:rFonts w:ascii="Arial" w:hAnsi="Arial" w:cs="Arial"/>
                <w:sz w:val="20"/>
                <w:szCs w:val="20"/>
              </w:rPr>
            </w:pPr>
            <w:r>
              <w:rPr>
                <w:rFonts w:ascii="Arial" w:hAnsi="Arial" w:cs="Arial"/>
                <w:sz w:val="20"/>
                <w:szCs w:val="20"/>
              </w:rPr>
              <w:t>&lt;18</w:t>
            </w:r>
          </w:p>
        </w:tc>
      </w:tr>
    </w:tbl>
    <w:p w14:paraId="67D380F0" w14:textId="6CAE9B5A" w:rsidR="00707638" w:rsidRDefault="00425C6F" w:rsidP="00290B59">
      <w:pPr>
        <w:spacing w:before="80" w:after="80"/>
        <w:ind w:left="454"/>
        <w:jc w:val="both"/>
        <w:rPr>
          <w:rFonts w:ascii="Arial" w:hAnsi="Arial" w:cs="Arial"/>
          <w:sz w:val="20"/>
          <w:szCs w:val="20"/>
        </w:rPr>
      </w:pPr>
      <w:r>
        <w:rPr>
          <w:rFonts w:ascii="Arial" w:hAnsi="Arial" w:cs="Arial"/>
          <w:sz w:val="20"/>
          <w:szCs w:val="20"/>
        </w:rPr>
        <w:t xml:space="preserve">In relation to her own special subject of FASD, Dr Harris refers to the prevalence of FASD in vulnerable populations as discussed by Popova et al in </w:t>
      </w:r>
      <w:r w:rsidRPr="00425C6F">
        <w:rPr>
          <w:rFonts w:ascii="Arial" w:hAnsi="Arial" w:cs="Arial"/>
          <w:i/>
          <w:iCs/>
          <w:sz w:val="20"/>
          <w:szCs w:val="20"/>
        </w:rPr>
        <w:t>Prevalence of fetal alcohol spectrum disorder among special subpopulations: a systemic review and meta-analysis</w:t>
      </w:r>
      <w:r>
        <w:rPr>
          <w:rFonts w:ascii="Arial" w:hAnsi="Arial" w:cs="Arial"/>
          <w:sz w:val="20"/>
          <w:szCs w:val="20"/>
        </w:rPr>
        <w:t xml:space="preserve">: </w:t>
      </w:r>
      <w:r w:rsidRPr="00425C6F">
        <w:rPr>
          <w:rFonts w:ascii="Arial" w:hAnsi="Arial" w:cs="Arial"/>
          <w:i/>
          <w:iCs/>
          <w:sz w:val="20"/>
          <w:szCs w:val="20"/>
        </w:rPr>
        <w:t>Addiction</w:t>
      </w:r>
      <w:r>
        <w:rPr>
          <w:rFonts w:ascii="Arial" w:hAnsi="Arial" w:cs="Arial"/>
          <w:sz w:val="20"/>
          <w:szCs w:val="20"/>
        </w:rPr>
        <w:t xml:space="preserve"> 2019 Jul 114(7): 1150, 1172.  She notes that while the general population prevalence of FASD is 1%, the FASD prevalence in vulnerable populations </w:t>
      </w:r>
      <w:r w:rsidR="0033273C">
        <w:rPr>
          <w:rFonts w:ascii="Arial" w:hAnsi="Arial" w:cs="Arial"/>
          <w:sz w:val="20"/>
          <w:szCs w:val="20"/>
        </w:rPr>
        <w:t xml:space="preserve">in various parts of the world </w:t>
      </w:r>
      <w:r>
        <w:rPr>
          <w:rFonts w:ascii="Arial" w:hAnsi="Arial" w:cs="Arial"/>
          <w:sz w:val="20"/>
          <w:szCs w:val="20"/>
        </w:rPr>
        <w:t>is vastly higher:</w:t>
      </w:r>
    </w:p>
    <w:tbl>
      <w:tblPr>
        <w:tblStyle w:val="TableGrid"/>
        <w:tblW w:w="0" w:type="auto"/>
        <w:tblInd w:w="454" w:type="dxa"/>
        <w:tblLook w:val="04A0" w:firstRow="1" w:lastRow="0" w:firstColumn="1" w:lastColumn="0" w:noHBand="0" w:noVBand="1"/>
      </w:tblPr>
      <w:tblGrid>
        <w:gridCol w:w="2875"/>
        <w:gridCol w:w="2850"/>
        <w:gridCol w:w="2881"/>
      </w:tblGrid>
      <w:tr w:rsidR="0033273C" w:rsidRPr="00D206A5" w14:paraId="65D189BB" w14:textId="77777777" w:rsidTr="0033273C">
        <w:tc>
          <w:tcPr>
            <w:tcW w:w="2875" w:type="dxa"/>
            <w:shd w:val="clear" w:color="auto" w:fill="000000" w:themeFill="text1"/>
          </w:tcPr>
          <w:p w14:paraId="66CE854C" w14:textId="70AF772D" w:rsidR="00425C6F" w:rsidRPr="00D206A5" w:rsidRDefault="00425C6F" w:rsidP="00200D50">
            <w:pPr>
              <w:keepNext/>
              <w:keepLines/>
              <w:jc w:val="center"/>
              <w:rPr>
                <w:rFonts w:ascii="Arial" w:hAnsi="Arial" w:cs="Arial"/>
                <w:b/>
                <w:bCs/>
                <w:color w:val="FFFFFF" w:themeColor="background1"/>
                <w:sz w:val="20"/>
                <w:szCs w:val="20"/>
              </w:rPr>
            </w:pPr>
            <w:r w:rsidRPr="00D206A5">
              <w:rPr>
                <w:rFonts w:ascii="Arial" w:hAnsi="Arial" w:cs="Arial"/>
                <w:b/>
                <w:bCs/>
                <w:color w:val="FFFFFF" w:themeColor="background1"/>
                <w:sz w:val="20"/>
                <w:szCs w:val="20"/>
              </w:rPr>
              <w:lastRenderedPageBreak/>
              <w:t>POPULATION</w:t>
            </w:r>
          </w:p>
        </w:tc>
        <w:tc>
          <w:tcPr>
            <w:tcW w:w="2850" w:type="dxa"/>
            <w:shd w:val="clear" w:color="auto" w:fill="000000" w:themeFill="text1"/>
          </w:tcPr>
          <w:p w14:paraId="1BDCAFA5" w14:textId="5D1DE771" w:rsidR="00425C6F" w:rsidRPr="00D206A5" w:rsidRDefault="00425C6F" w:rsidP="00200D50">
            <w:pPr>
              <w:keepNext/>
              <w:keepLines/>
              <w:jc w:val="center"/>
              <w:rPr>
                <w:rFonts w:ascii="Arial" w:hAnsi="Arial" w:cs="Arial"/>
                <w:b/>
                <w:bCs/>
                <w:color w:val="FFFFFF" w:themeColor="background1"/>
                <w:sz w:val="20"/>
                <w:szCs w:val="20"/>
              </w:rPr>
            </w:pPr>
            <w:r w:rsidRPr="00D206A5">
              <w:rPr>
                <w:rFonts w:ascii="Arial" w:hAnsi="Arial" w:cs="Arial"/>
                <w:b/>
                <w:bCs/>
                <w:color w:val="FFFFFF" w:themeColor="background1"/>
                <w:sz w:val="20"/>
                <w:szCs w:val="20"/>
              </w:rPr>
              <w:t>LOCATION OF STUDY</w:t>
            </w:r>
          </w:p>
        </w:tc>
        <w:tc>
          <w:tcPr>
            <w:tcW w:w="2881" w:type="dxa"/>
            <w:shd w:val="clear" w:color="auto" w:fill="000000" w:themeFill="text1"/>
          </w:tcPr>
          <w:p w14:paraId="7C4B0A28" w14:textId="4B1C9549" w:rsidR="00425C6F" w:rsidRPr="00D206A5" w:rsidRDefault="00425C6F" w:rsidP="00200D50">
            <w:pPr>
              <w:keepNext/>
              <w:keepLines/>
              <w:jc w:val="center"/>
              <w:rPr>
                <w:rFonts w:ascii="Arial" w:hAnsi="Arial" w:cs="Arial"/>
                <w:b/>
                <w:bCs/>
                <w:color w:val="FFFFFF" w:themeColor="background1"/>
                <w:sz w:val="20"/>
                <w:szCs w:val="20"/>
              </w:rPr>
            </w:pPr>
            <w:r w:rsidRPr="00D206A5">
              <w:rPr>
                <w:rFonts w:ascii="Arial" w:hAnsi="Arial" w:cs="Arial"/>
                <w:b/>
                <w:bCs/>
                <w:color w:val="FFFFFF" w:themeColor="background1"/>
                <w:sz w:val="20"/>
                <w:szCs w:val="20"/>
              </w:rPr>
              <w:t>FASD PREVALENCE (%)</w:t>
            </w:r>
          </w:p>
        </w:tc>
      </w:tr>
      <w:tr w:rsidR="0033273C" w14:paraId="3AC1E5E7" w14:textId="77777777" w:rsidTr="0033273C">
        <w:tc>
          <w:tcPr>
            <w:tcW w:w="2875" w:type="dxa"/>
          </w:tcPr>
          <w:p w14:paraId="329DA5AC" w14:textId="773E01C7" w:rsidR="00425C6F" w:rsidRDefault="0033273C" w:rsidP="00200D50">
            <w:pPr>
              <w:keepNext/>
              <w:keepLines/>
              <w:jc w:val="center"/>
              <w:rPr>
                <w:rFonts w:ascii="Arial" w:hAnsi="Arial" w:cs="Arial"/>
                <w:sz w:val="20"/>
                <w:szCs w:val="20"/>
              </w:rPr>
            </w:pPr>
            <w:r>
              <w:rPr>
                <w:rFonts w:ascii="Arial" w:hAnsi="Arial" w:cs="Arial"/>
                <w:sz w:val="20"/>
                <w:szCs w:val="20"/>
              </w:rPr>
              <w:t>Children in care</w:t>
            </w:r>
          </w:p>
        </w:tc>
        <w:tc>
          <w:tcPr>
            <w:tcW w:w="2850" w:type="dxa"/>
          </w:tcPr>
          <w:p w14:paraId="64E9900C" w14:textId="253F98CB" w:rsidR="00425C6F" w:rsidRDefault="0033273C" w:rsidP="00200D50">
            <w:pPr>
              <w:keepNext/>
              <w:keepLines/>
              <w:jc w:val="center"/>
              <w:rPr>
                <w:rFonts w:ascii="Arial" w:hAnsi="Arial" w:cs="Arial"/>
                <w:sz w:val="20"/>
                <w:szCs w:val="20"/>
              </w:rPr>
            </w:pPr>
            <w:r>
              <w:rPr>
                <w:rFonts w:ascii="Arial" w:hAnsi="Arial" w:cs="Arial"/>
                <w:sz w:val="20"/>
                <w:szCs w:val="20"/>
              </w:rPr>
              <w:t>USA</w:t>
            </w:r>
          </w:p>
        </w:tc>
        <w:tc>
          <w:tcPr>
            <w:tcW w:w="2881" w:type="dxa"/>
          </w:tcPr>
          <w:p w14:paraId="6F481105" w14:textId="5DE112DE" w:rsidR="00425C6F" w:rsidRDefault="0033273C" w:rsidP="00200D50">
            <w:pPr>
              <w:keepNext/>
              <w:keepLines/>
              <w:jc w:val="center"/>
              <w:rPr>
                <w:rFonts w:ascii="Arial" w:hAnsi="Arial" w:cs="Arial"/>
                <w:sz w:val="20"/>
                <w:szCs w:val="20"/>
              </w:rPr>
            </w:pPr>
            <w:r>
              <w:rPr>
                <w:rFonts w:ascii="Arial" w:hAnsi="Arial" w:cs="Arial"/>
                <w:sz w:val="20"/>
                <w:szCs w:val="20"/>
              </w:rPr>
              <w:t>25</w:t>
            </w:r>
          </w:p>
        </w:tc>
      </w:tr>
      <w:tr w:rsidR="0033273C" w14:paraId="4473E6BA" w14:textId="77777777" w:rsidTr="0033273C">
        <w:tc>
          <w:tcPr>
            <w:tcW w:w="2875" w:type="dxa"/>
          </w:tcPr>
          <w:p w14:paraId="3B9D96C6" w14:textId="4A30235C" w:rsidR="00425C6F" w:rsidRDefault="0033273C" w:rsidP="00200D50">
            <w:pPr>
              <w:keepNext/>
              <w:keepLines/>
              <w:jc w:val="center"/>
              <w:rPr>
                <w:rFonts w:ascii="Arial" w:hAnsi="Arial" w:cs="Arial"/>
                <w:sz w:val="20"/>
                <w:szCs w:val="20"/>
              </w:rPr>
            </w:pPr>
            <w:r>
              <w:rPr>
                <w:rFonts w:ascii="Arial" w:hAnsi="Arial" w:cs="Arial"/>
                <w:sz w:val="20"/>
                <w:szCs w:val="20"/>
              </w:rPr>
              <w:t>Correctional facilities</w:t>
            </w:r>
          </w:p>
        </w:tc>
        <w:tc>
          <w:tcPr>
            <w:tcW w:w="2850" w:type="dxa"/>
          </w:tcPr>
          <w:p w14:paraId="27AE0B30" w14:textId="694F17CA" w:rsidR="00425C6F" w:rsidRDefault="0033273C" w:rsidP="00200D50">
            <w:pPr>
              <w:keepNext/>
              <w:keepLines/>
              <w:jc w:val="center"/>
              <w:rPr>
                <w:rFonts w:ascii="Arial" w:hAnsi="Arial" w:cs="Arial"/>
                <w:sz w:val="20"/>
                <w:szCs w:val="20"/>
              </w:rPr>
            </w:pPr>
            <w:r>
              <w:rPr>
                <w:rFonts w:ascii="Arial" w:hAnsi="Arial" w:cs="Arial"/>
                <w:sz w:val="20"/>
                <w:szCs w:val="20"/>
              </w:rPr>
              <w:t>W</w:t>
            </w:r>
            <w:r w:rsidR="00290B59">
              <w:rPr>
                <w:rFonts w:ascii="Arial" w:hAnsi="Arial" w:cs="Arial"/>
                <w:sz w:val="20"/>
                <w:szCs w:val="20"/>
              </w:rPr>
              <w:t xml:space="preserve">est </w:t>
            </w:r>
            <w:r>
              <w:rPr>
                <w:rFonts w:ascii="Arial" w:hAnsi="Arial" w:cs="Arial"/>
                <w:sz w:val="20"/>
                <w:szCs w:val="20"/>
              </w:rPr>
              <w:t>A</w:t>
            </w:r>
            <w:r w:rsidR="00290B59">
              <w:rPr>
                <w:rFonts w:ascii="Arial" w:hAnsi="Arial" w:cs="Arial"/>
                <w:sz w:val="20"/>
                <w:szCs w:val="20"/>
              </w:rPr>
              <w:t>ust</w:t>
            </w:r>
            <w:r w:rsidR="00956716">
              <w:rPr>
                <w:rFonts w:ascii="Arial" w:hAnsi="Arial" w:cs="Arial"/>
                <w:sz w:val="20"/>
                <w:szCs w:val="20"/>
              </w:rPr>
              <w:t>’n</w:t>
            </w:r>
            <w:r>
              <w:rPr>
                <w:rFonts w:ascii="Arial" w:hAnsi="Arial" w:cs="Arial"/>
                <w:sz w:val="20"/>
                <w:szCs w:val="20"/>
              </w:rPr>
              <w:t xml:space="preserve"> youth detention</w:t>
            </w:r>
          </w:p>
        </w:tc>
        <w:tc>
          <w:tcPr>
            <w:tcW w:w="2881" w:type="dxa"/>
          </w:tcPr>
          <w:p w14:paraId="5AF0016F" w14:textId="23805C20" w:rsidR="00425C6F" w:rsidRDefault="0033273C" w:rsidP="00200D50">
            <w:pPr>
              <w:keepNext/>
              <w:keepLines/>
              <w:jc w:val="center"/>
              <w:rPr>
                <w:rFonts w:ascii="Arial" w:hAnsi="Arial" w:cs="Arial"/>
                <w:sz w:val="20"/>
                <w:szCs w:val="20"/>
              </w:rPr>
            </w:pPr>
            <w:r>
              <w:rPr>
                <w:rFonts w:ascii="Arial" w:hAnsi="Arial" w:cs="Arial"/>
                <w:sz w:val="20"/>
                <w:szCs w:val="20"/>
              </w:rPr>
              <w:t>36</w:t>
            </w:r>
          </w:p>
        </w:tc>
      </w:tr>
      <w:tr w:rsidR="0033273C" w14:paraId="7940C5D9" w14:textId="77777777" w:rsidTr="0033273C">
        <w:tc>
          <w:tcPr>
            <w:tcW w:w="2875" w:type="dxa"/>
            <w:vMerge w:val="restart"/>
          </w:tcPr>
          <w:p w14:paraId="2D673A86" w14:textId="5D92619B" w:rsidR="0033273C" w:rsidRDefault="0033273C" w:rsidP="0033273C">
            <w:pPr>
              <w:spacing w:before="120"/>
              <w:jc w:val="center"/>
              <w:rPr>
                <w:rFonts w:ascii="Arial" w:hAnsi="Arial" w:cs="Arial"/>
                <w:sz w:val="20"/>
                <w:szCs w:val="20"/>
              </w:rPr>
            </w:pPr>
            <w:r>
              <w:rPr>
                <w:rFonts w:ascii="Arial" w:hAnsi="Arial" w:cs="Arial"/>
                <w:sz w:val="20"/>
                <w:szCs w:val="20"/>
              </w:rPr>
              <w:t>Indigenous</w:t>
            </w:r>
          </w:p>
        </w:tc>
        <w:tc>
          <w:tcPr>
            <w:tcW w:w="2850" w:type="dxa"/>
          </w:tcPr>
          <w:p w14:paraId="6C3CEF0F" w14:textId="08DC7C64" w:rsidR="0033273C" w:rsidRDefault="0033273C" w:rsidP="0033273C">
            <w:pPr>
              <w:jc w:val="center"/>
              <w:rPr>
                <w:rFonts w:ascii="Arial" w:hAnsi="Arial" w:cs="Arial"/>
                <w:sz w:val="20"/>
                <w:szCs w:val="20"/>
              </w:rPr>
            </w:pPr>
            <w:r>
              <w:rPr>
                <w:rFonts w:ascii="Arial" w:hAnsi="Arial" w:cs="Arial"/>
                <w:sz w:val="20"/>
                <w:szCs w:val="20"/>
              </w:rPr>
              <w:t>Canada</w:t>
            </w:r>
          </w:p>
        </w:tc>
        <w:tc>
          <w:tcPr>
            <w:tcW w:w="2881" w:type="dxa"/>
          </w:tcPr>
          <w:p w14:paraId="78ABFE1E" w14:textId="5272A52D" w:rsidR="0033273C" w:rsidRDefault="0033273C" w:rsidP="0033273C">
            <w:pPr>
              <w:jc w:val="center"/>
              <w:rPr>
                <w:rFonts w:ascii="Arial" w:hAnsi="Arial" w:cs="Arial"/>
                <w:sz w:val="20"/>
                <w:szCs w:val="20"/>
              </w:rPr>
            </w:pPr>
            <w:r>
              <w:rPr>
                <w:rFonts w:ascii="Arial" w:hAnsi="Arial" w:cs="Arial"/>
                <w:sz w:val="20"/>
                <w:szCs w:val="20"/>
              </w:rPr>
              <w:t>18</w:t>
            </w:r>
          </w:p>
        </w:tc>
      </w:tr>
      <w:tr w:rsidR="0033273C" w14:paraId="019DD2B6" w14:textId="77777777" w:rsidTr="0033273C">
        <w:tc>
          <w:tcPr>
            <w:tcW w:w="2875" w:type="dxa"/>
            <w:vMerge/>
          </w:tcPr>
          <w:p w14:paraId="44F306E6" w14:textId="77777777" w:rsidR="0033273C" w:rsidRDefault="0033273C" w:rsidP="0033273C">
            <w:pPr>
              <w:jc w:val="center"/>
              <w:rPr>
                <w:rFonts w:ascii="Arial" w:hAnsi="Arial" w:cs="Arial"/>
                <w:sz w:val="20"/>
                <w:szCs w:val="20"/>
              </w:rPr>
            </w:pPr>
          </w:p>
        </w:tc>
        <w:tc>
          <w:tcPr>
            <w:tcW w:w="2850" w:type="dxa"/>
          </w:tcPr>
          <w:p w14:paraId="3A5C8324" w14:textId="26153B65" w:rsidR="0033273C" w:rsidRDefault="0033273C" w:rsidP="0033273C">
            <w:pPr>
              <w:jc w:val="center"/>
              <w:rPr>
                <w:rFonts w:ascii="Arial" w:hAnsi="Arial" w:cs="Arial"/>
                <w:sz w:val="20"/>
                <w:szCs w:val="20"/>
              </w:rPr>
            </w:pPr>
            <w:r>
              <w:rPr>
                <w:rFonts w:ascii="Arial" w:hAnsi="Arial" w:cs="Arial"/>
                <w:sz w:val="20"/>
                <w:szCs w:val="20"/>
              </w:rPr>
              <w:t>Fitzroy Valley</w:t>
            </w:r>
          </w:p>
        </w:tc>
        <w:tc>
          <w:tcPr>
            <w:tcW w:w="2881" w:type="dxa"/>
          </w:tcPr>
          <w:p w14:paraId="0A1FD0E7" w14:textId="541B2DAB" w:rsidR="0033273C" w:rsidRDefault="0033273C" w:rsidP="0033273C">
            <w:pPr>
              <w:jc w:val="center"/>
              <w:rPr>
                <w:rFonts w:ascii="Arial" w:hAnsi="Arial" w:cs="Arial"/>
                <w:sz w:val="20"/>
                <w:szCs w:val="20"/>
              </w:rPr>
            </w:pPr>
            <w:r>
              <w:rPr>
                <w:rFonts w:ascii="Arial" w:hAnsi="Arial" w:cs="Arial"/>
                <w:sz w:val="20"/>
                <w:szCs w:val="20"/>
              </w:rPr>
              <w:t>19</w:t>
            </w:r>
          </w:p>
        </w:tc>
      </w:tr>
      <w:tr w:rsidR="0033273C" w14:paraId="3D9D4CF1" w14:textId="77777777" w:rsidTr="0033273C">
        <w:tc>
          <w:tcPr>
            <w:tcW w:w="2875" w:type="dxa"/>
          </w:tcPr>
          <w:p w14:paraId="1EA94AB7" w14:textId="2B4B9F65" w:rsidR="00425C6F" w:rsidRDefault="0033273C" w:rsidP="0033273C">
            <w:pPr>
              <w:jc w:val="center"/>
              <w:rPr>
                <w:rFonts w:ascii="Arial" w:hAnsi="Arial" w:cs="Arial"/>
                <w:sz w:val="20"/>
                <w:szCs w:val="20"/>
              </w:rPr>
            </w:pPr>
            <w:r>
              <w:rPr>
                <w:rFonts w:ascii="Arial" w:hAnsi="Arial" w:cs="Arial"/>
                <w:sz w:val="20"/>
                <w:szCs w:val="20"/>
              </w:rPr>
              <w:t>Special education</w:t>
            </w:r>
          </w:p>
        </w:tc>
        <w:tc>
          <w:tcPr>
            <w:tcW w:w="2850" w:type="dxa"/>
          </w:tcPr>
          <w:p w14:paraId="5FA4039B" w14:textId="5F7E6266" w:rsidR="00425C6F" w:rsidRDefault="0033273C" w:rsidP="0033273C">
            <w:pPr>
              <w:jc w:val="center"/>
              <w:rPr>
                <w:rFonts w:ascii="Arial" w:hAnsi="Arial" w:cs="Arial"/>
                <w:sz w:val="20"/>
                <w:szCs w:val="20"/>
              </w:rPr>
            </w:pPr>
            <w:r>
              <w:rPr>
                <w:rFonts w:ascii="Arial" w:hAnsi="Arial" w:cs="Arial"/>
                <w:sz w:val="20"/>
                <w:szCs w:val="20"/>
              </w:rPr>
              <w:t>Chile Special Schools</w:t>
            </w:r>
          </w:p>
        </w:tc>
        <w:tc>
          <w:tcPr>
            <w:tcW w:w="2881" w:type="dxa"/>
          </w:tcPr>
          <w:p w14:paraId="322B2E55" w14:textId="0E91C9C9" w:rsidR="00425C6F" w:rsidRDefault="0033273C" w:rsidP="0033273C">
            <w:pPr>
              <w:jc w:val="center"/>
              <w:rPr>
                <w:rFonts w:ascii="Arial" w:hAnsi="Arial" w:cs="Arial"/>
                <w:sz w:val="20"/>
                <w:szCs w:val="20"/>
              </w:rPr>
            </w:pPr>
            <w:r>
              <w:rPr>
                <w:rFonts w:ascii="Arial" w:hAnsi="Arial" w:cs="Arial"/>
                <w:sz w:val="20"/>
                <w:szCs w:val="20"/>
              </w:rPr>
              <w:t>8</w:t>
            </w:r>
          </w:p>
        </w:tc>
      </w:tr>
    </w:tbl>
    <w:p w14:paraId="54549339" w14:textId="066B3C06" w:rsidR="0033273C" w:rsidRDefault="0033273C" w:rsidP="00290B59">
      <w:pPr>
        <w:spacing w:before="80"/>
        <w:ind w:left="454"/>
        <w:jc w:val="both"/>
        <w:rPr>
          <w:rFonts w:ascii="Arial" w:hAnsi="Arial" w:cs="Arial"/>
          <w:sz w:val="20"/>
          <w:szCs w:val="20"/>
        </w:rPr>
      </w:pPr>
      <w:r>
        <w:rPr>
          <w:rFonts w:ascii="Arial" w:hAnsi="Arial" w:cs="Arial"/>
          <w:sz w:val="20"/>
          <w:szCs w:val="20"/>
        </w:rPr>
        <w:t xml:space="preserve">Dr Harris also notes that chronological age is not necessarily a </w:t>
      </w:r>
      <w:r w:rsidR="00D206A5">
        <w:rPr>
          <w:rFonts w:ascii="Arial" w:hAnsi="Arial" w:cs="Arial"/>
          <w:sz w:val="20"/>
          <w:szCs w:val="20"/>
        </w:rPr>
        <w:t>good</w:t>
      </w:r>
      <w:r>
        <w:rPr>
          <w:rFonts w:ascii="Arial" w:hAnsi="Arial" w:cs="Arial"/>
          <w:sz w:val="20"/>
          <w:szCs w:val="20"/>
        </w:rPr>
        <w:t xml:space="preserve"> indicator of other aspects of a child’s neurological development, including language, reasoning/judgment, attention/impulsivity, IQ or social communication</w:t>
      </w:r>
      <w:r w:rsidR="001740F5">
        <w:rPr>
          <w:rFonts w:ascii="Arial" w:hAnsi="Arial" w:cs="Arial"/>
          <w:sz w:val="20"/>
          <w:szCs w:val="20"/>
        </w:rPr>
        <w:t>.  She</w:t>
      </w:r>
      <w:r>
        <w:rPr>
          <w:rFonts w:ascii="Arial" w:hAnsi="Arial" w:cs="Arial"/>
          <w:sz w:val="20"/>
          <w:szCs w:val="20"/>
        </w:rPr>
        <w:t xml:space="preserve"> concludes that:</w:t>
      </w:r>
    </w:p>
    <w:p w14:paraId="39B3CD10" w14:textId="28A2B6E9" w:rsidR="0033273C" w:rsidRDefault="0033273C" w:rsidP="00591749">
      <w:pPr>
        <w:pStyle w:val="ListParagraph"/>
        <w:numPr>
          <w:ilvl w:val="0"/>
          <w:numId w:val="53"/>
        </w:numPr>
        <w:spacing w:after="0" w:line="240" w:lineRule="auto"/>
        <w:ind w:left="811" w:hanging="357"/>
        <w:contextualSpacing w:val="0"/>
        <w:jc w:val="both"/>
        <w:rPr>
          <w:rFonts w:ascii="Arial" w:hAnsi="Arial" w:cs="Arial"/>
          <w:sz w:val="20"/>
          <w:szCs w:val="20"/>
        </w:rPr>
      </w:pPr>
      <w:r>
        <w:rPr>
          <w:rFonts w:ascii="Arial" w:hAnsi="Arial" w:cs="Arial"/>
          <w:sz w:val="20"/>
          <w:szCs w:val="20"/>
        </w:rPr>
        <w:t>knowing the age of a child is not sufficient to understand their abilities;</w:t>
      </w:r>
    </w:p>
    <w:p w14:paraId="3838F5C1" w14:textId="06E59836" w:rsidR="0033273C" w:rsidRDefault="0033273C" w:rsidP="00591749">
      <w:pPr>
        <w:pStyle w:val="ListParagraph"/>
        <w:numPr>
          <w:ilvl w:val="0"/>
          <w:numId w:val="53"/>
        </w:numPr>
        <w:spacing w:after="0" w:line="240" w:lineRule="auto"/>
        <w:ind w:left="811" w:hanging="357"/>
        <w:contextualSpacing w:val="0"/>
        <w:jc w:val="both"/>
        <w:rPr>
          <w:rFonts w:ascii="Arial" w:hAnsi="Arial" w:cs="Arial"/>
          <w:sz w:val="20"/>
          <w:szCs w:val="20"/>
        </w:rPr>
      </w:pPr>
      <w:r>
        <w:rPr>
          <w:rFonts w:ascii="Arial" w:hAnsi="Arial" w:cs="Arial"/>
          <w:sz w:val="20"/>
          <w:szCs w:val="20"/>
        </w:rPr>
        <w:t>domains of development are measurable;</w:t>
      </w:r>
    </w:p>
    <w:p w14:paraId="3BF217EA" w14:textId="1100D34A" w:rsidR="0033273C" w:rsidRDefault="0033273C" w:rsidP="00591749">
      <w:pPr>
        <w:pStyle w:val="ListParagraph"/>
        <w:numPr>
          <w:ilvl w:val="0"/>
          <w:numId w:val="53"/>
        </w:numPr>
        <w:spacing w:after="0" w:line="240" w:lineRule="auto"/>
        <w:ind w:left="811" w:hanging="357"/>
        <w:contextualSpacing w:val="0"/>
        <w:jc w:val="both"/>
        <w:rPr>
          <w:rFonts w:ascii="Arial" w:hAnsi="Arial" w:cs="Arial"/>
          <w:sz w:val="20"/>
          <w:szCs w:val="20"/>
        </w:rPr>
      </w:pPr>
      <w:r>
        <w:rPr>
          <w:rFonts w:ascii="Arial" w:hAnsi="Arial" w:cs="Arial"/>
          <w:sz w:val="20"/>
          <w:szCs w:val="20"/>
        </w:rPr>
        <w:t>children in vulnerable groups are likely to have multiple impairments;</w:t>
      </w:r>
    </w:p>
    <w:p w14:paraId="67B6781A" w14:textId="2156D9EE" w:rsidR="0033273C" w:rsidRDefault="0033273C" w:rsidP="00591749">
      <w:pPr>
        <w:pStyle w:val="ListParagraph"/>
        <w:numPr>
          <w:ilvl w:val="0"/>
          <w:numId w:val="53"/>
        </w:numPr>
        <w:spacing w:after="0" w:line="240" w:lineRule="auto"/>
        <w:ind w:left="811" w:hanging="357"/>
        <w:contextualSpacing w:val="0"/>
        <w:jc w:val="both"/>
        <w:rPr>
          <w:rFonts w:ascii="Arial" w:hAnsi="Arial" w:cs="Arial"/>
          <w:sz w:val="20"/>
          <w:szCs w:val="20"/>
        </w:rPr>
      </w:pPr>
      <w:r>
        <w:rPr>
          <w:rFonts w:ascii="Arial" w:hAnsi="Arial" w:cs="Arial"/>
          <w:sz w:val="20"/>
          <w:szCs w:val="20"/>
        </w:rPr>
        <w:t>there is an increased prevalence of FASD in aboriginal children; and</w:t>
      </w:r>
    </w:p>
    <w:p w14:paraId="1BF33D34" w14:textId="6D2C4B91" w:rsidR="0033273C" w:rsidRDefault="0033273C" w:rsidP="00591749">
      <w:pPr>
        <w:pStyle w:val="ListParagraph"/>
        <w:numPr>
          <w:ilvl w:val="0"/>
          <w:numId w:val="53"/>
        </w:numPr>
        <w:spacing w:after="0" w:line="240" w:lineRule="auto"/>
        <w:ind w:left="811" w:hanging="357"/>
        <w:contextualSpacing w:val="0"/>
        <w:jc w:val="both"/>
        <w:rPr>
          <w:rFonts w:ascii="Arial" w:hAnsi="Arial" w:cs="Arial"/>
          <w:sz w:val="20"/>
          <w:szCs w:val="20"/>
        </w:rPr>
      </w:pPr>
      <w:r>
        <w:rPr>
          <w:rFonts w:ascii="Arial" w:hAnsi="Arial" w:cs="Arial"/>
          <w:sz w:val="20"/>
          <w:szCs w:val="20"/>
        </w:rPr>
        <w:t>better understanding of a child’s developmental age and their disability enables an informed app</w:t>
      </w:r>
      <w:r w:rsidR="00AC5A8F">
        <w:rPr>
          <w:rFonts w:ascii="Arial" w:hAnsi="Arial" w:cs="Arial"/>
          <w:sz w:val="20"/>
          <w:szCs w:val="20"/>
        </w:rPr>
        <w:t>r</w:t>
      </w:r>
      <w:r>
        <w:rPr>
          <w:rFonts w:ascii="Arial" w:hAnsi="Arial" w:cs="Arial"/>
          <w:sz w:val="20"/>
          <w:szCs w:val="20"/>
        </w:rPr>
        <w:t>o</w:t>
      </w:r>
      <w:r w:rsidR="00AC5A8F">
        <w:rPr>
          <w:rFonts w:ascii="Arial" w:hAnsi="Arial" w:cs="Arial"/>
          <w:sz w:val="20"/>
          <w:szCs w:val="20"/>
        </w:rPr>
        <w:t>p</w:t>
      </w:r>
      <w:r>
        <w:rPr>
          <w:rFonts w:ascii="Arial" w:hAnsi="Arial" w:cs="Arial"/>
          <w:sz w:val="20"/>
          <w:szCs w:val="20"/>
        </w:rPr>
        <w:t>riate response to their needs.</w:t>
      </w:r>
    </w:p>
    <w:p w14:paraId="132C1992" w14:textId="0A07799A" w:rsidR="00271981" w:rsidRPr="00603010" w:rsidRDefault="00271981" w:rsidP="00271981">
      <w:pPr>
        <w:spacing w:before="120"/>
        <w:ind w:left="454" w:hanging="454"/>
        <w:jc w:val="both"/>
        <w:rPr>
          <w:rFonts w:ascii="Arial" w:hAnsi="Arial" w:cs="Arial"/>
          <w:sz w:val="20"/>
          <w:szCs w:val="20"/>
        </w:rPr>
      </w:pPr>
      <w:r>
        <w:rPr>
          <w:rFonts w:ascii="Arial" w:hAnsi="Arial" w:cs="Arial"/>
          <w:sz w:val="20"/>
          <w:szCs w:val="20"/>
        </w:rPr>
        <w:t>(1</w:t>
      </w:r>
      <w:r w:rsidR="001740F5">
        <w:rPr>
          <w:rFonts w:ascii="Arial" w:hAnsi="Arial" w:cs="Arial"/>
          <w:sz w:val="20"/>
          <w:szCs w:val="20"/>
        </w:rPr>
        <w:t>1</w:t>
      </w:r>
      <w:r>
        <w:rPr>
          <w:rFonts w:ascii="Arial" w:hAnsi="Arial" w:cs="Arial"/>
          <w:sz w:val="20"/>
          <w:szCs w:val="20"/>
        </w:rPr>
        <w:t>)</w:t>
      </w:r>
      <w:r>
        <w:rPr>
          <w:rFonts w:ascii="Arial" w:hAnsi="Arial" w:cs="Arial"/>
          <w:sz w:val="20"/>
          <w:szCs w:val="20"/>
        </w:rPr>
        <w:tab/>
        <w:t xml:space="preserve">Further expert opinion on the impact of a child’s mental development and mental health on offending includes the following </w:t>
      </w:r>
      <w:r w:rsidR="00267BC6">
        <w:rPr>
          <w:rFonts w:ascii="Arial" w:hAnsi="Arial" w:cs="Arial"/>
          <w:sz w:val="20"/>
          <w:szCs w:val="20"/>
        </w:rPr>
        <w:t>[</w:t>
      </w:r>
      <w:r>
        <w:rPr>
          <w:rFonts w:ascii="Arial" w:hAnsi="Arial" w:cs="Arial"/>
          <w:sz w:val="20"/>
          <w:szCs w:val="20"/>
        </w:rPr>
        <w:t>from which citations have been omitted and emphasis added</w:t>
      </w:r>
      <w:r w:rsidR="00267BC6">
        <w:rPr>
          <w:rFonts w:ascii="Arial" w:hAnsi="Arial" w:cs="Arial"/>
          <w:sz w:val="20"/>
          <w:szCs w:val="20"/>
        </w:rPr>
        <w:t>]</w:t>
      </w:r>
      <w:r>
        <w:rPr>
          <w:rFonts w:ascii="Arial" w:hAnsi="Arial" w:cs="Arial"/>
          <w:sz w:val="20"/>
          <w:szCs w:val="20"/>
        </w:rPr>
        <w:t>:</w:t>
      </w:r>
    </w:p>
    <w:p w14:paraId="28B3B339" w14:textId="6B1BF630" w:rsidR="00271981" w:rsidRPr="00271981" w:rsidRDefault="00603010" w:rsidP="00591749">
      <w:pPr>
        <w:pStyle w:val="ListParagraph"/>
        <w:numPr>
          <w:ilvl w:val="0"/>
          <w:numId w:val="53"/>
        </w:numPr>
        <w:spacing w:before="60" w:after="0" w:line="240" w:lineRule="auto"/>
        <w:ind w:left="811" w:hanging="357"/>
        <w:contextualSpacing w:val="0"/>
        <w:jc w:val="both"/>
        <w:rPr>
          <w:rFonts w:ascii="Arial" w:hAnsi="Arial" w:cs="Arial"/>
          <w:sz w:val="20"/>
          <w:szCs w:val="20"/>
        </w:rPr>
      </w:pPr>
      <w:r w:rsidRPr="00271981">
        <w:rPr>
          <w:rFonts w:ascii="Arial" w:hAnsi="Arial" w:cs="Arial"/>
          <w:i/>
          <w:iCs/>
          <w:sz w:val="20"/>
          <w:szCs w:val="20"/>
        </w:rPr>
        <w:t xml:space="preserve">“Research also suggests that children make decisions differently from adults due to ‘psychosocial immaturity’ and that ‘the part of our brain responsible for impulse control, planning and decision-making (the prefrontal cortex) is not fully developed until we are about 25 years of age’. </w:t>
      </w:r>
      <w:r w:rsidRPr="00271981">
        <w:rPr>
          <w:rFonts w:ascii="Arial" w:hAnsi="Arial" w:cs="Arial"/>
          <w:b/>
          <w:bCs/>
          <w:i/>
          <w:iCs/>
          <w:sz w:val="20"/>
          <w:szCs w:val="20"/>
        </w:rPr>
        <w:t>Children's brain development is also affected by maltreatment, exposure to violence or other trauma, neglect, disrupted family bonds and attachment, and poverty. This is particularly relevant to children in the youth justice system.</w:t>
      </w:r>
      <w:r w:rsidRPr="00271981">
        <w:rPr>
          <w:rFonts w:ascii="Arial" w:hAnsi="Arial" w:cs="Arial"/>
          <w:i/>
          <w:iCs/>
          <w:sz w:val="20"/>
          <w:szCs w:val="20"/>
        </w:rPr>
        <w:t>”</w:t>
      </w:r>
      <w:r w:rsidR="00271981" w:rsidRPr="00271981">
        <w:rPr>
          <w:rFonts w:ascii="Arial" w:hAnsi="Arial" w:cs="Arial"/>
          <w:sz w:val="20"/>
          <w:szCs w:val="20"/>
        </w:rPr>
        <w:t xml:space="preserve"> </w:t>
      </w:r>
      <w:r w:rsidR="00271981">
        <w:rPr>
          <w:rFonts w:ascii="Arial" w:hAnsi="Arial" w:cs="Arial"/>
          <w:sz w:val="20"/>
          <w:szCs w:val="20"/>
        </w:rPr>
        <w:t>[</w:t>
      </w:r>
      <w:r w:rsidR="00271981" w:rsidRPr="00271981">
        <w:rPr>
          <w:rFonts w:ascii="Arial" w:hAnsi="Arial" w:cs="Arial"/>
          <w:sz w:val="20"/>
          <w:szCs w:val="20"/>
        </w:rPr>
        <w:t xml:space="preserve">SAC, </w:t>
      </w:r>
      <w:r w:rsidR="00271981" w:rsidRPr="00271981">
        <w:rPr>
          <w:rFonts w:ascii="Arial" w:hAnsi="Arial" w:cs="Arial"/>
          <w:i/>
          <w:iCs/>
          <w:sz w:val="20"/>
          <w:szCs w:val="20"/>
        </w:rPr>
        <w:t>Crossover Kids: Vulnerable Children in the Youth Justice System</w:t>
      </w:r>
      <w:r w:rsidR="00271981" w:rsidRPr="00271981">
        <w:rPr>
          <w:rFonts w:ascii="Arial" w:hAnsi="Arial" w:cs="Arial"/>
          <w:sz w:val="20"/>
          <w:szCs w:val="20"/>
        </w:rPr>
        <w:t xml:space="preserve"> (2019), paragraph 4.12</w:t>
      </w:r>
      <w:r w:rsidR="00395F0C">
        <w:rPr>
          <w:rFonts w:ascii="Arial" w:hAnsi="Arial" w:cs="Arial"/>
          <w:sz w:val="20"/>
          <w:szCs w:val="20"/>
        </w:rPr>
        <w:t>.</w:t>
      </w:r>
      <w:r w:rsidR="00271981">
        <w:rPr>
          <w:rFonts w:ascii="Arial" w:hAnsi="Arial" w:cs="Arial"/>
          <w:sz w:val="20"/>
          <w:szCs w:val="20"/>
        </w:rPr>
        <w:t>]</w:t>
      </w:r>
    </w:p>
    <w:p w14:paraId="45CABB97" w14:textId="3BD5C599" w:rsidR="00271981" w:rsidRDefault="00395F0C" w:rsidP="00591749">
      <w:pPr>
        <w:pStyle w:val="ListParagraph"/>
        <w:numPr>
          <w:ilvl w:val="0"/>
          <w:numId w:val="53"/>
        </w:numPr>
        <w:spacing w:before="60" w:after="0" w:line="240" w:lineRule="auto"/>
        <w:ind w:left="811" w:hanging="357"/>
        <w:contextualSpacing w:val="0"/>
        <w:jc w:val="both"/>
        <w:rPr>
          <w:rFonts w:ascii="Arial" w:hAnsi="Arial" w:cs="Arial"/>
          <w:sz w:val="20"/>
          <w:szCs w:val="20"/>
        </w:rPr>
      </w:pPr>
      <w:r w:rsidRPr="00603010">
        <w:rPr>
          <w:rFonts w:ascii="Arial" w:hAnsi="Arial" w:cs="Arial"/>
          <w:i/>
          <w:iCs/>
          <w:sz w:val="20"/>
          <w:szCs w:val="20"/>
        </w:rPr>
        <w:t>“</w:t>
      </w:r>
      <w:r w:rsidRPr="00603010">
        <w:rPr>
          <w:rFonts w:ascii="Arial" w:hAnsi="Arial" w:cs="Arial"/>
          <w:b/>
          <w:bCs/>
          <w:i/>
          <w:iCs/>
          <w:sz w:val="20"/>
          <w:szCs w:val="20"/>
        </w:rPr>
        <w:t>Considerable evidence demonstrates an association between child maltreatment and youth offending</w:t>
      </w:r>
      <w:r w:rsidRPr="00603010">
        <w:rPr>
          <w:rFonts w:ascii="Arial" w:hAnsi="Arial" w:cs="Arial"/>
          <w:i/>
          <w:iCs/>
          <w:sz w:val="20"/>
          <w:szCs w:val="20"/>
        </w:rPr>
        <w:t>…The prior exposure of a child to severe maltreatment, neglect, offending and violence may increase the likelihood of the child engaging in trauma-related behaviour that may also constitute an offence (such as substance abuse or aggression). Childhood trauma influences children’s development and ability to regulate their behaviour.  This might result in, for example, heightened vigilance, stress intolerance, antisocial behaviour and ‘fight or flight’ responses to triggers.”</w:t>
      </w:r>
      <w:r>
        <w:rPr>
          <w:rFonts w:ascii="Arial" w:hAnsi="Arial" w:cs="Arial"/>
          <w:i/>
          <w:iCs/>
          <w:sz w:val="20"/>
          <w:szCs w:val="20"/>
        </w:rPr>
        <w:t xml:space="preserve"> </w:t>
      </w:r>
      <w:r w:rsidRPr="00395F0C">
        <w:rPr>
          <w:rFonts w:ascii="Arial" w:hAnsi="Arial" w:cs="Arial"/>
          <w:sz w:val="20"/>
          <w:szCs w:val="20"/>
        </w:rPr>
        <w:t>[</w:t>
      </w:r>
      <w:r w:rsidRPr="00271981">
        <w:rPr>
          <w:rFonts w:ascii="Arial" w:hAnsi="Arial" w:cs="Arial"/>
          <w:sz w:val="20"/>
          <w:szCs w:val="20"/>
        </w:rPr>
        <w:t xml:space="preserve">SAC, </w:t>
      </w:r>
      <w:r w:rsidRPr="00271981">
        <w:rPr>
          <w:rFonts w:ascii="Arial" w:hAnsi="Arial" w:cs="Arial"/>
          <w:i/>
          <w:iCs/>
          <w:sz w:val="20"/>
          <w:szCs w:val="20"/>
        </w:rPr>
        <w:t>Crossover Kids: Vulnerable Children in the Youth Justice System</w:t>
      </w:r>
      <w:r w:rsidRPr="00271981">
        <w:rPr>
          <w:rFonts w:ascii="Arial" w:hAnsi="Arial" w:cs="Arial"/>
          <w:sz w:val="20"/>
          <w:szCs w:val="20"/>
        </w:rPr>
        <w:t xml:space="preserve"> (2019), paragraph</w:t>
      </w:r>
      <w:r>
        <w:rPr>
          <w:rFonts w:ascii="Arial" w:hAnsi="Arial" w:cs="Arial"/>
          <w:sz w:val="20"/>
          <w:szCs w:val="20"/>
        </w:rPr>
        <w:t>s</w:t>
      </w:r>
      <w:r w:rsidRPr="00271981">
        <w:rPr>
          <w:rFonts w:ascii="Arial" w:hAnsi="Arial" w:cs="Arial"/>
          <w:sz w:val="20"/>
          <w:szCs w:val="20"/>
        </w:rPr>
        <w:t xml:space="preserve"> 4.2</w:t>
      </w:r>
      <w:r>
        <w:rPr>
          <w:rFonts w:ascii="Arial" w:hAnsi="Arial" w:cs="Arial"/>
          <w:sz w:val="20"/>
          <w:szCs w:val="20"/>
        </w:rPr>
        <w:t>5-4.26].</w:t>
      </w:r>
    </w:p>
    <w:p w14:paraId="130A3FFF" w14:textId="52A1727B" w:rsidR="00395F0C" w:rsidRPr="00290B59" w:rsidRDefault="00395F0C" w:rsidP="00591749">
      <w:pPr>
        <w:pStyle w:val="ListParagraph"/>
        <w:numPr>
          <w:ilvl w:val="0"/>
          <w:numId w:val="53"/>
        </w:numPr>
        <w:spacing w:before="60" w:after="0" w:line="240" w:lineRule="auto"/>
        <w:ind w:left="811" w:hanging="357"/>
        <w:contextualSpacing w:val="0"/>
        <w:jc w:val="both"/>
        <w:rPr>
          <w:rFonts w:ascii="Arial" w:hAnsi="Arial" w:cs="Arial"/>
          <w:sz w:val="18"/>
          <w:szCs w:val="18"/>
        </w:rPr>
      </w:pPr>
      <w:r w:rsidRPr="00603010">
        <w:rPr>
          <w:rFonts w:ascii="Arial" w:hAnsi="Arial" w:cs="Arial"/>
          <w:i/>
          <w:iCs/>
          <w:sz w:val="20"/>
          <w:szCs w:val="20"/>
        </w:rPr>
        <w:t>“</w:t>
      </w:r>
      <w:r w:rsidRPr="00603010">
        <w:rPr>
          <w:rFonts w:ascii="Arial" w:hAnsi="Arial" w:cs="Arial"/>
          <w:b/>
          <w:bCs/>
          <w:i/>
          <w:iCs/>
          <w:sz w:val="20"/>
          <w:szCs w:val="20"/>
        </w:rPr>
        <w:t>We must bear in mind that children’s cognitive capacity develops gradually from the age of around 10 right through young adulthood which is usually regarded as concluding at around 24 years of age.</w:t>
      </w:r>
      <w:r w:rsidR="00290B59">
        <w:rPr>
          <w:rFonts w:ascii="Arial" w:hAnsi="Arial" w:cs="Arial"/>
          <w:b/>
          <w:bCs/>
          <w:i/>
          <w:iCs/>
          <w:sz w:val="20"/>
          <w:szCs w:val="20"/>
        </w:rPr>
        <w:t>”</w:t>
      </w:r>
      <w:r w:rsidRPr="00395F0C">
        <w:rPr>
          <w:rFonts w:ascii="Arial" w:hAnsi="Arial" w:cs="Arial"/>
        </w:rPr>
        <w:t xml:space="preserve"> </w:t>
      </w:r>
      <w:r w:rsidRPr="00290B59">
        <w:rPr>
          <w:rFonts w:ascii="Arial" w:hAnsi="Arial" w:cs="Arial"/>
          <w:sz w:val="20"/>
          <w:szCs w:val="20"/>
        </w:rPr>
        <w:t xml:space="preserve">[M Warren, </w:t>
      </w:r>
      <w:r w:rsidRPr="00290B59">
        <w:rPr>
          <w:rFonts w:ascii="Arial" w:hAnsi="Arial" w:cs="Arial"/>
          <w:i/>
          <w:iCs/>
          <w:sz w:val="20"/>
          <w:szCs w:val="20"/>
        </w:rPr>
        <w:t>‘Responding to young people offending’</w:t>
      </w:r>
      <w:r w:rsidRPr="00290B59">
        <w:rPr>
          <w:rFonts w:ascii="Arial" w:hAnsi="Arial" w:cs="Arial"/>
          <w:sz w:val="20"/>
          <w:szCs w:val="20"/>
        </w:rPr>
        <w:t xml:space="preserve">: Remarks of the Hon. Marilyn Warren AC, </w:t>
      </w:r>
      <w:r w:rsidR="00B62E22" w:rsidRPr="00290B59">
        <w:rPr>
          <w:rFonts w:ascii="Arial" w:hAnsi="Arial" w:cs="Arial"/>
          <w:sz w:val="20"/>
          <w:szCs w:val="20"/>
        </w:rPr>
        <w:t xml:space="preserve">then </w:t>
      </w:r>
      <w:r w:rsidRPr="00290B59">
        <w:rPr>
          <w:rFonts w:ascii="Arial" w:hAnsi="Arial" w:cs="Arial"/>
          <w:sz w:val="20"/>
          <w:szCs w:val="20"/>
        </w:rPr>
        <w:t>Chief Justice of Victoria delivering the Hon Austin Ashe AC, QC Oration in Law and Governance, Charles Darwin University, 11/10/2016.]</w:t>
      </w:r>
    </w:p>
    <w:p w14:paraId="774D3F7E" w14:textId="73127B97" w:rsidR="00603010" w:rsidRPr="00B62E22" w:rsidRDefault="00B62E22" w:rsidP="00591749">
      <w:pPr>
        <w:pStyle w:val="ListParagraph"/>
        <w:numPr>
          <w:ilvl w:val="0"/>
          <w:numId w:val="53"/>
        </w:numPr>
        <w:spacing w:before="60" w:after="0" w:line="240" w:lineRule="auto"/>
        <w:ind w:left="811" w:hanging="357"/>
        <w:contextualSpacing w:val="0"/>
        <w:jc w:val="both"/>
        <w:rPr>
          <w:rFonts w:ascii="Arial" w:hAnsi="Arial" w:cs="Arial"/>
          <w:sz w:val="20"/>
          <w:szCs w:val="20"/>
        </w:rPr>
      </w:pPr>
      <w:r w:rsidRPr="00B62E22">
        <w:rPr>
          <w:rFonts w:ascii="Arial" w:hAnsi="Arial" w:cs="Arial"/>
          <w:i/>
          <w:iCs/>
          <w:sz w:val="20"/>
          <w:szCs w:val="20"/>
        </w:rPr>
        <w:t>“</w:t>
      </w:r>
      <w:r w:rsidR="00603010" w:rsidRPr="00B62E22">
        <w:rPr>
          <w:rFonts w:ascii="Arial" w:hAnsi="Arial" w:cs="Arial"/>
          <w:i/>
          <w:iCs/>
          <w:sz w:val="20"/>
          <w:szCs w:val="20"/>
        </w:rPr>
        <w:t>Normal adolescent development provides challenges to any institution working with children and young people. Adolescents do not weigh the relative risks and consequences of their behaviour rationally and often make choices by gut feeling. For children and young people who have suffered trauma, abuse or neglect, this impulsive behaviour is even more apparent. Trauma, abuse and neglect influence children’s physiological, emotional, cognitive and social development in many ways.  This makes them vulnerable to involvement with the criminal justice system.</w:t>
      </w:r>
    </w:p>
    <w:p w14:paraId="702A4249" w14:textId="7A0A63A9" w:rsidR="00B62E22" w:rsidRDefault="00603010" w:rsidP="00B62E22">
      <w:pPr>
        <w:spacing w:before="60"/>
        <w:ind w:left="811"/>
        <w:jc w:val="both"/>
        <w:rPr>
          <w:rFonts w:ascii="Arial" w:hAnsi="Arial" w:cs="Arial"/>
          <w:i/>
          <w:iCs/>
          <w:sz w:val="20"/>
          <w:szCs w:val="20"/>
        </w:rPr>
      </w:pPr>
      <w:r w:rsidRPr="00B62E22">
        <w:rPr>
          <w:rFonts w:ascii="Arial" w:hAnsi="Arial" w:cs="Arial"/>
          <w:i/>
          <w:iCs/>
          <w:sz w:val="20"/>
          <w:szCs w:val="20"/>
        </w:rPr>
        <w:t>Early and persistent trauma affects the structure and functioning of the brain. When a child’s brain is focused on survival, this comes at a cost for the developing cortex. An underdeveloped cortex is associated with poor impulse control and difficulties with higher level thinking and feeling tasks. Children who have experienced trauma often remain in a state of vigilance after the traumatic events have passed. The neural pathways have become sensitised to threat, so they may perceive everyday situations as threats – triggering feelings such as anger, powerlessness, shame or fear – and they have limited capacity to calm themselves or regulate their emotions…</w:t>
      </w:r>
    </w:p>
    <w:p w14:paraId="45B28F6F" w14:textId="5D1D2297" w:rsidR="00B62E22" w:rsidRPr="00B62E22" w:rsidRDefault="00603010" w:rsidP="001740F5">
      <w:pPr>
        <w:spacing w:before="60"/>
        <w:ind w:left="811"/>
        <w:jc w:val="both"/>
        <w:rPr>
          <w:rFonts w:ascii="Arial" w:hAnsi="Arial" w:cs="Arial"/>
          <w:sz w:val="20"/>
          <w:szCs w:val="20"/>
        </w:rPr>
      </w:pPr>
      <w:r w:rsidRPr="00B62E22">
        <w:rPr>
          <w:rFonts w:ascii="Arial" w:hAnsi="Arial" w:cs="Arial"/>
          <w:i/>
          <w:iCs/>
          <w:sz w:val="20"/>
          <w:szCs w:val="20"/>
        </w:rPr>
        <w:t>These factors can result in behaviours such as poor impulse control or substance abuse and can lead to children and young people being involved in criminal behaviour.”</w:t>
      </w:r>
      <w:r w:rsidR="00B62E22" w:rsidRPr="00B62E22">
        <w:rPr>
          <w:rFonts w:ascii="Arial" w:hAnsi="Arial" w:cs="Arial"/>
          <w:i/>
          <w:iCs/>
          <w:sz w:val="20"/>
          <w:szCs w:val="20"/>
        </w:rPr>
        <w:t xml:space="preserve"> </w:t>
      </w:r>
      <w:r w:rsidR="00B62E22" w:rsidRPr="00B62E22">
        <w:rPr>
          <w:rFonts w:ascii="Arial" w:hAnsi="Arial" w:cs="Arial"/>
          <w:sz w:val="20"/>
          <w:szCs w:val="20"/>
        </w:rPr>
        <w:t xml:space="preserve">[Commission for Children and Young People, </w:t>
      </w:r>
      <w:r w:rsidR="00B62E22" w:rsidRPr="00B62E22">
        <w:rPr>
          <w:rFonts w:ascii="Arial" w:hAnsi="Arial" w:cs="Arial"/>
          <w:i/>
          <w:iCs/>
          <w:sz w:val="20"/>
          <w:szCs w:val="20"/>
        </w:rPr>
        <w:t>‘The Same Four Walls’</w:t>
      </w:r>
      <w:r w:rsidR="00B62E22" w:rsidRPr="00B62E22">
        <w:rPr>
          <w:rFonts w:ascii="Arial" w:hAnsi="Arial" w:cs="Arial"/>
          <w:sz w:val="20"/>
          <w:szCs w:val="20"/>
        </w:rPr>
        <w:t>: Inquiry into the use of isolation, separation and lockdowns in the Victorian Youth Justice system (Report 2017), page 37</w:t>
      </w:r>
      <w:r w:rsidR="00B62E22">
        <w:rPr>
          <w:rFonts w:ascii="Arial" w:hAnsi="Arial" w:cs="Arial"/>
          <w:sz w:val="20"/>
          <w:szCs w:val="20"/>
        </w:rPr>
        <w:t>]</w:t>
      </w:r>
      <w:r w:rsidR="00B62E22" w:rsidRPr="00B62E22">
        <w:rPr>
          <w:rFonts w:ascii="Arial" w:hAnsi="Arial" w:cs="Arial"/>
          <w:sz w:val="20"/>
          <w:szCs w:val="20"/>
        </w:rPr>
        <w:t>.</w:t>
      </w:r>
    </w:p>
    <w:p w14:paraId="3AA16060" w14:textId="4B56802E" w:rsidR="00603010" w:rsidRDefault="00707638" w:rsidP="00B62E22">
      <w:pPr>
        <w:spacing w:before="120"/>
        <w:ind w:left="454" w:hanging="454"/>
        <w:jc w:val="both"/>
        <w:rPr>
          <w:rFonts w:ascii="Arial" w:hAnsi="Arial" w:cs="Arial"/>
          <w:sz w:val="20"/>
          <w:szCs w:val="20"/>
        </w:rPr>
      </w:pPr>
      <w:r>
        <w:rPr>
          <w:rFonts w:ascii="Arial" w:hAnsi="Arial" w:cs="Arial"/>
          <w:sz w:val="20"/>
          <w:szCs w:val="20"/>
        </w:rPr>
        <w:t>(1</w:t>
      </w:r>
      <w:r w:rsidR="001740F5">
        <w:rPr>
          <w:rFonts w:ascii="Arial" w:hAnsi="Arial" w:cs="Arial"/>
          <w:sz w:val="20"/>
          <w:szCs w:val="20"/>
        </w:rPr>
        <w:t>2</w:t>
      </w:r>
      <w:r>
        <w:rPr>
          <w:rFonts w:ascii="Arial" w:hAnsi="Arial" w:cs="Arial"/>
          <w:sz w:val="20"/>
          <w:szCs w:val="20"/>
        </w:rPr>
        <w:t>)</w:t>
      </w:r>
      <w:r>
        <w:rPr>
          <w:rFonts w:ascii="Arial" w:hAnsi="Arial" w:cs="Arial"/>
          <w:sz w:val="20"/>
          <w:szCs w:val="20"/>
        </w:rPr>
        <w:tab/>
      </w:r>
      <w:r w:rsidRPr="00603010">
        <w:rPr>
          <w:rFonts w:ascii="Arial" w:hAnsi="Arial" w:cs="Arial"/>
          <w:sz w:val="20"/>
          <w:szCs w:val="20"/>
        </w:rPr>
        <w:t>Th</w:t>
      </w:r>
      <w:r w:rsidR="001740F5">
        <w:rPr>
          <w:rFonts w:ascii="Arial" w:hAnsi="Arial" w:cs="Arial"/>
          <w:sz w:val="20"/>
          <w:szCs w:val="20"/>
        </w:rPr>
        <w:t>e</w:t>
      </w:r>
      <w:r w:rsidRPr="00603010">
        <w:rPr>
          <w:rFonts w:ascii="Arial" w:hAnsi="Arial" w:cs="Arial"/>
          <w:sz w:val="20"/>
          <w:szCs w:val="20"/>
        </w:rPr>
        <w:t xml:space="preserve"> huge over-representation </w:t>
      </w:r>
      <w:r w:rsidR="001740F5" w:rsidRPr="00603010">
        <w:rPr>
          <w:rFonts w:ascii="Arial" w:hAnsi="Arial" w:cs="Arial"/>
          <w:sz w:val="20"/>
          <w:szCs w:val="20"/>
        </w:rPr>
        <w:t xml:space="preserve">in the criminal justice system </w:t>
      </w:r>
      <w:r w:rsidRPr="00603010">
        <w:rPr>
          <w:rFonts w:ascii="Arial" w:hAnsi="Arial" w:cs="Arial"/>
          <w:sz w:val="20"/>
          <w:szCs w:val="20"/>
        </w:rPr>
        <w:t xml:space="preserve">of </w:t>
      </w:r>
      <w:r>
        <w:rPr>
          <w:rFonts w:ascii="Arial" w:hAnsi="Arial" w:cs="Arial"/>
          <w:sz w:val="20"/>
          <w:szCs w:val="20"/>
        </w:rPr>
        <w:t>‘</w:t>
      </w:r>
      <w:r w:rsidRPr="00603010">
        <w:rPr>
          <w:rFonts w:ascii="Arial" w:hAnsi="Arial" w:cs="Arial"/>
          <w:b/>
          <w:bCs/>
          <w:sz w:val="20"/>
          <w:szCs w:val="20"/>
        </w:rPr>
        <w:t>crossover kids</w:t>
      </w:r>
      <w:r w:rsidRPr="00F37066">
        <w:rPr>
          <w:rFonts w:ascii="Arial" w:hAnsi="Arial" w:cs="Arial"/>
          <w:sz w:val="20"/>
          <w:szCs w:val="20"/>
        </w:rPr>
        <w:t>’</w:t>
      </w:r>
      <w:r w:rsidRPr="00603010">
        <w:rPr>
          <w:rFonts w:ascii="Arial" w:hAnsi="Arial" w:cs="Arial"/>
          <w:sz w:val="20"/>
          <w:szCs w:val="20"/>
        </w:rPr>
        <w:t xml:space="preserve"> </w:t>
      </w:r>
      <w:r w:rsidR="001740F5">
        <w:rPr>
          <w:rFonts w:ascii="Arial" w:hAnsi="Arial" w:cs="Arial"/>
          <w:sz w:val="20"/>
          <w:szCs w:val="20"/>
        </w:rPr>
        <w:t xml:space="preserve">and children suffering from neurodevelopmental disorders </w:t>
      </w:r>
      <w:r w:rsidRPr="00603010">
        <w:rPr>
          <w:rFonts w:ascii="Arial" w:hAnsi="Arial" w:cs="Arial"/>
          <w:sz w:val="20"/>
          <w:szCs w:val="20"/>
        </w:rPr>
        <w:t>is easily explicable by modern neuroscientific research</w:t>
      </w:r>
      <w:r>
        <w:rPr>
          <w:rFonts w:ascii="Arial" w:hAnsi="Arial" w:cs="Arial"/>
          <w:sz w:val="20"/>
          <w:szCs w:val="20"/>
        </w:rPr>
        <w:t>.</w:t>
      </w:r>
      <w:r w:rsidR="001740F5">
        <w:rPr>
          <w:rFonts w:ascii="Arial" w:hAnsi="Arial" w:cs="Arial"/>
          <w:sz w:val="20"/>
          <w:szCs w:val="20"/>
        </w:rPr>
        <w:t xml:space="preserve">  From th</w:t>
      </w:r>
      <w:r w:rsidR="00682864">
        <w:rPr>
          <w:rFonts w:ascii="Arial" w:hAnsi="Arial" w:cs="Arial"/>
          <w:sz w:val="20"/>
          <w:szCs w:val="20"/>
        </w:rPr>
        <w:t>is</w:t>
      </w:r>
      <w:r w:rsidR="001740F5">
        <w:rPr>
          <w:rFonts w:ascii="Arial" w:hAnsi="Arial" w:cs="Arial"/>
          <w:sz w:val="20"/>
          <w:szCs w:val="20"/>
        </w:rPr>
        <w:t xml:space="preserve"> research and from the dicta </w:t>
      </w:r>
      <w:r w:rsidR="00BD5BFB">
        <w:rPr>
          <w:rFonts w:ascii="Arial" w:hAnsi="Arial" w:cs="Arial"/>
          <w:sz w:val="20"/>
          <w:szCs w:val="20"/>
        </w:rPr>
        <w:t xml:space="preserve">of the Court of Appeal in </w:t>
      </w:r>
      <w:r w:rsidR="00BD5BFB" w:rsidRPr="00BD5BFB">
        <w:rPr>
          <w:rFonts w:ascii="Arial" w:hAnsi="Arial" w:cs="Arial"/>
          <w:i/>
          <w:iCs/>
          <w:sz w:val="20"/>
          <w:szCs w:val="20"/>
        </w:rPr>
        <w:t>CNK v The Queen</w:t>
      </w:r>
      <w:r w:rsidR="00BD5BFB">
        <w:rPr>
          <w:rFonts w:ascii="Arial" w:hAnsi="Arial" w:cs="Arial"/>
          <w:sz w:val="20"/>
          <w:szCs w:val="20"/>
        </w:rPr>
        <w:t xml:space="preserve"> </w:t>
      </w:r>
      <w:r w:rsidR="001740F5">
        <w:rPr>
          <w:rFonts w:ascii="Arial" w:hAnsi="Arial" w:cs="Arial"/>
          <w:sz w:val="20"/>
          <w:szCs w:val="20"/>
        </w:rPr>
        <w:t xml:space="preserve">it appears to the writer </w:t>
      </w:r>
      <w:r w:rsidR="00603010" w:rsidRPr="00603010">
        <w:rPr>
          <w:rFonts w:ascii="Arial" w:hAnsi="Arial" w:cs="Arial"/>
          <w:sz w:val="20"/>
          <w:szCs w:val="20"/>
        </w:rPr>
        <w:t xml:space="preserve">that the community </w:t>
      </w:r>
      <w:r w:rsidR="001740F5">
        <w:rPr>
          <w:rFonts w:ascii="Arial" w:hAnsi="Arial" w:cs="Arial"/>
          <w:sz w:val="20"/>
          <w:szCs w:val="20"/>
        </w:rPr>
        <w:t>is likely to</w:t>
      </w:r>
      <w:r w:rsidR="00603010" w:rsidRPr="00603010">
        <w:rPr>
          <w:rFonts w:ascii="Arial" w:hAnsi="Arial" w:cs="Arial"/>
          <w:sz w:val="20"/>
          <w:szCs w:val="20"/>
        </w:rPr>
        <w:t xml:space="preserve"> benefit in the long run if risks posed by child </w:t>
      </w:r>
      <w:r w:rsidR="00603010" w:rsidRPr="00603010">
        <w:rPr>
          <w:rFonts w:ascii="Arial" w:hAnsi="Arial" w:cs="Arial"/>
          <w:sz w:val="20"/>
          <w:szCs w:val="20"/>
        </w:rPr>
        <w:lastRenderedPageBreak/>
        <w:t xml:space="preserve">criminal offending/misbehaviour were addressed by minimising, as far as possible, stigma to and traumatisation – or re-traumatisation – of </w:t>
      </w:r>
      <w:r w:rsidR="00267BC6">
        <w:rPr>
          <w:rFonts w:ascii="Arial" w:hAnsi="Arial" w:cs="Arial"/>
          <w:sz w:val="20"/>
          <w:szCs w:val="20"/>
        </w:rPr>
        <w:t>children</w:t>
      </w:r>
      <w:r w:rsidR="00603010" w:rsidRPr="00603010">
        <w:rPr>
          <w:rFonts w:ascii="Arial" w:hAnsi="Arial" w:cs="Arial"/>
          <w:sz w:val="20"/>
          <w:szCs w:val="20"/>
        </w:rPr>
        <w:t>, having regard to their neurological development.</w:t>
      </w:r>
    </w:p>
    <w:p w14:paraId="393B5CEF" w14:textId="294924A7" w:rsidR="009735DC" w:rsidRPr="009735DC" w:rsidRDefault="004336F6" w:rsidP="00200D50">
      <w:pPr>
        <w:spacing w:before="120"/>
        <w:ind w:left="454" w:hanging="454"/>
        <w:jc w:val="both"/>
        <w:rPr>
          <w:rFonts w:ascii="Arial" w:hAnsi="Arial" w:cs="Arial"/>
          <w:color w:val="000000"/>
          <w:sz w:val="20"/>
        </w:rPr>
      </w:pPr>
      <w:r>
        <w:rPr>
          <w:rFonts w:ascii="Arial" w:hAnsi="Arial" w:cs="Arial"/>
          <w:sz w:val="20"/>
          <w:szCs w:val="20"/>
        </w:rPr>
        <w:t>(13)</w:t>
      </w:r>
      <w:r>
        <w:rPr>
          <w:rFonts w:ascii="Arial" w:hAnsi="Arial" w:cs="Arial"/>
          <w:sz w:val="20"/>
          <w:szCs w:val="20"/>
        </w:rPr>
        <w:tab/>
        <w:t xml:space="preserve">In </w:t>
      </w:r>
      <w:r w:rsidRPr="009735DC">
        <w:rPr>
          <w:rFonts w:ascii="Arial" w:hAnsi="Arial" w:cs="Arial"/>
          <w:i/>
          <w:iCs/>
          <w:color w:val="000000"/>
          <w:sz w:val="20"/>
        </w:rPr>
        <w:t>Decision-Making, Emotion and Behaviour Regulation 18-25 Year-Olds</w:t>
      </w:r>
      <w:r>
        <w:rPr>
          <w:rFonts w:ascii="Arial" w:hAnsi="Arial" w:cs="Arial"/>
          <w:i/>
          <w:iCs/>
          <w:color w:val="000000"/>
          <w:sz w:val="20"/>
        </w:rPr>
        <w:t xml:space="preserve"> </w:t>
      </w:r>
      <w:r w:rsidRPr="009735DC">
        <w:rPr>
          <w:rFonts w:ascii="Arial" w:hAnsi="Arial" w:cs="Arial"/>
          <w:i/>
          <w:iCs/>
          <w:color w:val="000000"/>
          <w:sz w:val="20"/>
        </w:rPr>
        <w:t>A Neurodevelopmental Perspective</w:t>
      </w:r>
      <w:r>
        <w:rPr>
          <w:rFonts w:ascii="Arial" w:hAnsi="Arial" w:cs="Arial"/>
          <w:i/>
          <w:iCs/>
          <w:color w:val="000000"/>
          <w:sz w:val="20"/>
        </w:rPr>
        <w:t xml:space="preserve"> </w:t>
      </w:r>
      <w:r w:rsidRPr="009735DC">
        <w:rPr>
          <w:rFonts w:ascii="Arial" w:hAnsi="Arial" w:cs="Arial"/>
          <w:i/>
          <w:iCs/>
          <w:color w:val="000000"/>
          <w:sz w:val="20"/>
        </w:rPr>
        <w:t>(2025)</w:t>
      </w:r>
      <w:r>
        <w:rPr>
          <w:rFonts w:ascii="Arial" w:hAnsi="Arial" w:cs="Arial"/>
          <w:i/>
          <w:iCs/>
          <w:color w:val="000000"/>
          <w:sz w:val="20"/>
        </w:rPr>
        <w:t xml:space="preserve"> </w:t>
      </w:r>
      <w:r w:rsidRPr="004336F6">
        <w:rPr>
          <w:rFonts w:ascii="Arial" w:hAnsi="Arial" w:cs="Arial"/>
          <w:color w:val="000000"/>
          <w:sz w:val="20"/>
        </w:rPr>
        <w:t xml:space="preserve">the authors </w:t>
      </w:r>
      <w:r w:rsidRPr="009735DC">
        <w:rPr>
          <w:rFonts w:ascii="Arial" w:hAnsi="Arial" w:cs="Arial"/>
          <w:i/>
          <w:iCs/>
          <w:color w:val="000000"/>
          <w:sz w:val="20"/>
        </w:rPr>
        <w:t>Decision-Making, Emotion and Behaviour Regulation 18-25 Year-Olds</w:t>
      </w:r>
      <w:r w:rsidR="00200D50">
        <w:rPr>
          <w:rFonts w:ascii="Arial" w:hAnsi="Arial" w:cs="Arial"/>
          <w:i/>
          <w:iCs/>
          <w:color w:val="000000"/>
          <w:sz w:val="20"/>
        </w:rPr>
        <w:t xml:space="preserve"> </w:t>
      </w:r>
      <w:r w:rsidRPr="009735DC">
        <w:rPr>
          <w:rFonts w:ascii="Arial" w:hAnsi="Arial" w:cs="Arial"/>
          <w:i/>
          <w:iCs/>
          <w:color w:val="000000"/>
          <w:sz w:val="20"/>
        </w:rPr>
        <w:t>A Neurodevelopmental Perspective</w:t>
      </w:r>
      <w:r w:rsidR="00200D50">
        <w:rPr>
          <w:rFonts w:ascii="Arial" w:hAnsi="Arial" w:cs="Arial"/>
          <w:i/>
          <w:iCs/>
          <w:color w:val="000000"/>
          <w:sz w:val="20"/>
        </w:rPr>
        <w:t xml:space="preserve"> </w:t>
      </w:r>
      <w:r w:rsidRPr="009735DC">
        <w:rPr>
          <w:rFonts w:ascii="Arial" w:hAnsi="Arial" w:cs="Arial"/>
          <w:i/>
          <w:iCs/>
          <w:color w:val="000000"/>
          <w:sz w:val="20"/>
        </w:rPr>
        <w:t>(2025)</w:t>
      </w:r>
      <w:r w:rsidRPr="004336F6">
        <w:rPr>
          <w:rFonts w:ascii="Arial" w:hAnsi="Arial" w:cs="Arial"/>
          <w:color w:val="000000"/>
          <w:sz w:val="20"/>
        </w:rPr>
        <w:t xml:space="preserve"> the authors </w:t>
      </w:r>
      <w:r w:rsidR="009735DC" w:rsidRPr="009735DC">
        <w:rPr>
          <w:rFonts w:ascii="Arial" w:hAnsi="Arial" w:cs="Arial"/>
          <w:color w:val="000000"/>
          <w:sz w:val="20"/>
        </w:rPr>
        <w:t>Ms Jody Kamminga, Dr Travis Wearne, Dr Liz Vuletich, Dr Santuri Rungan, Dr Jenny Sohn, Dr Tamara Morris, Dr Amelia Lewis, Associate Professor Fiona Kumfor, Dr Warrick Brewer AM and Associate Professor Paul Gray</w:t>
      </w:r>
      <w:r>
        <w:rPr>
          <w:rFonts w:ascii="Arial" w:hAnsi="Arial" w:cs="Arial"/>
          <w:color w:val="000000"/>
          <w:sz w:val="20"/>
        </w:rPr>
        <w:t xml:space="preserve"> provide </w:t>
      </w:r>
      <w:r w:rsidR="009735DC" w:rsidRPr="009735DC">
        <w:rPr>
          <w:rFonts w:ascii="Arial" w:hAnsi="Arial" w:cs="Arial"/>
          <w:color w:val="000000"/>
          <w:sz w:val="20"/>
        </w:rPr>
        <w:t>a neurodevelopmental overview of the ages 18 to 25 years, a period referred to as ‘young adulthood’. This period has unique psychosocial considerations that are distinct from the teenage and adult years. This period also has unique physical and biological considerations: although legally recognised as an adult, the young adult brain has not yet reached full maturation.</w:t>
      </w:r>
    </w:p>
    <w:p w14:paraId="1A2A39DB" w14:textId="2B49BA3D" w:rsidR="009735DC" w:rsidRPr="009735DC" w:rsidRDefault="009735DC" w:rsidP="00200D50">
      <w:pPr>
        <w:spacing w:before="80"/>
        <w:ind w:left="454"/>
        <w:jc w:val="both"/>
        <w:rPr>
          <w:rFonts w:ascii="Arial" w:hAnsi="Arial" w:cs="Arial"/>
          <w:color w:val="000000"/>
          <w:sz w:val="20"/>
        </w:rPr>
      </w:pPr>
      <w:r w:rsidRPr="009735DC">
        <w:rPr>
          <w:rFonts w:ascii="Arial" w:hAnsi="Arial" w:cs="Arial"/>
          <w:color w:val="000000"/>
          <w:sz w:val="20"/>
        </w:rPr>
        <w:t xml:space="preserve">By taking a neurodevelopmental perspective, the </w:t>
      </w:r>
      <w:r w:rsidR="00200D50">
        <w:rPr>
          <w:rFonts w:ascii="Arial" w:hAnsi="Arial" w:cs="Arial"/>
          <w:color w:val="000000"/>
          <w:sz w:val="20"/>
        </w:rPr>
        <w:t>study</w:t>
      </w:r>
      <w:r w:rsidRPr="009735DC">
        <w:rPr>
          <w:rFonts w:ascii="Arial" w:hAnsi="Arial" w:cs="Arial"/>
          <w:color w:val="000000"/>
          <w:sz w:val="20"/>
        </w:rPr>
        <w:t xml:space="preserve"> highlights the importance of sustained effort to provide a safe, relational and enriching environment into young adulthood, particularly in the context of the adverse childhood experiences and cumulative disadvantage that shape brain development and function. The authors emphasise the importance of nurturing </w:t>
      </w:r>
      <w:r w:rsidR="00200D50" w:rsidRPr="009735DC">
        <w:rPr>
          <w:rFonts w:ascii="Arial" w:hAnsi="Arial" w:cs="Arial"/>
          <w:color w:val="000000"/>
          <w:sz w:val="20"/>
        </w:rPr>
        <w:t>care and</w:t>
      </w:r>
      <w:r w:rsidRPr="009735DC">
        <w:rPr>
          <w:rFonts w:ascii="Arial" w:hAnsi="Arial" w:cs="Arial"/>
          <w:color w:val="000000"/>
          <w:sz w:val="20"/>
        </w:rPr>
        <w:t xml:space="preserve"> highlight the negative impacts of physical containment and control as it relates to incarceration.</w:t>
      </w:r>
      <w:r w:rsidR="00200D50">
        <w:rPr>
          <w:rFonts w:ascii="Arial" w:hAnsi="Arial" w:cs="Arial"/>
          <w:color w:val="000000"/>
          <w:sz w:val="20"/>
        </w:rPr>
        <w:t xml:space="preserve"> </w:t>
      </w:r>
      <w:r w:rsidRPr="009735DC">
        <w:rPr>
          <w:rFonts w:ascii="Arial" w:hAnsi="Arial" w:cs="Arial"/>
          <w:color w:val="000000"/>
          <w:sz w:val="20"/>
        </w:rPr>
        <w:t>This perspective is relevant to all young adults, but the authors particularly note the unique social, cultural, political and historical context of Aboriginal and Torres Strait Islander peoples, and the ongoing impacts of colonisation, including over-representation in justice systems.</w:t>
      </w:r>
    </w:p>
    <w:p w14:paraId="1C6E68FA" w14:textId="77777777" w:rsidR="009735DC" w:rsidRPr="00D81EFC" w:rsidRDefault="009735DC" w:rsidP="00003338">
      <w:pPr>
        <w:rPr>
          <w:rFonts w:ascii="Arial" w:hAnsi="Arial" w:cs="Arial"/>
          <w:color w:val="000000"/>
          <w:sz w:val="20"/>
        </w:rPr>
      </w:pPr>
    </w:p>
    <w:p w14:paraId="17FC22CB" w14:textId="7F399D6E" w:rsidR="00B22584" w:rsidRDefault="00F26F9A">
      <w:pPr>
        <w:jc w:val="center"/>
        <w:rPr>
          <w:rFonts w:ascii="Arial" w:hAnsi="Arial" w:cs="Arial"/>
        </w:rPr>
      </w:pPr>
      <w:bookmarkStart w:id="513" w:name="_7.13_Papers_on"/>
      <w:bookmarkStart w:id="514" w:name="_7.14_Papers_on"/>
      <w:bookmarkEnd w:id="503"/>
      <w:bookmarkEnd w:id="513"/>
      <w:bookmarkEnd w:id="514"/>
      <w:r>
        <w:rPr>
          <w:rFonts w:ascii="Arial" w:hAnsi="Arial" w:cs="Arial"/>
          <w:noProof/>
        </w:rPr>
        <w:drawing>
          <wp:inline distT="0" distB="0" distL="0" distR="0" wp14:anchorId="6E7ECB5F" wp14:editId="4A858484">
            <wp:extent cx="1798955" cy="4191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798955" cy="419100"/>
                    </a:xfrm>
                    <a:prstGeom prst="rect">
                      <a:avLst/>
                    </a:prstGeom>
                    <a:noFill/>
                    <a:ln>
                      <a:noFill/>
                    </a:ln>
                  </pic:spPr>
                </pic:pic>
              </a:graphicData>
            </a:graphic>
          </wp:inline>
        </w:drawing>
      </w:r>
    </w:p>
    <w:sectPr w:rsidR="00B22584" w:rsidSect="006D2E2D">
      <w:footerReference w:type="default" r:id="rId44"/>
      <w:pgSz w:w="11906" w:h="16838"/>
      <w:pgMar w:top="1021" w:right="1418" w:bottom="1021" w:left="1418"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98" w:author="Peter Power (CSV)" w:date="2026-08-21T13:44:00Z" w:initials="PP">
    <w:p w14:paraId="15AE235E" w14:textId="548F9993" w:rsidR="00965E27" w:rsidRDefault="00965E27">
      <w:pPr>
        <w:pStyle w:val="CommentText"/>
      </w:pPr>
      <w:r>
        <w:rPr>
          <w:rStyle w:val="CommentReference"/>
        </w:rPr>
        <w:annotationRef/>
      </w:r>
    </w:p>
  </w:comment>
  <w:comment w:id="99" w:author="Peter Power (CSV)" w:date="2026-08-21T13:44:00Z" w:initials="PP">
    <w:p w14:paraId="679C123F" w14:textId="6974D732" w:rsidR="00965E27" w:rsidRDefault="00965E27">
      <w:pPr>
        <w:pStyle w:val="CommentText"/>
      </w:pPr>
      <w:r>
        <w:rPr>
          <w:rStyle w:val="CommentReference"/>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AE235E" w15:done="1"/>
  <w15:commentEx w15:paraId="679C123F" w15:paraIdParent="15AE235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A90C2A" w16cex:dateUtc="2026-08-21T03:44:00Z"/>
  <w16cex:commentExtensible w16cex:durableId="0D0992B3" w16cex:dateUtc="2026-08-21T03: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AE235E" w16cid:durableId="78A90C2A"/>
  <w16cid:commentId w16cid:paraId="679C123F" w16cid:durableId="0D0992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7452C" w14:textId="77777777" w:rsidR="005D38FF" w:rsidRDefault="005D38FF">
      <w:r>
        <w:separator/>
      </w:r>
    </w:p>
  </w:endnote>
  <w:endnote w:type="continuationSeparator" w:id="0">
    <w:p w14:paraId="501ED5E4" w14:textId="77777777" w:rsidR="005D38FF" w:rsidRDefault="005D3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Helv">
    <w:altName w:val="Arial"/>
    <w:panose1 w:val="020B060402020203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E9950" w14:textId="77777777" w:rsidR="006B1DE9" w:rsidRDefault="006B1DE9">
    <w:pPr>
      <w:pStyle w:val="Footer"/>
      <w:pBdr>
        <w:top w:val="single" w:sz="4" w:space="1" w:color="auto"/>
      </w:pBdr>
      <w:rPr>
        <w:rStyle w:val="PageNumber"/>
        <w:rFonts w:ascii="Arial" w:hAnsi="Arial" w:cs="Arial"/>
        <w:b/>
        <w:bCs/>
        <w:sz w:val="16"/>
      </w:rPr>
    </w:pPr>
    <w:r>
      <w:rPr>
        <w:rStyle w:val="PageNumber"/>
        <w:rFonts w:ascii="Arial" w:hAnsi="Arial" w:cs="Arial"/>
        <w:b/>
        <w:bCs/>
        <w:sz w:val="16"/>
      </w:rPr>
      <w:t>Produced by former Magistrate Peter Power for the Children's Court of Victoria</w:t>
    </w:r>
  </w:p>
  <w:p w14:paraId="3D4C5653" w14:textId="37369B28" w:rsidR="006B1DE9" w:rsidRPr="00D81EFC" w:rsidRDefault="006B1DE9">
    <w:pPr>
      <w:pStyle w:val="Footer"/>
      <w:rPr>
        <w:color w:val="000000"/>
      </w:rPr>
    </w:pPr>
    <w:r w:rsidRPr="00D81EFC">
      <w:rPr>
        <w:rStyle w:val="PageNumber"/>
        <w:rFonts w:ascii="Arial" w:hAnsi="Arial" w:cs="Arial"/>
        <w:b/>
        <w:bCs/>
        <w:color w:val="000000"/>
        <w:sz w:val="16"/>
      </w:rPr>
      <w:t xml:space="preserve">Last updated </w:t>
    </w:r>
    <w:r w:rsidR="009E25FC">
      <w:rPr>
        <w:rStyle w:val="PageNumber"/>
        <w:rFonts w:ascii="Arial" w:hAnsi="Arial" w:cs="Arial"/>
        <w:b/>
        <w:bCs/>
        <w:color w:val="000000"/>
        <w:sz w:val="16"/>
      </w:rPr>
      <w:t>30</w:t>
    </w:r>
    <w:r w:rsidR="008931D4">
      <w:rPr>
        <w:rStyle w:val="PageNumber"/>
        <w:rFonts w:ascii="Arial" w:hAnsi="Arial" w:cs="Arial"/>
        <w:b/>
        <w:bCs/>
        <w:color w:val="000000"/>
        <w:sz w:val="16"/>
      </w:rPr>
      <w:t xml:space="preserve"> September</w:t>
    </w:r>
    <w:r w:rsidR="00B54471">
      <w:rPr>
        <w:rStyle w:val="PageNumber"/>
        <w:rFonts w:ascii="Arial" w:hAnsi="Arial" w:cs="Arial"/>
        <w:b/>
        <w:bCs/>
        <w:color w:val="000000"/>
        <w:sz w:val="16"/>
      </w:rPr>
      <w:t xml:space="preserve"> 2026</w:t>
    </w:r>
    <w:r w:rsidRPr="00D81EFC">
      <w:rPr>
        <w:rStyle w:val="PageNumber"/>
        <w:rFonts w:ascii="Arial" w:hAnsi="Arial" w:cs="Arial"/>
        <w:b/>
        <w:bCs/>
        <w:color w:val="000000"/>
        <w:sz w:val="18"/>
      </w:rPr>
      <w:tab/>
    </w:r>
    <w:r w:rsidRPr="00D81EFC">
      <w:rPr>
        <w:rStyle w:val="PageNumber"/>
        <w:rFonts w:ascii="Arial" w:hAnsi="Arial" w:cs="Arial"/>
        <w:b/>
        <w:bCs/>
        <w:color w:val="000000"/>
      </w:rPr>
      <w:tab/>
    </w:r>
    <w:r w:rsidRPr="00D81EFC">
      <w:rPr>
        <w:rStyle w:val="PageNumber"/>
        <w:rFonts w:ascii="Arial" w:hAnsi="Arial" w:cs="Arial"/>
        <w:b/>
        <w:bCs/>
        <w:color w:val="000000"/>
        <w:sz w:val="16"/>
      </w:rPr>
      <w:t>7.</w:t>
    </w:r>
    <w:r w:rsidRPr="00D81EFC">
      <w:rPr>
        <w:rStyle w:val="PageNumber"/>
        <w:rFonts w:ascii="Arial" w:hAnsi="Arial" w:cs="Arial"/>
        <w:b/>
        <w:bCs/>
        <w:color w:val="000000"/>
        <w:sz w:val="16"/>
      </w:rPr>
      <w:fldChar w:fldCharType="begin"/>
    </w:r>
    <w:r w:rsidRPr="00D81EFC">
      <w:rPr>
        <w:rStyle w:val="PageNumber"/>
        <w:rFonts w:ascii="Arial" w:hAnsi="Arial" w:cs="Arial"/>
        <w:b/>
        <w:bCs/>
        <w:color w:val="000000"/>
        <w:sz w:val="16"/>
      </w:rPr>
      <w:instrText xml:space="preserve"> PAGE </w:instrText>
    </w:r>
    <w:r w:rsidRPr="00D81EFC">
      <w:rPr>
        <w:rStyle w:val="PageNumber"/>
        <w:rFonts w:ascii="Arial" w:hAnsi="Arial" w:cs="Arial"/>
        <w:b/>
        <w:bCs/>
        <w:color w:val="000000"/>
        <w:sz w:val="16"/>
      </w:rPr>
      <w:fldChar w:fldCharType="separate"/>
    </w:r>
    <w:r>
      <w:rPr>
        <w:rStyle w:val="PageNumber"/>
        <w:rFonts w:ascii="Arial" w:hAnsi="Arial" w:cs="Arial"/>
        <w:b/>
        <w:bCs/>
        <w:noProof/>
        <w:color w:val="000000"/>
        <w:sz w:val="16"/>
      </w:rPr>
      <w:t>1</w:t>
    </w:r>
    <w:r w:rsidRPr="00D81EFC">
      <w:rPr>
        <w:rStyle w:val="PageNumber"/>
        <w:rFonts w:ascii="Arial" w:hAnsi="Arial" w:cs="Arial"/>
        <w:b/>
        <w:bCs/>
        <w:color w:val="000000"/>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62F0D" w14:textId="77777777" w:rsidR="005D38FF" w:rsidRDefault="005D38FF">
      <w:r>
        <w:separator/>
      </w:r>
    </w:p>
  </w:footnote>
  <w:footnote w:type="continuationSeparator" w:id="0">
    <w:p w14:paraId="4DFF217C" w14:textId="77777777" w:rsidR="005D38FF" w:rsidRDefault="005D38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0F8C708"/>
    <w:lvl w:ilvl="0">
      <w:start w:val="1"/>
      <w:numFmt w:val="decimal"/>
      <w:pStyle w:val="ListNumber5"/>
      <w:lvlText w:val="%1."/>
      <w:lvlJc w:val="left"/>
      <w:pPr>
        <w:tabs>
          <w:tab w:val="num" w:pos="1492"/>
        </w:tabs>
        <w:ind w:left="1492" w:hanging="360"/>
      </w:pPr>
    </w:lvl>
  </w:abstractNum>
  <w:abstractNum w:abstractNumId="1" w15:restartNumberingAfterBreak="0">
    <w:nsid w:val="014724FE"/>
    <w:multiLevelType w:val="hybridMultilevel"/>
    <w:tmpl w:val="12464416"/>
    <w:lvl w:ilvl="0" w:tplc="752215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1764C0D"/>
    <w:multiLevelType w:val="hybridMultilevel"/>
    <w:tmpl w:val="98D6CB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1972D68"/>
    <w:multiLevelType w:val="hybridMultilevel"/>
    <w:tmpl w:val="0C2AF0E2"/>
    <w:lvl w:ilvl="0" w:tplc="B0A2ACE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1E021CC"/>
    <w:multiLevelType w:val="hybridMultilevel"/>
    <w:tmpl w:val="578E3634"/>
    <w:lvl w:ilvl="0" w:tplc="19CC15C4">
      <w:start w:val="1"/>
      <w:numFmt w:val="lowerLetter"/>
      <w:lvlText w:val="(%1)"/>
      <w:lvlJc w:val="left"/>
      <w:pPr>
        <w:ind w:left="720" w:hanging="360"/>
      </w:pPr>
      <w:rPr>
        <w:rFonts w:hint="default"/>
        <w:color w:val="auto"/>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2AC271B"/>
    <w:multiLevelType w:val="hybridMultilevel"/>
    <w:tmpl w:val="E44E1B3C"/>
    <w:lvl w:ilvl="0" w:tplc="6ED2C8A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3A91546"/>
    <w:multiLevelType w:val="hybridMultilevel"/>
    <w:tmpl w:val="A4502890"/>
    <w:lvl w:ilvl="0" w:tplc="0E9AA36E">
      <w:start w:val="1"/>
      <w:numFmt w:val="bullet"/>
      <w:lvlText w:val=""/>
      <w:lvlJc w:val="left"/>
      <w:pPr>
        <w:ind w:left="834" w:hanging="360"/>
      </w:pPr>
      <w:rPr>
        <w:rFonts w:ascii="Wingdings" w:hAnsi="Wingdings" w:hint="default"/>
        <w:sz w:val="20"/>
      </w:rPr>
    </w:lvl>
    <w:lvl w:ilvl="1" w:tplc="0C090003" w:tentative="1">
      <w:start w:val="1"/>
      <w:numFmt w:val="bullet"/>
      <w:lvlText w:val="o"/>
      <w:lvlJc w:val="left"/>
      <w:pPr>
        <w:ind w:left="1554" w:hanging="360"/>
      </w:pPr>
      <w:rPr>
        <w:rFonts w:ascii="Courier New" w:hAnsi="Courier New" w:cs="Courier New" w:hint="default"/>
      </w:rPr>
    </w:lvl>
    <w:lvl w:ilvl="2" w:tplc="0C090005" w:tentative="1">
      <w:start w:val="1"/>
      <w:numFmt w:val="bullet"/>
      <w:lvlText w:val=""/>
      <w:lvlJc w:val="left"/>
      <w:pPr>
        <w:ind w:left="2274" w:hanging="360"/>
      </w:pPr>
      <w:rPr>
        <w:rFonts w:ascii="Wingdings" w:hAnsi="Wingdings" w:hint="default"/>
      </w:rPr>
    </w:lvl>
    <w:lvl w:ilvl="3" w:tplc="0C090001" w:tentative="1">
      <w:start w:val="1"/>
      <w:numFmt w:val="bullet"/>
      <w:lvlText w:val=""/>
      <w:lvlJc w:val="left"/>
      <w:pPr>
        <w:ind w:left="2994" w:hanging="360"/>
      </w:pPr>
      <w:rPr>
        <w:rFonts w:ascii="Symbol" w:hAnsi="Symbol" w:hint="default"/>
      </w:rPr>
    </w:lvl>
    <w:lvl w:ilvl="4" w:tplc="0C090003" w:tentative="1">
      <w:start w:val="1"/>
      <w:numFmt w:val="bullet"/>
      <w:lvlText w:val="o"/>
      <w:lvlJc w:val="left"/>
      <w:pPr>
        <w:ind w:left="3714" w:hanging="360"/>
      </w:pPr>
      <w:rPr>
        <w:rFonts w:ascii="Courier New" w:hAnsi="Courier New" w:cs="Courier New" w:hint="default"/>
      </w:rPr>
    </w:lvl>
    <w:lvl w:ilvl="5" w:tplc="0C090005" w:tentative="1">
      <w:start w:val="1"/>
      <w:numFmt w:val="bullet"/>
      <w:lvlText w:val=""/>
      <w:lvlJc w:val="left"/>
      <w:pPr>
        <w:ind w:left="4434" w:hanging="360"/>
      </w:pPr>
      <w:rPr>
        <w:rFonts w:ascii="Wingdings" w:hAnsi="Wingdings" w:hint="default"/>
      </w:rPr>
    </w:lvl>
    <w:lvl w:ilvl="6" w:tplc="0C090001" w:tentative="1">
      <w:start w:val="1"/>
      <w:numFmt w:val="bullet"/>
      <w:lvlText w:val=""/>
      <w:lvlJc w:val="left"/>
      <w:pPr>
        <w:ind w:left="5154" w:hanging="360"/>
      </w:pPr>
      <w:rPr>
        <w:rFonts w:ascii="Symbol" w:hAnsi="Symbol" w:hint="default"/>
      </w:rPr>
    </w:lvl>
    <w:lvl w:ilvl="7" w:tplc="0C090003" w:tentative="1">
      <w:start w:val="1"/>
      <w:numFmt w:val="bullet"/>
      <w:lvlText w:val="o"/>
      <w:lvlJc w:val="left"/>
      <w:pPr>
        <w:ind w:left="5874" w:hanging="360"/>
      </w:pPr>
      <w:rPr>
        <w:rFonts w:ascii="Courier New" w:hAnsi="Courier New" w:cs="Courier New" w:hint="default"/>
      </w:rPr>
    </w:lvl>
    <w:lvl w:ilvl="8" w:tplc="0C090005" w:tentative="1">
      <w:start w:val="1"/>
      <w:numFmt w:val="bullet"/>
      <w:lvlText w:val=""/>
      <w:lvlJc w:val="left"/>
      <w:pPr>
        <w:ind w:left="6594" w:hanging="360"/>
      </w:pPr>
      <w:rPr>
        <w:rFonts w:ascii="Wingdings" w:hAnsi="Wingdings" w:hint="default"/>
      </w:rPr>
    </w:lvl>
  </w:abstractNum>
  <w:abstractNum w:abstractNumId="7" w15:restartNumberingAfterBreak="0">
    <w:nsid w:val="04EF7233"/>
    <w:multiLevelType w:val="hybridMultilevel"/>
    <w:tmpl w:val="2A92A7E6"/>
    <w:lvl w:ilvl="0" w:tplc="9660874C">
      <w:start w:val="1"/>
      <w:numFmt w:val="lowerRoman"/>
      <w:lvlText w:val="(%1)"/>
      <w:lvlJc w:val="left"/>
      <w:pPr>
        <w:ind w:left="1077" w:hanging="360"/>
      </w:pPr>
      <w:rPr>
        <w:rFonts w:ascii="Arial" w:hAnsi="Arial" w:hint="default"/>
        <w:b w:val="0"/>
        <w:i w:val="0"/>
        <w:sz w:val="20"/>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8" w15:restartNumberingAfterBreak="0">
    <w:nsid w:val="06AE6D99"/>
    <w:multiLevelType w:val="hybridMultilevel"/>
    <w:tmpl w:val="B3484A70"/>
    <w:lvl w:ilvl="0" w:tplc="39746312">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AC0A9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014210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E480F8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D6894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E6E69DF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D964CC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37ACC6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22E8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06D247BF"/>
    <w:multiLevelType w:val="hybridMultilevel"/>
    <w:tmpl w:val="42B23ABA"/>
    <w:lvl w:ilvl="0" w:tplc="0A5CC88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95D5B1C"/>
    <w:multiLevelType w:val="hybridMultilevel"/>
    <w:tmpl w:val="0944CE1C"/>
    <w:lvl w:ilvl="0" w:tplc="7E5E67D0">
      <w:start w:val="7"/>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0B19719B"/>
    <w:multiLevelType w:val="hybridMultilevel"/>
    <w:tmpl w:val="4DD8DD8A"/>
    <w:lvl w:ilvl="0" w:tplc="1B285482">
      <w:start w:val="1"/>
      <w:numFmt w:val="bullet"/>
      <w:lvlText w:val=""/>
      <w:lvlJc w:val="left"/>
      <w:pPr>
        <w:ind w:left="1854" w:hanging="360"/>
      </w:pPr>
      <w:rPr>
        <w:rFonts w:ascii="Symbol" w:hAnsi="Symbol" w:hint="default"/>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2" w15:restartNumberingAfterBreak="0">
    <w:nsid w:val="0B225490"/>
    <w:multiLevelType w:val="multilevel"/>
    <w:tmpl w:val="A4107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D468C3"/>
    <w:multiLevelType w:val="hybridMultilevel"/>
    <w:tmpl w:val="5044AFF0"/>
    <w:lvl w:ilvl="0" w:tplc="221261A0">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0D941239"/>
    <w:multiLevelType w:val="hybridMultilevel"/>
    <w:tmpl w:val="7296658C"/>
    <w:lvl w:ilvl="0" w:tplc="41D611C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0E3F274E"/>
    <w:multiLevelType w:val="hybridMultilevel"/>
    <w:tmpl w:val="E3EC93A6"/>
    <w:lvl w:ilvl="0" w:tplc="ED3CD6F4">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0E6B4E16"/>
    <w:multiLevelType w:val="hybridMultilevel"/>
    <w:tmpl w:val="C6DA161E"/>
    <w:lvl w:ilvl="0" w:tplc="792E489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F4E442A"/>
    <w:multiLevelType w:val="hybridMultilevel"/>
    <w:tmpl w:val="A7D89410"/>
    <w:lvl w:ilvl="0" w:tplc="E310629E">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8" w15:restartNumberingAfterBreak="0">
    <w:nsid w:val="0F6D6A8C"/>
    <w:multiLevelType w:val="hybridMultilevel"/>
    <w:tmpl w:val="9EE43A80"/>
    <w:lvl w:ilvl="0" w:tplc="5B6236A8">
      <w:start w:val="1"/>
      <w:numFmt w:val="bullet"/>
      <w:lvlText w:val=""/>
      <w:lvlJc w:val="left"/>
      <w:pPr>
        <w:ind w:left="720" w:hanging="360"/>
      </w:pPr>
      <w:rPr>
        <w:rFonts w:ascii="Symbol" w:hAnsi="Symbol" w:hint="default"/>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FBA008C"/>
    <w:multiLevelType w:val="multilevel"/>
    <w:tmpl w:val="DAE28968"/>
    <w:lvl w:ilvl="0">
      <w:start w:val="1"/>
      <w:numFmt w:val="bullet"/>
      <w:lvlText w:val=""/>
      <w:lvlJc w:val="left"/>
      <w:pPr>
        <w:tabs>
          <w:tab w:val="num" w:pos="720"/>
        </w:tabs>
        <w:ind w:left="720" w:hanging="360"/>
      </w:pPr>
      <w:rPr>
        <w:rFonts w:ascii="Symbol" w:hAnsi="Symbol" w:hint="default"/>
        <w:b w:val="0"/>
        <w:i w:val="0"/>
        <w:strike w:val="0"/>
        <w:dstrike w:val="0"/>
        <w:color w:val="000000"/>
        <w:sz w:val="18"/>
        <w:szCs w:val="24"/>
        <w:u w:val="none" w:color="000000"/>
        <w:vertAlign w:val="baseline"/>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0605A89"/>
    <w:multiLevelType w:val="hybridMultilevel"/>
    <w:tmpl w:val="A9943D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127C4F6E"/>
    <w:multiLevelType w:val="multilevel"/>
    <w:tmpl w:val="F604B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36C4EC4"/>
    <w:multiLevelType w:val="hybridMultilevel"/>
    <w:tmpl w:val="0DAA8B0C"/>
    <w:lvl w:ilvl="0" w:tplc="C284E54A">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141D3F4B"/>
    <w:multiLevelType w:val="hybridMultilevel"/>
    <w:tmpl w:val="0C461CDA"/>
    <w:lvl w:ilvl="0" w:tplc="7B3E92B8">
      <w:start w:val="1"/>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14292CB7"/>
    <w:multiLevelType w:val="hybridMultilevel"/>
    <w:tmpl w:val="FB8CCC0A"/>
    <w:lvl w:ilvl="0" w:tplc="7E5E67D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161E3F36"/>
    <w:multiLevelType w:val="hybridMultilevel"/>
    <w:tmpl w:val="8BDC0A0C"/>
    <w:lvl w:ilvl="0" w:tplc="39BAE322">
      <w:start w:val="1"/>
      <w:numFmt w:val="lowerLetter"/>
      <w:lvlText w:val="(%1)"/>
      <w:lvlJc w:val="left"/>
      <w:pPr>
        <w:ind w:left="343" w:hanging="283"/>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16375FB4"/>
    <w:multiLevelType w:val="hybridMultilevel"/>
    <w:tmpl w:val="7D406778"/>
    <w:lvl w:ilvl="0" w:tplc="0E645FF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16E17654"/>
    <w:multiLevelType w:val="hybridMultilevel"/>
    <w:tmpl w:val="AE1E2AC6"/>
    <w:lvl w:ilvl="0" w:tplc="6414B848">
      <w:start w:val="1"/>
      <w:numFmt w:val="lowerLetter"/>
      <w:lvlText w:val="(%1)"/>
      <w:lvlJc w:val="left"/>
      <w:pPr>
        <w:ind w:left="234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18C27074"/>
    <w:multiLevelType w:val="hybridMultilevel"/>
    <w:tmpl w:val="21BCA498"/>
    <w:lvl w:ilvl="0" w:tplc="9934DD5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18C91E18"/>
    <w:multiLevelType w:val="hybridMultilevel"/>
    <w:tmpl w:val="78FCE4C2"/>
    <w:lvl w:ilvl="0" w:tplc="AD0AD85E">
      <w:start w:val="1"/>
      <w:numFmt w:val="bullet"/>
      <w:lvlText w:val=""/>
      <w:lvlJc w:val="left"/>
      <w:pPr>
        <w:ind w:left="1287" w:hanging="360"/>
      </w:pPr>
      <w:rPr>
        <w:rFonts w:ascii="Symbol" w:hAnsi="Symbol" w:hint="default"/>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193959A1"/>
    <w:multiLevelType w:val="hybridMultilevel"/>
    <w:tmpl w:val="79C84FF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194B0633"/>
    <w:multiLevelType w:val="hybridMultilevel"/>
    <w:tmpl w:val="11D217D8"/>
    <w:lvl w:ilvl="0" w:tplc="4FE0C55A">
      <w:start w:val="2"/>
      <w:numFmt w:val="bullet"/>
      <w:lvlText w:val=""/>
      <w:lvlJc w:val="left"/>
      <w:pPr>
        <w:tabs>
          <w:tab w:val="num" w:pos="723"/>
        </w:tabs>
        <w:ind w:left="723" w:hanging="363"/>
      </w:pPr>
      <w:rPr>
        <w:rFonts w:ascii="Wingdings 2" w:hAnsi="Wingdings 2"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2" w15:restartNumberingAfterBreak="0">
    <w:nsid w:val="1A183C98"/>
    <w:multiLevelType w:val="hybridMultilevel"/>
    <w:tmpl w:val="D0CA7C80"/>
    <w:lvl w:ilvl="0" w:tplc="4926983C">
      <w:start w:val="1"/>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1BA66E68"/>
    <w:multiLevelType w:val="hybridMultilevel"/>
    <w:tmpl w:val="D25E091E"/>
    <w:lvl w:ilvl="0" w:tplc="FFFFFFFF">
      <w:start w:val="1"/>
      <w:numFmt w:val="lowerRoman"/>
      <w:lvlText w:val="(%1)"/>
      <w:lvlJc w:val="left"/>
      <w:pPr>
        <w:ind w:left="4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1BB21FC9"/>
    <w:multiLevelType w:val="hybridMultilevel"/>
    <w:tmpl w:val="803AA230"/>
    <w:lvl w:ilvl="0" w:tplc="C284E54A">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5" w15:restartNumberingAfterBreak="0">
    <w:nsid w:val="1CCF76DF"/>
    <w:multiLevelType w:val="hybridMultilevel"/>
    <w:tmpl w:val="8DDCCF74"/>
    <w:lvl w:ilvl="0" w:tplc="AC6E8722">
      <w:start w:val="1"/>
      <w:numFmt w:val="lowerLetter"/>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1CEF3DD1"/>
    <w:multiLevelType w:val="hybridMultilevel"/>
    <w:tmpl w:val="8BC2138A"/>
    <w:lvl w:ilvl="0" w:tplc="4F5627B8">
      <w:start w:val="2"/>
      <w:numFmt w:val="bullet"/>
      <w:lvlText w:val=""/>
      <w:lvlJc w:val="left"/>
      <w:pPr>
        <w:tabs>
          <w:tab w:val="num" w:pos="357"/>
        </w:tabs>
        <w:ind w:left="0" w:firstLine="0"/>
      </w:pPr>
      <w:rPr>
        <w:rFonts w:ascii="Wingdings 2" w:hAnsi="Wingdings 2" w:hint="default"/>
        <w:sz w:val="20"/>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D2E1AD5"/>
    <w:multiLevelType w:val="hybridMultilevel"/>
    <w:tmpl w:val="3D38EED8"/>
    <w:lvl w:ilvl="0" w:tplc="7AD80E1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15:restartNumberingAfterBreak="0">
    <w:nsid w:val="1D950A33"/>
    <w:multiLevelType w:val="hybridMultilevel"/>
    <w:tmpl w:val="C9B6D39A"/>
    <w:lvl w:ilvl="0" w:tplc="72A0EF6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15:restartNumberingAfterBreak="0">
    <w:nsid w:val="21932B8F"/>
    <w:multiLevelType w:val="hybridMultilevel"/>
    <w:tmpl w:val="30CED0B4"/>
    <w:lvl w:ilvl="0" w:tplc="4FE0C55A">
      <w:start w:val="2"/>
      <w:numFmt w:val="bullet"/>
      <w:lvlText w:val=""/>
      <w:lvlJc w:val="left"/>
      <w:pPr>
        <w:tabs>
          <w:tab w:val="num" w:pos="723"/>
        </w:tabs>
        <w:ind w:left="723" w:hanging="363"/>
      </w:pPr>
      <w:rPr>
        <w:rFonts w:ascii="Wingdings 2" w:hAnsi="Wingdings 2" w:hint="default"/>
        <w:sz w:val="20"/>
      </w:rPr>
    </w:lvl>
    <w:lvl w:ilvl="1" w:tplc="D76E3F84">
      <w:start w:val="1"/>
      <w:numFmt w:val="lowerLetter"/>
      <w:lvlText w:val="(%2)"/>
      <w:lvlJc w:val="left"/>
      <w:pPr>
        <w:tabs>
          <w:tab w:val="num" w:pos="1440"/>
        </w:tabs>
        <w:ind w:left="1440" w:hanging="360"/>
      </w:pPr>
      <w:rPr>
        <w:rFonts w:ascii="Arial" w:hAnsi="Arial" w:hint="default"/>
        <w:sz w:val="20"/>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0" w15:restartNumberingAfterBreak="0">
    <w:nsid w:val="22210C05"/>
    <w:multiLevelType w:val="hybridMultilevel"/>
    <w:tmpl w:val="B36E1D84"/>
    <w:lvl w:ilvl="0" w:tplc="15304AC6">
      <w:start w:val="1"/>
      <w:numFmt w:val="bullet"/>
      <w:lvlText w:val=""/>
      <w:lvlJc w:val="left"/>
      <w:pPr>
        <w:ind w:left="780"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41" w15:restartNumberingAfterBreak="0">
    <w:nsid w:val="22B6514C"/>
    <w:multiLevelType w:val="hybridMultilevel"/>
    <w:tmpl w:val="5D00500C"/>
    <w:lvl w:ilvl="0" w:tplc="72BABBEE">
      <w:start w:val="1"/>
      <w:numFmt w:val="bullet"/>
      <w:lvlText w:val=""/>
      <w:lvlJc w:val="left"/>
      <w:pPr>
        <w:ind w:left="720" w:hanging="360"/>
      </w:pPr>
      <w:rPr>
        <w:rFonts w:ascii="Wingdings" w:hAnsi="Wingdings"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23507C9E"/>
    <w:multiLevelType w:val="hybridMultilevel"/>
    <w:tmpl w:val="2F36AB48"/>
    <w:lvl w:ilvl="0" w:tplc="4FE0C55A">
      <w:start w:val="2"/>
      <w:numFmt w:val="bullet"/>
      <w:lvlText w:val=""/>
      <w:lvlJc w:val="left"/>
      <w:pPr>
        <w:tabs>
          <w:tab w:val="num" w:pos="723"/>
        </w:tabs>
        <w:ind w:left="723" w:hanging="363"/>
      </w:pPr>
      <w:rPr>
        <w:rFonts w:ascii="Wingdings 2" w:hAnsi="Wingdings 2" w:hint="default"/>
        <w:sz w:val="2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43" w15:restartNumberingAfterBreak="0">
    <w:nsid w:val="262F1452"/>
    <w:multiLevelType w:val="hybridMultilevel"/>
    <w:tmpl w:val="F62C89A2"/>
    <w:lvl w:ilvl="0" w:tplc="3D986040">
      <w:start w:val="1"/>
      <w:numFmt w:val="decimal"/>
      <w:lvlText w:val="%1."/>
      <w:lvlJc w:val="left"/>
      <w:pPr>
        <w:ind w:left="644" w:hanging="360"/>
      </w:pPr>
      <w:rPr>
        <w:rFonts w:ascii="Arial" w:hAnsi="Arial" w:hint="default"/>
        <w:b w:val="0"/>
        <w:i w:val="0"/>
        <w:sz w:val="20"/>
        <w:szCs w:val="22"/>
      </w:rPr>
    </w:lvl>
    <w:lvl w:ilvl="1" w:tplc="0C090019">
      <w:start w:val="1"/>
      <w:numFmt w:val="lowerLetter"/>
      <w:lvlText w:val="%2."/>
      <w:lvlJc w:val="left"/>
      <w:pPr>
        <w:ind w:left="1440" w:hanging="360"/>
      </w:pPr>
      <w:rPr>
        <w:rFonts w:hint="default"/>
        <w:b w:val="0"/>
        <w:sz w:val="22"/>
      </w:rPr>
    </w:lvl>
    <w:lvl w:ilvl="2" w:tplc="FC7CDA8A">
      <w:start w:val="1"/>
      <w:numFmt w:val="lowerRoman"/>
      <w:lvlText w:val="%3."/>
      <w:lvlJc w:val="right"/>
      <w:pPr>
        <w:ind w:left="2160" w:hanging="180"/>
      </w:pPr>
      <w:rPr>
        <w:rFonts w:ascii="Verdana" w:hAnsi="Verdana" w:hint="default"/>
        <w:b w:val="0"/>
        <w:sz w:val="22"/>
        <w:szCs w:val="22"/>
      </w:rPr>
    </w:lvl>
    <w:lvl w:ilvl="3" w:tplc="CAA018DC">
      <w:start w:val="1"/>
      <w:numFmt w:val="decimal"/>
      <w:lvlText w:val="%4."/>
      <w:lvlJc w:val="left"/>
      <w:pPr>
        <w:ind w:left="2880" w:hanging="360"/>
      </w:pPr>
      <w:rPr>
        <w:rFonts w:ascii="Verdana" w:hAnsi="Verdana" w:hint="default"/>
        <w:b w:val="0"/>
        <w:sz w:val="22"/>
        <w:szCs w:val="22"/>
      </w:r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4" w15:restartNumberingAfterBreak="0">
    <w:nsid w:val="26DD176D"/>
    <w:multiLevelType w:val="hybridMultilevel"/>
    <w:tmpl w:val="232CA538"/>
    <w:lvl w:ilvl="0" w:tplc="52B41D2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5" w15:restartNumberingAfterBreak="0">
    <w:nsid w:val="272E3FDF"/>
    <w:multiLevelType w:val="hybridMultilevel"/>
    <w:tmpl w:val="973AF9FC"/>
    <w:lvl w:ilvl="0" w:tplc="135026F2">
      <w:start w:val="1"/>
      <w:numFmt w:val="lowerLetter"/>
      <w:lvlText w:val="(%1)"/>
      <w:lvlJc w:val="left"/>
      <w:pPr>
        <w:ind w:left="72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6" w15:restartNumberingAfterBreak="0">
    <w:nsid w:val="28224E34"/>
    <w:multiLevelType w:val="hybridMultilevel"/>
    <w:tmpl w:val="113A5798"/>
    <w:lvl w:ilvl="0" w:tplc="15304AC6">
      <w:start w:val="1"/>
      <w:numFmt w:val="bullet"/>
      <w:lvlText w:val=""/>
      <w:lvlJc w:val="left"/>
      <w:pPr>
        <w:ind w:left="2081"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2801" w:hanging="360"/>
      </w:pPr>
      <w:rPr>
        <w:rFonts w:ascii="Courier New" w:hAnsi="Courier New" w:cs="Courier New" w:hint="default"/>
      </w:rPr>
    </w:lvl>
    <w:lvl w:ilvl="2" w:tplc="0C090005" w:tentative="1">
      <w:start w:val="1"/>
      <w:numFmt w:val="bullet"/>
      <w:lvlText w:val=""/>
      <w:lvlJc w:val="left"/>
      <w:pPr>
        <w:ind w:left="3521" w:hanging="360"/>
      </w:pPr>
      <w:rPr>
        <w:rFonts w:ascii="Wingdings" w:hAnsi="Wingdings" w:hint="default"/>
      </w:rPr>
    </w:lvl>
    <w:lvl w:ilvl="3" w:tplc="0C090001" w:tentative="1">
      <w:start w:val="1"/>
      <w:numFmt w:val="bullet"/>
      <w:lvlText w:val=""/>
      <w:lvlJc w:val="left"/>
      <w:pPr>
        <w:ind w:left="4241" w:hanging="360"/>
      </w:pPr>
      <w:rPr>
        <w:rFonts w:ascii="Symbol" w:hAnsi="Symbol" w:hint="default"/>
      </w:rPr>
    </w:lvl>
    <w:lvl w:ilvl="4" w:tplc="0C090003" w:tentative="1">
      <w:start w:val="1"/>
      <w:numFmt w:val="bullet"/>
      <w:lvlText w:val="o"/>
      <w:lvlJc w:val="left"/>
      <w:pPr>
        <w:ind w:left="4961" w:hanging="360"/>
      </w:pPr>
      <w:rPr>
        <w:rFonts w:ascii="Courier New" w:hAnsi="Courier New" w:cs="Courier New" w:hint="default"/>
      </w:rPr>
    </w:lvl>
    <w:lvl w:ilvl="5" w:tplc="0C090005" w:tentative="1">
      <w:start w:val="1"/>
      <w:numFmt w:val="bullet"/>
      <w:lvlText w:val=""/>
      <w:lvlJc w:val="left"/>
      <w:pPr>
        <w:ind w:left="5681" w:hanging="360"/>
      </w:pPr>
      <w:rPr>
        <w:rFonts w:ascii="Wingdings" w:hAnsi="Wingdings" w:hint="default"/>
      </w:rPr>
    </w:lvl>
    <w:lvl w:ilvl="6" w:tplc="0C090001" w:tentative="1">
      <w:start w:val="1"/>
      <w:numFmt w:val="bullet"/>
      <w:lvlText w:val=""/>
      <w:lvlJc w:val="left"/>
      <w:pPr>
        <w:ind w:left="6401" w:hanging="360"/>
      </w:pPr>
      <w:rPr>
        <w:rFonts w:ascii="Symbol" w:hAnsi="Symbol" w:hint="default"/>
      </w:rPr>
    </w:lvl>
    <w:lvl w:ilvl="7" w:tplc="0C090003" w:tentative="1">
      <w:start w:val="1"/>
      <w:numFmt w:val="bullet"/>
      <w:lvlText w:val="o"/>
      <w:lvlJc w:val="left"/>
      <w:pPr>
        <w:ind w:left="7121" w:hanging="360"/>
      </w:pPr>
      <w:rPr>
        <w:rFonts w:ascii="Courier New" w:hAnsi="Courier New" w:cs="Courier New" w:hint="default"/>
      </w:rPr>
    </w:lvl>
    <w:lvl w:ilvl="8" w:tplc="0C090005" w:tentative="1">
      <w:start w:val="1"/>
      <w:numFmt w:val="bullet"/>
      <w:lvlText w:val=""/>
      <w:lvlJc w:val="left"/>
      <w:pPr>
        <w:ind w:left="7841" w:hanging="360"/>
      </w:pPr>
      <w:rPr>
        <w:rFonts w:ascii="Wingdings" w:hAnsi="Wingdings" w:hint="default"/>
      </w:rPr>
    </w:lvl>
  </w:abstractNum>
  <w:abstractNum w:abstractNumId="47" w15:restartNumberingAfterBreak="0">
    <w:nsid w:val="28575C16"/>
    <w:multiLevelType w:val="hybridMultilevel"/>
    <w:tmpl w:val="04D0EE58"/>
    <w:lvl w:ilvl="0" w:tplc="8FC28916">
      <w:start w:val="1"/>
      <w:numFmt w:val="lowerLetter"/>
      <w:lvlText w:val="(%1)"/>
      <w:lvlJc w:val="left"/>
      <w:pPr>
        <w:ind w:left="343" w:hanging="283"/>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8" w15:restartNumberingAfterBreak="0">
    <w:nsid w:val="29525C1A"/>
    <w:multiLevelType w:val="hybridMultilevel"/>
    <w:tmpl w:val="A5E249DC"/>
    <w:lvl w:ilvl="0" w:tplc="F7F63722">
      <w:start w:val="1"/>
      <w:numFmt w:val="lowerLetter"/>
      <w:lvlText w:val="(%1)"/>
      <w:lvlJc w:val="left"/>
      <w:pPr>
        <w:tabs>
          <w:tab w:val="num" w:pos="360"/>
        </w:tabs>
        <w:ind w:left="0" w:firstLine="0"/>
      </w:pPr>
      <w:rPr>
        <w:rFont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97B151D"/>
    <w:multiLevelType w:val="hybridMultilevel"/>
    <w:tmpl w:val="4DB0BFEE"/>
    <w:lvl w:ilvl="0" w:tplc="2CE6F3D8">
      <w:start w:val="6"/>
      <w:numFmt w:val="decimal"/>
      <w:lvlText w:val="%1."/>
      <w:lvlJc w:val="left"/>
      <w:pPr>
        <w:ind w:left="644" w:hanging="360"/>
      </w:pPr>
      <w:rPr>
        <w:rFonts w:ascii="Arial" w:hAnsi="Arial" w:hint="default"/>
        <w:b w:val="0"/>
        <w:i w:val="0"/>
        <w:sz w:val="20"/>
        <w:szCs w:val="22"/>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0" w15:restartNumberingAfterBreak="0">
    <w:nsid w:val="2C893F66"/>
    <w:multiLevelType w:val="hybridMultilevel"/>
    <w:tmpl w:val="EDE2A2EE"/>
    <w:lvl w:ilvl="0" w:tplc="0C090001">
      <w:start w:val="1"/>
      <w:numFmt w:val="bullet"/>
      <w:lvlText w:val=""/>
      <w:lvlJc w:val="left"/>
      <w:pPr>
        <w:ind w:left="834" w:hanging="360"/>
      </w:pPr>
      <w:rPr>
        <w:rFonts w:ascii="Symbol" w:hAnsi="Symbol" w:hint="default"/>
      </w:rPr>
    </w:lvl>
    <w:lvl w:ilvl="1" w:tplc="0C090003" w:tentative="1">
      <w:start w:val="1"/>
      <w:numFmt w:val="bullet"/>
      <w:lvlText w:val="o"/>
      <w:lvlJc w:val="left"/>
      <w:pPr>
        <w:ind w:left="1554" w:hanging="360"/>
      </w:pPr>
      <w:rPr>
        <w:rFonts w:ascii="Courier New" w:hAnsi="Courier New" w:cs="Courier New" w:hint="default"/>
      </w:rPr>
    </w:lvl>
    <w:lvl w:ilvl="2" w:tplc="0C090005" w:tentative="1">
      <w:start w:val="1"/>
      <w:numFmt w:val="bullet"/>
      <w:lvlText w:val=""/>
      <w:lvlJc w:val="left"/>
      <w:pPr>
        <w:ind w:left="2274" w:hanging="360"/>
      </w:pPr>
      <w:rPr>
        <w:rFonts w:ascii="Wingdings" w:hAnsi="Wingdings" w:hint="default"/>
      </w:rPr>
    </w:lvl>
    <w:lvl w:ilvl="3" w:tplc="0C090001" w:tentative="1">
      <w:start w:val="1"/>
      <w:numFmt w:val="bullet"/>
      <w:lvlText w:val=""/>
      <w:lvlJc w:val="left"/>
      <w:pPr>
        <w:ind w:left="2994" w:hanging="360"/>
      </w:pPr>
      <w:rPr>
        <w:rFonts w:ascii="Symbol" w:hAnsi="Symbol" w:hint="default"/>
      </w:rPr>
    </w:lvl>
    <w:lvl w:ilvl="4" w:tplc="0C090003" w:tentative="1">
      <w:start w:val="1"/>
      <w:numFmt w:val="bullet"/>
      <w:lvlText w:val="o"/>
      <w:lvlJc w:val="left"/>
      <w:pPr>
        <w:ind w:left="3714" w:hanging="360"/>
      </w:pPr>
      <w:rPr>
        <w:rFonts w:ascii="Courier New" w:hAnsi="Courier New" w:cs="Courier New" w:hint="default"/>
      </w:rPr>
    </w:lvl>
    <w:lvl w:ilvl="5" w:tplc="0C090005" w:tentative="1">
      <w:start w:val="1"/>
      <w:numFmt w:val="bullet"/>
      <w:lvlText w:val=""/>
      <w:lvlJc w:val="left"/>
      <w:pPr>
        <w:ind w:left="4434" w:hanging="360"/>
      </w:pPr>
      <w:rPr>
        <w:rFonts w:ascii="Wingdings" w:hAnsi="Wingdings" w:hint="default"/>
      </w:rPr>
    </w:lvl>
    <w:lvl w:ilvl="6" w:tplc="0C090001" w:tentative="1">
      <w:start w:val="1"/>
      <w:numFmt w:val="bullet"/>
      <w:lvlText w:val=""/>
      <w:lvlJc w:val="left"/>
      <w:pPr>
        <w:ind w:left="5154" w:hanging="360"/>
      </w:pPr>
      <w:rPr>
        <w:rFonts w:ascii="Symbol" w:hAnsi="Symbol" w:hint="default"/>
      </w:rPr>
    </w:lvl>
    <w:lvl w:ilvl="7" w:tplc="0C090003" w:tentative="1">
      <w:start w:val="1"/>
      <w:numFmt w:val="bullet"/>
      <w:lvlText w:val="o"/>
      <w:lvlJc w:val="left"/>
      <w:pPr>
        <w:ind w:left="5874" w:hanging="360"/>
      </w:pPr>
      <w:rPr>
        <w:rFonts w:ascii="Courier New" w:hAnsi="Courier New" w:cs="Courier New" w:hint="default"/>
      </w:rPr>
    </w:lvl>
    <w:lvl w:ilvl="8" w:tplc="0C090005" w:tentative="1">
      <w:start w:val="1"/>
      <w:numFmt w:val="bullet"/>
      <w:lvlText w:val=""/>
      <w:lvlJc w:val="left"/>
      <w:pPr>
        <w:ind w:left="6594" w:hanging="360"/>
      </w:pPr>
      <w:rPr>
        <w:rFonts w:ascii="Wingdings" w:hAnsi="Wingdings" w:hint="default"/>
      </w:rPr>
    </w:lvl>
  </w:abstractNum>
  <w:abstractNum w:abstractNumId="51" w15:restartNumberingAfterBreak="0">
    <w:nsid w:val="2E0544CD"/>
    <w:multiLevelType w:val="hybridMultilevel"/>
    <w:tmpl w:val="A9943D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306C5554"/>
    <w:multiLevelType w:val="hybridMultilevel"/>
    <w:tmpl w:val="897E4964"/>
    <w:lvl w:ilvl="0" w:tplc="A04857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3" w15:restartNumberingAfterBreak="0">
    <w:nsid w:val="30BB2308"/>
    <w:multiLevelType w:val="hybridMultilevel"/>
    <w:tmpl w:val="4CD4EE1E"/>
    <w:lvl w:ilvl="0" w:tplc="3FFE5B9A">
      <w:start w:val="1"/>
      <w:numFmt w:val="bullet"/>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2DF60B1"/>
    <w:multiLevelType w:val="singleLevel"/>
    <w:tmpl w:val="F0825DD4"/>
    <w:lvl w:ilvl="0">
      <w:start w:val="1"/>
      <w:numFmt w:val="decimal"/>
      <w:pStyle w:val="Heading1"/>
      <w:lvlText w:val="%1"/>
      <w:lvlJc w:val="left"/>
      <w:pPr>
        <w:tabs>
          <w:tab w:val="num" w:pos="360"/>
        </w:tabs>
        <w:ind w:left="0" w:firstLine="0"/>
      </w:pPr>
      <w:rPr>
        <w:sz w:val="20"/>
      </w:rPr>
    </w:lvl>
  </w:abstractNum>
  <w:abstractNum w:abstractNumId="55" w15:restartNumberingAfterBreak="0">
    <w:nsid w:val="34055DEA"/>
    <w:multiLevelType w:val="hybridMultilevel"/>
    <w:tmpl w:val="396E9D30"/>
    <w:lvl w:ilvl="0" w:tplc="E384EE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6" w15:restartNumberingAfterBreak="0">
    <w:nsid w:val="34986A20"/>
    <w:multiLevelType w:val="hybridMultilevel"/>
    <w:tmpl w:val="51F0C530"/>
    <w:lvl w:ilvl="0" w:tplc="531A735E">
      <w:start w:val="31"/>
      <w:numFmt w:val="decimal"/>
      <w:lvlText w:val="%1."/>
      <w:lvlJc w:val="left"/>
      <w:pPr>
        <w:ind w:left="720" w:hanging="360"/>
      </w:pPr>
      <w:rPr>
        <w:rFonts w:ascii="Times New Roman" w:hAnsi="Times New Roman" w:hint="default"/>
        <w:b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7" w15:restartNumberingAfterBreak="0">
    <w:nsid w:val="34AF5EF1"/>
    <w:multiLevelType w:val="hybridMultilevel"/>
    <w:tmpl w:val="4080DD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36A76FDA"/>
    <w:multiLevelType w:val="hybridMultilevel"/>
    <w:tmpl w:val="ADA402D2"/>
    <w:lvl w:ilvl="0" w:tplc="649623A8">
      <w:start w:val="8"/>
      <w:numFmt w:val="bullet"/>
      <w:lvlText w:val=""/>
      <w:lvlJc w:val="left"/>
      <w:pPr>
        <w:ind w:left="720" w:hanging="360"/>
      </w:pPr>
      <w:rPr>
        <w:rFonts w:ascii="Wingdings" w:hAnsi="Wingdings" w:cs="Times New Roman" w:hint="default"/>
        <w:b w:val="0"/>
        <w:i w:val="0"/>
        <w:color w:val="000000"/>
        <w:sz w:val="24"/>
        <w:szCs w:val="2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9" w15:restartNumberingAfterBreak="0">
    <w:nsid w:val="3825199A"/>
    <w:multiLevelType w:val="hybridMultilevel"/>
    <w:tmpl w:val="92B242DE"/>
    <w:lvl w:ilvl="0" w:tplc="A740ED06">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0" w15:restartNumberingAfterBreak="0">
    <w:nsid w:val="38A67213"/>
    <w:multiLevelType w:val="hybridMultilevel"/>
    <w:tmpl w:val="4224B140"/>
    <w:lvl w:ilvl="0" w:tplc="AD3ED8AA">
      <w:start w:val="9"/>
      <w:numFmt w:val="lowerLetter"/>
      <w:lvlText w:val="(%1)"/>
      <w:lvlJc w:val="left"/>
      <w:pPr>
        <w:tabs>
          <w:tab w:val="num" w:pos="780"/>
        </w:tabs>
        <w:ind w:left="780" w:hanging="4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1" w15:restartNumberingAfterBreak="0">
    <w:nsid w:val="3AF33924"/>
    <w:multiLevelType w:val="hybridMultilevel"/>
    <w:tmpl w:val="9A16B31C"/>
    <w:lvl w:ilvl="0" w:tplc="36AA9FE6">
      <w:start w:val="1"/>
      <w:numFmt w:val="lowerRoman"/>
      <w:lvlText w:val="(%1)"/>
      <w:lvlJc w:val="left"/>
      <w:pPr>
        <w:ind w:left="1077" w:hanging="360"/>
      </w:pPr>
      <w:rPr>
        <w:rFonts w:hint="default"/>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62" w15:restartNumberingAfterBreak="0">
    <w:nsid w:val="3AF343C0"/>
    <w:multiLevelType w:val="hybridMultilevel"/>
    <w:tmpl w:val="D25E091E"/>
    <w:lvl w:ilvl="0" w:tplc="E6F618C6">
      <w:start w:val="1"/>
      <w:numFmt w:val="lowerRoman"/>
      <w:lvlText w:val="(%1)"/>
      <w:lvlJc w:val="left"/>
      <w:pPr>
        <w:ind w:left="4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3C926358"/>
    <w:multiLevelType w:val="hybridMultilevel"/>
    <w:tmpl w:val="F43EB9CA"/>
    <w:lvl w:ilvl="0" w:tplc="ECDA1482">
      <w:start w:val="1"/>
      <w:numFmt w:val="bullet"/>
      <w:lvlText w:val=""/>
      <w:lvlJc w:val="left"/>
      <w:pPr>
        <w:ind w:left="1440" w:hanging="360"/>
      </w:pPr>
      <w:rPr>
        <w:rFonts w:ascii="Symbol" w:hAnsi="Symbol" w:hint="default"/>
        <w:sz w:val="20"/>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4" w15:restartNumberingAfterBreak="0">
    <w:nsid w:val="3F4C1AE3"/>
    <w:multiLevelType w:val="hybridMultilevel"/>
    <w:tmpl w:val="EACC1C56"/>
    <w:lvl w:ilvl="0" w:tplc="2BE6707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5" w15:restartNumberingAfterBreak="0">
    <w:nsid w:val="3FCE0F2D"/>
    <w:multiLevelType w:val="hybridMultilevel"/>
    <w:tmpl w:val="A9943D98"/>
    <w:lvl w:ilvl="0" w:tplc="752215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400E190E"/>
    <w:multiLevelType w:val="hybridMultilevel"/>
    <w:tmpl w:val="A8900A64"/>
    <w:lvl w:ilvl="0" w:tplc="D286EC94">
      <w:start w:val="1"/>
      <w:numFmt w:val="bullet"/>
      <w:lvlText w:val=""/>
      <w:lvlJc w:val="left"/>
      <w:pPr>
        <w:ind w:left="1440"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7" w15:restartNumberingAfterBreak="0">
    <w:nsid w:val="41A81388"/>
    <w:multiLevelType w:val="hybridMultilevel"/>
    <w:tmpl w:val="DCE49482"/>
    <w:lvl w:ilvl="0" w:tplc="72A0EF6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43530F7A"/>
    <w:multiLevelType w:val="hybridMultilevel"/>
    <w:tmpl w:val="CA803C2E"/>
    <w:lvl w:ilvl="0" w:tplc="7AD80E18">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9" w15:restartNumberingAfterBreak="0">
    <w:nsid w:val="436A7BF1"/>
    <w:multiLevelType w:val="hybridMultilevel"/>
    <w:tmpl w:val="BA221FD4"/>
    <w:lvl w:ilvl="0" w:tplc="4C9C8952">
      <w:start w:val="1"/>
      <w:numFmt w:val="bullet"/>
      <w:lvlText w:val=""/>
      <w:lvlJc w:val="left"/>
      <w:pPr>
        <w:ind w:left="768" w:hanging="360"/>
      </w:pPr>
      <w:rPr>
        <w:rFonts w:ascii="Wingdings" w:hAnsi="Wingdings" w:hint="default"/>
        <w:color w:val="000000" w:themeColor="text1"/>
        <w:sz w:val="16"/>
      </w:rPr>
    </w:lvl>
    <w:lvl w:ilvl="1" w:tplc="FFFFFFFF" w:tentative="1">
      <w:start w:val="1"/>
      <w:numFmt w:val="bullet"/>
      <w:lvlText w:val="o"/>
      <w:lvlJc w:val="left"/>
      <w:pPr>
        <w:ind w:left="1488" w:hanging="360"/>
      </w:pPr>
      <w:rPr>
        <w:rFonts w:ascii="Courier New" w:hAnsi="Courier New" w:cs="Courier New" w:hint="default"/>
      </w:rPr>
    </w:lvl>
    <w:lvl w:ilvl="2" w:tplc="FFFFFFFF" w:tentative="1">
      <w:start w:val="1"/>
      <w:numFmt w:val="bullet"/>
      <w:lvlText w:val=""/>
      <w:lvlJc w:val="left"/>
      <w:pPr>
        <w:ind w:left="2208" w:hanging="360"/>
      </w:pPr>
      <w:rPr>
        <w:rFonts w:ascii="Wingdings" w:hAnsi="Wingdings" w:hint="default"/>
      </w:rPr>
    </w:lvl>
    <w:lvl w:ilvl="3" w:tplc="FFFFFFFF" w:tentative="1">
      <w:start w:val="1"/>
      <w:numFmt w:val="bullet"/>
      <w:lvlText w:val=""/>
      <w:lvlJc w:val="left"/>
      <w:pPr>
        <w:ind w:left="2928" w:hanging="360"/>
      </w:pPr>
      <w:rPr>
        <w:rFonts w:ascii="Symbol" w:hAnsi="Symbol" w:hint="default"/>
      </w:rPr>
    </w:lvl>
    <w:lvl w:ilvl="4" w:tplc="FFFFFFFF" w:tentative="1">
      <w:start w:val="1"/>
      <w:numFmt w:val="bullet"/>
      <w:lvlText w:val="o"/>
      <w:lvlJc w:val="left"/>
      <w:pPr>
        <w:ind w:left="3648" w:hanging="360"/>
      </w:pPr>
      <w:rPr>
        <w:rFonts w:ascii="Courier New" w:hAnsi="Courier New" w:cs="Courier New" w:hint="default"/>
      </w:rPr>
    </w:lvl>
    <w:lvl w:ilvl="5" w:tplc="FFFFFFFF" w:tentative="1">
      <w:start w:val="1"/>
      <w:numFmt w:val="bullet"/>
      <w:lvlText w:val=""/>
      <w:lvlJc w:val="left"/>
      <w:pPr>
        <w:ind w:left="4368" w:hanging="360"/>
      </w:pPr>
      <w:rPr>
        <w:rFonts w:ascii="Wingdings" w:hAnsi="Wingdings" w:hint="default"/>
      </w:rPr>
    </w:lvl>
    <w:lvl w:ilvl="6" w:tplc="FFFFFFFF" w:tentative="1">
      <w:start w:val="1"/>
      <w:numFmt w:val="bullet"/>
      <w:lvlText w:val=""/>
      <w:lvlJc w:val="left"/>
      <w:pPr>
        <w:ind w:left="5088" w:hanging="360"/>
      </w:pPr>
      <w:rPr>
        <w:rFonts w:ascii="Symbol" w:hAnsi="Symbol" w:hint="default"/>
      </w:rPr>
    </w:lvl>
    <w:lvl w:ilvl="7" w:tplc="FFFFFFFF" w:tentative="1">
      <w:start w:val="1"/>
      <w:numFmt w:val="bullet"/>
      <w:lvlText w:val="o"/>
      <w:lvlJc w:val="left"/>
      <w:pPr>
        <w:ind w:left="5808" w:hanging="360"/>
      </w:pPr>
      <w:rPr>
        <w:rFonts w:ascii="Courier New" w:hAnsi="Courier New" w:cs="Courier New" w:hint="default"/>
      </w:rPr>
    </w:lvl>
    <w:lvl w:ilvl="8" w:tplc="FFFFFFFF" w:tentative="1">
      <w:start w:val="1"/>
      <w:numFmt w:val="bullet"/>
      <w:lvlText w:val=""/>
      <w:lvlJc w:val="left"/>
      <w:pPr>
        <w:ind w:left="6528" w:hanging="360"/>
      </w:pPr>
      <w:rPr>
        <w:rFonts w:ascii="Wingdings" w:hAnsi="Wingdings" w:hint="default"/>
      </w:rPr>
    </w:lvl>
  </w:abstractNum>
  <w:abstractNum w:abstractNumId="70" w15:restartNumberingAfterBreak="0">
    <w:nsid w:val="44A70E30"/>
    <w:multiLevelType w:val="hybridMultilevel"/>
    <w:tmpl w:val="17C65AB8"/>
    <w:lvl w:ilvl="0" w:tplc="A10E486E">
      <w:start w:val="2"/>
      <w:numFmt w:val="bullet"/>
      <w:lvlText w:val=""/>
      <w:lvlJc w:val="left"/>
      <w:pPr>
        <w:tabs>
          <w:tab w:val="num" w:pos="363"/>
        </w:tabs>
        <w:ind w:left="363" w:hanging="363"/>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5592AFA"/>
    <w:multiLevelType w:val="hybridMultilevel"/>
    <w:tmpl w:val="B7BC3D58"/>
    <w:lvl w:ilvl="0" w:tplc="FFFFFFFF">
      <w:start w:val="1"/>
      <w:numFmt w:val="lowerRoman"/>
      <w:lvlText w:val="(%1)"/>
      <w:lvlJc w:val="left"/>
      <w:pPr>
        <w:ind w:left="1077"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468350E3"/>
    <w:multiLevelType w:val="hybridMultilevel"/>
    <w:tmpl w:val="A6FECFBC"/>
    <w:lvl w:ilvl="0" w:tplc="222439AE">
      <w:start w:val="1"/>
      <w:numFmt w:val="decimal"/>
      <w:lvlText w:val="(%1)"/>
      <w:lvlJc w:val="left"/>
      <w:pPr>
        <w:ind w:left="71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3" w15:restartNumberingAfterBreak="0">
    <w:nsid w:val="47CC1455"/>
    <w:multiLevelType w:val="hybridMultilevel"/>
    <w:tmpl w:val="0046F66E"/>
    <w:lvl w:ilvl="0" w:tplc="0518D46C">
      <w:start w:val="1"/>
      <w:numFmt w:val="lowerLetter"/>
      <w:lvlText w:val="(%1)"/>
      <w:lvlJc w:val="left"/>
      <w:pPr>
        <w:ind w:left="2874" w:hanging="360"/>
      </w:pPr>
      <w:rPr>
        <w:rFonts w:ascii="Arial" w:hAnsi="Arial" w:hint="default"/>
        <w:sz w:val="18"/>
      </w:rPr>
    </w:lvl>
    <w:lvl w:ilvl="1" w:tplc="0C090019" w:tentative="1">
      <w:start w:val="1"/>
      <w:numFmt w:val="lowerLetter"/>
      <w:lvlText w:val="%2."/>
      <w:lvlJc w:val="left"/>
      <w:pPr>
        <w:ind w:left="1440" w:hanging="360"/>
      </w:pPr>
    </w:lvl>
    <w:lvl w:ilvl="2" w:tplc="3990B87C">
      <w:start w:val="1"/>
      <w:numFmt w:val="lowerLetter"/>
      <w:lvlText w:val="(%3)"/>
      <w:lvlJc w:val="left"/>
      <w:pPr>
        <w:ind w:left="2160" w:hanging="180"/>
      </w:pPr>
      <w:rPr>
        <w:rFonts w:ascii="Arial" w:hAnsi="Arial" w:cs="Book Antiqua" w:hint="default"/>
        <w:b w:val="0"/>
        <w:i w:val="0"/>
        <w:strike w:val="0"/>
        <w:dstrike w:val="0"/>
        <w:color w:val="000000"/>
        <w:sz w:val="18"/>
        <w:szCs w:val="24"/>
        <w:u w:val="none" w:color="000000"/>
        <w:vertAlign w:val="baseline"/>
      </w:r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4" w15:restartNumberingAfterBreak="0">
    <w:nsid w:val="489A6D8E"/>
    <w:multiLevelType w:val="hybridMultilevel"/>
    <w:tmpl w:val="80CEF670"/>
    <w:lvl w:ilvl="0" w:tplc="A9FE0CA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5" w15:restartNumberingAfterBreak="0">
    <w:nsid w:val="49B84A92"/>
    <w:multiLevelType w:val="hybridMultilevel"/>
    <w:tmpl w:val="05AE2034"/>
    <w:lvl w:ilvl="0" w:tplc="1B285482">
      <w:start w:val="1"/>
      <w:numFmt w:val="bullet"/>
      <w:lvlText w:val=""/>
      <w:lvlJc w:val="left"/>
      <w:pPr>
        <w:ind w:left="1440" w:hanging="360"/>
      </w:pPr>
      <w:rPr>
        <w:rFonts w:ascii="Symbol" w:hAnsi="Symbol" w:hint="default"/>
        <w:sz w:val="20"/>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6" w15:restartNumberingAfterBreak="0">
    <w:nsid w:val="4A54460A"/>
    <w:multiLevelType w:val="hybridMultilevel"/>
    <w:tmpl w:val="7E561520"/>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77" w15:restartNumberingAfterBreak="0">
    <w:nsid w:val="4B6B1B69"/>
    <w:multiLevelType w:val="hybridMultilevel"/>
    <w:tmpl w:val="A5C04A04"/>
    <w:lvl w:ilvl="0" w:tplc="C91A7976">
      <w:start w:val="1"/>
      <w:numFmt w:val="lowerLetter"/>
      <w:lvlText w:val="(%1)"/>
      <w:lvlJc w:val="left"/>
      <w:pPr>
        <w:tabs>
          <w:tab w:val="num" w:pos="780"/>
        </w:tabs>
        <w:ind w:left="780" w:hanging="4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78" w15:restartNumberingAfterBreak="0">
    <w:nsid w:val="4C1160BB"/>
    <w:multiLevelType w:val="hybridMultilevel"/>
    <w:tmpl w:val="B7CEC980"/>
    <w:lvl w:ilvl="0" w:tplc="41D611C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9" w15:restartNumberingAfterBreak="0">
    <w:nsid w:val="50994791"/>
    <w:multiLevelType w:val="hybridMultilevel"/>
    <w:tmpl w:val="E528AF02"/>
    <w:lvl w:ilvl="0" w:tplc="84425C36">
      <w:start w:val="1"/>
      <w:numFmt w:val="lowerLetter"/>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80" w15:restartNumberingAfterBreak="0">
    <w:nsid w:val="50F52026"/>
    <w:multiLevelType w:val="hybridMultilevel"/>
    <w:tmpl w:val="389E961E"/>
    <w:lvl w:ilvl="0" w:tplc="47A02AB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1" w15:restartNumberingAfterBreak="0">
    <w:nsid w:val="51B0043D"/>
    <w:multiLevelType w:val="hybridMultilevel"/>
    <w:tmpl w:val="94981CCE"/>
    <w:lvl w:ilvl="0" w:tplc="A476B53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2" w15:restartNumberingAfterBreak="0">
    <w:nsid w:val="52D0453B"/>
    <w:multiLevelType w:val="hybridMultilevel"/>
    <w:tmpl w:val="A606A4BC"/>
    <w:lvl w:ilvl="0" w:tplc="7A8E1396">
      <w:start w:val="1"/>
      <w:numFmt w:val="decimal"/>
      <w:lvlText w:val="%1."/>
      <w:lvlJc w:val="left"/>
      <w:pPr>
        <w:ind w:left="720" w:hanging="360"/>
      </w:pPr>
      <w:rPr>
        <w:rFonts w:ascii="Times New Roman" w:hAnsi="Times New Roman" w:hint="default"/>
        <w:b w:val="0"/>
        <w:i w:val="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3" w15:restartNumberingAfterBreak="0">
    <w:nsid w:val="52F249F4"/>
    <w:multiLevelType w:val="hybridMultilevel"/>
    <w:tmpl w:val="0DA2828A"/>
    <w:lvl w:ilvl="0" w:tplc="E84655AC">
      <w:start w:val="1"/>
      <w:numFmt w:val="lowerLetter"/>
      <w:pStyle w:val="NoNumb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4" w15:restartNumberingAfterBreak="0">
    <w:nsid w:val="5306457D"/>
    <w:multiLevelType w:val="hybridMultilevel"/>
    <w:tmpl w:val="F9609A32"/>
    <w:lvl w:ilvl="0" w:tplc="79C62E70">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5" w15:restartNumberingAfterBreak="0">
    <w:nsid w:val="54D12589"/>
    <w:multiLevelType w:val="hybridMultilevel"/>
    <w:tmpl w:val="414C91F8"/>
    <w:lvl w:ilvl="0" w:tplc="CCA68F62">
      <w:start w:val="1"/>
      <w:numFmt w:val="lowerLetter"/>
      <w:lvlText w:val="(%1)"/>
      <w:lvlJc w:val="left"/>
      <w:pPr>
        <w:ind w:left="1284" w:hanging="360"/>
      </w:pPr>
      <w:rPr>
        <w:rFonts w:hint="default"/>
      </w:rPr>
    </w:lvl>
    <w:lvl w:ilvl="1" w:tplc="0C090019" w:tentative="1">
      <w:start w:val="1"/>
      <w:numFmt w:val="lowerLetter"/>
      <w:lvlText w:val="%2."/>
      <w:lvlJc w:val="left"/>
      <w:pPr>
        <w:ind w:left="2004" w:hanging="360"/>
      </w:pPr>
    </w:lvl>
    <w:lvl w:ilvl="2" w:tplc="0C09001B" w:tentative="1">
      <w:start w:val="1"/>
      <w:numFmt w:val="lowerRoman"/>
      <w:lvlText w:val="%3."/>
      <w:lvlJc w:val="right"/>
      <w:pPr>
        <w:ind w:left="2724" w:hanging="180"/>
      </w:pPr>
    </w:lvl>
    <w:lvl w:ilvl="3" w:tplc="0C09000F" w:tentative="1">
      <w:start w:val="1"/>
      <w:numFmt w:val="decimal"/>
      <w:lvlText w:val="%4."/>
      <w:lvlJc w:val="left"/>
      <w:pPr>
        <w:ind w:left="3444" w:hanging="360"/>
      </w:pPr>
    </w:lvl>
    <w:lvl w:ilvl="4" w:tplc="0C090019" w:tentative="1">
      <w:start w:val="1"/>
      <w:numFmt w:val="lowerLetter"/>
      <w:lvlText w:val="%5."/>
      <w:lvlJc w:val="left"/>
      <w:pPr>
        <w:ind w:left="4164" w:hanging="360"/>
      </w:pPr>
    </w:lvl>
    <w:lvl w:ilvl="5" w:tplc="0C09001B" w:tentative="1">
      <w:start w:val="1"/>
      <w:numFmt w:val="lowerRoman"/>
      <w:lvlText w:val="%6."/>
      <w:lvlJc w:val="right"/>
      <w:pPr>
        <w:ind w:left="4884" w:hanging="180"/>
      </w:pPr>
    </w:lvl>
    <w:lvl w:ilvl="6" w:tplc="0C09000F" w:tentative="1">
      <w:start w:val="1"/>
      <w:numFmt w:val="decimal"/>
      <w:lvlText w:val="%7."/>
      <w:lvlJc w:val="left"/>
      <w:pPr>
        <w:ind w:left="5604" w:hanging="360"/>
      </w:pPr>
    </w:lvl>
    <w:lvl w:ilvl="7" w:tplc="0C090019" w:tentative="1">
      <w:start w:val="1"/>
      <w:numFmt w:val="lowerLetter"/>
      <w:lvlText w:val="%8."/>
      <w:lvlJc w:val="left"/>
      <w:pPr>
        <w:ind w:left="6324" w:hanging="360"/>
      </w:pPr>
    </w:lvl>
    <w:lvl w:ilvl="8" w:tplc="0C09001B" w:tentative="1">
      <w:start w:val="1"/>
      <w:numFmt w:val="lowerRoman"/>
      <w:lvlText w:val="%9."/>
      <w:lvlJc w:val="right"/>
      <w:pPr>
        <w:ind w:left="7044" w:hanging="180"/>
      </w:pPr>
    </w:lvl>
  </w:abstractNum>
  <w:abstractNum w:abstractNumId="86" w15:restartNumberingAfterBreak="0">
    <w:nsid w:val="59502085"/>
    <w:multiLevelType w:val="hybridMultilevel"/>
    <w:tmpl w:val="6F2414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7" w15:restartNumberingAfterBreak="0">
    <w:nsid w:val="5A7F7572"/>
    <w:multiLevelType w:val="hybridMultilevel"/>
    <w:tmpl w:val="B7E09D32"/>
    <w:lvl w:ilvl="0" w:tplc="07328A80">
      <w:start w:val="2"/>
      <w:numFmt w:val="bullet"/>
      <w:lvlText w:val=""/>
      <w:lvlJc w:val="left"/>
      <w:pPr>
        <w:tabs>
          <w:tab w:val="num" w:pos="720"/>
        </w:tabs>
        <w:ind w:left="720" w:hanging="360"/>
      </w:pPr>
      <w:rPr>
        <w:rFonts w:ascii="Wingdings" w:hAnsi="Wingdings" w:hint="default"/>
        <w:color w:val="000000"/>
        <w:sz w:val="22"/>
        <w:szCs w:val="24"/>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5B27421E"/>
    <w:multiLevelType w:val="hybridMultilevel"/>
    <w:tmpl w:val="6BB8CEBE"/>
    <w:lvl w:ilvl="0" w:tplc="15304AC6">
      <w:start w:val="1"/>
      <w:numFmt w:val="bullet"/>
      <w:lvlText w:val=""/>
      <w:lvlJc w:val="left"/>
      <w:pPr>
        <w:ind w:left="720" w:hanging="360"/>
      </w:pPr>
      <w:rPr>
        <w:rFonts w:ascii="Symbol" w:hAnsi="Symbol" w:hint="default"/>
        <w:b w:val="0"/>
        <w:i w:val="0"/>
        <w:strike w:val="0"/>
        <w:dstrike w:val="0"/>
        <w:color w:val="000000"/>
        <w:sz w:val="20"/>
        <w:szCs w:val="24"/>
        <w:u w:val="none" w:color="000000"/>
        <w:vertAlign w:val="baseline"/>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9" w15:restartNumberingAfterBreak="0">
    <w:nsid w:val="5B465F00"/>
    <w:multiLevelType w:val="hybridMultilevel"/>
    <w:tmpl w:val="BDBC6B4E"/>
    <w:lvl w:ilvl="0" w:tplc="C85AA24C">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B48157C"/>
    <w:multiLevelType w:val="hybridMultilevel"/>
    <w:tmpl w:val="D16C9904"/>
    <w:lvl w:ilvl="0" w:tplc="D4DA2950">
      <w:start w:val="2"/>
      <w:numFmt w:val="bullet"/>
      <w:lvlText w:val=""/>
      <w:lvlJc w:val="left"/>
      <w:pPr>
        <w:tabs>
          <w:tab w:val="num" w:pos="360"/>
        </w:tabs>
        <w:ind w:left="0" w:firstLine="0"/>
      </w:pPr>
      <w:rPr>
        <w:rFonts w:ascii="Wingdings 2" w:hAnsi="Wingdings 2"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1" w15:restartNumberingAfterBreak="0">
    <w:nsid w:val="5B4D5E70"/>
    <w:multiLevelType w:val="hybridMultilevel"/>
    <w:tmpl w:val="3AE82DFE"/>
    <w:lvl w:ilvl="0" w:tplc="3E7461E6">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2" w15:restartNumberingAfterBreak="0">
    <w:nsid w:val="5C807236"/>
    <w:multiLevelType w:val="hybridMultilevel"/>
    <w:tmpl w:val="DA3CCE9E"/>
    <w:lvl w:ilvl="0" w:tplc="530C6F42">
      <w:start w:val="1"/>
      <w:numFmt w:val="lowerLetter"/>
      <w:lvlText w:val="(%1)"/>
      <w:lvlJc w:val="left"/>
      <w:pPr>
        <w:tabs>
          <w:tab w:val="num" w:pos="927"/>
        </w:tabs>
        <w:ind w:left="927" w:hanging="360"/>
      </w:pPr>
      <w:rPr>
        <w:rFonts w:hint="default"/>
      </w:rPr>
    </w:lvl>
    <w:lvl w:ilvl="1" w:tplc="0C090019" w:tentative="1">
      <w:start w:val="1"/>
      <w:numFmt w:val="lowerLetter"/>
      <w:lvlText w:val="%2."/>
      <w:lvlJc w:val="left"/>
      <w:pPr>
        <w:tabs>
          <w:tab w:val="num" w:pos="1647"/>
        </w:tabs>
        <w:ind w:left="1647" w:hanging="360"/>
      </w:pPr>
    </w:lvl>
    <w:lvl w:ilvl="2" w:tplc="0C09001B" w:tentative="1">
      <w:start w:val="1"/>
      <w:numFmt w:val="lowerRoman"/>
      <w:lvlText w:val="%3."/>
      <w:lvlJc w:val="right"/>
      <w:pPr>
        <w:tabs>
          <w:tab w:val="num" w:pos="2367"/>
        </w:tabs>
        <w:ind w:left="2367" w:hanging="180"/>
      </w:pPr>
    </w:lvl>
    <w:lvl w:ilvl="3" w:tplc="0C09000F" w:tentative="1">
      <w:start w:val="1"/>
      <w:numFmt w:val="decimal"/>
      <w:lvlText w:val="%4."/>
      <w:lvlJc w:val="left"/>
      <w:pPr>
        <w:tabs>
          <w:tab w:val="num" w:pos="3087"/>
        </w:tabs>
        <w:ind w:left="3087" w:hanging="360"/>
      </w:pPr>
    </w:lvl>
    <w:lvl w:ilvl="4" w:tplc="0C090019" w:tentative="1">
      <w:start w:val="1"/>
      <w:numFmt w:val="lowerLetter"/>
      <w:lvlText w:val="%5."/>
      <w:lvlJc w:val="left"/>
      <w:pPr>
        <w:tabs>
          <w:tab w:val="num" w:pos="3807"/>
        </w:tabs>
        <w:ind w:left="3807" w:hanging="360"/>
      </w:pPr>
    </w:lvl>
    <w:lvl w:ilvl="5" w:tplc="0C09001B" w:tentative="1">
      <w:start w:val="1"/>
      <w:numFmt w:val="lowerRoman"/>
      <w:lvlText w:val="%6."/>
      <w:lvlJc w:val="right"/>
      <w:pPr>
        <w:tabs>
          <w:tab w:val="num" w:pos="4527"/>
        </w:tabs>
        <w:ind w:left="4527" w:hanging="180"/>
      </w:pPr>
    </w:lvl>
    <w:lvl w:ilvl="6" w:tplc="0C09000F" w:tentative="1">
      <w:start w:val="1"/>
      <w:numFmt w:val="decimal"/>
      <w:lvlText w:val="%7."/>
      <w:lvlJc w:val="left"/>
      <w:pPr>
        <w:tabs>
          <w:tab w:val="num" w:pos="5247"/>
        </w:tabs>
        <w:ind w:left="5247" w:hanging="360"/>
      </w:pPr>
    </w:lvl>
    <w:lvl w:ilvl="7" w:tplc="0C090019" w:tentative="1">
      <w:start w:val="1"/>
      <w:numFmt w:val="lowerLetter"/>
      <w:lvlText w:val="%8."/>
      <w:lvlJc w:val="left"/>
      <w:pPr>
        <w:tabs>
          <w:tab w:val="num" w:pos="5967"/>
        </w:tabs>
        <w:ind w:left="5967" w:hanging="360"/>
      </w:pPr>
    </w:lvl>
    <w:lvl w:ilvl="8" w:tplc="0C09001B" w:tentative="1">
      <w:start w:val="1"/>
      <w:numFmt w:val="lowerRoman"/>
      <w:lvlText w:val="%9."/>
      <w:lvlJc w:val="right"/>
      <w:pPr>
        <w:tabs>
          <w:tab w:val="num" w:pos="6687"/>
        </w:tabs>
        <w:ind w:left="6687" w:hanging="180"/>
      </w:pPr>
    </w:lvl>
  </w:abstractNum>
  <w:abstractNum w:abstractNumId="93" w15:restartNumberingAfterBreak="0">
    <w:nsid w:val="5E6B0331"/>
    <w:multiLevelType w:val="hybridMultilevel"/>
    <w:tmpl w:val="55D44074"/>
    <w:lvl w:ilvl="0" w:tplc="0C090001">
      <w:start w:val="1"/>
      <w:numFmt w:val="bullet"/>
      <w:lvlText w:val=""/>
      <w:lvlJc w:val="left"/>
      <w:pPr>
        <w:ind w:left="1347" w:hanging="360"/>
      </w:pPr>
      <w:rPr>
        <w:rFonts w:ascii="Symbol" w:hAnsi="Symbol" w:hint="default"/>
      </w:rPr>
    </w:lvl>
    <w:lvl w:ilvl="1" w:tplc="0C090003" w:tentative="1">
      <w:start w:val="1"/>
      <w:numFmt w:val="bullet"/>
      <w:lvlText w:val="o"/>
      <w:lvlJc w:val="left"/>
      <w:pPr>
        <w:ind w:left="2067" w:hanging="360"/>
      </w:pPr>
      <w:rPr>
        <w:rFonts w:ascii="Courier New" w:hAnsi="Courier New" w:cs="Courier New" w:hint="default"/>
      </w:rPr>
    </w:lvl>
    <w:lvl w:ilvl="2" w:tplc="0C090005" w:tentative="1">
      <w:start w:val="1"/>
      <w:numFmt w:val="bullet"/>
      <w:lvlText w:val=""/>
      <w:lvlJc w:val="left"/>
      <w:pPr>
        <w:ind w:left="2787" w:hanging="360"/>
      </w:pPr>
      <w:rPr>
        <w:rFonts w:ascii="Wingdings" w:hAnsi="Wingdings" w:hint="default"/>
      </w:rPr>
    </w:lvl>
    <w:lvl w:ilvl="3" w:tplc="0C090001" w:tentative="1">
      <w:start w:val="1"/>
      <w:numFmt w:val="bullet"/>
      <w:lvlText w:val=""/>
      <w:lvlJc w:val="left"/>
      <w:pPr>
        <w:ind w:left="3507" w:hanging="360"/>
      </w:pPr>
      <w:rPr>
        <w:rFonts w:ascii="Symbol" w:hAnsi="Symbol" w:hint="default"/>
      </w:rPr>
    </w:lvl>
    <w:lvl w:ilvl="4" w:tplc="0C090003" w:tentative="1">
      <w:start w:val="1"/>
      <w:numFmt w:val="bullet"/>
      <w:lvlText w:val="o"/>
      <w:lvlJc w:val="left"/>
      <w:pPr>
        <w:ind w:left="4227" w:hanging="360"/>
      </w:pPr>
      <w:rPr>
        <w:rFonts w:ascii="Courier New" w:hAnsi="Courier New" w:cs="Courier New" w:hint="default"/>
      </w:rPr>
    </w:lvl>
    <w:lvl w:ilvl="5" w:tplc="0C090005" w:tentative="1">
      <w:start w:val="1"/>
      <w:numFmt w:val="bullet"/>
      <w:lvlText w:val=""/>
      <w:lvlJc w:val="left"/>
      <w:pPr>
        <w:ind w:left="4947" w:hanging="360"/>
      </w:pPr>
      <w:rPr>
        <w:rFonts w:ascii="Wingdings" w:hAnsi="Wingdings" w:hint="default"/>
      </w:rPr>
    </w:lvl>
    <w:lvl w:ilvl="6" w:tplc="0C090001" w:tentative="1">
      <w:start w:val="1"/>
      <w:numFmt w:val="bullet"/>
      <w:lvlText w:val=""/>
      <w:lvlJc w:val="left"/>
      <w:pPr>
        <w:ind w:left="5667" w:hanging="360"/>
      </w:pPr>
      <w:rPr>
        <w:rFonts w:ascii="Symbol" w:hAnsi="Symbol" w:hint="default"/>
      </w:rPr>
    </w:lvl>
    <w:lvl w:ilvl="7" w:tplc="0C090003" w:tentative="1">
      <w:start w:val="1"/>
      <w:numFmt w:val="bullet"/>
      <w:lvlText w:val="o"/>
      <w:lvlJc w:val="left"/>
      <w:pPr>
        <w:ind w:left="6387" w:hanging="360"/>
      </w:pPr>
      <w:rPr>
        <w:rFonts w:ascii="Courier New" w:hAnsi="Courier New" w:cs="Courier New" w:hint="default"/>
      </w:rPr>
    </w:lvl>
    <w:lvl w:ilvl="8" w:tplc="0C090005" w:tentative="1">
      <w:start w:val="1"/>
      <w:numFmt w:val="bullet"/>
      <w:lvlText w:val=""/>
      <w:lvlJc w:val="left"/>
      <w:pPr>
        <w:ind w:left="7107" w:hanging="360"/>
      </w:pPr>
      <w:rPr>
        <w:rFonts w:ascii="Wingdings" w:hAnsi="Wingdings" w:hint="default"/>
      </w:rPr>
    </w:lvl>
  </w:abstractNum>
  <w:abstractNum w:abstractNumId="94" w15:restartNumberingAfterBreak="0">
    <w:nsid w:val="5E6E7622"/>
    <w:multiLevelType w:val="hybridMultilevel"/>
    <w:tmpl w:val="A3384DB0"/>
    <w:lvl w:ilvl="0" w:tplc="0C090001">
      <w:start w:val="1"/>
      <w:numFmt w:val="bullet"/>
      <w:lvlText w:val=""/>
      <w:lvlJc w:val="left"/>
      <w:pPr>
        <w:ind w:left="1497" w:hanging="360"/>
      </w:pPr>
      <w:rPr>
        <w:rFonts w:ascii="Symbol" w:hAnsi="Symbol" w:hint="default"/>
      </w:rPr>
    </w:lvl>
    <w:lvl w:ilvl="1" w:tplc="0C090003" w:tentative="1">
      <w:start w:val="1"/>
      <w:numFmt w:val="bullet"/>
      <w:lvlText w:val="o"/>
      <w:lvlJc w:val="left"/>
      <w:pPr>
        <w:ind w:left="2217" w:hanging="360"/>
      </w:pPr>
      <w:rPr>
        <w:rFonts w:ascii="Courier New" w:hAnsi="Courier New" w:cs="Courier New" w:hint="default"/>
      </w:rPr>
    </w:lvl>
    <w:lvl w:ilvl="2" w:tplc="0C090005" w:tentative="1">
      <w:start w:val="1"/>
      <w:numFmt w:val="bullet"/>
      <w:lvlText w:val=""/>
      <w:lvlJc w:val="left"/>
      <w:pPr>
        <w:ind w:left="2937" w:hanging="360"/>
      </w:pPr>
      <w:rPr>
        <w:rFonts w:ascii="Wingdings" w:hAnsi="Wingdings" w:hint="default"/>
      </w:rPr>
    </w:lvl>
    <w:lvl w:ilvl="3" w:tplc="0C090001" w:tentative="1">
      <w:start w:val="1"/>
      <w:numFmt w:val="bullet"/>
      <w:lvlText w:val=""/>
      <w:lvlJc w:val="left"/>
      <w:pPr>
        <w:ind w:left="3657" w:hanging="360"/>
      </w:pPr>
      <w:rPr>
        <w:rFonts w:ascii="Symbol" w:hAnsi="Symbol" w:hint="default"/>
      </w:rPr>
    </w:lvl>
    <w:lvl w:ilvl="4" w:tplc="0C090003" w:tentative="1">
      <w:start w:val="1"/>
      <w:numFmt w:val="bullet"/>
      <w:lvlText w:val="o"/>
      <w:lvlJc w:val="left"/>
      <w:pPr>
        <w:ind w:left="4377" w:hanging="360"/>
      </w:pPr>
      <w:rPr>
        <w:rFonts w:ascii="Courier New" w:hAnsi="Courier New" w:cs="Courier New" w:hint="default"/>
      </w:rPr>
    </w:lvl>
    <w:lvl w:ilvl="5" w:tplc="0C090005" w:tentative="1">
      <w:start w:val="1"/>
      <w:numFmt w:val="bullet"/>
      <w:lvlText w:val=""/>
      <w:lvlJc w:val="left"/>
      <w:pPr>
        <w:ind w:left="5097" w:hanging="360"/>
      </w:pPr>
      <w:rPr>
        <w:rFonts w:ascii="Wingdings" w:hAnsi="Wingdings" w:hint="default"/>
      </w:rPr>
    </w:lvl>
    <w:lvl w:ilvl="6" w:tplc="0C090001" w:tentative="1">
      <w:start w:val="1"/>
      <w:numFmt w:val="bullet"/>
      <w:lvlText w:val=""/>
      <w:lvlJc w:val="left"/>
      <w:pPr>
        <w:ind w:left="5817" w:hanging="360"/>
      </w:pPr>
      <w:rPr>
        <w:rFonts w:ascii="Symbol" w:hAnsi="Symbol" w:hint="default"/>
      </w:rPr>
    </w:lvl>
    <w:lvl w:ilvl="7" w:tplc="0C090003" w:tentative="1">
      <w:start w:val="1"/>
      <w:numFmt w:val="bullet"/>
      <w:lvlText w:val="o"/>
      <w:lvlJc w:val="left"/>
      <w:pPr>
        <w:ind w:left="6537" w:hanging="360"/>
      </w:pPr>
      <w:rPr>
        <w:rFonts w:ascii="Courier New" w:hAnsi="Courier New" w:cs="Courier New" w:hint="default"/>
      </w:rPr>
    </w:lvl>
    <w:lvl w:ilvl="8" w:tplc="0C090005" w:tentative="1">
      <w:start w:val="1"/>
      <w:numFmt w:val="bullet"/>
      <w:lvlText w:val=""/>
      <w:lvlJc w:val="left"/>
      <w:pPr>
        <w:ind w:left="7257" w:hanging="360"/>
      </w:pPr>
      <w:rPr>
        <w:rFonts w:ascii="Wingdings" w:hAnsi="Wingdings" w:hint="default"/>
      </w:rPr>
    </w:lvl>
  </w:abstractNum>
  <w:abstractNum w:abstractNumId="95" w15:restartNumberingAfterBreak="0">
    <w:nsid w:val="5E8F69E0"/>
    <w:multiLevelType w:val="hybridMultilevel"/>
    <w:tmpl w:val="E98A01C6"/>
    <w:lvl w:ilvl="0" w:tplc="C79EAB00">
      <w:start w:val="1"/>
      <w:numFmt w:val="lowerLetter"/>
      <w:lvlText w:val="(%1)"/>
      <w:lvlJc w:val="left"/>
      <w:pPr>
        <w:ind w:left="720" w:hanging="360"/>
      </w:pPr>
      <w:rPr>
        <w:rFonts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6" w15:restartNumberingAfterBreak="0">
    <w:nsid w:val="5F672CAC"/>
    <w:multiLevelType w:val="hybridMultilevel"/>
    <w:tmpl w:val="A1B40136"/>
    <w:lvl w:ilvl="0" w:tplc="D09688B0">
      <w:start w:val="1"/>
      <w:numFmt w:val="decimal"/>
      <w:lvlText w:val="%1."/>
      <w:lvlJc w:val="left"/>
      <w:pPr>
        <w:ind w:left="720" w:hanging="360"/>
      </w:pPr>
      <w:rPr>
        <w:rFonts w:ascii="Verdana" w:hAnsi="Verdana" w:hint="default"/>
        <w:b w:val="0"/>
        <w:sz w:val="22"/>
        <w:szCs w:val="22"/>
      </w:rPr>
    </w:lvl>
    <w:lvl w:ilvl="1" w:tplc="0C09001B">
      <w:start w:val="1"/>
      <w:numFmt w:val="lowerRoman"/>
      <w:lvlText w:val="%2."/>
      <w:lvlJc w:val="right"/>
      <w:pPr>
        <w:ind w:left="1440" w:hanging="360"/>
      </w:pPr>
      <w:rPr>
        <w:rFonts w:hint="default"/>
      </w:rPr>
    </w:lvl>
    <w:lvl w:ilvl="2" w:tplc="063EF146">
      <w:start w:val="1"/>
      <w:numFmt w:val="lowerLetter"/>
      <w:lvlText w:val="(%3)"/>
      <w:lvlJc w:val="left"/>
      <w:pPr>
        <w:ind w:left="2340" w:hanging="360"/>
      </w:pPr>
      <w:rPr>
        <w:rFonts w:hint="default"/>
      </w:rPr>
    </w:lvl>
    <w:lvl w:ilvl="3" w:tplc="3D86C914">
      <w:start w:val="1"/>
      <w:numFmt w:val="upperRoman"/>
      <w:lvlText w:val="%4."/>
      <w:lvlJc w:val="left"/>
      <w:pPr>
        <w:ind w:left="3240" w:hanging="720"/>
      </w:pPr>
      <w:rPr>
        <w:rFonts w:hint="default"/>
      </w:rPr>
    </w:lvl>
    <w:lvl w:ilvl="4" w:tplc="521A2AA6">
      <w:start w:val="1"/>
      <w:numFmt w:val="decimal"/>
      <w:lvlText w:val="(%5)"/>
      <w:lvlJc w:val="left"/>
      <w:pPr>
        <w:ind w:left="3600" w:hanging="360"/>
      </w:pPr>
      <w:rPr>
        <w:rFonts w:hint="default"/>
      </w:r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7" w15:restartNumberingAfterBreak="0">
    <w:nsid w:val="5FFA3837"/>
    <w:multiLevelType w:val="hybridMultilevel"/>
    <w:tmpl w:val="941470D0"/>
    <w:lvl w:ilvl="0" w:tplc="6DA61206">
      <w:start w:val="1"/>
      <w:numFmt w:val="bullet"/>
      <w:lvlText w:val=""/>
      <w:lvlJc w:val="left"/>
      <w:pPr>
        <w:ind w:left="1440"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8" w15:restartNumberingAfterBreak="0">
    <w:nsid w:val="604331F6"/>
    <w:multiLevelType w:val="hybridMultilevel"/>
    <w:tmpl w:val="6CC091D2"/>
    <w:lvl w:ilvl="0" w:tplc="41D611C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9" w15:restartNumberingAfterBreak="0">
    <w:nsid w:val="60637E7B"/>
    <w:multiLevelType w:val="hybridMultilevel"/>
    <w:tmpl w:val="2EF26B86"/>
    <w:lvl w:ilvl="0" w:tplc="E384EE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62103D0A"/>
    <w:multiLevelType w:val="multilevel"/>
    <w:tmpl w:val="DAE28968"/>
    <w:lvl w:ilvl="0">
      <w:start w:val="1"/>
      <w:numFmt w:val="bullet"/>
      <w:lvlText w:val=""/>
      <w:lvlJc w:val="left"/>
      <w:pPr>
        <w:tabs>
          <w:tab w:val="num" w:pos="720"/>
        </w:tabs>
        <w:ind w:left="720" w:hanging="360"/>
      </w:pPr>
      <w:rPr>
        <w:rFonts w:ascii="Symbol" w:hAnsi="Symbol" w:hint="default"/>
        <w:b w:val="0"/>
        <w:i w:val="0"/>
        <w:strike w:val="0"/>
        <w:dstrike w:val="0"/>
        <w:color w:val="000000"/>
        <w:sz w:val="18"/>
        <w:szCs w:val="24"/>
        <w:u w:val="none" w:color="000000"/>
        <w:vertAlign w:val="baseline"/>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3ED41A7"/>
    <w:multiLevelType w:val="hybridMultilevel"/>
    <w:tmpl w:val="E10665DC"/>
    <w:lvl w:ilvl="0" w:tplc="BB34346E">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2" w15:restartNumberingAfterBreak="0">
    <w:nsid w:val="656D646D"/>
    <w:multiLevelType w:val="hybridMultilevel"/>
    <w:tmpl w:val="000AE00E"/>
    <w:lvl w:ilvl="0" w:tplc="571AFF2C">
      <w:start w:val="1"/>
      <w:numFmt w:val="bullet"/>
      <w:lvlText w:val=""/>
      <w:lvlJc w:val="left"/>
      <w:pPr>
        <w:ind w:left="1440"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3" w15:restartNumberingAfterBreak="0">
    <w:nsid w:val="65844896"/>
    <w:multiLevelType w:val="hybridMultilevel"/>
    <w:tmpl w:val="D1C4D05C"/>
    <w:lvl w:ilvl="0" w:tplc="0F6E3828">
      <w:start w:val="2"/>
      <w:numFmt w:val="bullet"/>
      <w:lvlText w:val=""/>
      <w:lvlJc w:val="left"/>
      <w:pPr>
        <w:ind w:left="3054" w:hanging="360"/>
      </w:pPr>
      <w:rPr>
        <w:rFonts w:ascii="Wingdings 2" w:hAnsi="Wingdings 2" w:hint="default"/>
        <w:color w:val="000000" w:themeColor="text1"/>
        <w:sz w:val="18"/>
      </w:rPr>
    </w:lvl>
    <w:lvl w:ilvl="1" w:tplc="0C090003" w:tentative="1">
      <w:start w:val="1"/>
      <w:numFmt w:val="bullet"/>
      <w:lvlText w:val="o"/>
      <w:lvlJc w:val="left"/>
      <w:pPr>
        <w:ind w:left="1488" w:hanging="360"/>
      </w:pPr>
      <w:rPr>
        <w:rFonts w:ascii="Courier New" w:hAnsi="Courier New" w:cs="Courier New" w:hint="default"/>
      </w:rPr>
    </w:lvl>
    <w:lvl w:ilvl="2" w:tplc="0C090005" w:tentative="1">
      <w:start w:val="1"/>
      <w:numFmt w:val="bullet"/>
      <w:lvlText w:val=""/>
      <w:lvlJc w:val="left"/>
      <w:pPr>
        <w:ind w:left="2208" w:hanging="360"/>
      </w:pPr>
      <w:rPr>
        <w:rFonts w:ascii="Wingdings" w:hAnsi="Wingdings" w:hint="default"/>
      </w:rPr>
    </w:lvl>
    <w:lvl w:ilvl="3" w:tplc="0C090001" w:tentative="1">
      <w:start w:val="1"/>
      <w:numFmt w:val="bullet"/>
      <w:lvlText w:val=""/>
      <w:lvlJc w:val="left"/>
      <w:pPr>
        <w:ind w:left="2928" w:hanging="360"/>
      </w:pPr>
      <w:rPr>
        <w:rFonts w:ascii="Symbol" w:hAnsi="Symbol" w:hint="default"/>
      </w:rPr>
    </w:lvl>
    <w:lvl w:ilvl="4" w:tplc="0C090003" w:tentative="1">
      <w:start w:val="1"/>
      <w:numFmt w:val="bullet"/>
      <w:lvlText w:val="o"/>
      <w:lvlJc w:val="left"/>
      <w:pPr>
        <w:ind w:left="3648" w:hanging="360"/>
      </w:pPr>
      <w:rPr>
        <w:rFonts w:ascii="Courier New" w:hAnsi="Courier New" w:cs="Courier New" w:hint="default"/>
      </w:rPr>
    </w:lvl>
    <w:lvl w:ilvl="5" w:tplc="0C090005" w:tentative="1">
      <w:start w:val="1"/>
      <w:numFmt w:val="bullet"/>
      <w:lvlText w:val=""/>
      <w:lvlJc w:val="left"/>
      <w:pPr>
        <w:ind w:left="4368" w:hanging="360"/>
      </w:pPr>
      <w:rPr>
        <w:rFonts w:ascii="Wingdings" w:hAnsi="Wingdings" w:hint="default"/>
      </w:rPr>
    </w:lvl>
    <w:lvl w:ilvl="6" w:tplc="0C090001" w:tentative="1">
      <w:start w:val="1"/>
      <w:numFmt w:val="bullet"/>
      <w:lvlText w:val=""/>
      <w:lvlJc w:val="left"/>
      <w:pPr>
        <w:ind w:left="5088" w:hanging="360"/>
      </w:pPr>
      <w:rPr>
        <w:rFonts w:ascii="Symbol" w:hAnsi="Symbol" w:hint="default"/>
      </w:rPr>
    </w:lvl>
    <w:lvl w:ilvl="7" w:tplc="0C090003" w:tentative="1">
      <w:start w:val="1"/>
      <w:numFmt w:val="bullet"/>
      <w:lvlText w:val="o"/>
      <w:lvlJc w:val="left"/>
      <w:pPr>
        <w:ind w:left="5808" w:hanging="360"/>
      </w:pPr>
      <w:rPr>
        <w:rFonts w:ascii="Courier New" w:hAnsi="Courier New" w:cs="Courier New" w:hint="default"/>
      </w:rPr>
    </w:lvl>
    <w:lvl w:ilvl="8" w:tplc="0C090005" w:tentative="1">
      <w:start w:val="1"/>
      <w:numFmt w:val="bullet"/>
      <w:lvlText w:val=""/>
      <w:lvlJc w:val="left"/>
      <w:pPr>
        <w:ind w:left="6528" w:hanging="360"/>
      </w:pPr>
      <w:rPr>
        <w:rFonts w:ascii="Wingdings" w:hAnsi="Wingdings" w:hint="default"/>
      </w:rPr>
    </w:lvl>
  </w:abstractNum>
  <w:abstractNum w:abstractNumId="104" w15:restartNumberingAfterBreak="0">
    <w:nsid w:val="663130DE"/>
    <w:multiLevelType w:val="hybridMultilevel"/>
    <w:tmpl w:val="D8A272D4"/>
    <w:lvl w:ilvl="0" w:tplc="E51CF5B6">
      <w:start w:val="1"/>
      <w:numFmt w:val="lowerLetter"/>
      <w:lvlText w:val="(%1)"/>
      <w:lvlJc w:val="left"/>
      <w:pPr>
        <w:tabs>
          <w:tab w:val="num" w:pos="360"/>
        </w:tabs>
        <w:ind w:left="0" w:firstLine="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5" w15:restartNumberingAfterBreak="0">
    <w:nsid w:val="67C42A07"/>
    <w:multiLevelType w:val="hybridMultilevel"/>
    <w:tmpl w:val="DC2ACC6C"/>
    <w:lvl w:ilvl="0" w:tplc="68AE37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6" w15:restartNumberingAfterBreak="0">
    <w:nsid w:val="69053EBF"/>
    <w:multiLevelType w:val="hybridMultilevel"/>
    <w:tmpl w:val="A89E63AC"/>
    <w:lvl w:ilvl="0" w:tplc="0C090001">
      <w:start w:val="1"/>
      <w:numFmt w:val="bullet"/>
      <w:lvlText w:val=""/>
      <w:lvlJc w:val="left"/>
      <w:pPr>
        <w:ind w:left="720" w:hanging="360"/>
      </w:pPr>
      <w:rPr>
        <w:rFonts w:ascii="Symbol" w:hAnsi="Symbol" w:hint="default"/>
        <w:color w:val="000000" w:themeColor="text1"/>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690C3A08"/>
    <w:multiLevelType w:val="hybridMultilevel"/>
    <w:tmpl w:val="6756D43E"/>
    <w:lvl w:ilvl="0" w:tplc="9FEA665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8" w15:restartNumberingAfterBreak="0">
    <w:nsid w:val="690F27FA"/>
    <w:multiLevelType w:val="hybridMultilevel"/>
    <w:tmpl w:val="C4B27EF4"/>
    <w:lvl w:ilvl="0" w:tplc="F7F2B73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9" w15:restartNumberingAfterBreak="0">
    <w:nsid w:val="69941F9B"/>
    <w:multiLevelType w:val="hybridMultilevel"/>
    <w:tmpl w:val="4D064A32"/>
    <w:lvl w:ilvl="0" w:tplc="9558DAFA">
      <w:start w:val="5"/>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0" w15:restartNumberingAfterBreak="0">
    <w:nsid w:val="69D43ED1"/>
    <w:multiLevelType w:val="hybridMultilevel"/>
    <w:tmpl w:val="6B3C4FA6"/>
    <w:lvl w:ilvl="0" w:tplc="9DAC6580">
      <w:start w:val="1"/>
      <w:numFmt w:val="bullet"/>
      <w:lvlText w:val=""/>
      <w:lvlJc w:val="left"/>
      <w:pPr>
        <w:ind w:left="720" w:hanging="360"/>
      </w:pPr>
      <w:rPr>
        <w:rFonts w:ascii="Symbol" w:hAnsi="Symbo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1" w15:restartNumberingAfterBreak="0">
    <w:nsid w:val="6AA1765A"/>
    <w:multiLevelType w:val="hybridMultilevel"/>
    <w:tmpl w:val="835A750A"/>
    <w:lvl w:ilvl="0" w:tplc="81CC13A2">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2" w15:restartNumberingAfterBreak="0">
    <w:nsid w:val="6AAD3B83"/>
    <w:multiLevelType w:val="hybridMultilevel"/>
    <w:tmpl w:val="7B6C5BE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13" w15:restartNumberingAfterBreak="0">
    <w:nsid w:val="6B6147CE"/>
    <w:multiLevelType w:val="hybridMultilevel"/>
    <w:tmpl w:val="AA82A9EE"/>
    <w:lvl w:ilvl="0" w:tplc="57C6B35C">
      <w:start w:val="1"/>
      <w:numFmt w:val="decimal"/>
      <w:lvlText w:val="(%1)"/>
      <w:lvlJc w:val="left"/>
      <w:pPr>
        <w:ind w:left="1353" w:hanging="360"/>
      </w:pPr>
      <w:rPr>
        <w:rFonts w:hint="default"/>
        <w:b w:val="0"/>
        <w:bCs/>
        <w:u w:val="none"/>
      </w:rPr>
    </w:lvl>
    <w:lvl w:ilvl="1" w:tplc="0C090019" w:tentative="1">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14" w15:restartNumberingAfterBreak="0">
    <w:nsid w:val="6F7E0569"/>
    <w:multiLevelType w:val="hybridMultilevel"/>
    <w:tmpl w:val="993C20C4"/>
    <w:lvl w:ilvl="0" w:tplc="41D611C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5" w15:restartNumberingAfterBreak="0">
    <w:nsid w:val="70287A9E"/>
    <w:multiLevelType w:val="hybridMultilevel"/>
    <w:tmpl w:val="B7BC3D58"/>
    <w:lvl w:ilvl="0" w:tplc="B12201B8">
      <w:start w:val="1"/>
      <w:numFmt w:val="lowerRoman"/>
      <w:lvlText w:val="(%1)"/>
      <w:lvlJc w:val="left"/>
      <w:pPr>
        <w:ind w:left="107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6" w15:restartNumberingAfterBreak="0">
    <w:nsid w:val="71046D46"/>
    <w:multiLevelType w:val="hybridMultilevel"/>
    <w:tmpl w:val="D2EA0956"/>
    <w:lvl w:ilvl="0" w:tplc="ECDA1482">
      <w:start w:val="1"/>
      <w:numFmt w:val="bullet"/>
      <w:lvlText w:val=""/>
      <w:lvlJc w:val="left"/>
      <w:pPr>
        <w:ind w:left="1287" w:hanging="360"/>
      </w:pPr>
      <w:rPr>
        <w:rFonts w:ascii="Symbol" w:hAnsi="Symbol" w:hint="default"/>
        <w:sz w:val="20"/>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7" w15:restartNumberingAfterBreak="0">
    <w:nsid w:val="73DF781F"/>
    <w:multiLevelType w:val="hybridMultilevel"/>
    <w:tmpl w:val="73E0C9BA"/>
    <w:lvl w:ilvl="0" w:tplc="66C888AA">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8" w15:restartNumberingAfterBreak="0">
    <w:nsid w:val="74E12205"/>
    <w:multiLevelType w:val="hybridMultilevel"/>
    <w:tmpl w:val="8A06796C"/>
    <w:lvl w:ilvl="0" w:tplc="18549A1E">
      <w:start w:val="2"/>
      <w:numFmt w:val="bullet"/>
      <w:lvlText w:val=""/>
      <w:lvlJc w:val="left"/>
      <w:pPr>
        <w:ind w:left="720" w:hanging="360"/>
      </w:pPr>
      <w:rPr>
        <w:rFonts w:ascii="Wingdings 2" w:hAnsi="Wingdings 2" w:hint="default"/>
        <w:color w:val="000000" w:themeColor="text1"/>
        <w:sz w:val="18"/>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9" w15:restartNumberingAfterBreak="0">
    <w:nsid w:val="755923AF"/>
    <w:multiLevelType w:val="hybridMultilevel"/>
    <w:tmpl w:val="97588E5E"/>
    <w:lvl w:ilvl="0" w:tplc="CFEAF578">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20" w15:restartNumberingAfterBreak="0">
    <w:nsid w:val="75AC200D"/>
    <w:multiLevelType w:val="hybridMultilevel"/>
    <w:tmpl w:val="AA3C5EE6"/>
    <w:lvl w:ilvl="0" w:tplc="0ADA979A">
      <w:start w:val="1"/>
      <w:numFmt w:val="lowerLetter"/>
      <w:lvlText w:val="(%1)"/>
      <w:lvlJc w:val="left"/>
      <w:pPr>
        <w:ind w:left="343" w:hanging="283"/>
      </w:pPr>
      <w:rPr>
        <w:rFonts w:ascii="Arial" w:hAnsi="Arial" w:hint="default"/>
        <w:sz w:val="1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1" w15:restartNumberingAfterBreak="0">
    <w:nsid w:val="75E651BA"/>
    <w:multiLevelType w:val="hybridMultilevel"/>
    <w:tmpl w:val="1D661982"/>
    <w:lvl w:ilvl="0" w:tplc="20047AC8">
      <w:start w:val="1"/>
      <w:numFmt w:val="bullet"/>
      <w:lvlText w:val=""/>
      <w:lvlJc w:val="left"/>
      <w:pPr>
        <w:ind w:left="1440" w:hanging="360"/>
      </w:pPr>
      <w:rPr>
        <w:rFonts w:ascii="Symbol" w:hAnsi="Symbol" w:hint="default"/>
        <w:b w:val="0"/>
        <w:i w:val="0"/>
        <w:strike w:val="0"/>
        <w:dstrike w:val="0"/>
        <w:color w:val="000000"/>
        <w:sz w:val="20"/>
        <w:szCs w:val="24"/>
        <w:u w:val="none" w:color="000000"/>
        <w:vertAlign w:val="baseline"/>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2" w15:restartNumberingAfterBreak="0">
    <w:nsid w:val="7770600B"/>
    <w:multiLevelType w:val="hybridMultilevel"/>
    <w:tmpl w:val="BCA0BDC4"/>
    <w:lvl w:ilvl="0" w:tplc="0C090001">
      <w:start w:val="1"/>
      <w:numFmt w:val="bullet"/>
      <w:lvlText w:val=""/>
      <w:lvlJc w:val="left"/>
      <w:pPr>
        <w:ind w:left="1077" w:hanging="360"/>
      </w:pPr>
      <w:rPr>
        <w:rFonts w:ascii="Symbol" w:hAnsi="Symbol"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23" w15:restartNumberingAfterBreak="0">
    <w:nsid w:val="79853AEB"/>
    <w:multiLevelType w:val="hybridMultilevel"/>
    <w:tmpl w:val="E2D0C044"/>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124" w15:restartNumberingAfterBreak="0">
    <w:nsid w:val="7B525E9C"/>
    <w:multiLevelType w:val="hybridMultilevel"/>
    <w:tmpl w:val="B1B61486"/>
    <w:lvl w:ilvl="0" w:tplc="2452C8CE">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5" w15:restartNumberingAfterBreak="0">
    <w:nsid w:val="7C4A7E53"/>
    <w:multiLevelType w:val="hybridMultilevel"/>
    <w:tmpl w:val="E46454EC"/>
    <w:lvl w:ilvl="0" w:tplc="69E871B6">
      <w:start w:val="1"/>
      <w:numFmt w:val="decimal"/>
      <w:lvlText w:val="(%1)"/>
      <w:lvlJc w:val="left"/>
      <w:pPr>
        <w:ind w:left="717" w:hanging="360"/>
      </w:pPr>
      <w:rPr>
        <w:rFonts w:hint="default"/>
      </w:rPr>
    </w:lvl>
    <w:lvl w:ilvl="1" w:tplc="0C090019" w:tentative="1">
      <w:start w:val="1"/>
      <w:numFmt w:val="lowerLetter"/>
      <w:lvlText w:val="%2."/>
      <w:lvlJc w:val="left"/>
      <w:pPr>
        <w:ind w:left="1437" w:hanging="360"/>
      </w:pPr>
    </w:lvl>
    <w:lvl w:ilvl="2" w:tplc="0C09001B" w:tentative="1">
      <w:start w:val="1"/>
      <w:numFmt w:val="lowerRoman"/>
      <w:lvlText w:val="%3."/>
      <w:lvlJc w:val="right"/>
      <w:pPr>
        <w:ind w:left="2157" w:hanging="180"/>
      </w:pPr>
    </w:lvl>
    <w:lvl w:ilvl="3" w:tplc="0C09000F" w:tentative="1">
      <w:start w:val="1"/>
      <w:numFmt w:val="decimal"/>
      <w:lvlText w:val="%4."/>
      <w:lvlJc w:val="left"/>
      <w:pPr>
        <w:ind w:left="2877" w:hanging="360"/>
      </w:pPr>
    </w:lvl>
    <w:lvl w:ilvl="4" w:tplc="0C090019" w:tentative="1">
      <w:start w:val="1"/>
      <w:numFmt w:val="lowerLetter"/>
      <w:lvlText w:val="%5."/>
      <w:lvlJc w:val="left"/>
      <w:pPr>
        <w:ind w:left="3597" w:hanging="360"/>
      </w:pPr>
    </w:lvl>
    <w:lvl w:ilvl="5" w:tplc="0C09001B" w:tentative="1">
      <w:start w:val="1"/>
      <w:numFmt w:val="lowerRoman"/>
      <w:lvlText w:val="%6."/>
      <w:lvlJc w:val="right"/>
      <w:pPr>
        <w:ind w:left="4317" w:hanging="180"/>
      </w:pPr>
    </w:lvl>
    <w:lvl w:ilvl="6" w:tplc="0C09000F" w:tentative="1">
      <w:start w:val="1"/>
      <w:numFmt w:val="decimal"/>
      <w:lvlText w:val="%7."/>
      <w:lvlJc w:val="left"/>
      <w:pPr>
        <w:ind w:left="5037" w:hanging="360"/>
      </w:pPr>
    </w:lvl>
    <w:lvl w:ilvl="7" w:tplc="0C090019" w:tentative="1">
      <w:start w:val="1"/>
      <w:numFmt w:val="lowerLetter"/>
      <w:lvlText w:val="%8."/>
      <w:lvlJc w:val="left"/>
      <w:pPr>
        <w:ind w:left="5757" w:hanging="360"/>
      </w:pPr>
    </w:lvl>
    <w:lvl w:ilvl="8" w:tplc="0C09001B" w:tentative="1">
      <w:start w:val="1"/>
      <w:numFmt w:val="lowerRoman"/>
      <w:lvlText w:val="%9."/>
      <w:lvlJc w:val="right"/>
      <w:pPr>
        <w:ind w:left="6477" w:hanging="180"/>
      </w:pPr>
    </w:lvl>
  </w:abstractNum>
  <w:abstractNum w:abstractNumId="126" w15:restartNumberingAfterBreak="0">
    <w:nsid w:val="7C6F71FA"/>
    <w:multiLevelType w:val="hybridMultilevel"/>
    <w:tmpl w:val="A5683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7" w15:restartNumberingAfterBreak="0">
    <w:nsid w:val="7E195CB7"/>
    <w:multiLevelType w:val="hybridMultilevel"/>
    <w:tmpl w:val="342034C8"/>
    <w:lvl w:ilvl="0" w:tplc="41D611C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8" w15:restartNumberingAfterBreak="0">
    <w:nsid w:val="7E567C30"/>
    <w:multiLevelType w:val="hybridMultilevel"/>
    <w:tmpl w:val="10B0B540"/>
    <w:lvl w:ilvl="0" w:tplc="B30A1536">
      <w:start w:val="2"/>
      <w:numFmt w:val="decimal"/>
      <w:lvlText w:val="(%1)"/>
      <w:lvlJc w:val="left"/>
      <w:pPr>
        <w:ind w:left="3600" w:hanging="360"/>
      </w:pPr>
      <w:rPr>
        <w:rFonts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9" w15:restartNumberingAfterBreak="0">
    <w:nsid w:val="7E7B7994"/>
    <w:multiLevelType w:val="hybridMultilevel"/>
    <w:tmpl w:val="04D0EE58"/>
    <w:lvl w:ilvl="0" w:tplc="FFFFFFFF">
      <w:start w:val="1"/>
      <w:numFmt w:val="lowerLetter"/>
      <w:lvlText w:val="(%1)"/>
      <w:lvlJc w:val="left"/>
      <w:pPr>
        <w:ind w:left="343" w:hanging="283"/>
      </w:pPr>
      <w:rPr>
        <w:rFonts w:ascii="Arial" w:hAnsi="Arial" w:hint="default"/>
        <w:sz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0" w15:restartNumberingAfterBreak="0">
    <w:nsid w:val="7FDE2DE6"/>
    <w:multiLevelType w:val="hybridMultilevel"/>
    <w:tmpl w:val="22E03E8A"/>
    <w:lvl w:ilvl="0" w:tplc="3F9804AA">
      <w:start w:val="1"/>
      <w:numFmt w:val="lowerLetter"/>
      <w:lvlText w:val="(%1)"/>
      <w:lvlJc w:val="left"/>
      <w:pPr>
        <w:tabs>
          <w:tab w:val="num" w:pos="1440"/>
        </w:tabs>
        <w:ind w:left="1440" w:hanging="360"/>
      </w:pPr>
      <w:rPr>
        <w:rFonts w:ascii="Arial" w:hAnsi="Arial" w:hint="default"/>
        <w:sz w:val="2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522785249">
    <w:abstractNumId w:val="70"/>
  </w:num>
  <w:num w:numId="2" w16cid:durableId="667100179">
    <w:abstractNumId w:val="54"/>
  </w:num>
  <w:num w:numId="3" w16cid:durableId="1030763971">
    <w:abstractNumId w:val="89"/>
  </w:num>
  <w:num w:numId="4" w16cid:durableId="1095903378">
    <w:abstractNumId w:val="48"/>
  </w:num>
  <w:num w:numId="5" w16cid:durableId="1090390558">
    <w:abstractNumId w:val="90"/>
  </w:num>
  <w:num w:numId="6" w16cid:durableId="826285262">
    <w:abstractNumId w:val="83"/>
  </w:num>
  <w:num w:numId="7" w16cid:durableId="1169952503">
    <w:abstractNumId w:val="77"/>
  </w:num>
  <w:num w:numId="8" w16cid:durableId="1057436219">
    <w:abstractNumId w:val="39"/>
  </w:num>
  <w:num w:numId="9" w16cid:durableId="1857575179">
    <w:abstractNumId w:val="42"/>
  </w:num>
  <w:num w:numId="10" w16cid:durableId="365756567">
    <w:abstractNumId w:val="31"/>
  </w:num>
  <w:num w:numId="11" w16cid:durableId="1499691388">
    <w:abstractNumId w:val="53"/>
  </w:num>
  <w:num w:numId="12" w16cid:durableId="219873556">
    <w:abstractNumId w:val="117"/>
  </w:num>
  <w:num w:numId="13" w16cid:durableId="1412039737">
    <w:abstractNumId w:val="84"/>
  </w:num>
  <w:num w:numId="14" w16cid:durableId="1722634767">
    <w:abstractNumId w:val="36"/>
  </w:num>
  <w:num w:numId="15" w16cid:durableId="1683430858">
    <w:abstractNumId w:val="22"/>
  </w:num>
  <w:num w:numId="16" w16cid:durableId="1899315270">
    <w:abstractNumId w:val="92"/>
  </w:num>
  <w:num w:numId="17" w16cid:durableId="1013843005">
    <w:abstractNumId w:val="34"/>
  </w:num>
  <w:num w:numId="18" w16cid:durableId="1595433830">
    <w:abstractNumId w:val="87"/>
  </w:num>
  <w:num w:numId="19" w16cid:durableId="1375423728">
    <w:abstractNumId w:val="85"/>
  </w:num>
  <w:num w:numId="20" w16cid:durableId="105403695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77363866">
    <w:abstractNumId w:val="12"/>
  </w:num>
  <w:num w:numId="22" w16cid:durableId="619410932">
    <w:abstractNumId w:val="32"/>
  </w:num>
  <w:num w:numId="23" w16cid:durableId="2128889759">
    <w:abstractNumId w:val="23"/>
  </w:num>
  <w:num w:numId="24" w16cid:durableId="1622609036">
    <w:abstractNumId w:val="45"/>
  </w:num>
  <w:num w:numId="25" w16cid:durableId="49577978">
    <w:abstractNumId w:val="0"/>
  </w:num>
  <w:num w:numId="26" w16cid:durableId="1967543901">
    <w:abstractNumId w:val="82"/>
  </w:num>
  <w:num w:numId="27" w16cid:durableId="373578614">
    <w:abstractNumId w:val="96"/>
  </w:num>
  <w:num w:numId="28" w16cid:durableId="409042202">
    <w:abstractNumId w:val="56"/>
  </w:num>
  <w:num w:numId="29" w16cid:durableId="1173034479">
    <w:abstractNumId w:val="46"/>
  </w:num>
  <w:num w:numId="30" w16cid:durableId="1121803802">
    <w:abstractNumId w:val="88"/>
  </w:num>
  <w:num w:numId="31" w16cid:durableId="605239468">
    <w:abstractNumId w:val="40"/>
  </w:num>
  <w:num w:numId="32" w16cid:durableId="1730224890">
    <w:abstractNumId w:val="27"/>
  </w:num>
  <w:num w:numId="33" w16cid:durableId="2085293966">
    <w:abstractNumId w:val="29"/>
  </w:num>
  <w:num w:numId="34" w16cid:durableId="624117764">
    <w:abstractNumId w:val="75"/>
  </w:num>
  <w:num w:numId="35" w16cid:durableId="2065716157">
    <w:abstractNumId w:val="11"/>
  </w:num>
  <w:num w:numId="36" w16cid:durableId="1108622452">
    <w:abstractNumId w:val="116"/>
  </w:num>
  <w:num w:numId="37" w16cid:durableId="687486289">
    <w:abstractNumId w:val="63"/>
  </w:num>
  <w:num w:numId="38" w16cid:durableId="445658153">
    <w:abstractNumId w:val="66"/>
  </w:num>
  <w:num w:numId="39" w16cid:durableId="1929580243">
    <w:abstractNumId w:val="102"/>
  </w:num>
  <w:num w:numId="40" w16cid:durableId="1430588050">
    <w:abstractNumId w:val="97"/>
  </w:num>
  <w:num w:numId="41" w16cid:durableId="852258239">
    <w:abstractNumId w:val="121"/>
  </w:num>
  <w:num w:numId="42" w16cid:durableId="643462097">
    <w:abstractNumId w:val="100"/>
  </w:num>
  <w:num w:numId="43" w16cid:durableId="1940988471">
    <w:abstractNumId w:val="73"/>
  </w:num>
  <w:num w:numId="44" w16cid:durableId="534192866">
    <w:abstractNumId w:val="19"/>
  </w:num>
  <w:num w:numId="45" w16cid:durableId="197815444">
    <w:abstractNumId w:val="43"/>
  </w:num>
  <w:num w:numId="46" w16cid:durableId="68230376">
    <w:abstractNumId w:val="112"/>
  </w:num>
  <w:num w:numId="47" w16cid:durableId="1867060503">
    <w:abstractNumId w:val="49"/>
  </w:num>
  <w:num w:numId="48" w16cid:durableId="886264375">
    <w:abstractNumId w:val="122"/>
  </w:num>
  <w:num w:numId="49" w16cid:durableId="712771476">
    <w:abstractNumId w:val="93"/>
  </w:num>
  <w:num w:numId="50" w16cid:durableId="701634220">
    <w:abstractNumId w:val="30"/>
  </w:num>
  <w:num w:numId="51" w16cid:durableId="327632483">
    <w:abstractNumId w:val="91"/>
  </w:num>
  <w:num w:numId="52" w16cid:durableId="2048018847">
    <w:abstractNumId w:val="52"/>
  </w:num>
  <w:num w:numId="53" w16cid:durableId="459348683">
    <w:abstractNumId w:val="94"/>
  </w:num>
  <w:num w:numId="54" w16cid:durableId="1629121092">
    <w:abstractNumId w:val="58"/>
  </w:num>
  <w:num w:numId="55" w16cid:durableId="1064640948">
    <w:abstractNumId w:val="60"/>
  </w:num>
  <w:num w:numId="56" w16cid:durableId="623804186">
    <w:abstractNumId w:val="6"/>
  </w:num>
  <w:num w:numId="57" w16cid:durableId="1411543255">
    <w:abstractNumId w:val="8"/>
  </w:num>
  <w:num w:numId="58" w16cid:durableId="66659538">
    <w:abstractNumId w:val="18"/>
  </w:num>
  <w:num w:numId="59" w16cid:durableId="565603841">
    <w:abstractNumId w:val="123"/>
  </w:num>
  <w:num w:numId="60" w16cid:durableId="2012903018">
    <w:abstractNumId w:val="41"/>
  </w:num>
  <w:num w:numId="61" w16cid:durableId="356661448">
    <w:abstractNumId w:val="4"/>
  </w:num>
  <w:num w:numId="62" w16cid:durableId="907420305">
    <w:abstractNumId w:val="79"/>
  </w:num>
  <w:num w:numId="63" w16cid:durableId="740567411">
    <w:abstractNumId w:val="3"/>
  </w:num>
  <w:num w:numId="64" w16cid:durableId="1685017088">
    <w:abstractNumId w:val="2"/>
  </w:num>
  <w:num w:numId="65" w16cid:durableId="208151720">
    <w:abstractNumId w:val="119"/>
  </w:num>
  <w:num w:numId="66" w16cid:durableId="1135295812">
    <w:abstractNumId w:val="47"/>
  </w:num>
  <w:num w:numId="67" w16cid:durableId="144202013">
    <w:abstractNumId w:val="129"/>
  </w:num>
  <w:num w:numId="68" w16cid:durableId="1135176402">
    <w:abstractNumId w:val="72"/>
  </w:num>
  <w:num w:numId="69" w16cid:durableId="1021008147">
    <w:abstractNumId w:val="120"/>
  </w:num>
  <w:num w:numId="70" w16cid:durableId="190194053">
    <w:abstractNumId w:val="25"/>
  </w:num>
  <w:num w:numId="71" w16cid:durableId="658457877">
    <w:abstractNumId w:val="7"/>
  </w:num>
  <w:num w:numId="72" w16cid:durableId="1387605193">
    <w:abstractNumId w:val="86"/>
  </w:num>
  <w:num w:numId="73" w16cid:durableId="1337414254">
    <w:abstractNumId w:val="64"/>
  </w:num>
  <w:num w:numId="74" w16cid:durableId="220214930">
    <w:abstractNumId w:val="50"/>
  </w:num>
  <w:num w:numId="75" w16cid:durableId="1851140690">
    <w:abstractNumId w:val="57"/>
  </w:num>
  <w:num w:numId="76" w16cid:durableId="1877347510">
    <w:abstractNumId w:val="113"/>
  </w:num>
  <w:num w:numId="77" w16cid:durableId="244842758">
    <w:abstractNumId w:val="17"/>
  </w:num>
  <w:num w:numId="78" w16cid:durableId="2129734192">
    <w:abstractNumId w:val="111"/>
  </w:num>
  <w:num w:numId="79" w16cid:durableId="1504778408">
    <w:abstractNumId w:val="38"/>
  </w:num>
  <w:num w:numId="80" w16cid:durableId="813721888">
    <w:abstractNumId w:val="107"/>
  </w:num>
  <w:num w:numId="81" w16cid:durableId="1374844400">
    <w:abstractNumId w:val="61"/>
  </w:num>
  <w:num w:numId="82" w16cid:durableId="1898280383">
    <w:abstractNumId w:val="5"/>
  </w:num>
  <w:num w:numId="83" w16cid:durableId="1839615316">
    <w:abstractNumId w:val="80"/>
  </w:num>
  <w:num w:numId="84" w16cid:durableId="794524072">
    <w:abstractNumId w:val="115"/>
  </w:num>
  <w:num w:numId="85" w16cid:durableId="1731996932">
    <w:abstractNumId w:val="71"/>
  </w:num>
  <w:num w:numId="86" w16cid:durableId="76094697">
    <w:abstractNumId w:val="99"/>
  </w:num>
  <w:num w:numId="87" w16cid:durableId="371199777">
    <w:abstractNumId w:val="55"/>
  </w:num>
  <w:num w:numId="88" w16cid:durableId="1958293171">
    <w:abstractNumId w:val="67"/>
  </w:num>
  <w:num w:numId="89" w16cid:durableId="2125882037">
    <w:abstractNumId w:val="16"/>
  </w:num>
  <w:num w:numId="90" w16cid:durableId="704212579">
    <w:abstractNumId w:val="26"/>
  </w:num>
  <w:num w:numId="91" w16cid:durableId="1490714167">
    <w:abstractNumId w:val="106"/>
  </w:num>
  <w:num w:numId="92" w16cid:durableId="1477720084">
    <w:abstractNumId w:val="13"/>
  </w:num>
  <w:num w:numId="93" w16cid:durableId="741491668">
    <w:abstractNumId w:val="114"/>
  </w:num>
  <w:num w:numId="94" w16cid:durableId="503131766">
    <w:abstractNumId w:val="127"/>
  </w:num>
  <w:num w:numId="95" w16cid:durableId="1833909815">
    <w:abstractNumId w:val="108"/>
  </w:num>
  <w:num w:numId="96" w16cid:durableId="1289317265">
    <w:abstractNumId w:val="78"/>
  </w:num>
  <w:num w:numId="97" w16cid:durableId="1184629747">
    <w:abstractNumId w:val="14"/>
  </w:num>
  <w:num w:numId="98" w16cid:durableId="466096370">
    <w:abstractNumId w:val="98"/>
  </w:num>
  <w:num w:numId="99" w16cid:durableId="483468568">
    <w:abstractNumId w:val="74"/>
  </w:num>
  <w:num w:numId="100" w16cid:durableId="366491284">
    <w:abstractNumId w:val="130"/>
  </w:num>
  <w:num w:numId="101" w16cid:durableId="440272021">
    <w:abstractNumId w:val="126"/>
  </w:num>
  <w:num w:numId="102" w16cid:durableId="387342016">
    <w:abstractNumId w:val="110"/>
  </w:num>
  <w:num w:numId="103" w16cid:durableId="2031494278">
    <w:abstractNumId w:val="105"/>
  </w:num>
  <w:num w:numId="104" w16cid:durableId="887227857">
    <w:abstractNumId w:val="35"/>
  </w:num>
  <w:num w:numId="105" w16cid:durableId="1855876722">
    <w:abstractNumId w:val="95"/>
  </w:num>
  <w:num w:numId="106" w16cid:durableId="1778980913">
    <w:abstractNumId w:val="62"/>
  </w:num>
  <w:num w:numId="107" w16cid:durableId="1249735636">
    <w:abstractNumId w:val="33"/>
  </w:num>
  <w:num w:numId="108" w16cid:durableId="1505820877">
    <w:abstractNumId w:val="118"/>
  </w:num>
  <w:num w:numId="109" w16cid:durableId="698236029">
    <w:abstractNumId w:val="28"/>
  </w:num>
  <w:num w:numId="110" w16cid:durableId="494338797">
    <w:abstractNumId w:val="128"/>
  </w:num>
  <w:num w:numId="111" w16cid:durableId="345793300">
    <w:abstractNumId w:val="59"/>
  </w:num>
  <w:num w:numId="112" w16cid:durableId="881670392">
    <w:abstractNumId w:val="65"/>
  </w:num>
  <w:num w:numId="113" w16cid:durableId="513692545">
    <w:abstractNumId w:val="51"/>
  </w:num>
  <w:num w:numId="114" w16cid:durableId="226649178">
    <w:abstractNumId w:val="20"/>
  </w:num>
  <w:num w:numId="115" w16cid:durableId="450438517">
    <w:abstractNumId w:val="44"/>
  </w:num>
  <w:num w:numId="116" w16cid:durableId="405038331">
    <w:abstractNumId w:val="76"/>
  </w:num>
  <w:num w:numId="117" w16cid:durableId="1720668755">
    <w:abstractNumId w:val="1"/>
  </w:num>
  <w:num w:numId="118" w16cid:durableId="2141265660">
    <w:abstractNumId w:val="101"/>
  </w:num>
  <w:num w:numId="119" w16cid:durableId="1356804458">
    <w:abstractNumId w:val="109"/>
  </w:num>
  <w:num w:numId="120" w16cid:durableId="2142455208">
    <w:abstractNumId w:val="10"/>
  </w:num>
  <w:num w:numId="121" w16cid:durableId="655959078">
    <w:abstractNumId w:val="24"/>
  </w:num>
  <w:num w:numId="122" w16cid:durableId="2142183696">
    <w:abstractNumId w:val="37"/>
  </w:num>
  <w:num w:numId="123" w16cid:durableId="1666274341">
    <w:abstractNumId w:val="81"/>
  </w:num>
  <w:num w:numId="124" w16cid:durableId="1717852425">
    <w:abstractNumId w:val="104"/>
  </w:num>
  <w:num w:numId="125" w16cid:durableId="1335182398">
    <w:abstractNumId w:val="68"/>
  </w:num>
  <w:num w:numId="126" w16cid:durableId="664286640">
    <w:abstractNumId w:val="103"/>
  </w:num>
  <w:num w:numId="127" w16cid:durableId="640689783">
    <w:abstractNumId w:val="69"/>
  </w:num>
  <w:num w:numId="128" w16cid:durableId="930159122">
    <w:abstractNumId w:val="21"/>
  </w:num>
  <w:num w:numId="129" w16cid:durableId="1729255713">
    <w:abstractNumId w:val="9"/>
  </w:num>
  <w:num w:numId="130" w16cid:durableId="1086265304">
    <w:abstractNumId w:val="124"/>
  </w:num>
  <w:num w:numId="131" w16cid:durableId="1621109703">
    <w:abstractNumId w:val="125"/>
  </w:num>
  <w:numIdMacAtCleanup w:val="1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eter Power (CSV)">
    <w15:presenceInfo w15:providerId="AD" w15:userId="S::ptp@courts.vic.gov.au::e7a0e050-5f71-40fd-b178-04c6111bc0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8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036"/>
    <w:rsid w:val="000001EC"/>
    <w:rsid w:val="0000048D"/>
    <w:rsid w:val="000020F9"/>
    <w:rsid w:val="000029C0"/>
    <w:rsid w:val="00003338"/>
    <w:rsid w:val="00003712"/>
    <w:rsid w:val="0000550B"/>
    <w:rsid w:val="00007A96"/>
    <w:rsid w:val="000100ED"/>
    <w:rsid w:val="00011BE3"/>
    <w:rsid w:val="000122D2"/>
    <w:rsid w:val="0001233F"/>
    <w:rsid w:val="00013255"/>
    <w:rsid w:val="000159E7"/>
    <w:rsid w:val="0001660B"/>
    <w:rsid w:val="0002016B"/>
    <w:rsid w:val="00023B43"/>
    <w:rsid w:val="00024058"/>
    <w:rsid w:val="00025BEF"/>
    <w:rsid w:val="00027CA9"/>
    <w:rsid w:val="00031603"/>
    <w:rsid w:val="00033244"/>
    <w:rsid w:val="000334B5"/>
    <w:rsid w:val="00035AA7"/>
    <w:rsid w:val="00035D34"/>
    <w:rsid w:val="00037294"/>
    <w:rsid w:val="000401B8"/>
    <w:rsid w:val="000416BB"/>
    <w:rsid w:val="00042850"/>
    <w:rsid w:val="00042E29"/>
    <w:rsid w:val="0004342A"/>
    <w:rsid w:val="000438D8"/>
    <w:rsid w:val="00044192"/>
    <w:rsid w:val="000450E0"/>
    <w:rsid w:val="0005034E"/>
    <w:rsid w:val="00050673"/>
    <w:rsid w:val="000506E2"/>
    <w:rsid w:val="000510E3"/>
    <w:rsid w:val="00051932"/>
    <w:rsid w:val="00052510"/>
    <w:rsid w:val="00053497"/>
    <w:rsid w:val="000542C4"/>
    <w:rsid w:val="0005475F"/>
    <w:rsid w:val="00054E19"/>
    <w:rsid w:val="000559EC"/>
    <w:rsid w:val="00056170"/>
    <w:rsid w:val="000563DD"/>
    <w:rsid w:val="0006007B"/>
    <w:rsid w:val="00062D40"/>
    <w:rsid w:val="00063F65"/>
    <w:rsid w:val="00065679"/>
    <w:rsid w:val="0006615F"/>
    <w:rsid w:val="000666F2"/>
    <w:rsid w:val="00066C4D"/>
    <w:rsid w:val="00070046"/>
    <w:rsid w:val="00074CAF"/>
    <w:rsid w:val="00075993"/>
    <w:rsid w:val="00077A4E"/>
    <w:rsid w:val="00077DAC"/>
    <w:rsid w:val="00081210"/>
    <w:rsid w:val="000815F7"/>
    <w:rsid w:val="000824BA"/>
    <w:rsid w:val="00082624"/>
    <w:rsid w:val="00086F18"/>
    <w:rsid w:val="00087105"/>
    <w:rsid w:val="00093781"/>
    <w:rsid w:val="00094516"/>
    <w:rsid w:val="00094C19"/>
    <w:rsid w:val="000977FA"/>
    <w:rsid w:val="00097A0F"/>
    <w:rsid w:val="000A2478"/>
    <w:rsid w:val="000A273E"/>
    <w:rsid w:val="000A596D"/>
    <w:rsid w:val="000A777D"/>
    <w:rsid w:val="000A7816"/>
    <w:rsid w:val="000B0C64"/>
    <w:rsid w:val="000B25A8"/>
    <w:rsid w:val="000B268C"/>
    <w:rsid w:val="000B2AC9"/>
    <w:rsid w:val="000B380D"/>
    <w:rsid w:val="000B4028"/>
    <w:rsid w:val="000B405A"/>
    <w:rsid w:val="000B4ECA"/>
    <w:rsid w:val="000C1184"/>
    <w:rsid w:val="000C13A2"/>
    <w:rsid w:val="000C34B6"/>
    <w:rsid w:val="000C3A59"/>
    <w:rsid w:val="000C4068"/>
    <w:rsid w:val="000C56B3"/>
    <w:rsid w:val="000C6AE1"/>
    <w:rsid w:val="000C6BDC"/>
    <w:rsid w:val="000D0D3F"/>
    <w:rsid w:val="000D17BB"/>
    <w:rsid w:val="000D1EA2"/>
    <w:rsid w:val="000D305F"/>
    <w:rsid w:val="000D3BF4"/>
    <w:rsid w:val="000D3DC6"/>
    <w:rsid w:val="000D3EA4"/>
    <w:rsid w:val="000D4E00"/>
    <w:rsid w:val="000D66B2"/>
    <w:rsid w:val="000E0CD5"/>
    <w:rsid w:val="000E191D"/>
    <w:rsid w:val="000E488C"/>
    <w:rsid w:val="000E4E30"/>
    <w:rsid w:val="000E698C"/>
    <w:rsid w:val="000F23E7"/>
    <w:rsid w:val="000F262D"/>
    <w:rsid w:val="000F2CF6"/>
    <w:rsid w:val="000F4540"/>
    <w:rsid w:val="000F5140"/>
    <w:rsid w:val="000F546D"/>
    <w:rsid w:val="000F54A2"/>
    <w:rsid w:val="000F628C"/>
    <w:rsid w:val="001003B8"/>
    <w:rsid w:val="00104360"/>
    <w:rsid w:val="001048BD"/>
    <w:rsid w:val="00104E43"/>
    <w:rsid w:val="001062CC"/>
    <w:rsid w:val="001066A6"/>
    <w:rsid w:val="00110383"/>
    <w:rsid w:val="00112A78"/>
    <w:rsid w:val="00112D4E"/>
    <w:rsid w:val="00117B42"/>
    <w:rsid w:val="00122E84"/>
    <w:rsid w:val="00124048"/>
    <w:rsid w:val="001245BC"/>
    <w:rsid w:val="00124985"/>
    <w:rsid w:val="0012709B"/>
    <w:rsid w:val="0012742E"/>
    <w:rsid w:val="0013035F"/>
    <w:rsid w:val="00130D93"/>
    <w:rsid w:val="00133E58"/>
    <w:rsid w:val="00134935"/>
    <w:rsid w:val="00134C5C"/>
    <w:rsid w:val="00136460"/>
    <w:rsid w:val="001431F4"/>
    <w:rsid w:val="001458BB"/>
    <w:rsid w:val="001459A2"/>
    <w:rsid w:val="00145F5E"/>
    <w:rsid w:val="001460C7"/>
    <w:rsid w:val="00146CB3"/>
    <w:rsid w:val="0014708F"/>
    <w:rsid w:val="00147786"/>
    <w:rsid w:val="001514C8"/>
    <w:rsid w:val="00151F58"/>
    <w:rsid w:val="00152254"/>
    <w:rsid w:val="001533D8"/>
    <w:rsid w:val="00153912"/>
    <w:rsid w:val="00156944"/>
    <w:rsid w:val="00160529"/>
    <w:rsid w:val="00163BB1"/>
    <w:rsid w:val="001647FF"/>
    <w:rsid w:val="00166E3A"/>
    <w:rsid w:val="00167526"/>
    <w:rsid w:val="00167A6C"/>
    <w:rsid w:val="00170810"/>
    <w:rsid w:val="00170F68"/>
    <w:rsid w:val="001740F5"/>
    <w:rsid w:val="00175BB6"/>
    <w:rsid w:val="00176B93"/>
    <w:rsid w:val="0018017C"/>
    <w:rsid w:val="001811EF"/>
    <w:rsid w:val="00183836"/>
    <w:rsid w:val="001852B0"/>
    <w:rsid w:val="00187592"/>
    <w:rsid w:val="001877AB"/>
    <w:rsid w:val="0019012E"/>
    <w:rsid w:val="00191D35"/>
    <w:rsid w:val="00192991"/>
    <w:rsid w:val="00193A97"/>
    <w:rsid w:val="00193BD8"/>
    <w:rsid w:val="00193C9F"/>
    <w:rsid w:val="00193DD6"/>
    <w:rsid w:val="0019631B"/>
    <w:rsid w:val="00197A1D"/>
    <w:rsid w:val="001A1FD3"/>
    <w:rsid w:val="001A5B7A"/>
    <w:rsid w:val="001A612F"/>
    <w:rsid w:val="001B10F3"/>
    <w:rsid w:val="001B7CC3"/>
    <w:rsid w:val="001C10BE"/>
    <w:rsid w:val="001C2F92"/>
    <w:rsid w:val="001C432B"/>
    <w:rsid w:val="001C4800"/>
    <w:rsid w:val="001D09A5"/>
    <w:rsid w:val="001D108B"/>
    <w:rsid w:val="001D1E4B"/>
    <w:rsid w:val="001D3283"/>
    <w:rsid w:val="001D6BBC"/>
    <w:rsid w:val="001E1083"/>
    <w:rsid w:val="001E10AF"/>
    <w:rsid w:val="001E3057"/>
    <w:rsid w:val="001E4633"/>
    <w:rsid w:val="001E55CE"/>
    <w:rsid w:val="001E6805"/>
    <w:rsid w:val="001E68E8"/>
    <w:rsid w:val="001F2512"/>
    <w:rsid w:val="001F4427"/>
    <w:rsid w:val="001F6399"/>
    <w:rsid w:val="0020083C"/>
    <w:rsid w:val="00200D50"/>
    <w:rsid w:val="002011E6"/>
    <w:rsid w:val="00202306"/>
    <w:rsid w:val="0020235A"/>
    <w:rsid w:val="002023E3"/>
    <w:rsid w:val="00202A49"/>
    <w:rsid w:val="00204E35"/>
    <w:rsid w:val="00206567"/>
    <w:rsid w:val="00210BA3"/>
    <w:rsid w:val="00213207"/>
    <w:rsid w:val="002137D4"/>
    <w:rsid w:val="00214BEF"/>
    <w:rsid w:val="00215E40"/>
    <w:rsid w:val="0021798D"/>
    <w:rsid w:val="002207FD"/>
    <w:rsid w:val="002214EC"/>
    <w:rsid w:val="00221BF3"/>
    <w:rsid w:val="00221D59"/>
    <w:rsid w:val="00223018"/>
    <w:rsid w:val="00225645"/>
    <w:rsid w:val="00231651"/>
    <w:rsid w:val="00232978"/>
    <w:rsid w:val="0023308F"/>
    <w:rsid w:val="00235416"/>
    <w:rsid w:val="00235652"/>
    <w:rsid w:val="002366C6"/>
    <w:rsid w:val="00242E91"/>
    <w:rsid w:val="0024399B"/>
    <w:rsid w:val="002448F2"/>
    <w:rsid w:val="00244B82"/>
    <w:rsid w:val="00245B17"/>
    <w:rsid w:val="00246340"/>
    <w:rsid w:val="002467DD"/>
    <w:rsid w:val="00247678"/>
    <w:rsid w:val="0025005F"/>
    <w:rsid w:val="002501A5"/>
    <w:rsid w:val="0025132E"/>
    <w:rsid w:val="0026397A"/>
    <w:rsid w:val="00263E72"/>
    <w:rsid w:val="00264861"/>
    <w:rsid w:val="00265A7B"/>
    <w:rsid w:val="00266AE3"/>
    <w:rsid w:val="00267590"/>
    <w:rsid w:val="00267BC6"/>
    <w:rsid w:val="00271981"/>
    <w:rsid w:val="0027274B"/>
    <w:rsid w:val="0027357D"/>
    <w:rsid w:val="0027457E"/>
    <w:rsid w:val="00275426"/>
    <w:rsid w:val="00276627"/>
    <w:rsid w:val="002803C5"/>
    <w:rsid w:val="002827C8"/>
    <w:rsid w:val="00282FC1"/>
    <w:rsid w:val="00283F46"/>
    <w:rsid w:val="00285AFB"/>
    <w:rsid w:val="00285B7A"/>
    <w:rsid w:val="0028642C"/>
    <w:rsid w:val="0028673F"/>
    <w:rsid w:val="00287BBD"/>
    <w:rsid w:val="00290B59"/>
    <w:rsid w:val="00290FAB"/>
    <w:rsid w:val="00291546"/>
    <w:rsid w:val="00292608"/>
    <w:rsid w:val="00293305"/>
    <w:rsid w:val="00293B27"/>
    <w:rsid w:val="00293C2D"/>
    <w:rsid w:val="0029408E"/>
    <w:rsid w:val="00294B0D"/>
    <w:rsid w:val="00295CC0"/>
    <w:rsid w:val="0029656D"/>
    <w:rsid w:val="002A0078"/>
    <w:rsid w:val="002A0C5C"/>
    <w:rsid w:val="002A3089"/>
    <w:rsid w:val="002A52B5"/>
    <w:rsid w:val="002B02E4"/>
    <w:rsid w:val="002B16A5"/>
    <w:rsid w:val="002B1FD0"/>
    <w:rsid w:val="002B2B9F"/>
    <w:rsid w:val="002B6EDE"/>
    <w:rsid w:val="002B7780"/>
    <w:rsid w:val="002B7C9F"/>
    <w:rsid w:val="002C03F8"/>
    <w:rsid w:val="002C0EAB"/>
    <w:rsid w:val="002C1FAF"/>
    <w:rsid w:val="002C61A4"/>
    <w:rsid w:val="002D12D5"/>
    <w:rsid w:val="002D1A20"/>
    <w:rsid w:val="002D23FB"/>
    <w:rsid w:val="002D2EFE"/>
    <w:rsid w:val="002D33A4"/>
    <w:rsid w:val="002D36D1"/>
    <w:rsid w:val="002D47DB"/>
    <w:rsid w:val="002E1BF0"/>
    <w:rsid w:val="002E2363"/>
    <w:rsid w:val="002E3BD9"/>
    <w:rsid w:val="002E3DD5"/>
    <w:rsid w:val="002E60FA"/>
    <w:rsid w:val="002F1E7A"/>
    <w:rsid w:val="002F2625"/>
    <w:rsid w:val="002F329F"/>
    <w:rsid w:val="002F55E9"/>
    <w:rsid w:val="002F5880"/>
    <w:rsid w:val="002F7195"/>
    <w:rsid w:val="0030205D"/>
    <w:rsid w:val="00303B12"/>
    <w:rsid w:val="00304B09"/>
    <w:rsid w:val="00306476"/>
    <w:rsid w:val="00310A31"/>
    <w:rsid w:val="00310CA9"/>
    <w:rsid w:val="0031179F"/>
    <w:rsid w:val="00311B3D"/>
    <w:rsid w:val="0031250B"/>
    <w:rsid w:val="0031380A"/>
    <w:rsid w:val="00313B34"/>
    <w:rsid w:val="00316722"/>
    <w:rsid w:val="0032132F"/>
    <w:rsid w:val="00321B7F"/>
    <w:rsid w:val="00323BB8"/>
    <w:rsid w:val="00324A3A"/>
    <w:rsid w:val="003254C2"/>
    <w:rsid w:val="00325CBE"/>
    <w:rsid w:val="003261E1"/>
    <w:rsid w:val="0032623F"/>
    <w:rsid w:val="00327509"/>
    <w:rsid w:val="003305AF"/>
    <w:rsid w:val="00330CE4"/>
    <w:rsid w:val="003317F7"/>
    <w:rsid w:val="0033196F"/>
    <w:rsid w:val="003323CC"/>
    <w:rsid w:val="003325E5"/>
    <w:rsid w:val="0033273C"/>
    <w:rsid w:val="00332D61"/>
    <w:rsid w:val="003361A5"/>
    <w:rsid w:val="00337572"/>
    <w:rsid w:val="00344B4B"/>
    <w:rsid w:val="00344BB9"/>
    <w:rsid w:val="003453E6"/>
    <w:rsid w:val="003479C6"/>
    <w:rsid w:val="00351493"/>
    <w:rsid w:val="0035176A"/>
    <w:rsid w:val="00351B52"/>
    <w:rsid w:val="00353054"/>
    <w:rsid w:val="00353868"/>
    <w:rsid w:val="00354838"/>
    <w:rsid w:val="00354923"/>
    <w:rsid w:val="00354C84"/>
    <w:rsid w:val="003565B0"/>
    <w:rsid w:val="00357E48"/>
    <w:rsid w:val="0036087D"/>
    <w:rsid w:val="00360AB0"/>
    <w:rsid w:val="00361B55"/>
    <w:rsid w:val="00362443"/>
    <w:rsid w:val="00363C57"/>
    <w:rsid w:val="00364FC7"/>
    <w:rsid w:val="0036534D"/>
    <w:rsid w:val="00367CA3"/>
    <w:rsid w:val="0037052C"/>
    <w:rsid w:val="00376808"/>
    <w:rsid w:val="00377230"/>
    <w:rsid w:val="00382ADA"/>
    <w:rsid w:val="00385B54"/>
    <w:rsid w:val="0039213D"/>
    <w:rsid w:val="00393B2B"/>
    <w:rsid w:val="00393F05"/>
    <w:rsid w:val="00395F0C"/>
    <w:rsid w:val="003970F4"/>
    <w:rsid w:val="003A0023"/>
    <w:rsid w:val="003A1F86"/>
    <w:rsid w:val="003A25C5"/>
    <w:rsid w:val="003A2654"/>
    <w:rsid w:val="003A41EF"/>
    <w:rsid w:val="003A4D50"/>
    <w:rsid w:val="003A4F67"/>
    <w:rsid w:val="003A579F"/>
    <w:rsid w:val="003A5DD6"/>
    <w:rsid w:val="003A63B4"/>
    <w:rsid w:val="003A6D29"/>
    <w:rsid w:val="003B063D"/>
    <w:rsid w:val="003B177F"/>
    <w:rsid w:val="003B1B32"/>
    <w:rsid w:val="003B67AE"/>
    <w:rsid w:val="003C0CE9"/>
    <w:rsid w:val="003C1A6E"/>
    <w:rsid w:val="003C1D70"/>
    <w:rsid w:val="003C4AEE"/>
    <w:rsid w:val="003C6116"/>
    <w:rsid w:val="003D0A26"/>
    <w:rsid w:val="003D0AB3"/>
    <w:rsid w:val="003D22C7"/>
    <w:rsid w:val="003D386A"/>
    <w:rsid w:val="003D4AA6"/>
    <w:rsid w:val="003D7F4A"/>
    <w:rsid w:val="003E2C98"/>
    <w:rsid w:val="003E493C"/>
    <w:rsid w:val="003E4972"/>
    <w:rsid w:val="003E6979"/>
    <w:rsid w:val="003E75CB"/>
    <w:rsid w:val="003F0317"/>
    <w:rsid w:val="003F3AE3"/>
    <w:rsid w:val="003F69B2"/>
    <w:rsid w:val="003F7715"/>
    <w:rsid w:val="003F7C73"/>
    <w:rsid w:val="00400DBA"/>
    <w:rsid w:val="00401C12"/>
    <w:rsid w:val="00402372"/>
    <w:rsid w:val="0040488A"/>
    <w:rsid w:val="00405128"/>
    <w:rsid w:val="00405A08"/>
    <w:rsid w:val="00405F98"/>
    <w:rsid w:val="0040698F"/>
    <w:rsid w:val="00406BE6"/>
    <w:rsid w:val="00415247"/>
    <w:rsid w:val="004164B9"/>
    <w:rsid w:val="004167C0"/>
    <w:rsid w:val="00416F9F"/>
    <w:rsid w:val="004174D7"/>
    <w:rsid w:val="00417A2B"/>
    <w:rsid w:val="00417EBF"/>
    <w:rsid w:val="00420E86"/>
    <w:rsid w:val="0042172C"/>
    <w:rsid w:val="00421938"/>
    <w:rsid w:val="00421BAA"/>
    <w:rsid w:val="0042559F"/>
    <w:rsid w:val="00425863"/>
    <w:rsid w:val="00425C6F"/>
    <w:rsid w:val="00426405"/>
    <w:rsid w:val="00426C76"/>
    <w:rsid w:val="00430B5E"/>
    <w:rsid w:val="00430FAA"/>
    <w:rsid w:val="00431CDC"/>
    <w:rsid w:val="00433643"/>
    <w:rsid w:val="004336F6"/>
    <w:rsid w:val="00433793"/>
    <w:rsid w:val="00435740"/>
    <w:rsid w:val="00437FBA"/>
    <w:rsid w:val="0044138C"/>
    <w:rsid w:val="0044363B"/>
    <w:rsid w:val="0044429D"/>
    <w:rsid w:val="00444BEA"/>
    <w:rsid w:val="00444D1A"/>
    <w:rsid w:val="004458C6"/>
    <w:rsid w:val="00452140"/>
    <w:rsid w:val="004553C3"/>
    <w:rsid w:val="0045758F"/>
    <w:rsid w:val="00457595"/>
    <w:rsid w:val="00457795"/>
    <w:rsid w:val="00461A92"/>
    <w:rsid w:val="00462ED3"/>
    <w:rsid w:val="00462FD0"/>
    <w:rsid w:val="004632FF"/>
    <w:rsid w:val="00463C1D"/>
    <w:rsid w:val="004645F9"/>
    <w:rsid w:val="00464CF8"/>
    <w:rsid w:val="00465657"/>
    <w:rsid w:val="0046765C"/>
    <w:rsid w:val="00470EF6"/>
    <w:rsid w:val="00471F60"/>
    <w:rsid w:val="00475125"/>
    <w:rsid w:val="00477CEA"/>
    <w:rsid w:val="0048003E"/>
    <w:rsid w:val="00480DE2"/>
    <w:rsid w:val="004834D6"/>
    <w:rsid w:val="00483BA4"/>
    <w:rsid w:val="00483BF3"/>
    <w:rsid w:val="00484BDE"/>
    <w:rsid w:val="00484CBA"/>
    <w:rsid w:val="00486644"/>
    <w:rsid w:val="00487E74"/>
    <w:rsid w:val="004912C2"/>
    <w:rsid w:val="00491723"/>
    <w:rsid w:val="00492BA4"/>
    <w:rsid w:val="004A1DF2"/>
    <w:rsid w:val="004A28BC"/>
    <w:rsid w:val="004A28C7"/>
    <w:rsid w:val="004A6440"/>
    <w:rsid w:val="004A6706"/>
    <w:rsid w:val="004A6898"/>
    <w:rsid w:val="004A6BE3"/>
    <w:rsid w:val="004B07D4"/>
    <w:rsid w:val="004B09BB"/>
    <w:rsid w:val="004B15D6"/>
    <w:rsid w:val="004B245F"/>
    <w:rsid w:val="004B36D5"/>
    <w:rsid w:val="004B4D0E"/>
    <w:rsid w:val="004C221D"/>
    <w:rsid w:val="004C57AA"/>
    <w:rsid w:val="004D69B6"/>
    <w:rsid w:val="004E054E"/>
    <w:rsid w:val="004E2210"/>
    <w:rsid w:val="004E2D99"/>
    <w:rsid w:val="004E3216"/>
    <w:rsid w:val="004E48DA"/>
    <w:rsid w:val="004E4DB5"/>
    <w:rsid w:val="004E73C6"/>
    <w:rsid w:val="004E76DE"/>
    <w:rsid w:val="004F09AB"/>
    <w:rsid w:val="004F10F5"/>
    <w:rsid w:val="004F3393"/>
    <w:rsid w:val="004F41C6"/>
    <w:rsid w:val="004F457D"/>
    <w:rsid w:val="004F5FA7"/>
    <w:rsid w:val="005018B9"/>
    <w:rsid w:val="005043B6"/>
    <w:rsid w:val="005045E2"/>
    <w:rsid w:val="00505589"/>
    <w:rsid w:val="0050717C"/>
    <w:rsid w:val="00511AE5"/>
    <w:rsid w:val="005139C7"/>
    <w:rsid w:val="00523E75"/>
    <w:rsid w:val="005256FB"/>
    <w:rsid w:val="00525837"/>
    <w:rsid w:val="005259FC"/>
    <w:rsid w:val="00525DED"/>
    <w:rsid w:val="0052714D"/>
    <w:rsid w:val="005325D1"/>
    <w:rsid w:val="005336B6"/>
    <w:rsid w:val="00534D8B"/>
    <w:rsid w:val="00536117"/>
    <w:rsid w:val="00536D17"/>
    <w:rsid w:val="00543C02"/>
    <w:rsid w:val="0054711C"/>
    <w:rsid w:val="005477E8"/>
    <w:rsid w:val="00550C2E"/>
    <w:rsid w:val="00550D15"/>
    <w:rsid w:val="00553451"/>
    <w:rsid w:val="00553D42"/>
    <w:rsid w:val="0055430D"/>
    <w:rsid w:val="005551C6"/>
    <w:rsid w:val="005564CA"/>
    <w:rsid w:val="00556AA1"/>
    <w:rsid w:val="005577C3"/>
    <w:rsid w:val="00557B1D"/>
    <w:rsid w:val="00557F73"/>
    <w:rsid w:val="00560661"/>
    <w:rsid w:val="00560D30"/>
    <w:rsid w:val="00561440"/>
    <w:rsid w:val="0056275F"/>
    <w:rsid w:val="005628FC"/>
    <w:rsid w:val="00564DD1"/>
    <w:rsid w:val="0056510F"/>
    <w:rsid w:val="00565983"/>
    <w:rsid w:val="00570818"/>
    <w:rsid w:val="005715E3"/>
    <w:rsid w:val="00572F8E"/>
    <w:rsid w:val="00574B02"/>
    <w:rsid w:val="0057571E"/>
    <w:rsid w:val="00577FF3"/>
    <w:rsid w:val="00583433"/>
    <w:rsid w:val="00584259"/>
    <w:rsid w:val="00585FC8"/>
    <w:rsid w:val="00586D0D"/>
    <w:rsid w:val="00590EE1"/>
    <w:rsid w:val="00591749"/>
    <w:rsid w:val="00591BCC"/>
    <w:rsid w:val="00592E4B"/>
    <w:rsid w:val="00592FE1"/>
    <w:rsid w:val="00593E24"/>
    <w:rsid w:val="00593FD1"/>
    <w:rsid w:val="005969A9"/>
    <w:rsid w:val="00596BA0"/>
    <w:rsid w:val="00596D61"/>
    <w:rsid w:val="005975D8"/>
    <w:rsid w:val="00597F15"/>
    <w:rsid w:val="005A0E81"/>
    <w:rsid w:val="005A14EB"/>
    <w:rsid w:val="005A166B"/>
    <w:rsid w:val="005A187C"/>
    <w:rsid w:val="005A2CED"/>
    <w:rsid w:val="005A2F4A"/>
    <w:rsid w:val="005A36C5"/>
    <w:rsid w:val="005A4BF5"/>
    <w:rsid w:val="005A6C90"/>
    <w:rsid w:val="005B04A3"/>
    <w:rsid w:val="005B2C24"/>
    <w:rsid w:val="005B5E24"/>
    <w:rsid w:val="005B5F7A"/>
    <w:rsid w:val="005C066A"/>
    <w:rsid w:val="005C2371"/>
    <w:rsid w:val="005C48CF"/>
    <w:rsid w:val="005C4B85"/>
    <w:rsid w:val="005C5BF2"/>
    <w:rsid w:val="005C5E40"/>
    <w:rsid w:val="005D0123"/>
    <w:rsid w:val="005D1409"/>
    <w:rsid w:val="005D376B"/>
    <w:rsid w:val="005D38FF"/>
    <w:rsid w:val="005D6EB5"/>
    <w:rsid w:val="005D77E2"/>
    <w:rsid w:val="005E0148"/>
    <w:rsid w:val="005E03D5"/>
    <w:rsid w:val="005E1265"/>
    <w:rsid w:val="005E2960"/>
    <w:rsid w:val="005E3844"/>
    <w:rsid w:val="005E3E6B"/>
    <w:rsid w:val="005E4E1C"/>
    <w:rsid w:val="005E74B4"/>
    <w:rsid w:val="005F0DD1"/>
    <w:rsid w:val="005F16FA"/>
    <w:rsid w:val="005F318D"/>
    <w:rsid w:val="005F39D7"/>
    <w:rsid w:val="005F4EA5"/>
    <w:rsid w:val="005F6159"/>
    <w:rsid w:val="005F72A1"/>
    <w:rsid w:val="00602240"/>
    <w:rsid w:val="0060251F"/>
    <w:rsid w:val="00603010"/>
    <w:rsid w:val="00603B99"/>
    <w:rsid w:val="0060590B"/>
    <w:rsid w:val="00605BB5"/>
    <w:rsid w:val="00605D68"/>
    <w:rsid w:val="006072B1"/>
    <w:rsid w:val="00607660"/>
    <w:rsid w:val="00610850"/>
    <w:rsid w:val="006116D0"/>
    <w:rsid w:val="006145CF"/>
    <w:rsid w:val="00615B75"/>
    <w:rsid w:val="00616798"/>
    <w:rsid w:val="00617FE7"/>
    <w:rsid w:val="00621E7D"/>
    <w:rsid w:val="00622412"/>
    <w:rsid w:val="00624354"/>
    <w:rsid w:val="0062438E"/>
    <w:rsid w:val="006249C8"/>
    <w:rsid w:val="00624DEA"/>
    <w:rsid w:val="00626EB1"/>
    <w:rsid w:val="00630AA4"/>
    <w:rsid w:val="0063360A"/>
    <w:rsid w:val="00633E04"/>
    <w:rsid w:val="00642888"/>
    <w:rsid w:val="00642C1D"/>
    <w:rsid w:val="00644D25"/>
    <w:rsid w:val="00645221"/>
    <w:rsid w:val="006457F5"/>
    <w:rsid w:val="00647134"/>
    <w:rsid w:val="0065089F"/>
    <w:rsid w:val="00652421"/>
    <w:rsid w:val="00654238"/>
    <w:rsid w:val="00655140"/>
    <w:rsid w:val="00661912"/>
    <w:rsid w:val="00662775"/>
    <w:rsid w:val="00662E66"/>
    <w:rsid w:val="00665440"/>
    <w:rsid w:val="00670B00"/>
    <w:rsid w:val="00671661"/>
    <w:rsid w:val="0067251E"/>
    <w:rsid w:val="00674C7D"/>
    <w:rsid w:val="006774B2"/>
    <w:rsid w:val="00680768"/>
    <w:rsid w:val="00680844"/>
    <w:rsid w:val="00682864"/>
    <w:rsid w:val="00683147"/>
    <w:rsid w:val="006837F7"/>
    <w:rsid w:val="00686681"/>
    <w:rsid w:val="006874D8"/>
    <w:rsid w:val="006928A5"/>
    <w:rsid w:val="0069585F"/>
    <w:rsid w:val="0069629F"/>
    <w:rsid w:val="006976DC"/>
    <w:rsid w:val="006A0351"/>
    <w:rsid w:val="006A0484"/>
    <w:rsid w:val="006A0B49"/>
    <w:rsid w:val="006A5601"/>
    <w:rsid w:val="006A6A8A"/>
    <w:rsid w:val="006B00A8"/>
    <w:rsid w:val="006B0EEB"/>
    <w:rsid w:val="006B1A88"/>
    <w:rsid w:val="006B1DE9"/>
    <w:rsid w:val="006B220C"/>
    <w:rsid w:val="006B26D7"/>
    <w:rsid w:val="006B34B6"/>
    <w:rsid w:val="006B40B4"/>
    <w:rsid w:val="006B4C4A"/>
    <w:rsid w:val="006B4D64"/>
    <w:rsid w:val="006B5FAC"/>
    <w:rsid w:val="006C0A55"/>
    <w:rsid w:val="006C0BB2"/>
    <w:rsid w:val="006C57EA"/>
    <w:rsid w:val="006C5CA4"/>
    <w:rsid w:val="006C6722"/>
    <w:rsid w:val="006C732B"/>
    <w:rsid w:val="006D2E2D"/>
    <w:rsid w:val="006D4B23"/>
    <w:rsid w:val="006D7D37"/>
    <w:rsid w:val="006D7E1D"/>
    <w:rsid w:val="006E1FD7"/>
    <w:rsid w:val="006E2085"/>
    <w:rsid w:val="006E38A5"/>
    <w:rsid w:val="006E3E14"/>
    <w:rsid w:val="006E3FC6"/>
    <w:rsid w:val="006E47BD"/>
    <w:rsid w:val="006E5187"/>
    <w:rsid w:val="006E5F8F"/>
    <w:rsid w:val="006F06D8"/>
    <w:rsid w:val="006F2F3F"/>
    <w:rsid w:val="006F3F16"/>
    <w:rsid w:val="007025E9"/>
    <w:rsid w:val="00702C4F"/>
    <w:rsid w:val="00703CB1"/>
    <w:rsid w:val="00706542"/>
    <w:rsid w:val="00706933"/>
    <w:rsid w:val="00707638"/>
    <w:rsid w:val="00712DA4"/>
    <w:rsid w:val="0071306B"/>
    <w:rsid w:val="00716E6E"/>
    <w:rsid w:val="00725A8F"/>
    <w:rsid w:val="007266AC"/>
    <w:rsid w:val="00726A45"/>
    <w:rsid w:val="00731196"/>
    <w:rsid w:val="00731716"/>
    <w:rsid w:val="00731847"/>
    <w:rsid w:val="007320DA"/>
    <w:rsid w:val="00732B8B"/>
    <w:rsid w:val="00735E39"/>
    <w:rsid w:val="00736E8B"/>
    <w:rsid w:val="007406EC"/>
    <w:rsid w:val="00741B0B"/>
    <w:rsid w:val="0074212E"/>
    <w:rsid w:val="007432DC"/>
    <w:rsid w:val="007432F1"/>
    <w:rsid w:val="00744537"/>
    <w:rsid w:val="0074781F"/>
    <w:rsid w:val="00751D6B"/>
    <w:rsid w:val="00752F90"/>
    <w:rsid w:val="00753A80"/>
    <w:rsid w:val="00756DF0"/>
    <w:rsid w:val="00756EE4"/>
    <w:rsid w:val="007602E8"/>
    <w:rsid w:val="00760DC9"/>
    <w:rsid w:val="00761891"/>
    <w:rsid w:val="007620F5"/>
    <w:rsid w:val="0076457B"/>
    <w:rsid w:val="00765717"/>
    <w:rsid w:val="00766B43"/>
    <w:rsid w:val="00766E32"/>
    <w:rsid w:val="007679AD"/>
    <w:rsid w:val="007707CE"/>
    <w:rsid w:val="00771B20"/>
    <w:rsid w:val="0077202C"/>
    <w:rsid w:val="00772A7B"/>
    <w:rsid w:val="007730D6"/>
    <w:rsid w:val="00782237"/>
    <w:rsid w:val="0078397D"/>
    <w:rsid w:val="00784E4D"/>
    <w:rsid w:val="007858AA"/>
    <w:rsid w:val="00785BB1"/>
    <w:rsid w:val="00790364"/>
    <w:rsid w:val="0079090C"/>
    <w:rsid w:val="00795809"/>
    <w:rsid w:val="00795BD0"/>
    <w:rsid w:val="007966F3"/>
    <w:rsid w:val="007A059C"/>
    <w:rsid w:val="007A083B"/>
    <w:rsid w:val="007A0A58"/>
    <w:rsid w:val="007A18A5"/>
    <w:rsid w:val="007A4FE2"/>
    <w:rsid w:val="007B03A6"/>
    <w:rsid w:val="007C0B91"/>
    <w:rsid w:val="007C1272"/>
    <w:rsid w:val="007C2984"/>
    <w:rsid w:val="007C4328"/>
    <w:rsid w:val="007C73CB"/>
    <w:rsid w:val="007D2412"/>
    <w:rsid w:val="007D3349"/>
    <w:rsid w:val="007D56B7"/>
    <w:rsid w:val="007E1344"/>
    <w:rsid w:val="007E165E"/>
    <w:rsid w:val="007E39B7"/>
    <w:rsid w:val="007E39DD"/>
    <w:rsid w:val="007E5B44"/>
    <w:rsid w:val="007F0312"/>
    <w:rsid w:val="007F17D9"/>
    <w:rsid w:val="007F2CD5"/>
    <w:rsid w:val="007F454B"/>
    <w:rsid w:val="007F7B45"/>
    <w:rsid w:val="008004D3"/>
    <w:rsid w:val="00801496"/>
    <w:rsid w:val="00801D5B"/>
    <w:rsid w:val="0080309C"/>
    <w:rsid w:val="008033C7"/>
    <w:rsid w:val="008060E6"/>
    <w:rsid w:val="00807535"/>
    <w:rsid w:val="008102AC"/>
    <w:rsid w:val="00810FEC"/>
    <w:rsid w:val="00812928"/>
    <w:rsid w:val="00812B7D"/>
    <w:rsid w:val="008135A9"/>
    <w:rsid w:val="00814890"/>
    <w:rsid w:val="008163C3"/>
    <w:rsid w:val="00821409"/>
    <w:rsid w:val="00821EC2"/>
    <w:rsid w:val="008231F2"/>
    <w:rsid w:val="00824A91"/>
    <w:rsid w:val="00824D50"/>
    <w:rsid w:val="008257E3"/>
    <w:rsid w:val="0082671F"/>
    <w:rsid w:val="008275EF"/>
    <w:rsid w:val="0083054C"/>
    <w:rsid w:val="00830DE2"/>
    <w:rsid w:val="00833DB6"/>
    <w:rsid w:val="0083634A"/>
    <w:rsid w:val="00836FF4"/>
    <w:rsid w:val="00837B7A"/>
    <w:rsid w:val="0084135D"/>
    <w:rsid w:val="00844422"/>
    <w:rsid w:val="00850463"/>
    <w:rsid w:val="00850D0B"/>
    <w:rsid w:val="00850E64"/>
    <w:rsid w:val="008516D3"/>
    <w:rsid w:val="008529E3"/>
    <w:rsid w:val="00854FFC"/>
    <w:rsid w:val="00855946"/>
    <w:rsid w:val="00856C93"/>
    <w:rsid w:val="00860003"/>
    <w:rsid w:val="0086097C"/>
    <w:rsid w:val="00861283"/>
    <w:rsid w:val="0086422B"/>
    <w:rsid w:val="00864C91"/>
    <w:rsid w:val="00872569"/>
    <w:rsid w:val="00875BEC"/>
    <w:rsid w:val="0087641A"/>
    <w:rsid w:val="008769B5"/>
    <w:rsid w:val="00880585"/>
    <w:rsid w:val="00883872"/>
    <w:rsid w:val="00885E49"/>
    <w:rsid w:val="008867E6"/>
    <w:rsid w:val="00890F1A"/>
    <w:rsid w:val="00892D24"/>
    <w:rsid w:val="008931D4"/>
    <w:rsid w:val="008961BC"/>
    <w:rsid w:val="00896624"/>
    <w:rsid w:val="00897E70"/>
    <w:rsid w:val="008A096F"/>
    <w:rsid w:val="008A282C"/>
    <w:rsid w:val="008A466A"/>
    <w:rsid w:val="008A7E3B"/>
    <w:rsid w:val="008B1E2D"/>
    <w:rsid w:val="008B38A9"/>
    <w:rsid w:val="008B41FD"/>
    <w:rsid w:val="008B71A5"/>
    <w:rsid w:val="008C48D5"/>
    <w:rsid w:val="008C4DC5"/>
    <w:rsid w:val="008C62EC"/>
    <w:rsid w:val="008D3C05"/>
    <w:rsid w:val="008D59EE"/>
    <w:rsid w:val="008D67B3"/>
    <w:rsid w:val="008E164C"/>
    <w:rsid w:val="008E56AE"/>
    <w:rsid w:val="008E69D5"/>
    <w:rsid w:val="008E702A"/>
    <w:rsid w:val="008F02E0"/>
    <w:rsid w:val="008F29E6"/>
    <w:rsid w:val="008F44D9"/>
    <w:rsid w:val="008F5835"/>
    <w:rsid w:val="00900E7D"/>
    <w:rsid w:val="00902070"/>
    <w:rsid w:val="00902C41"/>
    <w:rsid w:val="00904791"/>
    <w:rsid w:val="00904DAF"/>
    <w:rsid w:val="00905157"/>
    <w:rsid w:val="0090592E"/>
    <w:rsid w:val="0090594D"/>
    <w:rsid w:val="009061BD"/>
    <w:rsid w:val="0090787E"/>
    <w:rsid w:val="009101E1"/>
    <w:rsid w:val="00910D66"/>
    <w:rsid w:val="009112B4"/>
    <w:rsid w:val="0091135D"/>
    <w:rsid w:val="00911826"/>
    <w:rsid w:val="009119B9"/>
    <w:rsid w:val="009130AC"/>
    <w:rsid w:val="009133B1"/>
    <w:rsid w:val="00916332"/>
    <w:rsid w:val="009227FB"/>
    <w:rsid w:val="009301F1"/>
    <w:rsid w:val="00931A2A"/>
    <w:rsid w:val="00933C5D"/>
    <w:rsid w:val="00933EA3"/>
    <w:rsid w:val="00934817"/>
    <w:rsid w:val="00935042"/>
    <w:rsid w:val="00935672"/>
    <w:rsid w:val="0093582A"/>
    <w:rsid w:val="009376E5"/>
    <w:rsid w:val="0094065E"/>
    <w:rsid w:val="00940881"/>
    <w:rsid w:val="00942AA5"/>
    <w:rsid w:val="00942C7A"/>
    <w:rsid w:val="00944E22"/>
    <w:rsid w:val="00947D7A"/>
    <w:rsid w:val="009504AD"/>
    <w:rsid w:val="00950FE4"/>
    <w:rsid w:val="00951737"/>
    <w:rsid w:val="00951D34"/>
    <w:rsid w:val="009529BA"/>
    <w:rsid w:val="00956716"/>
    <w:rsid w:val="0095748D"/>
    <w:rsid w:val="009574E1"/>
    <w:rsid w:val="009579D1"/>
    <w:rsid w:val="00957C1C"/>
    <w:rsid w:val="009609D6"/>
    <w:rsid w:val="009634A3"/>
    <w:rsid w:val="00963C0C"/>
    <w:rsid w:val="00963DE1"/>
    <w:rsid w:val="00965E27"/>
    <w:rsid w:val="009661BA"/>
    <w:rsid w:val="00970737"/>
    <w:rsid w:val="00972049"/>
    <w:rsid w:val="009735AD"/>
    <w:rsid w:val="009735DC"/>
    <w:rsid w:val="009739B1"/>
    <w:rsid w:val="00977548"/>
    <w:rsid w:val="00977847"/>
    <w:rsid w:val="00980206"/>
    <w:rsid w:val="00981DD3"/>
    <w:rsid w:val="009850D8"/>
    <w:rsid w:val="009856E2"/>
    <w:rsid w:val="00985AF1"/>
    <w:rsid w:val="00993716"/>
    <w:rsid w:val="00993F22"/>
    <w:rsid w:val="00995078"/>
    <w:rsid w:val="00995540"/>
    <w:rsid w:val="00997C93"/>
    <w:rsid w:val="00997FBC"/>
    <w:rsid w:val="009A04CB"/>
    <w:rsid w:val="009A23A8"/>
    <w:rsid w:val="009A304A"/>
    <w:rsid w:val="009A5A2A"/>
    <w:rsid w:val="009A6604"/>
    <w:rsid w:val="009B003A"/>
    <w:rsid w:val="009B0C28"/>
    <w:rsid w:val="009B3151"/>
    <w:rsid w:val="009B4239"/>
    <w:rsid w:val="009B4F12"/>
    <w:rsid w:val="009B5AEA"/>
    <w:rsid w:val="009B77D4"/>
    <w:rsid w:val="009B7F1D"/>
    <w:rsid w:val="009C006F"/>
    <w:rsid w:val="009C061A"/>
    <w:rsid w:val="009C1F20"/>
    <w:rsid w:val="009C209D"/>
    <w:rsid w:val="009C2FF3"/>
    <w:rsid w:val="009C310D"/>
    <w:rsid w:val="009C34F1"/>
    <w:rsid w:val="009C45E4"/>
    <w:rsid w:val="009C5A39"/>
    <w:rsid w:val="009C5FFB"/>
    <w:rsid w:val="009C607F"/>
    <w:rsid w:val="009D0D60"/>
    <w:rsid w:val="009D1218"/>
    <w:rsid w:val="009D2411"/>
    <w:rsid w:val="009D3A6D"/>
    <w:rsid w:val="009D6918"/>
    <w:rsid w:val="009D6BC7"/>
    <w:rsid w:val="009E081B"/>
    <w:rsid w:val="009E183C"/>
    <w:rsid w:val="009E25FC"/>
    <w:rsid w:val="009E44DC"/>
    <w:rsid w:val="009E5BAE"/>
    <w:rsid w:val="009F092D"/>
    <w:rsid w:val="009F1E88"/>
    <w:rsid w:val="009F4300"/>
    <w:rsid w:val="009F75C8"/>
    <w:rsid w:val="00A00224"/>
    <w:rsid w:val="00A01DA4"/>
    <w:rsid w:val="00A02CAB"/>
    <w:rsid w:val="00A03AB2"/>
    <w:rsid w:val="00A0715F"/>
    <w:rsid w:val="00A07E53"/>
    <w:rsid w:val="00A132FF"/>
    <w:rsid w:val="00A13592"/>
    <w:rsid w:val="00A16F4C"/>
    <w:rsid w:val="00A22FA8"/>
    <w:rsid w:val="00A2539D"/>
    <w:rsid w:val="00A25454"/>
    <w:rsid w:val="00A25FD9"/>
    <w:rsid w:val="00A309C7"/>
    <w:rsid w:val="00A33272"/>
    <w:rsid w:val="00A3492E"/>
    <w:rsid w:val="00A34CBF"/>
    <w:rsid w:val="00A4003A"/>
    <w:rsid w:val="00A41124"/>
    <w:rsid w:val="00A41971"/>
    <w:rsid w:val="00A41F03"/>
    <w:rsid w:val="00A420EA"/>
    <w:rsid w:val="00A43726"/>
    <w:rsid w:val="00A4405F"/>
    <w:rsid w:val="00A504B8"/>
    <w:rsid w:val="00A51D1E"/>
    <w:rsid w:val="00A526AB"/>
    <w:rsid w:val="00A53E80"/>
    <w:rsid w:val="00A5510B"/>
    <w:rsid w:val="00A55DFC"/>
    <w:rsid w:val="00A561B7"/>
    <w:rsid w:val="00A57484"/>
    <w:rsid w:val="00A6233A"/>
    <w:rsid w:val="00A6264E"/>
    <w:rsid w:val="00A63670"/>
    <w:rsid w:val="00A639BD"/>
    <w:rsid w:val="00A6499C"/>
    <w:rsid w:val="00A70E4D"/>
    <w:rsid w:val="00A719A8"/>
    <w:rsid w:val="00A74553"/>
    <w:rsid w:val="00A76039"/>
    <w:rsid w:val="00A766F1"/>
    <w:rsid w:val="00A77562"/>
    <w:rsid w:val="00A77ACA"/>
    <w:rsid w:val="00A80CC1"/>
    <w:rsid w:val="00A834AA"/>
    <w:rsid w:val="00A85AE5"/>
    <w:rsid w:val="00A8616C"/>
    <w:rsid w:val="00A864CC"/>
    <w:rsid w:val="00A878EB"/>
    <w:rsid w:val="00A90112"/>
    <w:rsid w:val="00A9011D"/>
    <w:rsid w:val="00A9170B"/>
    <w:rsid w:val="00A950FE"/>
    <w:rsid w:val="00A95389"/>
    <w:rsid w:val="00A971C8"/>
    <w:rsid w:val="00A97C7D"/>
    <w:rsid w:val="00AA051D"/>
    <w:rsid w:val="00AA1719"/>
    <w:rsid w:val="00AA17A3"/>
    <w:rsid w:val="00AA1B86"/>
    <w:rsid w:val="00AA43E0"/>
    <w:rsid w:val="00AA47C3"/>
    <w:rsid w:val="00AA518E"/>
    <w:rsid w:val="00AB1B33"/>
    <w:rsid w:val="00AB1D7F"/>
    <w:rsid w:val="00AB2809"/>
    <w:rsid w:val="00AB4EA8"/>
    <w:rsid w:val="00AB6733"/>
    <w:rsid w:val="00AC011E"/>
    <w:rsid w:val="00AC1C0A"/>
    <w:rsid w:val="00AC28BC"/>
    <w:rsid w:val="00AC2967"/>
    <w:rsid w:val="00AC4BC3"/>
    <w:rsid w:val="00AC5A8F"/>
    <w:rsid w:val="00AD117E"/>
    <w:rsid w:val="00AD2252"/>
    <w:rsid w:val="00AD2B45"/>
    <w:rsid w:val="00AD2CF6"/>
    <w:rsid w:val="00AD2D8D"/>
    <w:rsid w:val="00AE02DF"/>
    <w:rsid w:val="00AE29C7"/>
    <w:rsid w:val="00AE33DD"/>
    <w:rsid w:val="00AE39F7"/>
    <w:rsid w:val="00AE3A42"/>
    <w:rsid w:val="00AE7F5A"/>
    <w:rsid w:val="00AF2E79"/>
    <w:rsid w:val="00AF4627"/>
    <w:rsid w:val="00B008EE"/>
    <w:rsid w:val="00B00F7B"/>
    <w:rsid w:val="00B036E9"/>
    <w:rsid w:val="00B03E6B"/>
    <w:rsid w:val="00B04B4F"/>
    <w:rsid w:val="00B052DF"/>
    <w:rsid w:val="00B057CA"/>
    <w:rsid w:val="00B059CF"/>
    <w:rsid w:val="00B06E72"/>
    <w:rsid w:val="00B11BDC"/>
    <w:rsid w:val="00B1331F"/>
    <w:rsid w:val="00B15A73"/>
    <w:rsid w:val="00B1701A"/>
    <w:rsid w:val="00B22584"/>
    <w:rsid w:val="00B236BE"/>
    <w:rsid w:val="00B246E6"/>
    <w:rsid w:val="00B3038B"/>
    <w:rsid w:val="00B33570"/>
    <w:rsid w:val="00B36616"/>
    <w:rsid w:val="00B3723F"/>
    <w:rsid w:val="00B37D68"/>
    <w:rsid w:val="00B41C91"/>
    <w:rsid w:val="00B45046"/>
    <w:rsid w:val="00B45EFB"/>
    <w:rsid w:val="00B45F25"/>
    <w:rsid w:val="00B46BAC"/>
    <w:rsid w:val="00B47474"/>
    <w:rsid w:val="00B51314"/>
    <w:rsid w:val="00B5442F"/>
    <w:rsid w:val="00B54471"/>
    <w:rsid w:val="00B56DD1"/>
    <w:rsid w:val="00B57329"/>
    <w:rsid w:val="00B60FA6"/>
    <w:rsid w:val="00B615A9"/>
    <w:rsid w:val="00B62E22"/>
    <w:rsid w:val="00B649CA"/>
    <w:rsid w:val="00B652F4"/>
    <w:rsid w:val="00B65C68"/>
    <w:rsid w:val="00B678BC"/>
    <w:rsid w:val="00B708D7"/>
    <w:rsid w:val="00B71A29"/>
    <w:rsid w:val="00B7251D"/>
    <w:rsid w:val="00B73DBF"/>
    <w:rsid w:val="00B80F79"/>
    <w:rsid w:val="00B81DE7"/>
    <w:rsid w:val="00B83464"/>
    <w:rsid w:val="00B8389D"/>
    <w:rsid w:val="00B843CE"/>
    <w:rsid w:val="00B851B6"/>
    <w:rsid w:val="00B87242"/>
    <w:rsid w:val="00B87720"/>
    <w:rsid w:val="00B877BD"/>
    <w:rsid w:val="00B87B9F"/>
    <w:rsid w:val="00B9162E"/>
    <w:rsid w:val="00B92C84"/>
    <w:rsid w:val="00B938E4"/>
    <w:rsid w:val="00B94C01"/>
    <w:rsid w:val="00B979FD"/>
    <w:rsid w:val="00BA0BC9"/>
    <w:rsid w:val="00BA0CCD"/>
    <w:rsid w:val="00BA2CAF"/>
    <w:rsid w:val="00BA3827"/>
    <w:rsid w:val="00BA3B7F"/>
    <w:rsid w:val="00BA5AE0"/>
    <w:rsid w:val="00BA5BB9"/>
    <w:rsid w:val="00BA5BE3"/>
    <w:rsid w:val="00BA7F26"/>
    <w:rsid w:val="00BB2457"/>
    <w:rsid w:val="00BB3554"/>
    <w:rsid w:val="00BB7492"/>
    <w:rsid w:val="00BC34CF"/>
    <w:rsid w:val="00BC3CEA"/>
    <w:rsid w:val="00BC6521"/>
    <w:rsid w:val="00BD309B"/>
    <w:rsid w:val="00BD4366"/>
    <w:rsid w:val="00BD4EDE"/>
    <w:rsid w:val="00BD5BFB"/>
    <w:rsid w:val="00BD7F2A"/>
    <w:rsid w:val="00BE0E05"/>
    <w:rsid w:val="00BE4B7B"/>
    <w:rsid w:val="00BE55C2"/>
    <w:rsid w:val="00BE568B"/>
    <w:rsid w:val="00BE571A"/>
    <w:rsid w:val="00BE79EB"/>
    <w:rsid w:val="00BE7B20"/>
    <w:rsid w:val="00BF0861"/>
    <w:rsid w:val="00BF0DE2"/>
    <w:rsid w:val="00BF1F3A"/>
    <w:rsid w:val="00BF6116"/>
    <w:rsid w:val="00BF64CD"/>
    <w:rsid w:val="00C0138B"/>
    <w:rsid w:val="00C01631"/>
    <w:rsid w:val="00C02728"/>
    <w:rsid w:val="00C03A47"/>
    <w:rsid w:val="00C0406E"/>
    <w:rsid w:val="00C0456A"/>
    <w:rsid w:val="00C11A46"/>
    <w:rsid w:val="00C14F24"/>
    <w:rsid w:val="00C168A2"/>
    <w:rsid w:val="00C16ECD"/>
    <w:rsid w:val="00C17D21"/>
    <w:rsid w:val="00C2325B"/>
    <w:rsid w:val="00C23C75"/>
    <w:rsid w:val="00C2528A"/>
    <w:rsid w:val="00C25504"/>
    <w:rsid w:val="00C26D72"/>
    <w:rsid w:val="00C30041"/>
    <w:rsid w:val="00C35E8E"/>
    <w:rsid w:val="00C369E6"/>
    <w:rsid w:val="00C37965"/>
    <w:rsid w:val="00C41B48"/>
    <w:rsid w:val="00C41DAD"/>
    <w:rsid w:val="00C4257C"/>
    <w:rsid w:val="00C42959"/>
    <w:rsid w:val="00C50288"/>
    <w:rsid w:val="00C51D7C"/>
    <w:rsid w:val="00C520A5"/>
    <w:rsid w:val="00C52F43"/>
    <w:rsid w:val="00C53FE3"/>
    <w:rsid w:val="00C54367"/>
    <w:rsid w:val="00C550FA"/>
    <w:rsid w:val="00C56D94"/>
    <w:rsid w:val="00C61B98"/>
    <w:rsid w:val="00C61F6B"/>
    <w:rsid w:val="00C62BAC"/>
    <w:rsid w:val="00C65F45"/>
    <w:rsid w:val="00C70E02"/>
    <w:rsid w:val="00C7202B"/>
    <w:rsid w:val="00C73D4D"/>
    <w:rsid w:val="00C76023"/>
    <w:rsid w:val="00C76D84"/>
    <w:rsid w:val="00C8103B"/>
    <w:rsid w:val="00C81D75"/>
    <w:rsid w:val="00C83229"/>
    <w:rsid w:val="00C8395B"/>
    <w:rsid w:val="00C878FD"/>
    <w:rsid w:val="00C91ED1"/>
    <w:rsid w:val="00C922B0"/>
    <w:rsid w:val="00C943E9"/>
    <w:rsid w:val="00C94432"/>
    <w:rsid w:val="00C94834"/>
    <w:rsid w:val="00C96B02"/>
    <w:rsid w:val="00C96D1B"/>
    <w:rsid w:val="00CA036F"/>
    <w:rsid w:val="00CA0E6C"/>
    <w:rsid w:val="00CA192A"/>
    <w:rsid w:val="00CA1C0D"/>
    <w:rsid w:val="00CA47BD"/>
    <w:rsid w:val="00CA6968"/>
    <w:rsid w:val="00CB298E"/>
    <w:rsid w:val="00CB3C2A"/>
    <w:rsid w:val="00CB5C2D"/>
    <w:rsid w:val="00CB7D56"/>
    <w:rsid w:val="00CC0302"/>
    <w:rsid w:val="00CC0343"/>
    <w:rsid w:val="00CC2DC7"/>
    <w:rsid w:val="00CC378C"/>
    <w:rsid w:val="00CC419D"/>
    <w:rsid w:val="00CC4FB4"/>
    <w:rsid w:val="00CD26B9"/>
    <w:rsid w:val="00CD2D7E"/>
    <w:rsid w:val="00CD2FEC"/>
    <w:rsid w:val="00CD49FD"/>
    <w:rsid w:val="00CE0F82"/>
    <w:rsid w:val="00CE1515"/>
    <w:rsid w:val="00CE1EC8"/>
    <w:rsid w:val="00CE420B"/>
    <w:rsid w:val="00CE602D"/>
    <w:rsid w:val="00CE73AF"/>
    <w:rsid w:val="00CF080A"/>
    <w:rsid w:val="00CF0D3B"/>
    <w:rsid w:val="00CF1985"/>
    <w:rsid w:val="00CF1DA1"/>
    <w:rsid w:val="00CF29D6"/>
    <w:rsid w:val="00CF6A2D"/>
    <w:rsid w:val="00CF6D79"/>
    <w:rsid w:val="00CF7314"/>
    <w:rsid w:val="00D0058B"/>
    <w:rsid w:val="00D01305"/>
    <w:rsid w:val="00D015C8"/>
    <w:rsid w:val="00D038C0"/>
    <w:rsid w:val="00D04051"/>
    <w:rsid w:val="00D04A2A"/>
    <w:rsid w:val="00D0508C"/>
    <w:rsid w:val="00D10D52"/>
    <w:rsid w:val="00D10FB7"/>
    <w:rsid w:val="00D12D37"/>
    <w:rsid w:val="00D136D2"/>
    <w:rsid w:val="00D13E80"/>
    <w:rsid w:val="00D159F0"/>
    <w:rsid w:val="00D206A5"/>
    <w:rsid w:val="00D22128"/>
    <w:rsid w:val="00D22A38"/>
    <w:rsid w:val="00D30262"/>
    <w:rsid w:val="00D30C9F"/>
    <w:rsid w:val="00D3219E"/>
    <w:rsid w:val="00D3382C"/>
    <w:rsid w:val="00D34BDA"/>
    <w:rsid w:val="00D35020"/>
    <w:rsid w:val="00D362EC"/>
    <w:rsid w:val="00D36E8C"/>
    <w:rsid w:val="00D41893"/>
    <w:rsid w:val="00D442B8"/>
    <w:rsid w:val="00D44F40"/>
    <w:rsid w:val="00D46F48"/>
    <w:rsid w:val="00D479EE"/>
    <w:rsid w:val="00D47C84"/>
    <w:rsid w:val="00D5001B"/>
    <w:rsid w:val="00D509BA"/>
    <w:rsid w:val="00D50B5E"/>
    <w:rsid w:val="00D50EE3"/>
    <w:rsid w:val="00D50FAC"/>
    <w:rsid w:val="00D5334D"/>
    <w:rsid w:val="00D543B5"/>
    <w:rsid w:val="00D54E6D"/>
    <w:rsid w:val="00D55DD7"/>
    <w:rsid w:val="00D5675C"/>
    <w:rsid w:val="00D5684B"/>
    <w:rsid w:val="00D5712C"/>
    <w:rsid w:val="00D60900"/>
    <w:rsid w:val="00D610CE"/>
    <w:rsid w:val="00D61409"/>
    <w:rsid w:val="00D61468"/>
    <w:rsid w:val="00D61E11"/>
    <w:rsid w:val="00D63837"/>
    <w:rsid w:val="00D6604C"/>
    <w:rsid w:val="00D72D5B"/>
    <w:rsid w:val="00D72EA6"/>
    <w:rsid w:val="00D7320F"/>
    <w:rsid w:val="00D76C31"/>
    <w:rsid w:val="00D76D36"/>
    <w:rsid w:val="00D77420"/>
    <w:rsid w:val="00D81EFC"/>
    <w:rsid w:val="00D82490"/>
    <w:rsid w:val="00D82AAF"/>
    <w:rsid w:val="00D83BFD"/>
    <w:rsid w:val="00D84467"/>
    <w:rsid w:val="00D84A28"/>
    <w:rsid w:val="00D850CA"/>
    <w:rsid w:val="00D863E7"/>
    <w:rsid w:val="00D878BD"/>
    <w:rsid w:val="00D906FC"/>
    <w:rsid w:val="00D908CB"/>
    <w:rsid w:val="00D90E02"/>
    <w:rsid w:val="00D91353"/>
    <w:rsid w:val="00D91EBF"/>
    <w:rsid w:val="00D92B53"/>
    <w:rsid w:val="00D93116"/>
    <w:rsid w:val="00D93188"/>
    <w:rsid w:val="00DA2BA0"/>
    <w:rsid w:val="00DA35F0"/>
    <w:rsid w:val="00DA38A8"/>
    <w:rsid w:val="00DA4248"/>
    <w:rsid w:val="00DA437C"/>
    <w:rsid w:val="00DA460D"/>
    <w:rsid w:val="00DA4BE2"/>
    <w:rsid w:val="00DA7DB6"/>
    <w:rsid w:val="00DB1391"/>
    <w:rsid w:val="00DB2C04"/>
    <w:rsid w:val="00DB3A98"/>
    <w:rsid w:val="00DB3B4B"/>
    <w:rsid w:val="00DB4527"/>
    <w:rsid w:val="00DB5566"/>
    <w:rsid w:val="00DB69A6"/>
    <w:rsid w:val="00DB79DE"/>
    <w:rsid w:val="00DB7C5C"/>
    <w:rsid w:val="00DC27CE"/>
    <w:rsid w:val="00DC2A14"/>
    <w:rsid w:val="00DC3C26"/>
    <w:rsid w:val="00DC44A4"/>
    <w:rsid w:val="00DC5E20"/>
    <w:rsid w:val="00DC6B1A"/>
    <w:rsid w:val="00DC7036"/>
    <w:rsid w:val="00DD0CD9"/>
    <w:rsid w:val="00DD12EB"/>
    <w:rsid w:val="00DD212A"/>
    <w:rsid w:val="00DD2910"/>
    <w:rsid w:val="00DD2A85"/>
    <w:rsid w:val="00DD2F8A"/>
    <w:rsid w:val="00DD3FEF"/>
    <w:rsid w:val="00DD5FA2"/>
    <w:rsid w:val="00DE3B13"/>
    <w:rsid w:val="00DE3C16"/>
    <w:rsid w:val="00DE43B9"/>
    <w:rsid w:val="00DE47A2"/>
    <w:rsid w:val="00DE4D20"/>
    <w:rsid w:val="00DE6A2C"/>
    <w:rsid w:val="00DE7FEC"/>
    <w:rsid w:val="00DF0A47"/>
    <w:rsid w:val="00DF0AB7"/>
    <w:rsid w:val="00DF295E"/>
    <w:rsid w:val="00DF2B95"/>
    <w:rsid w:val="00DF3248"/>
    <w:rsid w:val="00DF4047"/>
    <w:rsid w:val="00DF479E"/>
    <w:rsid w:val="00DF6B3E"/>
    <w:rsid w:val="00E00EC2"/>
    <w:rsid w:val="00E01569"/>
    <w:rsid w:val="00E01FDD"/>
    <w:rsid w:val="00E0378E"/>
    <w:rsid w:val="00E06ADC"/>
    <w:rsid w:val="00E10F90"/>
    <w:rsid w:val="00E11AC8"/>
    <w:rsid w:val="00E12FA6"/>
    <w:rsid w:val="00E137A7"/>
    <w:rsid w:val="00E14B4B"/>
    <w:rsid w:val="00E15420"/>
    <w:rsid w:val="00E20108"/>
    <w:rsid w:val="00E23EFC"/>
    <w:rsid w:val="00E27787"/>
    <w:rsid w:val="00E3072C"/>
    <w:rsid w:val="00E30B52"/>
    <w:rsid w:val="00E318D8"/>
    <w:rsid w:val="00E331C8"/>
    <w:rsid w:val="00E33E48"/>
    <w:rsid w:val="00E342C2"/>
    <w:rsid w:val="00E355C1"/>
    <w:rsid w:val="00E3592F"/>
    <w:rsid w:val="00E3699B"/>
    <w:rsid w:val="00E4443A"/>
    <w:rsid w:val="00E44455"/>
    <w:rsid w:val="00E44D69"/>
    <w:rsid w:val="00E44E68"/>
    <w:rsid w:val="00E4556E"/>
    <w:rsid w:val="00E509DF"/>
    <w:rsid w:val="00E51095"/>
    <w:rsid w:val="00E51315"/>
    <w:rsid w:val="00E537EE"/>
    <w:rsid w:val="00E55C9B"/>
    <w:rsid w:val="00E572B0"/>
    <w:rsid w:val="00E6141B"/>
    <w:rsid w:val="00E61920"/>
    <w:rsid w:val="00E627AF"/>
    <w:rsid w:val="00E62843"/>
    <w:rsid w:val="00E655E9"/>
    <w:rsid w:val="00E661C8"/>
    <w:rsid w:val="00E70DCB"/>
    <w:rsid w:val="00E71081"/>
    <w:rsid w:val="00E728FD"/>
    <w:rsid w:val="00E72BB5"/>
    <w:rsid w:val="00E7313F"/>
    <w:rsid w:val="00E73381"/>
    <w:rsid w:val="00E73E8F"/>
    <w:rsid w:val="00E73FB5"/>
    <w:rsid w:val="00E772FA"/>
    <w:rsid w:val="00E80C62"/>
    <w:rsid w:val="00E83147"/>
    <w:rsid w:val="00E8654F"/>
    <w:rsid w:val="00E869E6"/>
    <w:rsid w:val="00E8714E"/>
    <w:rsid w:val="00E876A9"/>
    <w:rsid w:val="00E877F9"/>
    <w:rsid w:val="00E92667"/>
    <w:rsid w:val="00E955BD"/>
    <w:rsid w:val="00E96384"/>
    <w:rsid w:val="00E971C9"/>
    <w:rsid w:val="00E97995"/>
    <w:rsid w:val="00EA0A44"/>
    <w:rsid w:val="00EA0CF2"/>
    <w:rsid w:val="00EA1994"/>
    <w:rsid w:val="00EA3350"/>
    <w:rsid w:val="00EA384F"/>
    <w:rsid w:val="00EA7C97"/>
    <w:rsid w:val="00EB064B"/>
    <w:rsid w:val="00EB06B6"/>
    <w:rsid w:val="00EB3641"/>
    <w:rsid w:val="00EB49E5"/>
    <w:rsid w:val="00EB5853"/>
    <w:rsid w:val="00EB6CC4"/>
    <w:rsid w:val="00EB78A0"/>
    <w:rsid w:val="00EB7AE3"/>
    <w:rsid w:val="00EC02AD"/>
    <w:rsid w:val="00EC06B8"/>
    <w:rsid w:val="00EC0E67"/>
    <w:rsid w:val="00EC4B07"/>
    <w:rsid w:val="00EC515F"/>
    <w:rsid w:val="00EC77CC"/>
    <w:rsid w:val="00ED119B"/>
    <w:rsid w:val="00ED1B21"/>
    <w:rsid w:val="00ED1E6B"/>
    <w:rsid w:val="00ED21B8"/>
    <w:rsid w:val="00ED31B5"/>
    <w:rsid w:val="00ED3636"/>
    <w:rsid w:val="00ED3874"/>
    <w:rsid w:val="00ED45E7"/>
    <w:rsid w:val="00ED463D"/>
    <w:rsid w:val="00ED51FD"/>
    <w:rsid w:val="00ED6B21"/>
    <w:rsid w:val="00EE0078"/>
    <w:rsid w:val="00EE1380"/>
    <w:rsid w:val="00EE18CE"/>
    <w:rsid w:val="00EE337E"/>
    <w:rsid w:val="00EE5230"/>
    <w:rsid w:val="00EE5E5F"/>
    <w:rsid w:val="00EE6C7D"/>
    <w:rsid w:val="00EE719C"/>
    <w:rsid w:val="00EF0401"/>
    <w:rsid w:val="00EF0920"/>
    <w:rsid w:val="00EF659D"/>
    <w:rsid w:val="00EF65CA"/>
    <w:rsid w:val="00EF68CB"/>
    <w:rsid w:val="00EF6C91"/>
    <w:rsid w:val="00EF6E1A"/>
    <w:rsid w:val="00EF727F"/>
    <w:rsid w:val="00EF7345"/>
    <w:rsid w:val="00EF7A70"/>
    <w:rsid w:val="00EF7CB1"/>
    <w:rsid w:val="00F0215B"/>
    <w:rsid w:val="00F036A2"/>
    <w:rsid w:val="00F03946"/>
    <w:rsid w:val="00F05F41"/>
    <w:rsid w:val="00F06E17"/>
    <w:rsid w:val="00F077DE"/>
    <w:rsid w:val="00F1274D"/>
    <w:rsid w:val="00F12894"/>
    <w:rsid w:val="00F1462D"/>
    <w:rsid w:val="00F16FEB"/>
    <w:rsid w:val="00F175E6"/>
    <w:rsid w:val="00F22097"/>
    <w:rsid w:val="00F24950"/>
    <w:rsid w:val="00F26F9A"/>
    <w:rsid w:val="00F3041E"/>
    <w:rsid w:val="00F30DD2"/>
    <w:rsid w:val="00F311C9"/>
    <w:rsid w:val="00F31C5B"/>
    <w:rsid w:val="00F31D0B"/>
    <w:rsid w:val="00F3363D"/>
    <w:rsid w:val="00F37066"/>
    <w:rsid w:val="00F370B5"/>
    <w:rsid w:val="00F4386C"/>
    <w:rsid w:val="00F45233"/>
    <w:rsid w:val="00F45968"/>
    <w:rsid w:val="00F46DFC"/>
    <w:rsid w:val="00F470FB"/>
    <w:rsid w:val="00F47486"/>
    <w:rsid w:val="00F50566"/>
    <w:rsid w:val="00F50BEB"/>
    <w:rsid w:val="00F51496"/>
    <w:rsid w:val="00F51B6A"/>
    <w:rsid w:val="00F5327B"/>
    <w:rsid w:val="00F563F4"/>
    <w:rsid w:val="00F6111E"/>
    <w:rsid w:val="00F621DC"/>
    <w:rsid w:val="00F622A5"/>
    <w:rsid w:val="00F622A8"/>
    <w:rsid w:val="00F63BA7"/>
    <w:rsid w:val="00F66D57"/>
    <w:rsid w:val="00F7047F"/>
    <w:rsid w:val="00F751E6"/>
    <w:rsid w:val="00F80049"/>
    <w:rsid w:val="00F81B54"/>
    <w:rsid w:val="00F820E5"/>
    <w:rsid w:val="00F85142"/>
    <w:rsid w:val="00F85202"/>
    <w:rsid w:val="00F859F8"/>
    <w:rsid w:val="00F85DE2"/>
    <w:rsid w:val="00F9096F"/>
    <w:rsid w:val="00F90F09"/>
    <w:rsid w:val="00F91E2E"/>
    <w:rsid w:val="00F921E7"/>
    <w:rsid w:val="00F925F1"/>
    <w:rsid w:val="00F93B89"/>
    <w:rsid w:val="00F93BE1"/>
    <w:rsid w:val="00FA0F2F"/>
    <w:rsid w:val="00FA5A37"/>
    <w:rsid w:val="00FA752D"/>
    <w:rsid w:val="00FA781B"/>
    <w:rsid w:val="00FB26DA"/>
    <w:rsid w:val="00FB3695"/>
    <w:rsid w:val="00FB4487"/>
    <w:rsid w:val="00FB4D4B"/>
    <w:rsid w:val="00FC058B"/>
    <w:rsid w:val="00FC09A7"/>
    <w:rsid w:val="00FC3DB6"/>
    <w:rsid w:val="00FC4ACD"/>
    <w:rsid w:val="00FC511B"/>
    <w:rsid w:val="00FC78B0"/>
    <w:rsid w:val="00FD0FC6"/>
    <w:rsid w:val="00FD1861"/>
    <w:rsid w:val="00FD1B0D"/>
    <w:rsid w:val="00FD45D9"/>
    <w:rsid w:val="00FD4B95"/>
    <w:rsid w:val="00FD4DBD"/>
    <w:rsid w:val="00FD6F4F"/>
    <w:rsid w:val="00FE0824"/>
    <w:rsid w:val="00FE19F6"/>
    <w:rsid w:val="00FE3D2B"/>
    <w:rsid w:val="00FE50A0"/>
    <w:rsid w:val="00FE7E97"/>
    <w:rsid w:val="00FF0353"/>
    <w:rsid w:val="00FF0379"/>
    <w:rsid w:val="00FF103F"/>
    <w:rsid w:val="00FF1606"/>
    <w:rsid w:val="00FF166D"/>
    <w:rsid w:val="00FF4A0A"/>
    <w:rsid w:val="00FF78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14:docId w14:val="466B0F41"/>
  <w15:chartTrackingRefBased/>
  <w15:docId w15:val="{6EB2411B-2882-4ED4-8486-9E2F87B4E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99"/>
    <w:lsdException w:name="toc 2" w:uiPriority="99"/>
    <w:lsdException w:name="footnote text" w:uiPriority="99"/>
    <w:lsdException w:name="caption" w:semiHidden="1" w:unhideWhenUsed="1" w:qFormat="1"/>
    <w:lsdException w:name="footnote reference" w:uiPriority="99"/>
    <w:lsdException w:name="annotation reference" w:uiPriority="99"/>
    <w:lsdException w:name="List Number 5" w:uiPriority="99"/>
    <w:lsdException w:name="Title" w:qFormat="1"/>
    <w:lsdException w:name="Subtitle" w:qFormat="1"/>
    <w:lsdException w:name="Hyperlink" w:uiPriority="99"/>
    <w:lsdException w:name="Strong" w:qFormat="1"/>
    <w:lsdException w:name="Emphasis" w:uiPriority="20" w:qFormat="1"/>
    <w:lsdException w:name="Normal (Web)" w:uiPriority="99"/>
    <w:lsdException w:name="HTML Address"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link w:val="Heading1Char"/>
    <w:qFormat/>
    <w:pPr>
      <w:widowControl w:val="0"/>
      <w:numPr>
        <w:numId w:val="2"/>
      </w:numPr>
      <w:tabs>
        <w:tab w:val="clear" w:pos="360"/>
        <w:tab w:val="left" w:pos="1440"/>
      </w:tabs>
      <w:spacing w:before="240" w:line="480" w:lineRule="atLeast"/>
      <w:ind w:left="720" w:hanging="720"/>
      <w:jc w:val="both"/>
      <w:outlineLvl w:val="0"/>
    </w:pPr>
    <w:rPr>
      <w:rFonts w:ascii="Book Antiqua" w:hAnsi="Book Antiqua"/>
      <w:kern w:val="28"/>
      <w:szCs w:val="20"/>
    </w:rPr>
  </w:style>
  <w:style w:type="paragraph" w:styleId="Heading2">
    <w:name w:val="heading 2"/>
    <w:basedOn w:val="Normal"/>
    <w:link w:val="Heading2Char"/>
    <w:qFormat/>
    <w:pPr>
      <w:widowControl w:val="0"/>
      <w:spacing w:line="480" w:lineRule="atLeast"/>
      <w:jc w:val="both"/>
      <w:outlineLvl w:val="1"/>
    </w:pPr>
    <w:rPr>
      <w:rFonts w:ascii="Book Antiqua" w:hAnsi="Book Antiqua"/>
      <w:kern w:val="28"/>
      <w:szCs w:val="20"/>
      <w:lang w:val="en-GB"/>
    </w:rPr>
  </w:style>
  <w:style w:type="paragraph" w:styleId="Heading3">
    <w:name w:val="heading 3"/>
    <w:basedOn w:val="Normal"/>
    <w:link w:val="Heading3Char"/>
    <w:uiPriority w:val="9"/>
    <w:qFormat/>
    <w:pPr>
      <w:widowControl w:val="0"/>
      <w:spacing w:line="480" w:lineRule="atLeast"/>
      <w:jc w:val="both"/>
      <w:outlineLvl w:val="2"/>
    </w:pPr>
    <w:rPr>
      <w:rFonts w:ascii="Book Antiqua" w:hAnsi="Book Antiqua"/>
      <w:kern w:val="28"/>
      <w:szCs w:val="20"/>
      <w:lang w:val="en-GB"/>
    </w:rPr>
  </w:style>
  <w:style w:type="paragraph" w:styleId="Heading4">
    <w:name w:val="heading 4"/>
    <w:basedOn w:val="Normal"/>
    <w:next w:val="BodyText"/>
    <w:link w:val="Heading4Char"/>
    <w:qFormat/>
    <w:rsid w:val="00E355C1"/>
    <w:pPr>
      <w:keepNext/>
      <w:widowControl w:val="0"/>
      <w:spacing w:before="120" w:after="80" w:line="240" w:lineRule="atLeast"/>
      <w:jc w:val="both"/>
      <w:outlineLvl w:val="3"/>
    </w:pPr>
    <w:rPr>
      <w:rFonts w:ascii="Book Antiqua" w:hAnsi="Book Antiqua"/>
      <w:b/>
      <w:i/>
      <w:kern w:val="28"/>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E355C1"/>
    <w:rPr>
      <w:rFonts w:ascii="Book Antiqua" w:hAnsi="Book Antiqua"/>
      <w:kern w:val="28"/>
      <w:sz w:val="24"/>
      <w:lang w:eastAsia="en-US"/>
    </w:rPr>
  </w:style>
  <w:style w:type="character" w:customStyle="1" w:styleId="Heading2Char">
    <w:name w:val="Heading 2 Char"/>
    <w:link w:val="Heading2"/>
    <w:rsid w:val="00E355C1"/>
    <w:rPr>
      <w:rFonts w:ascii="Book Antiqua" w:hAnsi="Book Antiqua"/>
      <w:kern w:val="28"/>
      <w:sz w:val="24"/>
      <w:lang w:val="en-GB" w:eastAsia="en-US"/>
    </w:rPr>
  </w:style>
  <w:style w:type="character" w:customStyle="1" w:styleId="Heading3Char">
    <w:name w:val="Heading 3 Char"/>
    <w:link w:val="Heading3"/>
    <w:uiPriority w:val="9"/>
    <w:rsid w:val="00E355C1"/>
    <w:rPr>
      <w:rFonts w:ascii="Book Antiqua" w:hAnsi="Book Antiqua"/>
      <w:kern w:val="28"/>
      <w:sz w:val="24"/>
      <w:lang w:val="en-GB" w:eastAsia="en-US"/>
    </w:rPr>
  </w:style>
  <w:style w:type="paragraph" w:styleId="BodyText">
    <w:name w:val="Body Text"/>
    <w:basedOn w:val="Normal"/>
    <w:link w:val="BodyTextChar"/>
    <w:rsid w:val="00E355C1"/>
    <w:pPr>
      <w:spacing w:after="120"/>
    </w:pPr>
  </w:style>
  <w:style w:type="character" w:customStyle="1" w:styleId="BodyTextChar">
    <w:name w:val="Body Text Char"/>
    <w:link w:val="BodyText"/>
    <w:rsid w:val="00E355C1"/>
    <w:rPr>
      <w:sz w:val="24"/>
      <w:szCs w:val="24"/>
      <w:lang w:eastAsia="en-US"/>
    </w:rPr>
  </w:style>
  <w:style w:type="character" w:customStyle="1" w:styleId="Heading4Char">
    <w:name w:val="Heading 4 Char"/>
    <w:link w:val="Heading4"/>
    <w:rsid w:val="00E355C1"/>
    <w:rPr>
      <w:rFonts w:ascii="Book Antiqua" w:hAnsi="Book Antiqua"/>
      <w:b/>
      <w:i/>
      <w:kern w:val="28"/>
      <w:sz w:val="24"/>
      <w:lang w:val="en-US" w:eastAsia="en-US"/>
    </w:rPr>
  </w:style>
  <w:style w:type="paragraph" w:styleId="EnvelopeAddress">
    <w:name w:val="envelope address"/>
    <w:basedOn w:val="Normal"/>
    <w:pPr>
      <w:framePr w:w="7920" w:h="1980" w:hRule="exact" w:hSpace="180" w:wrap="auto" w:hAnchor="page" w:xAlign="center" w:yAlign="bottom"/>
      <w:ind w:left="2880"/>
    </w:pPr>
    <w:rPr>
      <w:rFonts w:cs="Arial"/>
    </w:rPr>
  </w:style>
  <w:style w:type="paragraph" w:styleId="Header">
    <w:name w:val="header"/>
    <w:basedOn w:val="Normal"/>
    <w:link w:val="HeaderChar"/>
    <w:pPr>
      <w:tabs>
        <w:tab w:val="center" w:pos="4153"/>
        <w:tab w:val="right" w:pos="8306"/>
      </w:tabs>
    </w:pPr>
  </w:style>
  <w:style w:type="character" w:customStyle="1" w:styleId="HeaderChar">
    <w:name w:val="Header Char"/>
    <w:link w:val="Header"/>
    <w:rsid w:val="00E355C1"/>
    <w:rPr>
      <w:sz w:val="24"/>
      <w:szCs w:val="24"/>
      <w:lang w:eastAsia="en-US"/>
    </w:rPr>
  </w:style>
  <w:style w:type="paragraph" w:styleId="Footer">
    <w:name w:val="footer"/>
    <w:basedOn w:val="Normal"/>
    <w:link w:val="FooterChar"/>
    <w:pPr>
      <w:tabs>
        <w:tab w:val="center" w:pos="4153"/>
        <w:tab w:val="right" w:pos="8306"/>
      </w:tabs>
    </w:pPr>
  </w:style>
  <w:style w:type="character" w:customStyle="1" w:styleId="FooterChar">
    <w:name w:val="Footer Char"/>
    <w:link w:val="Footer"/>
    <w:rsid w:val="00E355C1"/>
    <w:rPr>
      <w:sz w:val="24"/>
      <w:szCs w:val="24"/>
      <w:lang w:eastAsia="en-US"/>
    </w:rPr>
  </w:style>
  <w:style w:type="character" w:styleId="PageNumber">
    <w:name w:val="page number"/>
    <w:basedOn w:val="DefaultParagraphFont"/>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FootnoteText">
    <w:name w:val="footnote text"/>
    <w:basedOn w:val="Normal"/>
    <w:link w:val="FootnoteTextChar"/>
    <w:uiPriority w:val="99"/>
    <w:pPr>
      <w:widowControl w:val="0"/>
      <w:spacing w:line="240" w:lineRule="atLeast"/>
      <w:ind w:left="720" w:hanging="720"/>
      <w:jc w:val="both"/>
    </w:pPr>
    <w:rPr>
      <w:rFonts w:ascii="Book Antiqua" w:hAnsi="Book Antiqua"/>
      <w:sz w:val="20"/>
      <w:szCs w:val="20"/>
    </w:rPr>
  </w:style>
  <w:style w:type="character" w:customStyle="1" w:styleId="FootnoteTextChar">
    <w:name w:val="Footnote Text Char"/>
    <w:link w:val="FootnoteText"/>
    <w:uiPriority w:val="99"/>
    <w:rsid w:val="00E355C1"/>
    <w:rPr>
      <w:rFonts w:ascii="Book Antiqua" w:hAnsi="Book Antiqua"/>
      <w:lang w:eastAsia="en-US"/>
    </w:rPr>
  </w:style>
  <w:style w:type="character" w:styleId="FootnoteReference">
    <w:name w:val="footnote reference"/>
    <w:uiPriority w:val="99"/>
    <w:rPr>
      <w:vertAlign w:val="superscript"/>
    </w:rPr>
  </w:style>
  <w:style w:type="paragraph" w:customStyle="1" w:styleId="Level1">
    <w:name w:val="Level 1"/>
    <w:basedOn w:val="Normal"/>
    <w:next w:val="Heading1"/>
    <w:pPr>
      <w:widowControl w:val="0"/>
      <w:spacing w:before="240"/>
      <w:ind w:left="720"/>
      <w:jc w:val="both"/>
    </w:pPr>
    <w:rPr>
      <w:rFonts w:ascii="Book Antiqua" w:hAnsi="Book Antiqua"/>
      <w:b/>
      <w:szCs w:val="20"/>
      <w:u w:val="single"/>
    </w:rPr>
  </w:style>
  <w:style w:type="paragraph" w:customStyle="1" w:styleId="Quote1">
    <w:name w:val="Quote1"/>
    <w:basedOn w:val="Normal"/>
    <w:pPr>
      <w:widowControl w:val="0"/>
      <w:spacing w:after="240" w:line="240" w:lineRule="atLeast"/>
      <w:ind w:left="1541" w:right="720" w:hanging="101"/>
      <w:jc w:val="both"/>
    </w:pPr>
    <w:rPr>
      <w:rFonts w:ascii="Book Antiqua" w:hAnsi="Book Antiqua"/>
      <w:szCs w:val="20"/>
    </w:rPr>
  </w:style>
  <w:style w:type="paragraph" w:customStyle="1" w:styleId="DraftHeading1">
    <w:name w:val="Draft Heading 1"/>
    <w:basedOn w:val="Normal"/>
    <w:next w:val="Normal"/>
    <w:link w:val="DraftHeading1Char"/>
    <w:rsid w:val="000A777D"/>
    <w:pPr>
      <w:overflowPunct w:val="0"/>
      <w:autoSpaceDE w:val="0"/>
      <w:autoSpaceDN w:val="0"/>
      <w:adjustRightInd w:val="0"/>
      <w:spacing w:before="120"/>
      <w:textAlignment w:val="baseline"/>
      <w:outlineLvl w:val="2"/>
    </w:pPr>
    <w:rPr>
      <w:b/>
      <w:szCs w:val="20"/>
    </w:rPr>
  </w:style>
  <w:style w:type="character" w:customStyle="1" w:styleId="DraftHeading1Char">
    <w:name w:val="Draft Heading 1 Char"/>
    <w:link w:val="DraftHeading1"/>
    <w:locked/>
    <w:rsid w:val="00E355C1"/>
    <w:rPr>
      <w:b/>
      <w:sz w:val="24"/>
      <w:lang w:eastAsia="en-US"/>
    </w:rPr>
  </w:style>
  <w:style w:type="paragraph" w:customStyle="1" w:styleId="DraftHeading2">
    <w:name w:val="Draft Heading 2"/>
    <w:basedOn w:val="Normal"/>
    <w:next w:val="Normal"/>
    <w:link w:val="DraftHeading2Char"/>
    <w:rsid w:val="000A777D"/>
    <w:pPr>
      <w:overflowPunct w:val="0"/>
      <w:autoSpaceDE w:val="0"/>
      <w:autoSpaceDN w:val="0"/>
      <w:adjustRightInd w:val="0"/>
      <w:spacing w:before="120"/>
      <w:textAlignment w:val="baseline"/>
    </w:pPr>
    <w:rPr>
      <w:szCs w:val="20"/>
    </w:rPr>
  </w:style>
  <w:style w:type="character" w:customStyle="1" w:styleId="DraftHeading2Char">
    <w:name w:val="Draft Heading 2 Char"/>
    <w:link w:val="DraftHeading2"/>
    <w:rsid w:val="00E355C1"/>
    <w:rPr>
      <w:sz w:val="24"/>
      <w:lang w:eastAsia="en-US"/>
    </w:rPr>
  </w:style>
  <w:style w:type="paragraph" w:customStyle="1" w:styleId="ShoulderReference">
    <w:name w:val="Shoulder Reference"/>
    <w:next w:val="Normal"/>
    <w:rsid w:val="000A777D"/>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SideNote">
    <w:name w:val="Side Note"/>
    <w:basedOn w:val="Normal"/>
    <w:rsid w:val="000A777D"/>
    <w:pPr>
      <w:framePr w:w="964" w:h="340" w:hSpace="180" w:vSpace="180" w:wrap="around" w:vAnchor="text" w:hAnchor="page" w:xAlign="outside" w:y="1"/>
      <w:suppressLineNumbers/>
      <w:overflowPunct w:val="0"/>
      <w:autoSpaceDE w:val="0"/>
      <w:autoSpaceDN w:val="0"/>
      <w:adjustRightInd w:val="0"/>
      <w:spacing w:before="120"/>
      <w:textAlignment w:val="baseline"/>
    </w:pPr>
    <w:rPr>
      <w:rFonts w:ascii="Arial" w:hAnsi="Arial"/>
      <w:b/>
      <w:spacing w:val="-10"/>
      <w:sz w:val="16"/>
      <w:szCs w:val="20"/>
    </w:rPr>
  </w:style>
  <w:style w:type="paragraph" w:customStyle="1" w:styleId="BodyParagraphSub">
    <w:name w:val="Body Paragraph (Sub)"/>
    <w:next w:val="Normal"/>
    <w:rsid w:val="000A777D"/>
    <w:pPr>
      <w:overflowPunct w:val="0"/>
      <w:autoSpaceDE w:val="0"/>
      <w:autoSpaceDN w:val="0"/>
      <w:adjustRightInd w:val="0"/>
      <w:spacing w:before="120"/>
      <w:ind w:left="2381"/>
      <w:textAlignment w:val="baseline"/>
    </w:pPr>
    <w:rPr>
      <w:sz w:val="24"/>
      <w:lang w:eastAsia="en-US"/>
    </w:rPr>
  </w:style>
  <w:style w:type="paragraph" w:customStyle="1" w:styleId="BodySection">
    <w:name w:val="Body Section"/>
    <w:next w:val="Normal"/>
    <w:rsid w:val="000A777D"/>
    <w:pPr>
      <w:overflowPunct w:val="0"/>
      <w:autoSpaceDE w:val="0"/>
      <w:autoSpaceDN w:val="0"/>
      <w:adjustRightInd w:val="0"/>
      <w:spacing w:before="120"/>
      <w:ind w:left="1361"/>
      <w:textAlignment w:val="baseline"/>
    </w:pPr>
    <w:rPr>
      <w:sz w:val="24"/>
      <w:lang w:eastAsia="en-US"/>
    </w:rPr>
  </w:style>
  <w:style w:type="paragraph" w:customStyle="1" w:styleId="DraftHeading3">
    <w:name w:val="Draft Heading 3"/>
    <w:basedOn w:val="Normal"/>
    <w:next w:val="Normal"/>
    <w:rsid w:val="000A777D"/>
    <w:pPr>
      <w:overflowPunct w:val="0"/>
      <w:autoSpaceDE w:val="0"/>
      <w:autoSpaceDN w:val="0"/>
      <w:adjustRightInd w:val="0"/>
      <w:spacing w:before="120"/>
      <w:textAlignment w:val="baseline"/>
    </w:pPr>
    <w:rPr>
      <w:szCs w:val="20"/>
    </w:rPr>
  </w:style>
  <w:style w:type="paragraph" w:customStyle="1" w:styleId="DraftHeading4">
    <w:name w:val="Draft Heading 4"/>
    <w:basedOn w:val="Normal"/>
    <w:next w:val="Normal"/>
    <w:link w:val="DraftHeading4Char"/>
    <w:rsid w:val="000A777D"/>
    <w:pPr>
      <w:overflowPunct w:val="0"/>
      <w:autoSpaceDE w:val="0"/>
      <w:autoSpaceDN w:val="0"/>
      <w:adjustRightInd w:val="0"/>
      <w:spacing w:before="120"/>
      <w:textAlignment w:val="baseline"/>
    </w:pPr>
    <w:rPr>
      <w:szCs w:val="20"/>
    </w:rPr>
  </w:style>
  <w:style w:type="character" w:customStyle="1" w:styleId="DraftHeading4Char">
    <w:name w:val="Draft Heading 4 Char"/>
    <w:link w:val="DraftHeading4"/>
    <w:rsid w:val="00E355C1"/>
    <w:rPr>
      <w:sz w:val="24"/>
      <w:lang w:eastAsia="en-US"/>
    </w:rPr>
  </w:style>
  <w:style w:type="paragraph" w:customStyle="1" w:styleId="DraftHeading5">
    <w:name w:val="Draft Heading 5"/>
    <w:basedOn w:val="Normal"/>
    <w:next w:val="Normal"/>
    <w:rsid w:val="000A777D"/>
    <w:pPr>
      <w:overflowPunct w:val="0"/>
      <w:autoSpaceDE w:val="0"/>
      <w:autoSpaceDN w:val="0"/>
      <w:adjustRightInd w:val="0"/>
      <w:spacing w:before="120"/>
      <w:textAlignment w:val="baseline"/>
    </w:pPr>
    <w:rPr>
      <w:szCs w:val="20"/>
    </w:rPr>
  </w:style>
  <w:style w:type="paragraph" w:customStyle="1" w:styleId="BodySectionSub">
    <w:name w:val="Body Section (Sub)"/>
    <w:next w:val="Normal"/>
    <w:link w:val="BodySectionSubChar"/>
    <w:rsid w:val="00583433"/>
    <w:pPr>
      <w:overflowPunct w:val="0"/>
      <w:autoSpaceDE w:val="0"/>
      <w:autoSpaceDN w:val="0"/>
      <w:adjustRightInd w:val="0"/>
      <w:spacing w:before="120"/>
      <w:ind w:left="1361"/>
      <w:textAlignment w:val="baseline"/>
    </w:pPr>
    <w:rPr>
      <w:sz w:val="24"/>
      <w:lang w:eastAsia="en-US"/>
    </w:rPr>
  </w:style>
  <w:style w:type="character" w:customStyle="1" w:styleId="BodySectionSubChar">
    <w:name w:val="Body Section (Sub) Char"/>
    <w:link w:val="BodySectionSub"/>
    <w:rsid w:val="00583433"/>
    <w:rPr>
      <w:sz w:val="24"/>
      <w:lang w:val="en-AU" w:eastAsia="en-US" w:bidi="ar-SA"/>
    </w:rPr>
  </w:style>
  <w:style w:type="paragraph" w:customStyle="1" w:styleId="DraftSectionNote">
    <w:name w:val="Draft Section Note"/>
    <w:next w:val="Normal"/>
    <w:rsid w:val="00583433"/>
    <w:pPr>
      <w:spacing w:before="120"/>
    </w:pPr>
    <w:rPr>
      <w:lang w:eastAsia="en-US"/>
    </w:rPr>
  </w:style>
  <w:style w:type="table" w:styleId="TableGrid">
    <w:name w:val="Table Grid"/>
    <w:basedOn w:val="TableNormal"/>
    <w:uiPriority w:val="39"/>
    <w:rsid w:val="00F470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deHeading">
    <w:name w:val="Side Heading"/>
    <w:basedOn w:val="Normal"/>
    <w:rsid w:val="005A4BF5"/>
    <w:pPr>
      <w:widowControl w:val="0"/>
      <w:spacing w:before="600"/>
      <w:ind w:left="720" w:right="720"/>
      <w:jc w:val="both"/>
    </w:pPr>
    <w:rPr>
      <w:rFonts w:ascii="Book Antiqua" w:hAnsi="Book Antiqua"/>
      <w:b/>
      <w:i/>
      <w:szCs w:val="20"/>
    </w:rPr>
  </w:style>
  <w:style w:type="paragraph" w:customStyle="1" w:styleId="Footer-Web">
    <w:name w:val="Footer-Web"/>
    <w:basedOn w:val="Footer"/>
    <w:rsid w:val="005A4BF5"/>
    <w:pPr>
      <w:widowControl w:val="0"/>
      <w:tabs>
        <w:tab w:val="clear" w:pos="4153"/>
        <w:tab w:val="clear" w:pos="8306"/>
        <w:tab w:val="center" w:pos="4896"/>
        <w:tab w:val="right" w:pos="9792"/>
      </w:tabs>
    </w:pPr>
    <w:rPr>
      <w:rFonts w:ascii="Book Antiqua" w:hAnsi="Book Antiqua"/>
      <w:sz w:val="18"/>
      <w:szCs w:val="20"/>
    </w:rPr>
  </w:style>
  <w:style w:type="paragraph" w:customStyle="1" w:styleId="Normal-Indent">
    <w:name w:val="Normal - Indent"/>
    <w:basedOn w:val="Normal"/>
    <w:rsid w:val="004A28BC"/>
    <w:pPr>
      <w:widowControl w:val="0"/>
      <w:spacing w:line="480" w:lineRule="atLeast"/>
      <w:ind w:left="720"/>
      <w:jc w:val="both"/>
    </w:pPr>
    <w:rPr>
      <w:rFonts w:ascii="Book Antiqua" w:hAnsi="Book Antiqua"/>
      <w:szCs w:val="20"/>
    </w:rPr>
  </w:style>
  <w:style w:type="paragraph" w:customStyle="1" w:styleId="footnotedescription">
    <w:name w:val="footnote description"/>
    <w:next w:val="Normal"/>
    <w:link w:val="footnotedescriptionChar"/>
    <w:hidden/>
    <w:rsid w:val="00B45F25"/>
    <w:pPr>
      <w:spacing w:line="259" w:lineRule="auto"/>
    </w:pPr>
    <w:rPr>
      <w:rFonts w:ascii="Book Antiqua" w:eastAsia="Book Antiqua" w:hAnsi="Book Antiqua" w:cs="Book Antiqua"/>
      <w:color w:val="000000"/>
      <w:szCs w:val="22"/>
    </w:rPr>
  </w:style>
  <w:style w:type="character" w:customStyle="1" w:styleId="footnotedescriptionChar">
    <w:name w:val="footnote description Char"/>
    <w:link w:val="footnotedescription"/>
    <w:rsid w:val="00B45F25"/>
    <w:rPr>
      <w:rFonts w:ascii="Book Antiqua" w:eastAsia="Book Antiqua" w:hAnsi="Book Antiqua" w:cs="Book Antiqua"/>
      <w:color w:val="000000"/>
      <w:szCs w:val="22"/>
    </w:rPr>
  </w:style>
  <w:style w:type="character" w:customStyle="1" w:styleId="footnotemark">
    <w:name w:val="footnote mark"/>
    <w:hidden/>
    <w:rsid w:val="00B45F25"/>
    <w:rPr>
      <w:rFonts w:ascii="Book Antiqua" w:eastAsia="Book Antiqua" w:hAnsi="Book Antiqua" w:cs="Book Antiqua"/>
      <w:color w:val="000000"/>
      <w:sz w:val="20"/>
      <w:vertAlign w:val="superscript"/>
    </w:rPr>
  </w:style>
  <w:style w:type="paragraph" w:styleId="BalloonText">
    <w:name w:val="Balloon Text"/>
    <w:basedOn w:val="Normal"/>
    <w:link w:val="BalloonTextChar"/>
    <w:rsid w:val="00E355C1"/>
    <w:rPr>
      <w:rFonts w:ascii="Segoe UI" w:hAnsi="Segoe UI" w:cs="Segoe UI"/>
      <w:sz w:val="18"/>
      <w:szCs w:val="18"/>
    </w:rPr>
  </w:style>
  <w:style w:type="character" w:customStyle="1" w:styleId="BalloonTextChar">
    <w:name w:val="Balloon Text Char"/>
    <w:link w:val="BalloonText"/>
    <w:rsid w:val="00E355C1"/>
    <w:rPr>
      <w:rFonts w:ascii="Segoe UI" w:hAnsi="Segoe UI" w:cs="Segoe UI"/>
      <w:sz w:val="18"/>
      <w:szCs w:val="18"/>
      <w:lang w:eastAsia="en-US"/>
    </w:rPr>
  </w:style>
  <w:style w:type="paragraph" w:styleId="ListParagraph">
    <w:name w:val="List Paragraph"/>
    <w:aliases w:val="Bullet,List Paragraph1,List Paragraph11,Bullet point,L,Recommendation,DDM Gen Text,List Paragraph - bullets,NFP GP Bulleted List,bullet point list,Bullet points,Content descriptions,Bullet Point,Number,List Paragraph111,F5 List Paragraph"/>
    <w:basedOn w:val="Normal"/>
    <w:link w:val="ListParagraphChar"/>
    <w:uiPriority w:val="34"/>
    <w:qFormat/>
    <w:rsid w:val="00E355C1"/>
    <w:pPr>
      <w:spacing w:after="160" w:line="259" w:lineRule="auto"/>
      <w:ind w:left="720"/>
      <w:contextualSpacing/>
    </w:pPr>
    <w:rPr>
      <w:rFonts w:ascii="Calibri" w:eastAsia="Calibri" w:hAnsi="Calibri"/>
      <w:sz w:val="22"/>
      <w:szCs w:val="22"/>
    </w:rPr>
  </w:style>
  <w:style w:type="paragraph" w:customStyle="1" w:styleId="Normal-Cover">
    <w:name w:val="Normal-Cover"/>
    <w:basedOn w:val="Normal"/>
    <w:rsid w:val="00E355C1"/>
    <w:pPr>
      <w:widowControl w:val="0"/>
    </w:pPr>
    <w:rPr>
      <w:rFonts w:ascii="Book Antiqua" w:hAnsi="Book Antiqua"/>
      <w:szCs w:val="20"/>
    </w:rPr>
  </w:style>
  <w:style w:type="paragraph" w:customStyle="1" w:styleId="Titlesub">
    <w:name w:val="Title sub"/>
    <w:basedOn w:val="Title"/>
    <w:rsid w:val="00E355C1"/>
    <w:pPr>
      <w:tabs>
        <w:tab w:val="left" w:pos="2835"/>
        <w:tab w:val="left" w:pos="6095"/>
      </w:tabs>
      <w:overflowPunct/>
      <w:autoSpaceDE/>
      <w:autoSpaceDN/>
      <w:adjustRightInd/>
      <w:spacing w:before="0" w:after="120"/>
      <w:textAlignment w:val="auto"/>
      <w:outlineLvl w:val="9"/>
    </w:pPr>
    <w:rPr>
      <w:rFonts w:ascii="Tahoma" w:hAnsi="Tahoma" w:cs="Times New Roman"/>
      <w:b w:val="0"/>
      <w:bCs w:val="0"/>
      <w:color w:val="000080"/>
      <w:kern w:val="0"/>
      <w:sz w:val="40"/>
      <w:szCs w:val="20"/>
    </w:rPr>
  </w:style>
  <w:style w:type="paragraph" w:styleId="Title">
    <w:name w:val="Title"/>
    <w:basedOn w:val="Normal"/>
    <w:link w:val="TitleChar"/>
    <w:qFormat/>
    <w:rsid w:val="00E355C1"/>
    <w:pPr>
      <w:overflowPunct w:val="0"/>
      <w:autoSpaceDE w:val="0"/>
      <w:autoSpaceDN w:val="0"/>
      <w:adjustRightInd w:val="0"/>
      <w:spacing w:before="240" w:after="60"/>
      <w:jc w:val="center"/>
      <w:textAlignment w:val="baseline"/>
      <w:outlineLvl w:val="0"/>
    </w:pPr>
    <w:rPr>
      <w:rFonts w:ascii="Arial" w:hAnsi="Arial" w:cs="Arial"/>
      <w:b/>
      <w:bCs/>
      <w:kern w:val="28"/>
      <w:sz w:val="32"/>
      <w:szCs w:val="32"/>
    </w:rPr>
  </w:style>
  <w:style w:type="character" w:customStyle="1" w:styleId="TitleChar">
    <w:name w:val="Title Char"/>
    <w:link w:val="Title"/>
    <w:rsid w:val="00E355C1"/>
    <w:rPr>
      <w:rFonts w:ascii="Arial" w:hAnsi="Arial" w:cs="Arial"/>
      <w:b/>
      <w:bCs/>
      <w:kern w:val="28"/>
      <w:sz w:val="32"/>
      <w:szCs w:val="32"/>
      <w:lang w:eastAsia="en-US"/>
    </w:rPr>
  </w:style>
  <w:style w:type="paragraph" w:customStyle="1" w:styleId="Catchwords">
    <w:name w:val="Catchwords"/>
    <w:basedOn w:val="Normal"/>
    <w:rsid w:val="00E355C1"/>
    <w:pPr>
      <w:widowControl w:val="0"/>
      <w:spacing w:line="240" w:lineRule="atLeast"/>
      <w:jc w:val="both"/>
    </w:pPr>
    <w:rPr>
      <w:rFonts w:ascii="Book Antiqua" w:hAnsi="Book Antiqua"/>
      <w:szCs w:val="20"/>
      <w:lang w:val="en-GB"/>
    </w:rPr>
  </w:style>
  <w:style w:type="paragraph" w:customStyle="1" w:styleId="Casedate">
    <w:name w:val="Casedate"/>
    <w:basedOn w:val="Normal"/>
    <w:rsid w:val="00E355C1"/>
    <w:pPr>
      <w:widowControl w:val="0"/>
      <w:spacing w:after="120" w:line="240" w:lineRule="atLeast"/>
    </w:pPr>
    <w:rPr>
      <w:rFonts w:ascii="Book Antiqua" w:hAnsi="Book Antiqua"/>
      <w:szCs w:val="20"/>
      <w:lang w:val="en-GB"/>
    </w:rPr>
  </w:style>
  <w:style w:type="paragraph" w:customStyle="1" w:styleId="NoNumber">
    <w:name w:val="No Number"/>
    <w:basedOn w:val="Heading1"/>
    <w:autoRedefine/>
    <w:rsid w:val="00E355C1"/>
    <w:pPr>
      <w:widowControl/>
      <w:numPr>
        <w:numId w:val="6"/>
      </w:numPr>
      <w:tabs>
        <w:tab w:val="clear" w:pos="1440"/>
      </w:tabs>
      <w:spacing w:before="0"/>
      <w:outlineLvl w:val="9"/>
    </w:pPr>
    <w:rPr>
      <w:lang w:val="en-GB"/>
    </w:rPr>
  </w:style>
  <w:style w:type="paragraph" w:customStyle="1" w:styleId="Quote2">
    <w:name w:val="Quote2"/>
    <w:basedOn w:val="Quote1"/>
    <w:rsid w:val="00E355C1"/>
    <w:pPr>
      <w:ind w:left="2160" w:hanging="619"/>
    </w:pPr>
  </w:style>
  <w:style w:type="paragraph" w:customStyle="1" w:styleId="Style1">
    <w:name w:val="Style1"/>
    <w:basedOn w:val="Normal"/>
    <w:rsid w:val="00E355C1"/>
    <w:pPr>
      <w:overflowPunct w:val="0"/>
      <w:autoSpaceDE w:val="0"/>
      <w:autoSpaceDN w:val="0"/>
      <w:adjustRightInd w:val="0"/>
      <w:jc w:val="both"/>
      <w:textAlignment w:val="baseline"/>
    </w:pPr>
    <w:rPr>
      <w:rFonts w:ascii="Book Antiqua" w:hAnsi="Book Antiqua"/>
      <w:kern w:val="28"/>
      <w:szCs w:val="20"/>
      <w:lang w:val="en-GB"/>
    </w:rPr>
  </w:style>
  <w:style w:type="paragraph" w:customStyle="1" w:styleId="QuoteText">
    <w:name w:val="QuoteText"/>
    <w:basedOn w:val="Normal"/>
    <w:rsid w:val="00E355C1"/>
    <w:pPr>
      <w:widowControl w:val="0"/>
      <w:spacing w:after="240" w:line="240" w:lineRule="atLeast"/>
      <w:ind w:left="1584" w:right="720"/>
      <w:jc w:val="both"/>
    </w:pPr>
    <w:rPr>
      <w:rFonts w:ascii="Book Antiqua" w:hAnsi="Book Antiqua"/>
      <w:szCs w:val="20"/>
      <w:lang w:val="en-GB"/>
    </w:rPr>
  </w:style>
  <w:style w:type="paragraph" w:styleId="BodyText3">
    <w:name w:val="Body Text 3"/>
    <w:basedOn w:val="Normal"/>
    <w:link w:val="BodyText3Char"/>
    <w:rsid w:val="00E355C1"/>
    <w:pPr>
      <w:spacing w:line="360" w:lineRule="auto"/>
      <w:jc w:val="both"/>
    </w:pPr>
    <w:rPr>
      <w:sz w:val="28"/>
      <w:szCs w:val="20"/>
    </w:rPr>
  </w:style>
  <w:style w:type="character" w:customStyle="1" w:styleId="BodyText3Char">
    <w:name w:val="Body Text 3 Char"/>
    <w:link w:val="BodyText3"/>
    <w:rsid w:val="00E355C1"/>
    <w:rPr>
      <w:sz w:val="28"/>
      <w:lang w:eastAsia="en-US"/>
    </w:rPr>
  </w:style>
  <w:style w:type="paragraph" w:customStyle="1" w:styleId="AmendHeading1">
    <w:name w:val="Amend. Heading 1"/>
    <w:basedOn w:val="Normal"/>
    <w:next w:val="Normal"/>
    <w:link w:val="AmendHeading1Char"/>
    <w:rsid w:val="00E355C1"/>
    <w:pPr>
      <w:overflowPunct w:val="0"/>
      <w:autoSpaceDE w:val="0"/>
      <w:autoSpaceDN w:val="0"/>
      <w:adjustRightInd w:val="0"/>
      <w:spacing w:before="120"/>
      <w:textAlignment w:val="baseline"/>
    </w:pPr>
    <w:rPr>
      <w:szCs w:val="20"/>
    </w:rPr>
  </w:style>
  <w:style w:type="character" w:customStyle="1" w:styleId="AmendHeading1Char">
    <w:name w:val="Amend. Heading 1 Char"/>
    <w:link w:val="AmendHeading1"/>
    <w:locked/>
    <w:rsid w:val="00E355C1"/>
    <w:rPr>
      <w:sz w:val="24"/>
      <w:lang w:eastAsia="en-US"/>
    </w:rPr>
  </w:style>
  <w:style w:type="paragraph" w:styleId="NormalWeb">
    <w:name w:val="Normal (Web)"/>
    <w:basedOn w:val="Normal"/>
    <w:uiPriority w:val="99"/>
    <w:unhideWhenUsed/>
    <w:rsid w:val="00E355C1"/>
    <w:pPr>
      <w:spacing w:before="100" w:beforeAutospacing="1" w:after="100" w:afterAutospacing="1"/>
    </w:pPr>
    <w:rPr>
      <w:lang w:eastAsia="en-AU"/>
    </w:rPr>
  </w:style>
  <w:style w:type="character" w:customStyle="1" w:styleId="xxxapple-converted-space">
    <w:name w:val="x_x_x_apple-converted-space"/>
    <w:rsid w:val="00E355C1"/>
  </w:style>
  <w:style w:type="paragraph" w:customStyle="1" w:styleId="Defintion">
    <w:name w:val="Defintion"/>
    <w:next w:val="Normal"/>
    <w:rsid w:val="00E355C1"/>
    <w:pPr>
      <w:tabs>
        <w:tab w:val="left" w:pos="851"/>
        <w:tab w:val="left" w:pos="1361"/>
        <w:tab w:val="left" w:pos="1871"/>
        <w:tab w:val="left" w:pos="2381"/>
        <w:tab w:val="left" w:pos="2892"/>
        <w:tab w:val="left" w:pos="3402"/>
      </w:tabs>
      <w:overflowPunct w:val="0"/>
      <w:autoSpaceDE w:val="0"/>
      <w:autoSpaceDN w:val="0"/>
      <w:adjustRightInd w:val="0"/>
      <w:spacing w:before="120"/>
      <w:ind w:left="1871" w:hanging="510"/>
      <w:textAlignment w:val="baseline"/>
    </w:pPr>
    <w:rPr>
      <w:sz w:val="24"/>
      <w:lang w:eastAsia="en-US"/>
    </w:rPr>
  </w:style>
  <w:style w:type="paragraph" w:customStyle="1" w:styleId="relations">
    <w:name w:val="relations"/>
    <w:basedOn w:val="Normal"/>
    <w:rsid w:val="00E355C1"/>
    <w:pPr>
      <w:spacing w:before="100" w:beforeAutospacing="1" w:after="100" w:afterAutospacing="1"/>
    </w:pPr>
    <w:rPr>
      <w:lang w:eastAsia="en-AU"/>
    </w:rPr>
  </w:style>
  <w:style w:type="paragraph" w:customStyle="1" w:styleId="departmentlevel1">
    <w:name w:val="department_level_1"/>
    <w:basedOn w:val="Normal"/>
    <w:rsid w:val="00E355C1"/>
    <w:pPr>
      <w:spacing w:before="100" w:beforeAutospacing="1" w:after="100" w:afterAutospacing="1"/>
    </w:pPr>
    <w:rPr>
      <w:lang w:eastAsia="en-AU"/>
    </w:rPr>
  </w:style>
  <w:style w:type="paragraph" w:customStyle="1" w:styleId="type">
    <w:name w:val="type"/>
    <w:basedOn w:val="Normal"/>
    <w:rsid w:val="00E355C1"/>
    <w:pPr>
      <w:spacing w:before="100" w:beforeAutospacing="1" w:after="100" w:afterAutospacing="1"/>
    </w:pPr>
    <w:rPr>
      <w:lang w:eastAsia="en-AU"/>
    </w:rPr>
  </w:style>
  <w:style w:type="character" w:customStyle="1" w:styleId="typefamily">
    <w:name w:val="type_family"/>
    <w:rsid w:val="00E355C1"/>
  </w:style>
  <w:style w:type="character" w:customStyle="1" w:styleId="typefamilysep">
    <w:name w:val="type_family_sep"/>
    <w:rsid w:val="00E355C1"/>
  </w:style>
  <w:style w:type="character" w:customStyle="1" w:styleId="typeclassificationparent">
    <w:name w:val="type_classification_parent"/>
    <w:rsid w:val="00E355C1"/>
  </w:style>
  <w:style w:type="character" w:customStyle="1" w:styleId="typeparentsep">
    <w:name w:val="type_parent_sep"/>
    <w:rsid w:val="00E355C1"/>
  </w:style>
  <w:style w:type="character" w:customStyle="1" w:styleId="typeclassification">
    <w:name w:val="type_classification"/>
    <w:rsid w:val="00E355C1"/>
  </w:style>
  <w:style w:type="character" w:customStyle="1" w:styleId="count">
    <w:name w:val="count"/>
    <w:rsid w:val="00E355C1"/>
  </w:style>
  <w:style w:type="character" w:customStyle="1" w:styleId="label">
    <w:name w:val="label"/>
    <w:rsid w:val="00E355C1"/>
  </w:style>
  <w:style w:type="character" w:customStyle="1" w:styleId="prefix">
    <w:name w:val="prefix"/>
    <w:rsid w:val="00E355C1"/>
  </w:style>
  <w:style w:type="character" w:customStyle="1" w:styleId="Date1">
    <w:name w:val="Date1"/>
    <w:rsid w:val="00E355C1"/>
  </w:style>
  <w:style w:type="paragraph" w:customStyle="1" w:styleId="userdefined-keyword">
    <w:name w:val="userdefined-keyword"/>
    <w:basedOn w:val="Normal"/>
    <w:rsid w:val="00E355C1"/>
    <w:pPr>
      <w:spacing w:before="100" w:beforeAutospacing="1" w:after="100" w:afterAutospacing="1"/>
    </w:pPr>
    <w:rPr>
      <w:lang w:eastAsia="en-AU"/>
    </w:rPr>
  </w:style>
  <w:style w:type="paragraph" w:customStyle="1" w:styleId="selected">
    <w:name w:val="selected"/>
    <w:basedOn w:val="Normal"/>
    <w:rsid w:val="00E355C1"/>
    <w:pPr>
      <w:spacing w:before="100" w:beforeAutospacing="1" w:after="100" w:afterAutospacing="1"/>
    </w:pPr>
    <w:rPr>
      <w:lang w:eastAsia="en-AU"/>
    </w:rPr>
  </w:style>
  <w:style w:type="character" w:styleId="Emphasis">
    <w:name w:val="Emphasis"/>
    <w:uiPriority w:val="20"/>
    <w:qFormat/>
    <w:rsid w:val="00E355C1"/>
    <w:rPr>
      <w:i/>
      <w:iCs/>
    </w:rPr>
  </w:style>
  <w:style w:type="paragraph" w:customStyle="1" w:styleId="xmsonormal">
    <w:name w:val="x_msonormal"/>
    <w:basedOn w:val="Normal"/>
    <w:rsid w:val="00E355C1"/>
    <w:pPr>
      <w:spacing w:before="100" w:beforeAutospacing="1" w:after="100" w:afterAutospacing="1"/>
    </w:pPr>
    <w:rPr>
      <w:lang w:eastAsia="en-AU"/>
    </w:rPr>
  </w:style>
  <w:style w:type="character" w:styleId="CommentReference">
    <w:name w:val="annotation reference"/>
    <w:uiPriority w:val="99"/>
    <w:unhideWhenUsed/>
    <w:rsid w:val="00E355C1"/>
    <w:rPr>
      <w:sz w:val="16"/>
      <w:szCs w:val="16"/>
    </w:rPr>
  </w:style>
  <w:style w:type="paragraph" w:styleId="CommentText">
    <w:name w:val="annotation text"/>
    <w:basedOn w:val="Normal"/>
    <w:link w:val="CommentTextChar"/>
    <w:unhideWhenUsed/>
    <w:rsid w:val="00E355C1"/>
    <w:pPr>
      <w:spacing w:after="160"/>
    </w:pPr>
    <w:rPr>
      <w:rFonts w:ascii="Calibri" w:eastAsia="Calibri" w:hAnsi="Calibri"/>
      <w:sz w:val="20"/>
      <w:szCs w:val="20"/>
    </w:rPr>
  </w:style>
  <w:style w:type="character" w:customStyle="1" w:styleId="CommentTextChar">
    <w:name w:val="Comment Text Char"/>
    <w:link w:val="CommentText"/>
    <w:rsid w:val="00E355C1"/>
    <w:rPr>
      <w:rFonts w:ascii="Calibri" w:eastAsia="Calibri" w:hAnsi="Calibri"/>
      <w:lang w:eastAsia="en-US"/>
    </w:rPr>
  </w:style>
  <w:style w:type="paragraph" w:styleId="HTMLAddress">
    <w:name w:val="HTML Address"/>
    <w:basedOn w:val="Normal"/>
    <w:link w:val="HTMLAddressChar"/>
    <w:uiPriority w:val="99"/>
    <w:unhideWhenUsed/>
    <w:rsid w:val="00E355C1"/>
    <w:rPr>
      <w:i/>
      <w:iCs/>
      <w:lang w:eastAsia="en-AU"/>
    </w:rPr>
  </w:style>
  <w:style w:type="character" w:customStyle="1" w:styleId="HTMLAddressChar">
    <w:name w:val="HTML Address Char"/>
    <w:link w:val="HTMLAddress"/>
    <w:uiPriority w:val="99"/>
    <w:rsid w:val="00E355C1"/>
    <w:rPr>
      <w:i/>
      <w:iCs/>
      <w:sz w:val="24"/>
      <w:szCs w:val="24"/>
    </w:rPr>
  </w:style>
  <w:style w:type="paragraph" w:customStyle="1" w:styleId="xcss-1316j2p-styledparagraph">
    <w:name w:val="x_css-1316j2p-styledparagraph"/>
    <w:basedOn w:val="Normal"/>
    <w:rsid w:val="00E355C1"/>
    <w:pPr>
      <w:spacing w:before="100" w:beforeAutospacing="1" w:after="100" w:afterAutospacing="1"/>
    </w:pPr>
    <w:rPr>
      <w:lang w:eastAsia="en-AU"/>
    </w:rPr>
  </w:style>
  <w:style w:type="paragraph" w:styleId="ListNumber5">
    <w:name w:val="List Number 5"/>
    <w:uiPriority w:val="99"/>
    <w:unhideWhenUsed/>
    <w:rsid w:val="00E355C1"/>
    <w:pPr>
      <w:numPr>
        <w:numId w:val="25"/>
      </w:numPr>
      <w:contextualSpacing/>
    </w:pPr>
    <w:rPr>
      <w:rFonts w:ascii="Arial" w:eastAsia="Calibri" w:hAnsi="Arial" w:cs="Arial"/>
      <w:sz w:val="22"/>
      <w:szCs w:val="22"/>
    </w:rPr>
  </w:style>
  <w:style w:type="paragraph" w:customStyle="1" w:styleId="DraftDefinition2">
    <w:name w:val="Draft Definition 2"/>
    <w:next w:val="Normal"/>
    <w:link w:val="DraftDefinition2Char"/>
    <w:rsid w:val="00E355C1"/>
    <w:pPr>
      <w:tabs>
        <w:tab w:val="left" w:pos="567"/>
        <w:tab w:val="left" w:pos="1134"/>
        <w:tab w:val="left" w:pos="1474"/>
        <w:tab w:val="left" w:pos="1588"/>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510"/>
    </w:pPr>
    <w:rPr>
      <w:sz w:val="24"/>
      <w:lang w:eastAsia="en-US"/>
    </w:rPr>
  </w:style>
  <w:style w:type="character" w:customStyle="1" w:styleId="DraftDefinition2Char">
    <w:name w:val="Draft Definition 2 Char"/>
    <w:link w:val="DraftDefinition2"/>
    <w:rsid w:val="00E355C1"/>
    <w:rPr>
      <w:sz w:val="24"/>
      <w:lang w:eastAsia="en-US"/>
    </w:rPr>
  </w:style>
  <w:style w:type="paragraph" w:customStyle="1" w:styleId="DraftSub-sectionEg">
    <w:name w:val="Draft Sub-section Eg"/>
    <w:next w:val="Normal"/>
    <w:rsid w:val="00E355C1"/>
    <w:pPr>
      <w:spacing w:before="120"/>
      <w:ind w:left="1361"/>
    </w:pPr>
    <w:rPr>
      <w:lang w:eastAsia="en-US"/>
    </w:rPr>
  </w:style>
  <w:style w:type="character" w:styleId="UnresolvedMention">
    <w:name w:val="Unresolved Mention"/>
    <w:uiPriority w:val="99"/>
    <w:semiHidden/>
    <w:unhideWhenUsed/>
    <w:rsid w:val="00557B1D"/>
    <w:rPr>
      <w:color w:val="605E5C"/>
      <w:shd w:val="clear" w:color="auto" w:fill="E1DFDD"/>
    </w:rPr>
  </w:style>
  <w:style w:type="character" w:customStyle="1" w:styleId="italic1">
    <w:name w:val="italic1"/>
    <w:rsid w:val="00BA5BE3"/>
    <w:rPr>
      <w:i/>
      <w:iCs/>
    </w:rPr>
  </w:style>
  <w:style w:type="paragraph" w:customStyle="1" w:styleId="Subheading1Char">
    <w:name w:val="Subheading 1 Char"/>
    <w:basedOn w:val="Normal"/>
    <w:link w:val="Subheading1CharChar"/>
    <w:rsid w:val="00BA5BE3"/>
    <w:pPr>
      <w:keepNext/>
      <w:keepLines/>
      <w:spacing w:before="60" w:after="240"/>
    </w:pPr>
    <w:rPr>
      <w:rFonts w:ascii="Arial" w:hAnsi="Arial" w:cs="Arial"/>
      <w:b/>
      <w:bCs/>
      <w:sz w:val="28"/>
      <w:szCs w:val="28"/>
    </w:rPr>
  </w:style>
  <w:style w:type="character" w:customStyle="1" w:styleId="Subheading1CharChar">
    <w:name w:val="Subheading 1 Char Char"/>
    <w:link w:val="Subheading1Char"/>
    <w:rsid w:val="00BA5BE3"/>
    <w:rPr>
      <w:rFonts w:ascii="Arial" w:hAnsi="Arial" w:cs="Arial"/>
      <w:b/>
      <w:bCs/>
      <w:sz w:val="28"/>
      <w:szCs w:val="28"/>
      <w:lang w:eastAsia="en-US"/>
    </w:rPr>
  </w:style>
  <w:style w:type="character" w:customStyle="1" w:styleId="citation">
    <w:name w:val="citation"/>
    <w:rsid w:val="00BA5BE3"/>
  </w:style>
  <w:style w:type="paragraph" w:styleId="CommentSubject">
    <w:name w:val="annotation subject"/>
    <w:basedOn w:val="CommentText"/>
    <w:next w:val="CommentText"/>
    <w:link w:val="CommentSubjectChar"/>
    <w:rsid w:val="001E55CE"/>
    <w:pPr>
      <w:spacing w:after="0"/>
    </w:pPr>
    <w:rPr>
      <w:rFonts w:ascii="Times New Roman" w:eastAsia="Times New Roman" w:hAnsi="Times New Roman"/>
      <w:b/>
      <w:bCs/>
    </w:rPr>
  </w:style>
  <w:style w:type="character" w:customStyle="1" w:styleId="CommentSubjectChar">
    <w:name w:val="Comment Subject Char"/>
    <w:link w:val="CommentSubject"/>
    <w:rsid w:val="001E55CE"/>
    <w:rPr>
      <w:rFonts w:ascii="Calibri" w:eastAsia="Calibri" w:hAnsi="Calibri"/>
      <w:b/>
      <w:bCs/>
      <w:lang w:eastAsia="en-US"/>
    </w:rPr>
  </w:style>
  <w:style w:type="paragraph" w:customStyle="1" w:styleId="Default">
    <w:name w:val="Default"/>
    <w:rsid w:val="006C0A55"/>
    <w:pPr>
      <w:autoSpaceDE w:val="0"/>
      <w:autoSpaceDN w:val="0"/>
      <w:adjustRightInd w:val="0"/>
    </w:pPr>
    <w:rPr>
      <w:color w:val="000000"/>
      <w:sz w:val="24"/>
      <w:szCs w:val="24"/>
    </w:rPr>
  </w:style>
  <w:style w:type="character" w:customStyle="1" w:styleId="ListParagraphChar">
    <w:name w:val="List Paragraph Char"/>
    <w:aliases w:val="Bullet Char,List Paragraph1 Char,List Paragraph11 Char,Bullet point Char,L Char,Recommendation Char,DDM Gen Text Char,List Paragraph - bullets Char,NFP GP Bulleted List Char,bullet point list Char,Bullet points Char,Bullet Point Char"/>
    <w:basedOn w:val="DefaultParagraphFont"/>
    <w:link w:val="ListParagraph"/>
    <w:uiPriority w:val="34"/>
    <w:qFormat/>
    <w:locked/>
    <w:rsid w:val="0082671F"/>
    <w:rPr>
      <w:rFonts w:ascii="Calibri" w:eastAsia="Calibri" w:hAnsi="Calibri"/>
      <w:sz w:val="22"/>
      <w:szCs w:val="22"/>
      <w:lang w:eastAsia="en-US"/>
    </w:rPr>
  </w:style>
  <w:style w:type="paragraph" w:styleId="TOC1">
    <w:name w:val="toc 1"/>
    <w:basedOn w:val="Normal"/>
    <w:next w:val="Normal"/>
    <w:autoRedefine/>
    <w:uiPriority w:val="99"/>
    <w:rsid w:val="00F5327B"/>
    <w:pPr>
      <w:widowControl w:val="0"/>
      <w:tabs>
        <w:tab w:val="right" w:leader="dot" w:pos="9753"/>
      </w:tabs>
      <w:spacing w:before="120"/>
      <w:jc w:val="both"/>
    </w:pPr>
    <w:rPr>
      <w:rFonts w:ascii="Book Antiqua" w:hAnsi="Book Antiqua"/>
      <w:b/>
      <w:noProof/>
      <w:szCs w:val="20"/>
    </w:rPr>
  </w:style>
  <w:style w:type="paragraph" w:styleId="TOC2">
    <w:name w:val="toc 2"/>
    <w:basedOn w:val="Normal"/>
    <w:next w:val="Normal"/>
    <w:autoRedefine/>
    <w:uiPriority w:val="99"/>
    <w:rsid w:val="00F5327B"/>
    <w:pPr>
      <w:widowControl w:val="0"/>
      <w:tabs>
        <w:tab w:val="right" w:leader="dot" w:pos="9753"/>
      </w:tabs>
      <w:ind w:left="360"/>
      <w:jc w:val="both"/>
    </w:pPr>
    <w:rPr>
      <w:rFonts w:ascii="Book Antiqua" w:hAnsi="Book Antiqua"/>
      <w:noProof/>
      <w:szCs w:val="20"/>
    </w:rPr>
  </w:style>
  <w:style w:type="paragraph" w:styleId="TOC3">
    <w:name w:val="toc 3"/>
    <w:basedOn w:val="Normal"/>
    <w:next w:val="Normal"/>
    <w:autoRedefine/>
    <w:rsid w:val="00F5327B"/>
    <w:pPr>
      <w:ind w:left="480"/>
    </w:pPr>
  </w:style>
  <w:style w:type="paragraph" w:customStyle="1" w:styleId="AmendHeading2">
    <w:name w:val="Amend. Heading 2"/>
    <w:basedOn w:val="Normal"/>
    <w:next w:val="Normal"/>
    <w:link w:val="AmendHeading2Char"/>
    <w:rsid w:val="002E2363"/>
    <w:pPr>
      <w:overflowPunct w:val="0"/>
      <w:autoSpaceDE w:val="0"/>
      <w:autoSpaceDN w:val="0"/>
      <w:adjustRightInd w:val="0"/>
      <w:spacing w:before="120"/>
      <w:textAlignment w:val="baseline"/>
    </w:pPr>
    <w:rPr>
      <w:szCs w:val="20"/>
    </w:rPr>
  </w:style>
  <w:style w:type="character" w:customStyle="1" w:styleId="AmendHeading2Char">
    <w:name w:val="Amend. Heading 2 Char"/>
    <w:link w:val="AmendHeading2"/>
    <w:locked/>
    <w:rsid w:val="002E2363"/>
    <w:rPr>
      <w:sz w:val="24"/>
      <w:lang w:eastAsia="en-US"/>
    </w:rPr>
  </w:style>
  <w:style w:type="paragraph" w:customStyle="1" w:styleId="DraftSub-sectionNote">
    <w:name w:val="Draft Sub-section Note"/>
    <w:next w:val="Normal"/>
    <w:link w:val="DraftSub-sectionNoteChar"/>
    <w:rsid w:val="00D50FAC"/>
    <w:pPr>
      <w:spacing w:before="120"/>
    </w:pPr>
    <w:rPr>
      <w:lang w:eastAsia="en-US"/>
    </w:rPr>
  </w:style>
  <w:style w:type="character" w:customStyle="1" w:styleId="DraftSub-sectionNoteChar">
    <w:name w:val="Draft Sub-section Note Char"/>
    <w:link w:val="DraftSub-sectionNote"/>
    <w:locked/>
    <w:rsid w:val="00D50FAC"/>
    <w:rPr>
      <w:lang w:eastAsia="en-US"/>
    </w:rPr>
  </w:style>
  <w:style w:type="paragraph" w:customStyle="1" w:styleId="Heading-PART">
    <w:name w:val="Heading - PART"/>
    <w:next w:val="Normal"/>
    <w:rsid w:val="005325D1"/>
    <w:pPr>
      <w:overflowPunct w:val="0"/>
      <w:autoSpaceDE w:val="0"/>
      <w:autoSpaceDN w:val="0"/>
      <w:adjustRightInd w:val="0"/>
      <w:spacing w:before="240" w:after="120"/>
      <w:jc w:val="center"/>
      <w:textAlignment w:val="baseline"/>
    </w:pPr>
    <w:rPr>
      <w:b/>
      <w:cap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37264">
      <w:bodyDiv w:val="1"/>
      <w:marLeft w:val="0"/>
      <w:marRight w:val="0"/>
      <w:marTop w:val="0"/>
      <w:marBottom w:val="0"/>
      <w:divBdr>
        <w:top w:val="none" w:sz="0" w:space="0" w:color="auto"/>
        <w:left w:val="none" w:sz="0" w:space="0" w:color="auto"/>
        <w:bottom w:val="none" w:sz="0" w:space="0" w:color="auto"/>
        <w:right w:val="none" w:sz="0" w:space="0" w:color="auto"/>
      </w:divBdr>
    </w:div>
    <w:div w:id="438567542">
      <w:bodyDiv w:val="1"/>
      <w:marLeft w:val="0"/>
      <w:marRight w:val="0"/>
      <w:marTop w:val="0"/>
      <w:marBottom w:val="0"/>
      <w:divBdr>
        <w:top w:val="none" w:sz="0" w:space="0" w:color="auto"/>
        <w:left w:val="none" w:sz="0" w:space="0" w:color="auto"/>
        <w:bottom w:val="none" w:sz="0" w:space="0" w:color="auto"/>
        <w:right w:val="none" w:sz="0" w:space="0" w:color="auto"/>
      </w:divBdr>
      <w:divsChild>
        <w:div w:id="355695485">
          <w:marLeft w:val="0"/>
          <w:marRight w:val="0"/>
          <w:marTop w:val="0"/>
          <w:marBottom w:val="0"/>
          <w:divBdr>
            <w:top w:val="none" w:sz="0" w:space="0" w:color="auto"/>
            <w:left w:val="none" w:sz="0" w:space="0" w:color="auto"/>
            <w:bottom w:val="none" w:sz="0" w:space="0" w:color="auto"/>
            <w:right w:val="none" w:sz="0" w:space="0" w:color="auto"/>
          </w:divBdr>
        </w:div>
      </w:divsChild>
    </w:div>
    <w:div w:id="665592547">
      <w:bodyDiv w:val="1"/>
      <w:marLeft w:val="0"/>
      <w:marRight w:val="0"/>
      <w:marTop w:val="0"/>
      <w:marBottom w:val="0"/>
      <w:divBdr>
        <w:top w:val="none" w:sz="0" w:space="0" w:color="auto"/>
        <w:left w:val="none" w:sz="0" w:space="0" w:color="auto"/>
        <w:bottom w:val="none" w:sz="0" w:space="0" w:color="auto"/>
        <w:right w:val="none" w:sz="0" w:space="0" w:color="auto"/>
      </w:divBdr>
    </w:div>
    <w:div w:id="668482700">
      <w:bodyDiv w:val="1"/>
      <w:marLeft w:val="0"/>
      <w:marRight w:val="0"/>
      <w:marTop w:val="0"/>
      <w:marBottom w:val="0"/>
      <w:divBdr>
        <w:top w:val="none" w:sz="0" w:space="0" w:color="auto"/>
        <w:left w:val="none" w:sz="0" w:space="0" w:color="auto"/>
        <w:bottom w:val="none" w:sz="0" w:space="0" w:color="auto"/>
        <w:right w:val="none" w:sz="0" w:space="0" w:color="auto"/>
      </w:divBdr>
      <w:divsChild>
        <w:div w:id="412552744">
          <w:marLeft w:val="547"/>
          <w:marRight w:val="0"/>
          <w:marTop w:val="115"/>
          <w:marBottom w:val="0"/>
          <w:divBdr>
            <w:top w:val="none" w:sz="0" w:space="0" w:color="auto"/>
            <w:left w:val="none" w:sz="0" w:space="0" w:color="auto"/>
            <w:bottom w:val="none" w:sz="0" w:space="0" w:color="auto"/>
            <w:right w:val="none" w:sz="0" w:space="0" w:color="auto"/>
          </w:divBdr>
        </w:div>
        <w:div w:id="547449624">
          <w:marLeft w:val="547"/>
          <w:marRight w:val="0"/>
          <w:marTop w:val="115"/>
          <w:marBottom w:val="0"/>
          <w:divBdr>
            <w:top w:val="none" w:sz="0" w:space="0" w:color="auto"/>
            <w:left w:val="none" w:sz="0" w:space="0" w:color="auto"/>
            <w:bottom w:val="none" w:sz="0" w:space="0" w:color="auto"/>
            <w:right w:val="none" w:sz="0" w:space="0" w:color="auto"/>
          </w:divBdr>
        </w:div>
      </w:divsChild>
    </w:div>
    <w:div w:id="706374502">
      <w:bodyDiv w:val="1"/>
      <w:marLeft w:val="0"/>
      <w:marRight w:val="0"/>
      <w:marTop w:val="0"/>
      <w:marBottom w:val="0"/>
      <w:divBdr>
        <w:top w:val="none" w:sz="0" w:space="0" w:color="auto"/>
        <w:left w:val="none" w:sz="0" w:space="0" w:color="auto"/>
        <w:bottom w:val="none" w:sz="0" w:space="0" w:color="auto"/>
        <w:right w:val="none" w:sz="0" w:space="0" w:color="auto"/>
      </w:divBdr>
    </w:div>
    <w:div w:id="784154718">
      <w:bodyDiv w:val="1"/>
      <w:marLeft w:val="0"/>
      <w:marRight w:val="0"/>
      <w:marTop w:val="0"/>
      <w:marBottom w:val="0"/>
      <w:divBdr>
        <w:top w:val="none" w:sz="0" w:space="0" w:color="auto"/>
        <w:left w:val="none" w:sz="0" w:space="0" w:color="auto"/>
        <w:bottom w:val="none" w:sz="0" w:space="0" w:color="auto"/>
        <w:right w:val="none" w:sz="0" w:space="0" w:color="auto"/>
      </w:divBdr>
      <w:divsChild>
        <w:div w:id="966620208">
          <w:marLeft w:val="533"/>
          <w:marRight w:val="0"/>
          <w:marTop w:val="0"/>
          <w:marBottom w:val="0"/>
          <w:divBdr>
            <w:top w:val="none" w:sz="0" w:space="0" w:color="auto"/>
            <w:left w:val="none" w:sz="0" w:space="0" w:color="auto"/>
            <w:bottom w:val="none" w:sz="0" w:space="0" w:color="auto"/>
            <w:right w:val="none" w:sz="0" w:space="0" w:color="auto"/>
          </w:divBdr>
        </w:div>
        <w:div w:id="509878439">
          <w:marLeft w:val="547"/>
          <w:marRight w:val="0"/>
          <w:marTop w:val="240"/>
          <w:marBottom w:val="0"/>
          <w:divBdr>
            <w:top w:val="none" w:sz="0" w:space="0" w:color="auto"/>
            <w:left w:val="none" w:sz="0" w:space="0" w:color="auto"/>
            <w:bottom w:val="none" w:sz="0" w:space="0" w:color="auto"/>
            <w:right w:val="none" w:sz="0" w:space="0" w:color="auto"/>
          </w:divBdr>
        </w:div>
        <w:div w:id="1241714712">
          <w:marLeft w:val="547"/>
          <w:marRight w:val="0"/>
          <w:marTop w:val="240"/>
          <w:marBottom w:val="0"/>
          <w:divBdr>
            <w:top w:val="none" w:sz="0" w:space="0" w:color="auto"/>
            <w:left w:val="none" w:sz="0" w:space="0" w:color="auto"/>
            <w:bottom w:val="none" w:sz="0" w:space="0" w:color="auto"/>
            <w:right w:val="none" w:sz="0" w:space="0" w:color="auto"/>
          </w:divBdr>
        </w:div>
        <w:div w:id="1474177572">
          <w:marLeft w:val="547"/>
          <w:marRight w:val="0"/>
          <w:marTop w:val="240"/>
          <w:marBottom w:val="0"/>
          <w:divBdr>
            <w:top w:val="none" w:sz="0" w:space="0" w:color="auto"/>
            <w:left w:val="none" w:sz="0" w:space="0" w:color="auto"/>
            <w:bottom w:val="none" w:sz="0" w:space="0" w:color="auto"/>
            <w:right w:val="none" w:sz="0" w:space="0" w:color="auto"/>
          </w:divBdr>
        </w:div>
        <w:div w:id="456871379">
          <w:marLeft w:val="547"/>
          <w:marRight w:val="0"/>
          <w:marTop w:val="240"/>
          <w:marBottom w:val="0"/>
          <w:divBdr>
            <w:top w:val="none" w:sz="0" w:space="0" w:color="auto"/>
            <w:left w:val="none" w:sz="0" w:space="0" w:color="auto"/>
            <w:bottom w:val="none" w:sz="0" w:space="0" w:color="auto"/>
            <w:right w:val="none" w:sz="0" w:space="0" w:color="auto"/>
          </w:divBdr>
        </w:div>
      </w:divsChild>
    </w:div>
    <w:div w:id="1207451382">
      <w:bodyDiv w:val="1"/>
      <w:marLeft w:val="0"/>
      <w:marRight w:val="0"/>
      <w:marTop w:val="0"/>
      <w:marBottom w:val="0"/>
      <w:divBdr>
        <w:top w:val="none" w:sz="0" w:space="0" w:color="auto"/>
        <w:left w:val="none" w:sz="0" w:space="0" w:color="auto"/>
        <w:bottom w:val="none" w:sz="0" w:space="0" w:color="auto"/>
        <w:right w:val="none" w:sz="0" w:space="0" w:color="auto"/>
      </w:divBdr>
    </w:div>
    <w:div w:id="1387560742">
      <w:bodyDiv w:val="1"/>
      <w:marLeft w:val="0"/>
      <w:marRight w:val="0"/>
      <w:marTop w:val="0"/>
      <w:marBottom w:val="0"/>
      <w:divBdr>
        <w:top w:val="none" w:sz="0" w:space="0" w:color="auto"/>
        <w:left w:val="none" w:sz="0" w:space="0" w:color="auto"/>
        <w:bottom w:val="none" w:sz="0" w:space="0" w:color="auto"/>
        <w:right w:val="none" w:sz="0" w:space="0" w:color="auto"/>
      </w:divBdr>
      <w:divsChild>
        <w:div w:id="1765613422">
          <w:marLeft w:val="0"/>
          <w:marRight w:val="0"/>
          <w:marTop w:val="0"/>
          <w:marBottom w:val="0"/>
          <w:divBdr>
            <w:top w:val="none" w:sz="0" w:space="0" w:color="auto"/>
            <w:left w:val="none" w:sz="0" w:space="0" w:color="auto"/>
            <w:bottom w:val="none" w:sz="0" w:space="0" w:color="auto"/>
            <w:right w:val="none" w:sz="0" w:space="0" w:color="auto"/>
          </w:divBdr>
          <w:divsChild>
            <w:div w:id="1031228647">
              <w:marLeft w:val="0"/>
              <w:marRight w:val="0"/>
              <w:marTop w:val="0"/>
              <w:marBottom w:val="0"/>
              <w:divBdr>
                <w:top w:val="none" w:sz="0" w:space="0" w:color="auto"/>
                <w:left w:val="none" w:sz="0" w:space="0" w:color="auto"/>
                <w:bottom w:val="none" w:sz="0" w:space="0" w:color="auto"/>
                <w:right w:val="none" w:sz="0" w:space="0" w:color="auto"/>
              </w:divBdr>
            </w:div>
            <w:div w:id="1046489653">
              <w:marLeft w:val="0"/>
              <w:marRight w:val="0"/>
              <w:marTop w:val="0"/>
              <w:marBottom w:val="0"/>
              <w:divBdr>
                <w:top w:val="none" w:sz="0" w:space="0" w:color="auto"/>
                <w:left w:val="none" w:sz="0" w:space="0" w:color="auto"/>
                <w:bottom w:val="none" w:sz="0" w:space="0" w:color="auto"/>
                <w:right w:val="none" w:sz="0" w:space="0" w:color="auto"/>
              </w:divBdr>
            </w:div>
            <w:div w:id="1223324326">
              <w:marLeft w:val="0"/>
              <w:marRight w:val="0"/>
              <w:marTop w:val="0"/>
              <w:marBottom w:val="0"/>
              <w:divBdr>
                <w:top w:val="none" w:sz="0" w:space="0" w:color="auto"/>
                <w:left w:val="none" w:sz="0" w:space="0" w:color="auto"/>
                <w:bottom w:val="none" w:sz="0" w:space="0" w:color="auto"/>
                <w:right w:val="none" w:sz="0" w:space="0" w:color="auto"/>
              </w:divBdr>
            </w:div>
            <w:div w:id="1541164563">
              <w:marLeft w:val="0"/>
              <w:marRight w:val="0"/>
              <w:marTop w:val="0"/>
              <w:marBottom w:val="0"/>
              <w:divBdr>
                <w:top w:val="none" w:sz="0" w:space="0" w:color="auto"/>
                <w:left w:val="none" w:sz="0" w:space="0" w:color="auto"/>
                <w:bottom w:val="none" w:sz="0" w:space="0" w:color="auto"/>
                <w:right w:val="none" w:sz="0" w:space="0" w:color="auto"/>
              </w:divBdr>
            </w:div>
            <w:div w:id="166227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69192">
      <w:bodyDiv w:val="1"/>
      <w:marLeft w:val="0"/>
      <w:marRight w:val="0"/>
      <w:marTop w:val="0"/>
      <w:marBottom w:val="0"/>
      <w:divBdr>
        <w:top w:val="none" w:sz="0" w:space="0" w:color="auto"/>
        <w:left w:val="none" w:sz="0" w:space="0" w:color="auto"/>
        <w:bottom w:val="none" w:sz="0" w:space="0" w:color="auto"/>
        <w:right w:val="none" w:sz="0" w:space="0" w:color="auto"/>
      </w:divBdr>
    </w:div>
    <w:div w:id="1646617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tocourt.com.au/criminal-law/vic/search-warrants/" TargetMode="External"/><Relationship Id="rId18" Type="http://schemas.openxmlformats.org/officeDocument/2006/relationships/hyperlink" Target="https://www.legalaid.vic.gov.au/find-legal-answers/legal-glossary" TargetMode="External"/><Relationship Id="rId26" Type="http://schemas.openxmlformats.org/officeDocument/2006/relationships/hyperlink" Target="https://jade.io/article/281812/section/32" TargetMode="External"/><Relationship Id="rId39" Type="http://schemas.openxmlformats.org/officeDocument/2006/relationships/hyperlink" Target="https://yoorrookforjustice.org.au/wp-content/uploads/2023/08/Yoorrook-for-justice-report.pdf" TargetMode="External"/><Relationship Id="rId21" Type="http://schemas.openxmlformats.org/officeDocument/2006/relationships/hyperlink" Target="https://yla.org.au/vic/topics/courts-police-and-the-law/police-powers-and-my-rights-with-the-police/" TargetMode="External"/><Relationship Id="rId34" Type="http://schemas.openxmlformats.org/officeDocument/2006/relationships/image" Target="media/image7.svg"/><Relationship Id="rId42" Type="http://schemas.openxmlformats.org/officeDocument/2006/relationships/image" Target="media/image12.jpe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legalaid.vic.gov.au/find-legal-answers/legal-glossary" TargetMode="External"/><Relationship Id="rId29"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www.austlii.edu.au/cgi-bin/viewdoc/au/legis/vic/consol_act/cpa2009188/s8.html" TargetMode="External"/><Relationship Id="rId32" Type="http://schemas.openxmlformats.org/officeDocument/2006/relationships/image" Target="media/image5.png"/><Relationship Id="rId37" Type="http://schemas.openxmlformats.org/officeDocument/2006/relationships/image" Target="media/image8.png"/><Relationship Id="rId40" Type="http://schemas.openxmlformats.org/officeDocument/2006/relationships/image" Target="media/image10.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alaid.vic.gov.au/find-legal-answers/legal-glossary" TargetMode="External"/><Relationship Id="rId23" Type="http://schemas.openxmlformats.org/officeDocument/2006/relationships/hyperlink" Target="http://www.austlii.edu.au/cgi-bin/viewdoc/au/legis/vic/consol_act/cpa2009188/s8.html" TargetMode="External"/><Relationship Id="rId28" Type="http://schemas.openxmlformats.org/officeDocument/2006/relationships/hyperlink" Target="http://www.police.vic.gov.au" TargetMode="External"/><Relationship Id="rId36" Type="http://schemas.openxmlformats.org/officeDocument/2006/relationships/hyperlink" Target="https://files.justice.vic.gov.au/2022-05/Youth%20Justice%20Reform%20Act%20Review%20Report%20%282022%29.pdf" TargetMode="External"/><Relationship Id="rId10" Type="http://schemas.microsoft.com/office/2016/09/relationships/commentsIds" Target="commentsIds.xml"/><Relationship Id="rId19" Type="http://schemas.openxmlformats.org/officeDocument/2006/relationships/hyperlink" Target="https://www.legalaid.vic.gov.au/find-legal-answers/legal-glossary" TargetMode="External"/><Relationship Id="rId31" Type="http://schemas.openxmlformats.org/officeDocument/2006/relationships/image" Target="media/image4.png"/><Relationship Id="rId44"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www.legalaid.vic.gov.au/find-legal-answers/police-powers-and-your-rights" TargetMode="External"/><Relationship Id="rId22" Type="http://schemas.openxmlformats.org/officeDocument/2006/relationships/hyperlink" Target="http://www.austlii.edu.au/cgi-bin/viewdoc/au/legis/vic/consol_act/cpa2009188/s8.html" TargetMode="External"/><Relationship Id="rId27" Type="http://schemas.openxmlformats.org/officeDocument/2006/relationships/image" Target="media/image1.png"/><Relationship Id="rId30" Type="http://schemas.openxmlformats.org/officeDocument/2006/relationships/image" Target="media/image3.emf"/><Relationship Id="rId35" Type="http://schemas.openxmlformats.org/officeDocument/2006/relationships/hyperlink" Target="http://www.crimestatistics.vic.gov.au" TargetMode="External"/><Relationship Id="rId43" Type="http://schemas.openxmlformats.org/officeDocument/2006/relationships/image" Target="media/image13.wmf"/><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https://www.gotocourt.com.au/criminal-law/vic/personal-searches/" TargetMode="External"/><Relationship Id="rId17" Type="http://schemas.openxmlformats.org/officeDocument/2006/relationships/hyperlink" Target="https://www.legalaid.vic.gov.au/find-legal-answers/police-powers-and-your-rights/being-arrested/police-procedure-if-you-have-cognitive-disability" TargetMode="External"/><Relationship Id="rId25" Type="http://schemas.openxmlformats.org/officeDocument/2006/relationships/hyperlink" Target="https://jade.io/article/281812/section/246337" TargetMode="External"/><Relationship Id="rId33" Type="http://schemas.openxmlformats.org/officeDocument/2006/relationships/image" Target="media/image6.png"/><Relationship Id="rId38" Type="http://schemas.openxmlformats.org/officeDocument/2006/relationships/image" Target="media/image9.png"/><Relationship Id="rId46" Type="http://schemas.microsoft.com/office/2011/relationships/people" Target="people.xml"/><Relationship Id="rId20" Type="http://schemas.openxmlformats.org/officeDocument/2006/relationships/hyperlink" Target="https://www.legalaid.vic.gov.au/sites/www.legalaid.vic.gov.au/files/vla-resource-police-powers_0.pdf" TargetMode="External"/><Relationship Id="rId4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D27652-0BD9-4E41-A943-E780DBBFB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79</Pages>
  <Words>43795</Words>
  <Characters>249637</Characters>
  <Application>Microsoft Office Word</Application>
  <DocSecurity>0</DocSecurity>
  <Lines>2080</Lines>
  <Paragraphs>585</Paragraphs>
  <ScaleCrop>false</ScaleCrop>
  <HeadingPairs>
    <vt:vector size="2" baseType="variant">
      <vt:variant>
        <vt:lpstr>Title</vt:lpstr>
      </vt:variant>
      <vt:variant>
        <vt:i4>1</vt:i4>
      </vt:variant>
    </vt:vector>
  </HeadingPairs>
  <TitlesOfParts>
    <vt:vector size="1" baseType="lpstr">
      <vt:lpstr>7</vt:lpstr>
    </vt:vector>
  </TitlesOfParts>
  <Company>Department of Justice Victoria</Company>
  <LinksUpToDate>false</LinksUpToDate>
  <CharactersWithSpaces>292847</CharactersWithSpaces>
  <SharedDoc>false</SharedDoc>
  <HLinks>
    <vt:vector size="360" baseType="variant">
      <vt:variant>
        <vt:i4>6750334</vt:i4>
      </vt:variant>
      <vt:variant>
        <vt:i4>186</vt:i4>
      </vt:variant>
      <vt:variant>
        <vt:i4>0</vt:i4>
      </vt:variant>
      <vt:variant>
        <vt:i4>5</vt:i4>
      </vt:variant>
      <vt:variant>
        <vt:lpwstr>http://www.crimestatistics.vic.gov.au/</vt:lpwstr>
      </vt:variant>
      <vt:variant>
        <vt:lpwstr/>
      </vt:variant>
      <vt:variant>
        <vt:i4>589910</vt:i4>
      </vt:variant>
      <vt:variant>
        <vt:i4>174</vt:i4>
      </vt:variant>
      <vt:variant>
        <vt:i4>0</vt:i4>
      </vt:variant>
      <vt:variant>
        <vt:i4>5</vt:i4>
      </vt:variant>
      <vt:variant>
        <vt:lpwstr>http://www.police.vic.gov.au/</vt:lpwstr>
      </vt:variant>
      <vt:variant>
        <vt:lpwstr/>
      </vt:variant>
      <vt:variant>
        <vt:i4>6160410</vt:i4>
      </vt:variant>
      <vt:variant>
        <vt:i4>171</vt:i4>
      </vt:variant>
      <vt:variant>
        <vt:i4>0</vt:i4>
      </vt:variant>
      <vt:variant>
        <vt:i4>5</vt:i4>
      </vt:variant>
      <vt:variant>
        <vt:lpwstr>https://yla.org.au/vic/topics/courts-police-and-the-law/police-powers-and-my-rights-with-the-police/</vt:lpwstr>
      </vt:variant>
      <vt:variant>
        <vt:lpwstr/>
      </vt:variant>
      <vt:variant>
        <vt:i4>4194403</vt:i4>
      </vt:variant>
      <vt:variant>
        <vt:i4>168</vt:i4>
      </vt:variant>
      <vt:variant>
        <vt:i4>0</vt:i4>
      </vt:variant>
      <vt:variant>
        <vt:i4>5</vt:i4>
      </vt:variant>
      <vt:variant>
        <vt:lpwstr>https://www.legalaid.vic.gov.au/sites/www.legalaid.vic.gov.au/files/vla-resource-police-powers_0.pdf</vt:lpwstr>
      </vt:variant>
      <vt:variant>
        <vt:lpwstr/>
      </vt:variant>
      <vt:variant>
        <vt:i4>5636197</vt:i4>
      </vt:variant>
      <vt:variant>
        <vt:i4>165</vt:i4>
      </vt:variant>
      <vt:variant>
        <vt:i4>0</vt:i4>
      </vt:variant>
      <vt:variant>
        <vt:i4>5</vt:i4>
      </vt:variant>
      <vt:variant>
        <vt:lpwstr>https://www.legalaid.vic.gov.au/find-legal-answers/legal-glossary</vt:lpwstr>
      </vt:variant>
      <vt:variant>
        <vt:lpwstr>court_order</vt:lpwstr>
      </vt:variant>
      <vt:variant>
        <vt:i4>327706</vt:i4>
      </vt:variant>
      <vt:variant>
        <vt:i4>162</vt:i4>
      </vt:variant>
      <vt:variant>
        <vt:i4>0</vt:i4>
      </vt:variant>
      <vt:variant>
        <vt:i4>5</vt:i4>
      </vt:variant>
      <vt:variant>
        <vt:lpwstr>https://www.legalaid.vic.gov.au/find-legal-answers/legal-glossary</vt:lpwstr>
      </vt:variant>
      <vt:variant>
        <vt:lpwstr>Independent_Third_Person</vt:lpwstr>
      </vt:variant>
      <vt:variant>
        <vt:i4>5308502</vt:i4>
      </vt:variant>
      <vt:variant>
        <vt:i4>159</vt:i4>
      </vt:variant>
      <vt:variant>
        <vt:i4>0</vt:i4>
      </vt:variant>
      <vt:variant>
        <vt:i4>5</vt:i4>
      </vt:variant>
      <vt:variant>
        <vt:lpwstr>https://www.legalaid.vic.gov.au/find-legal-answers/police-powers-and-your-rights/being-arrested/police-procedure-if-you-have-cognitive-disability</vt:lpwstr>
      </vt:variant>
      <vt:variant>
        <vt:lpwstr/>
      </vt:variant>
      <vt:variant>
        <vt:i4>196623</vt:i4>
      </vt:variant>
      <vt:variant>
        <vt:i4>156</vt:i4>
      </vt:variant>
      <vt:variant>
        <vt:i4>0</vt:i4>
      </vt:variant>
      <vt:variant>
        <vt:i4>5</vt:i4>
      </vt:variant>
      <vt:variant>
        <vt:lpwstr>https://www.legalaid.vic.gov.au/find-legal-answers/legal-glossary</vt:lpwstr>
      </vt:variant>
      <vt:variant>
        <vt:lpwstr>guardian</vt:lpwstr>
      </vt:variant>
      <vt:variant>
        <vt:i4>8126569</vt:i4>
      </vt:variant>
      <vt:variant>
        <vt:i4>153</vt:i4>
      </vt:variant>
      <vt:variant>
        <vt:i4>0</vt:i4>
      </vt:variant>
      <vt:variant>
        <vt:i4>5</vt:i4>
      </vt:variant>
      <vt:variant>
        <vt:lpwstr>https://www.legalaid.vic.gov.au/find-legal-answers/legal-glossary</vt:lpwstr>
      </vt:variant>
      <vt:variant>
        <vt:lpwstr>charge</vt:lpwstr>
      </vt:variant>
      <vt:variant>
        <vt:i4>1048671</vt:i4>
      </vt:variant>
      <vt:variant>
        <vt:i4>150</vt:i4>
      </vt:variant>
      <vt:variant>
        <vt:i4>0</vt:i4>
      </vt:variant>
      <vt:variant>
        <vt:i4>5</vt:i4>
      </vt:variant>
      <vt:variant>
        <vt:lpwstr>https://www.legalaid.vic.gov.au/find-legal-answers/police-powers-and-your-rights</vt:lpwstr>
      </vt:variant>
      <vt:variant>
        <vt:lpwstr/>
      </vt:variant>
      <vt:variant>
        <vt:i4>2621488</vt:i4>
      </vt:variant>
      <vt:variant>
        <vt:i4>147</vt:i4>
      </vt:variant>
      <vt:variant>
        <vt:i4>0</vt:i4>
      </vt:variant>
      <vt:variant>
        <vt:i4>5</vt:i4>
      </vt:variant>
      <vt:variant>
        <vt:lpwstr>https://www.gotocourt.com.au/criminal-law/vic/search-warrants/</vt:lpwstr>
      </vt:variant>
      <vt:variant>
        <vt:lpwstr/>
      </vt:variant>
      <vt:variant>
        <vt:i4>4653135</vt:i4>
      </vt:variant>
      <vt:variant>
        <vt:i4>144</vt:i4>
      </vt:variant>
      <vt:variant>
        <vt:i4>0</vt:i4>
      </vt:variant>
      <vt:variant>
        <vt:i4>5</vt:i4>
      </vt:variant>
      <vt:variant>
        <vt:lpwstr>https://www.gotocourt.com.au/criminal-law/vic/personal-searches/</vt:lpwstr>
      </vt:variant>
      <vt:variant>
        <vt:lpwstr/>
      </vt:variant>
      <vt:variant>
        <vt:i4>4259944</vt:i4>
      </vt:variant>
      <vt:variant>
        <vt:i4>141</vt:i4>
      </vt:variant>
      <vt:variant>
        <vt:i4>0</vt:i4>
      </vt:variant>
      <vt:variant>
        <vt:i4>5</vt:i4>
      </vt:variant>
      <vt:variant>
        <vt:lpwstr/>
      </vt:variant>
      <vt:variant>
        <vt:lpwstr>_7.14_Papers_on</vt:lpwstr>
      </vt:variant>
      <vt:variant>
        <vt:i4>4259951</vt:i4>
      </vt:variant>
      <vt:variant>
        <vt:i4>138</vt:i4>
      </vt:variant>
      <vt:variant>
        <vt:i4>0</vt:i4>
      </vt:variant>
      <vt:variant>
        <vt:i4>5</vt:i4>
      </vt:variant>
      <vt:variant>
        <vt:lpwstr/>
      </vt:variant>
      <vt:variant>
        <vt:lpwstr>_7.13_Papers_on</vt:lpwstr>
      </vt:variant>
      <vt:variant>
        <vt:i4>6946914</vt:i4>
      </vt:variant>
      <vt:variant>
        <vt:i4>135</vt:i4>
      </vt:variant>
      <vt:variant>
        <vt:i4>0</vt:i4>
      </vt:variant>
      <vt:variant>
        <vt:i4>5</vt:i4>
      </vt:variant>
      <vt:variant>
        <vt:lpwstr/>
      </vt:variant>
      <vt:variant>
        <vt:lpwstr>_7.12.3_Arson</vt:lpwstr>
      </vt:variant>
      <vt:variant>
        <vt:i4>2228236</vt:i4>
      </vt:variant>
      <vt:variant>
        <vt:i4>132</vt:i4>
      </vt:variant>
      <vt:variant>
        <vt:i4>0</vt:i4>
      </vt:variant>
      <vt:variant>
        <vt:i4>5</vt:i4>
      </vt:variant>
      <vt:variant>
        <vt:lpwstr/>
      </vt:variant>
      <vt:variant>
        <vt:lpwstr>_7.12.2_Insulting_words</vt:lpwstr>
      </vt:variant>
      <vt:variant>
        <vt:i4>3538954</vt:i4>
      </vt:variant>
      <vt:variant>
        <vt:i4>129</vt:i4>
      </vt:variant>
      <vt:variant>
        <vt:i4>0</vt:i4>
      </vt:variant>
      <vt:variant>
        <vt:i4>5</vt:i4>
      </vt:variant>
      <vt:variant>
        <vt:lpwstr/>
      </vt:variant>
      <vt:variant>
        <vt:lpwstr>_7.12.1_Offensive_behaviour</vt:lpwstr>
      </vt:variant>
      <vt:variant>
        <vt:i4>7077967</vt:i4>
      </vt:variant>
      <vt:variant>
        <vt:i4>126</vt:i4>
      </vt:variant>
      <vt:variant>
        <vt:i4>0</vt:i4>
      </vt:variant>
      <vt:variant>
        <vt:i4>5</vt:i4>
      </vt:variant>
      <vt:variant>
        <vt:lpwstr/>
      </vt:variant>
      <vt:variant>
        <vt:lpwstr>_7.12_Cases_on</vt:lpwstr>
      </vt:variant>
      <vt:variant>
        <vt:i4>1966106</vt:i4>
      </vt:variant>
      <vt:variant>
        <vt:i4>123</vt:i4>
      </vt:variant>
      <vt:variant>
        <vt:i4>0</vt:i4>
      </vt:variant>
      <vt:variant>
        <vt:i4>5</vt:i4>
      </vt:variant>
      <vt:variant>
        <vt:lpwstr/>
      </vt:variant>
      <vt:variant>
        <vt:lpwstr>_7.11.6_Statistics</vt:lpwstr>
      </vt:variant>
      <vt:variant>
        <vt:i4>6815835</vt:i4>
      </vt:variant>
      <vt:variant>
        <vt:i4>120</vt:i4>
      </vt:variant>
      <vt:variant>
        <vt:i4>0</vt:i4>
      </vt:variant>
      <vt:variant>
        <vt:i4>5</vt:i4>
      </vt:variant>
      <vt:variant>
        <vt:lpwstr/>
      </vt:variant>
      <vt:variant>
        <vt:lpwstr>_7.11.5_Case_law</vt:lpwstr>
      </vt:variant>
      <vt:variant>
        <vt:i4>5701732</vt:i4>
      </vt:variant>
      <vt:variant>
        <vt:i4>117</vt:i4>
      </vt:variant>
      <vt:variant>
        <vt:i4>0</vt:i4>
      </vt:variant>
      <vt:variant>
        <vt:i4>5</vt:i4>
      </vt:variant>
      <vt:variant>
        <vt:lpwstr/>
      </vt:variant>
      <vt:variant>
        <vt:lpwstr>_7.11.4_Sitting_times</vt:lpwstr>
      </vt:variant>
      <vt:variant>
        <vt:i4>7077982</vt:i4>
      </vt:variant>
      <vt:variant>
        <vt:i4>114</vt:i4>
      </vt:variant>
      <vt:variant>
        <vt:i4>0</vt:i4>
      </vt:variant>
      <vt:variant>
        <vt:i4>5</vt:i4>
      </vt:variant>
      <vt:variant>
        <vt:lpwstr/>
      </vt:variant>
      <vt:variant>
        <vt:lpwstr>_7.11.3_Sentencing_Procedure</vt:lpwstr>
      </vt:variant>
      <vt:variant>
        <vt:i4>7340157</vt:i4>
      </vt:variant>
      <vt:variant>
        <vt:i4>111</vt:i4>
      </vt:variant>
      <vt:variant>
        <vt:i4>0</vt:i4>
      </vt:variant>
      <vt:variant>
        <vt:i4>5</vt:i4>
      </vt:variant>
      <vt:variant>
        <vt:lpwstr/>
      </vt:variant>
      <vt:variant>
        <vt:lpwstr>_7.11.2_Procedure</vt:lpwstr>
      </vt:variant>
      <vt:variant>
        <vt:i4>5046327</vt:i4>
      </vt:variant>
      <vt:variant>
        <vt:i4>108</vt:i4>
      </vt:variant>
      <vt:variant>
        <vt:i4>0</vt:i4>
      </vt:variant>
      <vt:variant>
        <vt:i4>5</vt:i4>
      </vt:variant>
      <vt:variant>
        <vt:lpwstr/>
      </vt:variant>
      <vt:variant>
        <vt:lpwstr>_7.11.1_Jurisdiction_&amp;</vt:lpwstr>
      </vt:variant>
      <vt:variant>
        <vt:i4>335939</vt:i4>
      </vt:variant>
      <vt:variant>
        <vt:i4>105</vt:i4>
      </vt:variant>
      <vt:variant>
        <vt:i4>0</vt:i4>
      </vt:variant>
      <vt:variant>
        <vt:i4>5</vt:i4>
      </vt:variant>
      <vt:variant>
        <vt:lpwstr/>
      </vt:variant>
      <vt:variant>
        <vt:lpwstr>_7.11_The_Children’s</vt:lpwstr>
      </vt:variant>
      <vt:variant>
        <vt:i4>4325423</vt:i4>
      </vt:variant>
      <vt:variant>
        <vt:i4>102</vt:i4>
      </vt:variant>
      <vt:variant>
        <vt:i4>0</vt:i4>
      </vt:variant>
      <vt:variant>
        <vt:i4>5</vt:i4>
      </vt:variant>
      <vt:variant>
        <vt:lpwstr/>
      </vt:variant>
      <vt:variant>
        <vt:lpwstr>_7.10.5_Pre-sentence_report</vt:lpwstr>
      </vt:variant>
      <vt:variant>
        <vt:i4>6684762</vt:i4>
      </vt:variant>
      <vt:variant>
        <vt:i4>99</vt:i4>
      </vt:variant>
      <vt:variant>
        <vt:i4>0</vt:i4>
      </vt:variant>
      <vt:variant>
        <vt:i4>5</vt:i4>
      </vt:variant>
      <vt:variant>
        <vt:lpwstr/>
      </vt:variant>
      <vt:variant>
        <vt:lpwstr>_7.10.4_Report_on</vt:lpwstr>
      </vt:variant>
      <vt:variant>
        <vt:i4>6684765</vt:i4>
      </vt:variant>
      <vt:variant>
        <vt:i4>96</vt:i4>
      </vt:variant>
      <vt:variant>
        <vt:i4>0</vt:i4>
      </vt:variant>
      <vt:variant>
        <vt:i4>5</vt:i4>
      </vt:variant>
      <vt:variant>
        <vt:lpwstr/>
      </vt:variant>
      <vt:variant>
        <vt:lpwstr>_7.10.3_Report_of</vt:lpwstr>
      </vt:variant>
      <vt:variant>
        <vt:i4>1769515</vt:i4>
      </vt:variant>
      <vt:variant>
        <vt:i4>93</vt:i4>
      </vt:variant>
      <vt:variant>
        <vt:i4>0</vt:i4>
      </vt:variant>
      <vt:variant>
        <vt:i4>5</vt:i4>
      </vt:variant>
      <vt:variant>
        <vt:lpwstr/>
      </vt:variant>
      <vt:variant>
        <vt:lpwstr>_7.10.2_Referral_re</vt:lpwstr>
      </vt:variant>
      <vt:variant>
        <vt:i4>1769512</vt:i4>
      </vt:variant>
      <vt:variant>
        <vt:i4>90</vt:i4>
      </vt:variant>
      <vt:variant>
        <vt:i4>0</vt:i4>
      </vt:variant>
      <vt:variant>
        <vt:i4>5</vt:i4>
      </vt:variant>
      <vt:variant>
        <vt:lpwstr/>
      </vt:variant>
      <vt:variant>
        <vt:lpwstr>_7.10.1_Referral_re</vt:lpwstr>
      </vt:variant>
      <vt:variant>
        <vt:i4>5439606</vt:i4>
      </vt:variant>
      <vt:variant>
        <vt:i4>87</vt:i4>
      </vt:variant>
      <vt:variant>
        <vt:i4>0</vt:i4>
      </vt:variant>
      <vt:variant>
        <vt:i4>5</vt:i4>
      </vt:variant>
      <vt:variant>
        <vt:lpwstr/>
      </vt:variant>
      <vt:variant>
        <vt:lpwstr>_7.10_Referral_for</vt:lpwstr>
      </vt:variant>
      <vt:variant>
        <vt:i4>5898285</vt:i4>
      </vt:variant>
      <vt:variant>
        <vt:i4>84</vt:i4>
      </vt:variant>
      <vt:variant>
        <vt:i4>0</vt:i4>
      </vt:variant>
      <vt:variant>
        <vt:i4>5</vt:i4>
      </vt:variant>
      <vt:variant>
        <vt:lpwstr/>
      </vt:variant>
      <vt:variant>
        <vt:lpwstr>_7.9_Representation_of</vt:lpwstr>
      </vt:variant>
      <vt:variant>
        <vt:i4>7012364</vt:i4>
      </vt:variant>
      <vt:variant>
        <vt:i4>81</vt:i4>
      </vt:variant>
      <vt:variant>
        <vt:i4>0</vt:i4>
      </vt:variant>
      <vt:variant>
        <vt:i4>5</vt:i4>
      </vt:variant>
      <vt:variant>
        <vt:lpwstr/>
      </vt:variant>
      <vt:variant>
        <vt:lpwstr>_7.8_Warrant_to</vt:lpwstr>
      </vt:variant>
      <vt:variant>
        <vt:i4>4063309</vt:i4>
      </vt:variant>
      <vt:variant>
        <vt:i4>78</vt:i4>
      </vt:variant>
      <vt:variant>
        <vt:i4>0</vt:i4>
      </vt:variant>
      <vt:variant>
        <vt:i4>5</vt:i4>
      </vt:variant>
      <vt:variant>
        <vt:lpwstr/>
      </vt:variant>
      <vt:variant>
        <vt:lpwstr>_7.7.3_Youth_offending</vt:lpwstr>
      </vt:variant>
      <vt:variant>
        <vt:i4>4128845</vt:i4>
      </vt:variant>
      <vt:variant>
        <vt:i4>75</vt:i4>
      </vt:variant>
      <vt:variant>
        <vt:i4>0</vt:i4>
      </vt:variant>
      <vt:variant>
        <vt:i4>5</vt:i4>
      </vt:variant>
      <vt:variant>
        <vt:lpwstr/>
      </vt:variant>
      <vt:variant>
        <vt:lpwstr>_7.7.2_Youth_offending</vt:lpwstr>
      </vt:variant>
      <vt:variant>
        <vt:i4>5242922</vt:i4>
      </vt:variant>
      <vt:variant>
        <vt:i4>72</vt:i4>
      </vt:variant>
      <vt:variant>
        <vt:i4>0</vt:i4>
      </vt:variant>
      <vt:variant>
        <vt:i4>5</vt:i4>
      </vt:variant>
      <vt:variant>
        <vt:lpwstr/>
      </vt:variant>
      <vt:variant>
        <vt:lpwstr>_7.7.1_Youth_and</vt:lpwstr>
      </vt:variant>
      <vt:variant>
        <vt:i4>6356996</vt:i4>
      </vt:variant>
      <vt:variant>
        <vt:i4>69</vt:i4>
      </vt:variant>
      <vt:variant>
        <vt:i4>0</vt:i4>
      </vt:variant>
      <vt:variant>
        <vt:i4>5</vt:i4>
      </vt:variant>
      <vt:variant>
        <vt:lpwstr/>
      </vt:variant>
      <vt:variant>
        <vt:lpwstr>_7.7_Youth_and</vt:lpwstr>
      </vt:variant>
      <vt:variant>
        <vt:i4>3866711</vt:i4>
      </vt:variant>
      <vt:variant>
        <vt:i4>66</vt:i4>
      </vt:variant>
      <vt:variant>
        <vt:i4>0</vt:i4>
      </vt:variant>
      <vt:variant>
        <vt:i4>5</vt:i4>
      </vt:variant>
      <vt:variant>
        <vt:lpwstr/>
      </vt:variant>
      <vt:variant>
        <vt:lpwstr>_7.6_Children_and</vt:lpwstr>
      </vt:variant>
      <vt:variant>
        <vt:i4>65640</vt:i4>
      </vt:variant>
      <vt:variant>
        <vt:i4>63</vt:i4>
      </vt:variant>
      <vt:variant>
        <vt:i4>0</vt:i4>
      </vt:variant>
      <vt:variant>
        <vt:i4>5</vt:i4>
      </vt:variant>
      <vt:variant>
        <vt:lpwstr/>
      </vt:variant>
      <vt:variant>
        <vt:lpwstr>_7.5.6_Proper_Venue</vt:lpwstr>
      </vt:variant>
      <vt:variant>
        <vt:i4>2687071</vt:i4>
      </vt:variant>
      <vt:variant>
        <vt:i4>60</vt:i4>
      </vt:variant>
      <vt:variant>
        <vt:i4>0</vt:i4>
      </vt:variant>
      <vt:variant>
        <vt:i4>5</vt:i4>
      </vt:variant>
      <vt:variant>
        <vt:lpwstr/>
      </vt:variant>
      <vt:variant>
        <vt:lpwstr>_7.5.5_Amendment_of</vt:lpwstr>
      </vt:variant>
      <vt:variant>
        <vt:i4>1769575</vt:i4>
      </vt:variant>
      <vt:variant>
        <vt:i4>57</vt:i4>
      </vt:variant>
      <vt:variant>
        <vt:i4>0</vt:i4>
      </vt:variant>
      <vt:variant>
        <vt:i4>5</vt:i4>
      </vt:variant>
      <vt:variant>
        <vt:lpwstr/>
      </vt:variant>
      <vt:variant>
        <vt:lpwstr>_7.5.4_Securing_attendance</vt:lpwstr>
      </vt:variant>
      <vt:variant>
        <vt:i4>7864343</vt:i4>
      </vt:variant>
      <vt:variant>
        <vt:i4>54</vt:i4>
      </vt:variant>
      <vt:variant>
        <vt:i4>0</vt:i4>
      </vt:variant>
      <vt:variant>
        <vt:i4>5</vt:i4>
      </vt:variant>
      <vt:variant>
        <vt:lpwstr/>
      </vt:variant>
      <vt:variant>
        <vt:lpwstr>_7.5.3_Notice_to</vt:lpwstr>
      </vt:variant>
      <vt:variant>
        <vt:i4>327801</vt:i4>
      </vt:variant>
      <vt:variant>
        <vt:i4>51</vt:i4>
      </vt:variant>
      <vt:variant>
        <vt:i4>0</vt:i4>
      </vt:variant>
      <vt:variant>
        <vt:i4>5</vt:i4>
      </vt:variant>
      <vt:variant>
        <vt:lpwstr/>
      </vt:variant>
      <vt:variant>
        <vt:lpwstr>_7.5.2_Time_limits</vt:lpwstr>
      </vt:variant>
      <vt:variant>
        <vt:i4>7733353</vt:i4>
      </vt:variant>
      <vt:variant>
        <vt:i4>48</vt:i4>
      </vt:variant>
      <vt:variant>
        <vt:i4>0</vt:i4>
      </vt:variant>
      <vt:variant>
        <vt:i4>5</vt:i4>
      </vt:variant>
      <vt:variant>
        <vt:lpwstr/>
      </vt:variant>
      <vt:variant>
        <vt:lpwstr>_7.5.1_Charge-sheet</vt:lpwstr>
      </vt:variant>
      <vt:variant>
        <vt:i4>3145817</vt:i4>
      </vt:variant>
      <vt:variant>
        <vt:i4>45</vt:i4>
      </vt:variant>
      <vt:variant>
        <vt:i4>0</vt:i4>
      </vt:variant>
      <vt:variant>
        <vt:i4>5</vt:i4>
      </vt:variant>
      <vt:variant>
        <vt:lpwstr/>
      </vt:variant>
      <vt:variant>
        <vt:lpwstr>_7.5_Commencement_of</vt:lpwstr>
      </vt:variant>
      <vt:variant>
        <vt:i4>3997725</vt:i4>
      </vt:variant>
      <vt:variant>
        <vt:i4>42</vt:i4>
      </vt:variant>
      <vt:variant>
        <vt:i4>0</vt:i4>
      </vt:variant>
      <vt:variant>
        <vt:i4>5</vt:i4>
      </vt:variant>
      <vt:variant>
        <vt:lpwstr/>
      </vt:variant>
      <vt:variant>
        <vt:lpwstr>_7.4_"Police_Cautioning</vt:lpwstr>
      </vt:variant>
      <vt:variant>
        <vt:i4>7143424</vt:i4>
      </vt:variant>
      <vt:variant>
        <vt:i4>39</vt:i4>
      </vt:variant>
      <vt:variant>
        <vt:i4>0</vt:i4>
      </vt:variant>
      <vt:variant>
        <vt:i4>5</vt:i4>
      </vt:variant>
      <vt:variant>
        <vt:lpwstr/>
      </vt:variant>
      <vt:variant>
        <vt:lpwstr>_7.3.6_Personal_searches</vt:lpwstr>
      </vt:variant>
      <vt:variant>
        <vt:i4>7208960</vt:i4>
      </vt:variant>
      <vt:variant>
        <vt:i4>36</vt:i4>
      </vt:variant>
      <vt:variant>
        <vt:i4>0</vt:i4>
      </vt:variant>
      <vt:variant>
        <vt:i4>5</vt:i4>
      </vt:variant>
      <vt:variant>
        <vt:lpwstr/>
      </vt:variant>
      <vt:variant>
        <vt:lpwstr>_7.3.5_Personal_searches</vt:lpwstr>
      </vt:variant>
      <vt:variant>
        <vt:i4>4063327</vt:i4>
      </vt:variant>
      <vt:variant>
        <vt:i4>33</vt:i4>
      </vt:variant>
      <vt:variant>
        <vt:i4>0</vt:i4>
      </vt:variant>
      <vt:variant>
        <vt:i4>5</vt:i4>
      </vt:variant>
      <vt:variant>
        <vt:lpwstr/>
      </vt:variant>
      <vt:variant>
        <vt:lpwstr>_7.3.4_Statutory_police</vt:lpwstr>
      </vt:variant>
      <vt:variant>
        <vt:i4>2293838</vt:i4>
      </vt:variant>
      <vt:variant>
        <vt:i4>30</vt:i4>
      </vt:variant>
      <vt:variant>
        <vt:i4>0</vt:i4>
      </vt:variant>
      <vt:variant>
        <vt:i4>5</vt:i4>
      </vt:variant>
      <vt:variant>
        <vt:lpwstr/>
      </vt:variant>
      <vt:variant>
        <vt:lpwstr>_7.3.3_Three_types</vt:lpwstr>
      </vt:variant>
      <vt:variant>
        <vt:i4>4259882</vt:i4>
      </vt:variant>
      <vt:variant>
        <vt:i4>27</vt:i4>
      </vt:variant>
      <vt:variant>
        <vt:i4>0</vt:i4>
      </vt:variant>
      <vt:variant>
        <vt:i4>5</vt:i4>
      </vt:variant>
      <vt:variant>
        <vt:lpwstr/>
      </vt:variant>
      <vt:variant>
        <vt:lpwstr>_7.3.2_Legal_analysis</vt:lpwstr>
      </vt:variant>
      <vt:variant>
        <vt:i4>6946816</vt:i4>
      </vt:variant>
      <vt:variant>
        <vt:i4>24</vt:i4>
      </vt:variant>
      <vt:variant>
        <vt:i4>0</vt:i4>
      </vt:variant>
      <vt:variant>
        <vt:i4>5</vt:i4>
      </vt:variant>
      <vt:variant>
        <vt:lpwstr/>
      </vt:variant>
      <vt:variant>
        <vt:lpwstr>_7.3.1_Personal_searches</vt:lpwstr>
      </vt:variant>
      <vt:variant>
        <vt:i4>2818143</vt:i4>
      </vt:variant>
      <vt:variant>
        <vt:i4>21</vt:i4>
      </vt:variant>
      <vt:variant>
        <vt:i4>0</vt:i4>
      </vt:variant>
      <vt:variant>
        <vt:i4>5</vt:i4>
      </vt:variant>
      <vt:variant>
        <vt:lpwstr/>
      </vt:variant>
      <vt:variant>
        <vt:lpwstr>_7.3_Victoria_Police</vt:lpwstr>
      </vt:variant>
      <vt:variant>
        <vt:i4>6750234</vt:i4>
      </vt:variant>
      <vt:variant>
        <vt:i4>18</vt:i4>
      </vt:variant>
      <vt:variant>
        <vt:i4>0</vt:i4>
      </vt:variant>
      <vt:variant>
        <vt:i4>5</vt:i4>
      </vt:variant>
      <vt:variant>
        <vt:lpwstr/>
      </vt:variant>
      <vt:variant>
        <vt:lpwstr>_7.2_General_powers</vt:lpwstr>
      </vt:variant>
      <vt:variant>
        <vt:i4>5767224</vt:i4>
      </vt:variant>
      <vt:variant>
        <vt:i4>15</vt:i4>
      </vt:variant>
      <vt:variant>
        <vt:i4>0</vt:i4>
      </vt:variant>
      <vt:variant>
        <vt:i4>5</vt:i4>
      </vt:variant>
      <vt:variant>
        <vt:lpwstr/>
      </vt:variant>
      <vt:variant>
        <vt:lpwstr>_7.1.5_Age_of</vt:lpwstr>
      </vt:variant>
      <vt:variant>
        <vt:i4>524391</vt:i4>
      </vt:variant>
      <vt:variant>
        <vt:i4>12</vt:i4>
      </vt:variant>
      <vt:variant>
        <vt:i4>0</vt:i4>
      </vt:variant>
      <vt:variant>
        <vt:i4>5</vt:i4>
      </vt:variant>
      <vt:variant>
        <vt:lpwstr/>
      </vt:variant>
      <vt:variant>
        <vt:lpwstr>_7.1.4_Transfer_of</vt:lpwstr>
      </vt:variant>
      <vt:variant>
        <vt:i4>1638509</vt:i4>
      </vt:variant>
      <vt:variant>
        <vt:i4>9</vt:i4>
      </vt:variant>
      <vt:variant>
        <vt:i4>0</vt:i4>
      </vt:variant>
      <vt:variant>
        <vt:i4>5</vt:i4>
      </vt:variant>
      <vt:variant>
        <vt:lpwstr/>
      </vt:variant>
      <vt:variant>
        <vt:lpwstr>_7.1.3_No_criminal</vt:lpwstr>
      </vt:variant>
      <vt:variant>
        <vt:i4>6225976</vt:i4>
      </vt:variant>
      <vt:variant>
        <vt:i4>6</vt:i4>
      </vt:variant>
      <vt:variant>
        <vt:i4>0</vt:i4>
      </vt:variant>
      <vt:variant>
        <vt:i4>5</vt:i4>
      </vt:variant>
      <vt:variant>
        <vt:lpwstr/>
      </vt:variant>
      <vt:variant>
        <vt:lpwstr>_7.1.2_Age_of</vt:lpwstr>
      </vt:variant>
      <vt:variant>
        <vt:i4>6357014</vt:i4>
      </vt:variant>
      <vt:variant>
        <vt:i4>3</vt:i4>
      </vt:variant>
      <vt:variant>
        <vt:i4>0</vt:i4>
      </vt:variant>
      <vt:variant>
        <vt:i4>5</vt:i4>
      </vt:variant>
      <vt:variant>
        <vt:lpwstr/>
      </vt:variant>
      <vt:variant>
        <vt:lpwstr>_7.1.1_Classification_of</vt:lpwstr>
      </vt:variant>
      <vt:variant>
        <vt:i4>2490461</vt:i4>
      </vt:variant>
      <vt:variant>
        <vt:i4>0</vt:i4>
      </vt:variant>
      <vt:variant>
        <vt:i4>0</vt:i4>
      </vt:variant>
      <vt:variant>
        <vt:i4>5</vt:i4>
      </vt:variant>
      <vt:variant>
        <vt:lpwstr/>
      </vt:variant>
      <vt:variant>
        <vt:lpwstr>_7.1_Jurisdiction_of</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dc:title>
  <dc:subject/>
  <dc:creator>ptp@courts.vic.gov.au</dc:creator>
  <cp:keywords/>
  <cp:lastModifiedBy>Peter Power (CSV)</cp:lastModifiedBy>
  <cp:revision>2</cp:revision>
  <cp:lastPrinted>2026-09-28T20:36:00Z</cp:lastPrinted>
  <dcterms:created xsi:type="dcterms:W3CDTF">2026-09-29T00:39:00Z</dcterms:created>
  <dcterms:modified xsi:type="dcterms:W3CDTF">2026-09-29T00:39:00Z</dcterms:modified>
</cp:coreProperties>
</file>