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E007" w14:textId="66D1F6C0" w:rsidR="00693223" w:rsidRPr="00497343" w:rsidRDefault="00693223">
      <w:pPr>
        <w:pStyle w:val="Heading1"/>
        <w:numPr>
          <w:ilvl w:val="0"/>
          <w:numId w:val="0"/>
        </w:numPr>
        <w:spacing w:before="0" w:line="240" w:lineRule="auto"/>
        <w:jc w:val="center"/>
        <w:rPr>
          <w:rFonts w:ascii="Arial" w:hAnsi="Arial" w:cs="Arial"/>
          <w:b/>
          <w:bCs/>
          <w:color w:val="FF0000"/>
          <w:sz w:val="40"/>
        </w:rPr>
      </w:pPr>
      <w:bookmarkStart w:id="0" w:name="_Toc30644233"/>
      <w:bookmarkStart w:id="1" w:name="_Toc30644636"/>
      <w:bookmarkStart w:id="2" w:name="_Toc30645186"/>
      <w:bookmarkStart w:id="3" w:name="_Toc30646397"/>
      <w:bookmarkStart w:id="4" w:name="_Toc30646692"/>
      <w:bookmarkStart w:id="5" w:name="_Toc30646803"/>
      <w:bookmarkStart w:id="6" w:name="_Toc30648160"/>
      <w:bookmarkStart w:id="7" w:name="_Toc30649058"/>
      <w:bookmarkStart w:id="8" w:name="_Toc30649134"/>
      <w:bookmarkStart w:id="9" w:name="_Toc30649395"/>
      <w:bookmarkStart w:id="10" w:name="_Toc30649720"/>
      <w:bookmarkStart w:id="11" w:name="_Toc30651660"/>
      <w:bookmarkStart w:id="12" w:name="_Toc30652650"/>
      <w:bookmarkStart w:id="13" w:name="_Toc30691554"/>
      <w:bookmarkStart w:id="14" w:name="_Toc30691934"/>
      <w:bookmarkStart w:id="15" w:name="_Toc30692693"/>
      <w:bookmarkStart w:id="16" w:name="_Toc30693072"/>
      <w:bookmarkStart w:id="17" w:name="_Toc30693450"/>
      <w:bookmarkStart w:id="18" w:name="_Toc30693828"/>
      <w:bookmarkStart w:id="19" w:name="_Toc30694209"/>
      <w:bookmarkStart w:id="20" w:name="_Toc30698798"/>
      <w:bookmarkStart w:id="21" w:name="_Toc30699176"/>
      <w:bookmarkStart w:id="22" w:name="_Toc30699561"/>
      <w:bookmarkStart w:id="23" w:name="_Toc30700716"/>
      <w:bookmarkStart w:id="24" w:name="_Toc30701103"/>
      <w:bookmarkStart w:id="25" w:name="_Toc30743712"/>
      <w:bookmarkStart w:id="26" w:name="_Toc30754535"/>
      <w:bookmarkStart w:id="27" w:name="_Toc30756975"/>
      <w:bookmarkStart w:id="28" w:name="_Toc30757524"/>
      <w:bookmarkStart w:id="29" w:name="_Toc30757924"/>
      <w:bookmarkStart w:id="30" w:name="_Toc30762685"/>
      <w:bookmarkStart w:id="31" w:name="_Toc30767339"/>
      <w:bookmarkStart w:id="32" w:name="_Toc34823355"/>
      <w:r w:rsidRPr="00497343">
        <w:rPr>
          <w:rFonts w:ascii="Arial" w:hAnsi="Arial" w:cs="Arial"/>
          <w:b/>
          <w:bCs/>
          <w:color w:val="FF0000"/>
          <w:sz w:val="40"/>
        </w:rPr>
        <w:t xml:space="preserve">4.  FAMILY DIVISION </w:t>
      </w:r>
      <w:r w:rsidR="00403F1D" w:rsidRPr="00497343">
        <w:rPr>
          <w:rFonts w:ascii="Arial" w:hAnsi="Arial" w:cs="Arial"/>
          <w:b/>
          <w:bCs/>
          <w:color w:val="FF0000"/>
          <w:sz w:val="40"/>
        </w:rPr>
        <w:t>–</w:t>
      </w:r>
      <w:r w:rsidRPr="00497343">
        <w:rPr>
          <w:rFonts w:ascii="Arial" w:hAnsi="Arial" w:cs="Arial"/>
          <w:b/>
          <w:bCs/>
          <w:color w:val="FF0000"/>
          <w:sz w:val="40"/>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497343">
        <w:rPr>
          <w:rFonts w:ascii="Arial" w:hAnsi="Arial" w:cs="Arial"/>
          <w:b/>
          <w:bCs/>
          <w:color w:val="FF0000"/>
          <w:sz w:val="40"/>
        </w:rPr>
        <w:t>GENERAL</w:t>
      </w:r>
      <w:bookmarkEnd w:id="32"/>
    </w:p>
    <w:p w14:paraId="62D3682C" w14:textId="77777777" w:rsidR="00693223" w:rsidRPr="0030237B" w:rsidRDefault="00693223">
      <w:pPr>
        <w:jc w:val="both"/>
        <w:rPr>
          <w:rFonts w:ascii="Arial" w:hAnsi="Arial" w:cs="Arial"/>
          <w:sz w:val="8"/>
          <w:szCs w:val="20"/>
        </w:rPr>
      </w:pPr>
    </w:p>
    <w:p w14:paraId="63505518" w14:textId="77777777" w:rsidR="00693223" w:rsidRPr="00540381" w:rsidRDefault="00693223">
      <w:pPr>
        <w:pBdr>
          <w:top w:val="single" w:sz="4" w:space="1" w:color="auto"/>
          <w:left w:val="single" w:sz="4" w:space="4" w:color="auto"/>
          <w:bottom w:val="single" w:sz="4" w:space="1" w:color="auto"/>
          <w:right w:val="single" w:sz="4" w:space="4" w:color="auto"/>
        </w:pBdr>
        <w:rPr>
          <w:rFonts w:ascii="Arial" w:hAnsi="Arial" w:cs="Arial"/>
          <w:b/>
          <w:bCs/>
          <w:sz w:val="8"/>
          <w:szCs w:val="20"/>
        </w:rPr>
      </w:pPr>
    </w:p>
    <w:p w14:paraId="31563E88" w14:textId="77777777" w:rsidR="00693223" w:rsidRPr="00F54387" w:rsidRDefault="00785D2D">
      <w:pPr>
        <w:pBdr>
          <w:top w:val="single" w:sz="4" w:space="1" w:color="auto"/>
          <w:left w:val="single" w:sz="4" w:space="4" w:color="auto"/>
          <w:bottom w:val="single" w:sz="4" w:space="1" w:color="auto"/>
          <w:right w:val="single" w:sz="4" w:space="4" w:color="auto"/>
        </w:pBdr>
        <w:rPr>
          <w:rStyle w:val="Hyperlink"/>
          <w:rFonts w:ascii="Arial" w:hAnsi="Arial" w:cs="Arial"/>
          <w:b/>
          <w:bCs/>
          <w:color w:val="3333FF"/>
          <w:u w:val="none"/>
        </w:rPr>
      </w:pPr>
      <w:r w:rsidRPr="00F54387">
        <w:rPr>
          <w:rFonts w:ascii="Arial" w:hAnsi="Arial" w:cs="Arial"/>
          <w:b/>
          <w:bCs/>
          <w:color w:val="3333FF"/>
        </w:rPr>
        <w:fldChar w:fldCharType="begin"/>
      </w:r>
      <w:r w:rsidRPr="00F54387">
        <w:rPr>
          <w:rFonts w:ascii="Arial" w:hAnsi="Arial" w:cs="Arial"/>
          <w:b/>
          <w:bCs/>
          <w:color w:val="3333FF"/>
        </w:rPr>
        <w:instrText xml:space="preserve"> HYPERLINK  \l "_4.1_The_Child" </w:instrText>
      </w:r>
      <w:r w:rsidRPr="00F54387">
        <w:rPr>
          <w:rFonts w:ascii="Arial" w:hAnsi="Arial" w:cs="Arial"/>
          <w:b/>
          <w:bCs/>
          <w:color w:val="3333FF"/>
        </w:rPr>
      </w:r>
      <w:r w:rsidRPr="00F54387">
        <w:rPr>
          <w:rFonts w:ascii="Arial" w:hAnsi="Arial" w:cs="Arial"/>
          <w:b/>
          <w:bCs/>
          <w:color w:val="3333FF"/>
        </w:rPr>
        <w:fldChar w:fldCharType="separate"/>
      </w:r>
      <w:r w:rsidR="00693223" w:rsidRPr="00F54387">
        <w:rPr>
          <w:rStyle w:val="Hyperlink"/>
          <w:rFonts w:ascii="Arial" w:hAnsi="Arial" w:cs="Arial"/>
          <w:b/>
          <w:bCs/>
          <w:color w:val="3333FF"/>
          <w:u w:val="none"/>
        </w:rPr>
        <w:t>4.1</w:t>
      </w:r>
      <w:r w:rsidR="00693223" w:rsidRPr="00F54387">
        <w:rPr>
          <w:rStyle w:val="Hyperlink"/>
          <w:rFonts w:ascii="Arial" w:hAnsi="Arial" w:cs="Arial"/>
          <w:b/>
          <w:bCs/>
          <w:color w:val="3333FF"/>
          <w:u w:val="none"/>
        </w:rPr>
        <w:tab/>
      </w:r>
      <w:r w:rsidR="00D13996" w:rsidRPr="00F54387">
        <w:rPr>
          <w:rStyle w:val="Hyperlink"/>
          <w:rFonts w:ascii="Arial" w:hAnsi="Arial" w:cs="Arial"/>
          <w:b/>
          <w:bCs/>
          <w:color w:val="3333FF"/>
          <w:u w:val="none"/>
        </w:rPr>
        <w:tab/>
      </w:r>
      <w:r w:rsidR="00940D74" w:rsidRPr="00F54387">
        <w:rPr>
          <w:rStyle w:val="Hyperlink"/>
          <w:rFonts w:ascii="Arial" w:hAnsi="Arial" w:cs="Arial"/>
          <w:b/>
          <w:bCs/>
          <w:color w:val="3333FF"/>
          <w:u w:val="none"/>
        </w:rPr>
        <w:t xml:space="preserve">The </w:t>
      </w:r>
      <w:r w:rsidR="00693223" w:rsidRPr="00F54387">
        <w:rPr>
          <w:rStyle w:val="Hyperlink"/>
          <w:rFonts w:ascii="Arial" w:hAnsi="Arial" w:cs="Arial"/>
          <w:b/>
          <w:bCs/>
          <w:color w:val="3333FF"/>
          <w:u w:val="none"/>
        </w:rPr>
        <w:t xml:space="preserve">Child Protection </w:t>
      </w:r>
      <w:r w:rsidR="00940D74" w:rsidRPr="00F54387">
        <w:rPr>
          <w:rStyle w:val="Hyperlink"/>
          <w:rFonts w:ascii="Arial" w:hAnsi="Arial" w:cs="Arial"/>
          <w:b/>
          <w:bCs/>
          <w:color w:val="3333FF"/>
          <w:u w:val="none"/>
        </w:rPr>
        <w:t>Service</w:t>
      </w:r>
      <w:r w:rsidRPr="00F54387">
        <w:rPr>
          <w:rStyle w:val="Hyperlink"/>
          <w:rFonts w:ascii="Arial" w:hAnsi="Arial" w:cs="Arial"/>
          <w:b/>
          <w:bCs/>
          <w:color w:val="3333FF"/>
          <w:u w:val="none"/>
        </w:rPr>
        <w:t xml:space="preserve"> [‘DFFH’]</w:t>
      </w:r>
    </w:p>
    <w:p w14:paraId="54A9A346" w14:textId="77777777" w:rsidR="00693223" w:rsidRPr="00BE5170" w:rsidRDefault="00785D2D" w:rsidP="0030237B">
      <w:pPr>
        <w:pBdr>
          <w:top w:val="single" w:sz="4" w:space="1" w:color="auto"/>
          <w:left w:val="single" w:sz="4" w:space="4" w:color="auto"/>
          <w:bottom w:val="single" w:sz="4" w:space="1" w:color="auto"/>
          <w:right w:val="single" w:sz="4" w:space="4" w:color="auto"/>
        </w:pBdr>
        <w:spacing w:before="60"/>
        <w:rPr>
          <w:rFonts w:ascii="Arial" w:hAnsi="Arial" w:cs="Arial"/>
          <w:b/>
          <w:bCs/>
          <w:sz w:val="20"/>
        </w:rPr>
      </w:pPr>
      <w:r w:rsidRPr="00F54387">
        <w:rPr>
          <w:rFonts w:ascii="Arial" w:hAnsi="Arial" w:cs="Arial"/>
          <w:b/>
          <w:bCs/>
          <w:color w:val="3333FF"/>
        </w:rPr>
        <w:fldChar w:fldCharType="end"/>
      </w:r>
      <w:hyperlink w:anchor="_4.1.1_Functions_of" w:history="1">
        <w:r w:rsidR="00D451AD" w:rsidRPr="00BE5170">
          <w:rPr>
            <w:rStyle w:val="Hyperlink"/>
            <w:rFonts w:ascii="Arial" w:hAnsi="Arial" w:cs="Arial"/>
            <w:b/>
            <w:bCs/>
            <w:sz w:val="20"/>
            <w:u w:val="none"/>
          </w:rPr>
          <w:tab/>
        </w:r>
        <w:r w:rsidR="00D451AD" w:rsidRPr="00BE5170">
          <w:rPr>
            <w:rStyle w:val="Hyperlink"/>
            <w:rFonts w:ascii="Arial" w:hAnsi="Arial" w:cs="Arial"/>
            <w:b/>
            <w:bCs/>
            <w:sz w:val="20"/>
            <w:u w:val="none"/>
          </w:rPr>
          <w:tab/>
        </w:r>
        <w:r w:rsidR="00693223" w:rsidRPr="00BE5170">
          <w:rPr>
            <w:rStyle w:val="Hyperlink"/>
            <w:rFonts w:ascii="Arial" w:hAnsi="Arial" w:cs="Arial"/>
            <w:b/>
            <w:bCs/>
            <w:sz w:val="20"/>
            <w:u w:val="none"/>
          </w:rPr>
          <w:t>4.1.1</w:t>
        </w:r>
        <w:r w:rsidR="00693223" w:rsidRPr="00BE5170">
          <w:rPr>
            <w:rStyle w:val="Hyperlink"/>
            <w:rFonts w:ascii="Arial" w:hAnsi="Arial" w:cs="Arial"/>
            <w:b/>
            <w:bCs/>
            <w:sz w:val="20"/>
            <w:u w:val="none"/>
          </w:rPr>
          <w:tab/>
          <w:t>Functions of the Child Protection Service</w:t>
        </w:r>
      </w:hyperlink>
    </w:p>
    <w:p w14:paraId="0AE9934B" w14:textId="77777777" w:rsidR="00A82435" w:rsidRPr="00BE5170"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2_Duty_of" w:history="1">
        <w:r w:rsidRPr="00BE5170">
          <w:rPr>
            <w:rStyle w:val="Hyperlink"/>
            <w:rFonts w:ascii="Arial" w:hAnsi="Arial" w:cs="Arial"/>
            <w:b/>
            <w:bCs/>
            <w:sz w:val="20"/>
            <w:u w:val="none"/>
          </w:rPr>
          <w:tab/>
        </w:r>
        <w:r w:rsidRPr="00BE5170">
          <w:rPr>
            <w:rStyle w:val="Hyperlink"/>
            <w:rFonts w:ascii="Arial" w:hAnsi="Arial" w:cs="Arial"/>
            <w:b/>
            <w:bCs/>
            <w:sz w:val="20"/>
            <w:u w:val="none"/>
          </w:rPr>
          <w:tab/>
        </w:r>
        <w:r w:rsidR="00A82435" w:rsidRPr="00BE5170">
          <w:rPr>
            <w:rStyle w:val="Hyperlink"/>
            <w:rFonts w:ascii="Arial" w:hAnsi="Arial" w:cs="Arial"/>
            <w:b/>
            <w:bCs/>
            <w:sz w:val="20"/>
            <w:u w:val="none"/>
          </w:rPr>
          <w:t>4.1.2</w:t>
        </w:r>
        <w:r w:rsidR="00A82435" w:rsidRPr="00BE5170">
          <w:rPr>
            <w:rStyle w:val="Hyperlink"/>
            <w:rFonts w:ascii="Arial" w:hAnsi="Arial" w:cs="Arial"/>
            <w:b/>
            <w:bCs/>
            <w:sz w:val="20"/>
            <w:u w:val="none"/>
          </w:rPr>
          <w:tab/>
          <w:t>Duty of care of the Child Protection Service</w:t>
        </w:r>
      </w:hyperlink>
    </w:p>
    <w:p w14:paraId="3DC45613" w14:textId="77777777" w:rsidR="00D451AD" w:rsidRPr="00BE5170"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3_Principles_governing" w:history="1">
        <w:r w:rsidRPr="00BE5170">
          <w:rPr>
            <w:rStyle w:val="Hyperlink"/>
            <w:rFonts w:ascii="Arial" w:hAnsi="Arial" w:cs="Arial"/>
            <w:b/>
            <w:bCs/>
            <w:sz w:val="20"/>
            <w:u w:val="none"/>
          </w:rPr>
          <w:tab/>
        </w:r>
        <w:r w:rsidRPr="00BE5170">
          <w:rPr>
            <w:rStyle w:val="Hyperlink"/>
            <w:rFonts w:ascii="Arial" w:hAnsi="Arial" w:cs="Arial"/>
            <w:b/>
            <w:bCs/>
            <w:sz w:val="20"/>
            <w:u w:val="none"/>
          </w:rPr>
          <w:tab/>
          <w:t>4.1.3</w:t>
        </w:r>
        <w:r w:rsidRPr="00BE5170">
          <w:rPr>
            <w:rStyle w:val="Hyperlink"/>
            <w:rFonts w:ascii="Arial" w:hAnsi="Arial" w:cs="Arial"/>
            <w:b/>
            <w:bCs/>
            <w:sz w:val="20"/>
            <w:u w:val="none"/>
          </w:rPr>
          <w:tab/>
          <w:t>Principles governing decision-making by the Child Protection Service</w:t>
        </w:r>
      </w:hyperlink>
    </w:p>
    <w:p w14:paraId="3026E8BA"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4_Voluntary_intervention" w:history="1">
        <w:r w:rsidRPr="00BE5170">
          <w:rPr>
            <w:rStyle w:val="Hyperlink"/>
            <w:rFonts w:ascii="Arial" w:hAnsi="Arial" w:cs="Arial"/>
            <w:b/>
            <w:bCs/>
            <w:sz w:val="20"/>
            <w:u w:val="none"/>
          </w:rPr>
          <w:tab/>
        </w:r>
        <w:r w:rsidRPr="00BE5170">
          <w:rPr>
            <w:rStyle w:val="Hyperlink"/>
            <w:rFonts w:ascii="Arial" w:hAnsi="Arial" w:cs="Arial"/>
            <w:b/>
            <w:bCs/>
            <w:sz w:val="20"/>
            <w:u w:val="none"/>
          </w:rPr>
          <w:tab/>
        </w:r>
        <w:r w:rsidR="00693223" w:rsidRPr="00BE5170">
          <w:rPr>
            <w:rStyle w:val="Hyperlink"/>
            <w:rFonts w:ascii="Arial" w:hAnsi="Arial" w:cs="Arial"/>
            <w:b/>
            <w:bCs/>
            <w:sz w:val="20"/>
            <w:u w:val="none"/>
          </w:rPr>
          <w:t>4.1.</w:t>
        </w:r>
        <w:r w:rsidR="00066867" w:rsidRPr="00BE5170">
          <w:rPr>
            <w:rStyle w:val="Hyperlink"/>
            <w:rFonts w:ascii="Arial" w:hAnsi="Arial" w:cs="Arial"/>
            <w:b/>
            <w:bCs/>
            <w:sz w:val="20"/>
            <w:u w:val="none"/>
          </w:rPr>
          <w:t>4</w:t>
        </w:r>
        <w:r w:rsidR="00693223" w:rsidRPr="00BE5170">
          <w:rPr>
            <w:rStyle w:val="Hyperlink"/>
            <w:rFonts w:ascii="Arial" w:hAnsi="Arial" w:cs="Arial"/>
            <w:b/>
            <w:bCs/>
            <w:sz w:val="20"/>
            <w:u w:val="none"/>
          </w:rPr>
          <w:tab/>
          <w:t>Voluntary intervention</w:t>
        </w:r>
      </w:hyperlink>
    </w:p>
    <w:p w14:paraId="5FBAE888" w14:textId="77777777" w:rsidR="00D451AD" w:rsidRPr="00BE5170"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5_Statutory_intervention" w:history="1">
        <w:r w:rsidRPr="00BE5170">
          <w:rPr>
            <w:rStyle w:val="Hyperlink"/>
            <w:rFonts w:ascii="Arial" w:hAnsi="Arial" w:cs="Arial"/>
            <w:b/>
            <w:bCs/>
            <w:sz w:val="20"/>
            <w:u w:val="none"/>
          </w:rPr>
          <w:tab/>
        </w:r>
        <w:r w:rsidRPr="00BE5170">
          <w:rPr>
            <w:rStyle w:val="Hyperlink"/>
            <w:rFonts w:ascii="Arial" w:hAnsi="Arial" w:cs="Arial"/>
            <w:b/>
            <w:bCs/>
            <w:sz w:val="20"/>
            <w:u w:val="none"/>
          </w:rPr>
          <w:tab/>
          <w:t>4.1.5</w:t>
        </w:r>
        <w:r w:rsidRPr="00BE5170">
          <w:rPr>
            <w:rStyle w:val="Hyperlink"/>
            <w:rFonts w:ascii="Arial" w:hAnsi="Arial" w:cs="Arial"/>
            <w:b/>
            <w:bCs/>
            <w:sz w:val="20"/>
            <w:u w:val="none"/>
          </w:rPr>
          <w:tab/>
          <w:t>Statutory intervention</w:t>
        </w:r>
      </w:hyperlink>
    </w:p>
    <w:p w14:paraId="207795C1" w14:textId="0311C2CC" w:rsidR="00CF2DFD" w:rsidRDefault="00CF2DFD" w:rsidP="00CF2DFD">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hyperlink w:anchor="_4.1.6_The_Child" w:history="1">
        <w:r w:rsidRPr="00BE5170">
          <w:rPr>
            <w:rStyle w:val="Hyperlink"/>
            <w:rFonts w:ascii="Arial" w:hAnsi="Arial" w:cs="Arial"/>
            <w:b/>
            <w:bCs/>
            <w:sz w:val="20"/>
            <w:u w:val="none"/>
          </w:rPr>
          <w:tab/>
        </w:r>
        <w:r w:rsidRPr="00BE5170">
          <w:rPr>
            <w:rStyle w:val="Hyperlink"/>
            <w:rFonts w:ascii="Arial" w:hAnsi="Arial" w:cs="Arial"/>
            <w:b/>
            <w:bCs/>
            <w:sz w:val="20"/>
            <w:u w:val="none"/>
          </w:rPr>
          <w:tab/>
          <w:t>4.1.6</w:t>
        </w:r>
        <w:r w:rsidRPr="00BE5170">
          <w:rPr>
            <w:rStyle w:val="Hyperlink"/>
            <w:rFonts w:ascii="Arial" w:hAnsi="Arial" w:cs="Arial"/>
            <w:b/>
            <w:bCs/>
            <w:sz w:val="20"/>
            <w:u w:val="none"/>
          </w:rPr>
          <w:tab/>
          <w:t>The Child Protection Service as a model litigant</w:t>
        </w:r>
      </w:hyperlink>
    </w:p>
    <w:p w14:paraId="5B6ACA13" w14:textId="29D3D2B7" w:rsidR="00540381" w:rsidRPr="0004455B" w:rsidRDefault="00540381" w:rsidP="00CF2DFD">
      <w:pPr>
        <w:pBdr>
          <w:top w:val="single" w:sz="4" w:space="1" w:color="auto"/>
          <w:left w:val="single" w:sz="4" w:space="4" w:color="auto"/>
          <w:bottom w:val="single" w:sz="4" w:space="1" w:color="auto"/>
          <w:right w:val="single" w:sz="4" w:space="4" w:color="auto"/>
        </w:pBdr>
        <w:rPr>
          <w:rFonts w:ascii="Arial" w:hAnsi="Arial" w:cs="Arial"/>
          <w:b/>
          <w:bCs/>
          <w:sz w:val="20"/>
        </w:rPr>
      </w:pPr>
      <w:r w:rsidRPr="0004455B">
        <w:rPr>
          <w:rStyle w:val="Hyperlink"/>
          <w:rFonts w:ascii="Arial" w:hAnsi="Arial" w:cs="Arial"/>
          <w:b/>
          <w:bCs/>
          <w:sz w:val="20"/>
          <w:u w:val="none"/>
        </w:rPr>
        <w:tab/>
      </w:r>
      <w:r w:rsidRPr="0004455B">
        <w:rPr>
          <w:rStyle w:val="Hyperlink"/>
          <w:rFonts w:ascii="Arial" w:hAnsi="Arial" w:cs="Arial"/>
          <w:b/>
          <w:bCs/>
          <w:sz w:val="20"/>
          <w:u w:val="none"/>
        </w:rPr>
        <w:tab/>
      </w:r>
      <w:hyperlink w:anchor="_4.1.7_Secretary_DFFH" w:history="1">
        <w:r w:rsidRPr="0004455B">
          <w:rPr>
            <w:rStyle w:val="Hyperlink"/>
            <w:rFonts w:ascii="Arial" w:hAnsi="Arial" w:cs="Arial"/>
            <w:b/>
            <w:bCs/>
            <w:sz w:val="20"/>
            <w:u w:val="none"/>
          </w:rPr>
          <w:t>4.1.7</w:t>
        </w:r>
        <w:r w:rsidRPr="0004455B">
          <w:rPr>
            <w:rStyle w:val="Hyperlink"/>
            <w:rFonts w:ascii="Arial" w:hAnsi="Arial" w:cs="Arial"/>
            <w:b/>
            <w:bCs/>
            <w:sz w:val="20"/>
            <w:u w:val="none"/>
          </w:rPr>
          <w:tab/>
        </w:r>
        <w:r w:rsidR="0004455B" w:rsidRPr="0004455B">
          <w:rPr>
            <w:rStyle w:val="Hyperlink"/>
            <w:rFonts w:ascii="Arial" w:hAnsi="Arial" w:cs="Arial"/>
            <w:b/>
            <w:bCs/>
            <w:sz w:val="20"/>
            <w:u w:val="none"/>
          </w:rPr>
          <w:t>DFFH may authorise Aboriginal agency to carry out DFFH functions</w:t>
        </w:r>
      </w:hyperlink>
    </w:p>
    <w:p w14:paraId="26B8D99E" w14:textId="0DA66D11" w:rsidR="00940D74" w:rsidRPr="00BE5170" w:rsidRDefault="00940D74" w:rsidP="00540381">
      <w:pPr>
        <w:pBdr>
          <w:top w:val="single" w:sz="4" w:space="1" w:color="auto"/>
          <w:left w:val="single" w:sz="4" w:space="4" w:color="auto"/>
          <w:bottom w:val="single" w:sz="4" w:space="1" w:color="auto"/>
          <w:right w:val="single" w:sz="4" w:space="4" w:color="auto"/>
        </w:pBdr>
        <w:spacing w:before="80"/>
        <w:rPr>
          <w:rFonts w:ascii="Arial" w:hAnsi="Arial" w:cs="Arial"/>
          <w:b/>
          <w:bCs/>
        </w:rPr>
      </w:pPr>
      <w:hyperlink w:anchor="_4.2_Role_of_1" w:history="1">
        <w:r w:rsidRPr="00BE5170">
          <w:rPr>
            <w:rStyle w:val="Hyperlink"/>
            <w:rFonts w:ascii="Arial" w:hAnsi="Arial" w:cs="Arial"/>
            <w:b/>
            <w:bCs/>
            <w:u w:val="none"/>
          </w:rPr>
          <w:t>4.2</w:t>
        </w:r>
        <w:r w:rsidRPr="00BE5170">
          <w:rPr>
            <w:rStyle w:val="Hyperlink"/>
            <w:rFonts w:ascii="Arial" w:hAnsi="Arial" w:cs="Arial"/>
            <w:b/>
            <w:bCs/>
            <w:u w:val="none"/>
          </w:rPr>
          <w:tab/>
        </w:r>
        <w:r w:rsidRPr="00BE5170">
          <w:rPr>
            <w:rStyle w:val="Hyperlink"/>
            <w:rFonts w:ascii="Arial" w:hAnsi="Arial" w:cs="Arial"/>
            <w:b/>
            <w:bCs/>
            <w:u w:val="none"/>
          </w:rPr>
          <w:tab/>
          <w:t>Role of the Children’s Court in Child Protection in Victoria</w:t>
        </w:r>
      </w:hyperlink>
    </w:p>
    <w:p w14:paraId="1C814756" w14:textId="77777777"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rPr>
      </w:pPr>
      <w:hyperlink w:anchor="_4.3_Jurisdiction_of" w:history="1">
        <w:r w:rsidRPr="00BE5170">
          <w:rPr>
            <w:rStyle w:val="Hyperlink"/>
            <w:rFonts w:ascii="Arial" w:hAnsi="Arial" w:cs="Arial"/>
            <w:b/>
            <w:bCs/>
            <w:u w:val="none"/>
          </w:rPr>
          <w:t>4.</w:t>
        </w:r>
        <w:r w:rsidR="00940D74" w:rsidRPr="00BE5170">
          <w:rPr>
            <w:rStyle w:val="Hyperlink"/>
            <w:rFonts w:ascii="Arial" w:hAnsi="Arial" w:cs="Arial"/>
            <w:b/>
            <w:bCs/>
            <w:u w:val="none"/>
          </w:rPr>
          <w:t>3</w:t>
        </w:r>
        <w:r w:rsidRPr="00BE5170">
          <w:rPr>
            <w:rStyle w:val="Hyperlink"/>
            <w:rFonts w:ascii="Arial" w:hAnsi="Arial" w:cs="Arial"/>
            <w:b/>
            <w:bCs/>
            <w:u w:val="none"/>
          </w:rPr>
          <w:tab/>
        </w:r>
        <w:r w:rsidR="00D13996" w:rsidRPr="00BE5170">
          <w:rPr>
            <w:rStyle w:val="Hyperlink"/>
            <w:rFonts w:ascii="Arial" w:hAnsi="Arial" w:cs="Arial"/>
            <w:b/>
            <w:bCs/>
            <w:u w:val="none"/>
          </w:rPr>
          <w:tab/>
        </w:r>
        <w:r w:rsidRPr="00BE5170">
          <w:rPr>
            <w:rStyle w:val="Hyperlink"/>
            <w:rFonts w:ascii="Arial" w:hAnsi="Arial" w:cs="Arial"/>
            <w:b/>
            <w:bCs/>
            <w:u w:val="none"/>
          </w:rPr>
          <w:t>Jurisdiction of Family Division</w:t>
        </w:r>
      </w:hyperlink>
    </w:p>
    <w:p w14:paraId="269A65EA" w14:textId="77777777" w:rsidR="00693223" w:rsidRPr="00BE5170" w:rsidRDefault="00D451AD" w:rsidP="0030237B">
      <w:pPr>
        <w:pBdr>
          <w:top w:val="single" w:sz="4" w:space="1" w:color="auto"/>
          <w:left w:val="single" w:sz="4" w:space="4" w:color="auto"/>
          <w:bottom w:val="single" w:sz="4" w:space="1" w:color="auto"/>
          <w:right w:val="single" w:sz="4" w:space="4" w:color="auto"/>
        </w:pBdr>
        <w:spacing w:before="60"/>
        <w:rPr>
          <w:rFonts w:ascii="Arial" w:hAnsi="Arial" w:cs="Arial"/>
          <w:b/>
          <w:bCs/>
          <w:sz w:val="20"/>
        </w:rPr>
      </w:pPr>
      <w:hyperlink w:anchor="_4.3.1_Jurisdiction_under"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w:t>
        </w:r>
        <w:r w:rsidR="00940D74" w:rsidRPr="00BE5170">
          <w:rPr>
            <w:rStyle w:val="Hyperlink"/>
            <w:rFonts w:ascii="Arial" w:hAnsi="Arial" w:cs="Arial"/>
            <w:b/>
            <w:bCs/>
            <w:sz w:val="20"/>
            <w:u w:val="none"/>
          </w:rPr>
          <w:t>3</w:t>
        </w:r>
        <w:r w:rsidR="00693223" w:rsidRPr="00BE5170">
          <w:rPr>
            <w:rStyle w:val="Hyperlink"/>
            <w:rFonts w:ascii="Arial" w:hAnsi="Arial" w:cs="Arial"/>
            <w:b/>
            <w:bCs/>
            <w:sz w:val="20"/>
            <w:u w:val="none"/>
          </w:rPr>
          <w:t>.1</w:t>
        </w:r>
        <w:r w:rsidR="00693223" w:rsidRPr="00BE5170">
          <w:rPr>
            <w:rStyle w:val="Hyperlink"/>
            <w:rFonts w:ascii="Arial" w:hAnsi="Arial" w:cs="Arial"/>
            <w:b/>
            <w:bCs/>
            <w:sz w:val="20"/>
            <w:u w:val="none"/>
          </w:rPr>
          <w:tab/>
          <w:t>Jurisdiction under the CY</w:t>
        </w:r>
        <w:r w:rsidR="00497924" w:rsidRPr="00BE5170">
          <w:rPr>
            <w:rStyle w:val="Hyperlink"/>
            <w:rFonts w:ascii="Arial" w:hAnsi="Arial" w:cs="Arial"/>
            <w:b/>
            <w:bCs/>
            <w:sz w:val="20"/>
            <w:u w:val="none"/>
          </w:rPr>
          <w:t>F</w:t>
        </w:r>
        <w:r w:rsidR="00693223" w:rsidRPr="00BE5170">
          <w:rPr>
            <w:rStyle w:val="Hyperlink"/>
            <w:rFonts w:ascii="Arial" w:hAnsi="Arial" w:cs="Arial"/>
            <w:b/>
            <w:bCs/>
            <w:sz w:val="20"/>
            <w:u w:val="none"/>
          </w:rPr>
          <w:t>A</w:t>
        </w:r>
      </w:hyperlink>
    </w:p>
    <w:p w14:paraId="0C449A47" w14:textId="77777777" w:rsidR="00693223" w:rsidRPr="00BE5170" w:rsidRDefault="00693223">
      <w:pPr>
        <w:pBdr>
          <w:top w:val="single" w:sz="4" w:space="1" w:color="auto"/>
          <w:left w:val="single" w:sz="4" w:space="4" w:color="auto"/>
          <w:bottom w:val="single" w:sz="4" w:space="1" w:color="auto"/>
          <w:right w:val="single" w:sz="4" w:space="4" w:color="auto"/>
        </w:pBdr>
        <w:rPr>
          <w:rFonts w:ascii="Arial" w:hAnsi="Arial" w:cs="Arial"/>
          <w:b/>
          <w:bCs/>
          <w:sz w:val="20"/>
        </w:rPr>
      </w:pPr>
      <w:hyperlink w:anchor="_4.3.2_Whether_jurisdiction" w:history="1">
        <w:r w:rsidRPr="00BE5170">
          <w:rPr>
            <w:rStyle w:val="Hyperlink"/>
            <w:rFonts w:ascii="Arial" w:hAnsi="Arial" w:cs="Arial"/>
            <w:b/>
            <w:bCs/>
            <w:sz w:val="20"/>
            <w:u w:val="none"/>
          </w:rPr>
          <w:tab/>
        </w:r>
        <w:r w:rsidR="00D451AD" w:rsidRPr="00BE5170">
          <w:rPr>
            <w:rStyle w:val="Hyperlink"/>
            <w:rFonts w:ascii="Arial" w:hAnsi="Arial" w:cs="Arial"/>
            <w:b/>
            <w:bCs/>
            <w:sz w:val="20"/>
            <w:u w:val="none"/>
          </w:rPr>
          <w:tab/>
        </w:r>
        <w:r w:rsidRPr="00BE5170">
          <w:rPr>
            <w:rStyle w:val="Hyperlink"/>
            <w:rFonts w:ascii="Arial" w:hAnsi="Arial" w:cs="Arial"/>
            <w:b/>
            <w:bCs/>
            <w:sz w:val="20"/>
            <w:u w:val="none"/>
          </w:rPr>
          <w:t>4.</w:t>
        </w:r>
        <w:r w:rsidR="00940D74" w:rsidRPr="00BE5170">
          <w:rPr>
            <w:rStyle w:val="Hyperlink"/>
            <w:rFonts w:ascii="Arial" w:hAnsi="Arial" w:cs="Arial"/>
            <w:b/>
            <w:bCs/>
            <w:sz w:val="20"/>
            <w:u w:val="none"/>
          </w:rPr>
          <w:t>3</w:t>
        </w:r>
        <w:r w:rsidRPr="00BE5170">
          <w:rPr>
            <w:rStyle w:val="Hyperlink"/>
            <w:rFonts w:ascii="Arial" w:hAnsi="Arial" w:cs="Arial"/>
            <w:b/>
            <w:bCs/>
            <w:sz w:val="20"/>
            <w:u w:val="none"/>
          </w:rPr>
          <w:t>.2</w:t>
        </w:r>
        <w:r w:rsidRPr="00BE5170">
          <w:rPr>
            <w:rStyle w:val="Hyperlink"/>
            <w:rFonts w:ascii="Arial" w:hAnsi="Arial" w:cs="Arial"/>
            <w:b/>
            <w:bCs/>
            <w:sz w:val="20"/>
            <w:u w:val="none"/>
          </w:rPr>
          <w:tab/>
        </w:r>
        <w:r w:rsidR="008708AB">
          <w:rPr>
            <w:rStyle w:val="Hyperlink"/>
            <w:rFonts w:ascii="Arial" w:hAnsi="Arial" w:cs="Arial"/>
            <w:b/>
            <w:bCs/>
            <w:sz w:val="20"/>
            <w:u w:val="none"/>
          </w:rPr>
          <w:t>J</w:t>
        </w:r>
        <w:r w:rsidRPr="00BE5170">
          <w:rPr>
            <w:rStyle w:val="Hyperlink"/>
            <w:rFonts w:ascii="Arial" w:hAnsi="Arial" w:cs="Arial"/>
            <w:b/>
            <w:bCs/>
            <w:sz w:val="20"/>
            <w:u w:val="none"/>
          </w:rPr>
          <w:t>urisdiction under the Family Law Act 1975 (</w:t>
        </w:r>
        <w:proofErr w:type="spellStart"/>
        <w:r w:rsidRPr="00BE5170">
          <w:rPr>
            <w:rStyle w:val="Hyperlink"/>
            <w:rFonts w:ascii="Arial" w:hAnsi="Arial" w:cs="Arial"/>
            <w:b/>
            <w:bCs/>
            <w:sz w:val="20"/>
            <w:u w:val="none"/>
          </w:rPr>
          <w:t>Cth</w:t>
        </w:r>
        <w:proofErr w:type="spellEnd"/>
        <w:r w:rsidRPr="00BE5170">
          <w:rPr>
            <w:rStyle w:val="Hyperlink"/>
            <w:rFonts w:ascii="Arial" w:hAnsi="Arial" w:cs="Arial"/>
            <w:b/>
            <w:bCs/>
            <w:sz w:val="20"/>
            <w:u w:val="none"/>
          </w:rPr>
          <w:t>) [as amended]</w:t>
        </w:r>
      </w:hyperlink>
    </w:p>
    <w:p w14:paraId="7C89FD9B" w14:textId="56348840" w:rsidR="001F1104" w:rsidRDefault="001F1104" w:rsidP="001F1104">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hyperlink w:anchor="_4.3.3_Jurisdiction_under" w:history="1">
        <w:r w:rsidRPr="00BE5170">
          <w:rPr>
            <w:rStyle w:val="Hyperlink"/>
            <w:rFonts w:ascii="Arial" w:hAnsi="Arial" w:cs="Arial"/>
            <w:b/>
            <w:bCs/>
            <w:sz w:val="20"/>
            <w:u w:val="none"/>
          </w:rPr>
          <w:tab/>
        </w:r>
        <w:r w:rsidRPr="00BE5170">
          <w:rPr>
            <w:rStyle w:val="Hyperlink"/>
            <w:rFonts w:ascii="Arial" w:hAnsi="Arial" w:cs="Arial"/>
            <w:b/>
            <w:bCs/>
            <w:sz w:val="20"/>
            <w:u w:val="none"/>
          </w:rPr>
          <w:tab/>
          <w:t>4.3.</w:t>
        </w:r>
        <w:r>
          <w:rPr>
            <w:rStyle w:val="Hyperlink"/>
            <w:rFonts w:ascii="Arial" w:hAnsi="Arial" w:cs="Arial"/>
            <w:b/>
            <w:bCs/>
            <w:sz w:val="20"/>
            <w:u w:val="none"/>
          </w:rPr>
          <w:t>3</w:t>
        </w:r>
        <w:r w:rsidRPr="00BE5170">
          <w:rPr>
            <w:rStyle w:val="Hyperlink"/>
            <w:rFonts w:ascii="Arial" w:hAnsi="Arial" w:cs="Arial"/>
            <w:b/>
            <w:bCs/>
            <w:sz w:val="20"/>
            <w:u w:val="none"/>
          </w:rPr>
          <w:tab/>
        </w:r>
        <w:r>
          <w:rPr>
            <w:rStyle w:val="Hyperlink"/>
            <w:rFonts w:ascii="Arial" w:hAnsi="Arial" w:cs="Arial"/>
            <w:b/>
            <w:bCs/>
            <w:sz w:val="20"/>
            <w:u w:val="none"/>
          </w:rPr>
          <w:t>J</w:t>
        </w:r>
        <w:r w:rsidRPr="00BE5170">
          <w:rPr>
            <w:rStyle w:val="Hyperlink"/>
            <w:rFonts w:ascii="Arial" w:hAnsi="Arial" w:cs="Arial"/>
            <w:b/>
            <w:bCs/>
            <w:sz w:val="20"/>
            <w:u w:val="none"/>
          </w:rPr>
          <w:t xml:space="preserve">urisdiction under the </w:t>
        </w:r>
        <w:r>
          <w:rPr>
            <w:rStyle w:val="Hyperlink"/>
            <w:rFonts w:ascii="Arial" w:hAnsi="Arial" w:cs="Arial"/>
            <w:b/>
            <w:bCs/>
            <w:sz w:val="20"/>
            <w:u w:val="none"/>
          </w:rPr>
          <w:t>Terrorism (Community Protection) Act 2003</w:t>
        </w:r>
      </w:hyperlink>
    </w:p>
    <w:p w14:paraId="5EBA63D6" w14:textId="1639C95F" w:rsidR="00715D6B" w:rsidRPr="004261AF" w:rsidRDefault="00715D6B" w:rsidP="001F1104">
      <w:pPr>
        <w:pBdr>
          <w:top w:val="single" w:sz="4" w:space="1" w:color="auto"/>
          <w:left w:val="single" w:sz="4" w:space="4" w:color="auto"/>
          <w:bottom w:val="single" w:sz="4" w:space="1" w:color="auto"/>
          <w:right w:val="single" w:sz="4" w:space="4" w:color="auto"/>
        </w:pBdr>
        <w:rPr>
          <w:rFonts w:ascii="Arial" w:hAnsi="Arial" w:cs="Arial"/>
          <w:b/>
          <w:bCs/>
          <w:sz w:val="20"/>
        </w:rPr>
      </w:pPr>
      <w:r w:rsidRPr="004261AF">
        <w:rPr>
          <w:rStyle w:val="Hyperlink"/>
          <w:rFonts w:ascii="Arial" w:hAnsi="Arial" w:cs="Arial"/>
          <w:b/>
          <w:bCs/>
          <w:sz w:val="20"/>
          <w:u w:val="none"/>
        </w:rPr>
        <w:tab/>
      </w:r>
      <w:r w:rsidRPr="004261AF">
        <w:rPr>
          <w:rStyle w:val="Hyperlink"/>
          <w:rFonts w:ascii="Arial" w:hAnsi="Arial" w:cs="Arial"/>
          <w:b/>
          <w:bCs/>
          <w:sz w:val="20"/>
          <w:u w:val="none"/>
        </w:rPr>
        <w:tab/>
      </w:r>
      <w:hyperlink w:anchor="_4.3.4__No" w:history="1">
        <w:r w:rsidRPr="004261AF">
          <w:rPr>
            <w:rStyle w:val="Hyperlink"/>
            <w:rFonts w:ascii="Arial" w:hAnsi="Arial" w:cs="Arial"/>
            <w:b/>
            <w:bCs/>
            <w:sz w:val="20"/>
            <w:u w:val="none"/>
          </w:rPr>
          <w:t>4.3.4</w:t>
        </w:r>
        <w:r w:rsidRPr="004261AF">
          <w:rPr>
            <w:rStyle w:val="Hyperlink"/>
            <w:rFonts w:ascii="Arial" w:hAnsi="Arial" w:cs="Arial"/>
            <w:b/>
            <w:bCs/>
            <w:sz w:val="20"/>
            <w:u w:val="none"/>
          </w:rPr>
          <w:tab/>
        </w:r>
        <w:r w:rsidR="00C43292">
          <w:rPr>
            <w:rStyle w:val="Hyperlink"/>
            <w:rFonts w:ascii="Arial" w:hAnsi="Arial" w:cs="Arial"/>
            <w:b/>
            <w:bCs/>
            <w:sz w:val="20"/>
            <w:u w:val="none"/>
          </w:rPr>
          <w:t>P</w:t>
        </w:r>
        <w:r w:rsidR="0003013B">
          <w:rPr>
            <w:rStyle w:val="Hyperlink"/>
            <w:rFonts w:ascii="Arial" w:hAnsi="Arial" w:cs="Arial"/>
            <w:b/>
            <w:bCs/>
            <w:sz w:val="20"/>
            <w:u w:val="none"/>
          </w:rPr>
          <w:t>owers</w:t>
        </w:r>
        <w:r w:rsidRPr="004261AF">
          <w:rPr>
            <w:rStyle w:val="Hyperlink"/>
            <w:rFonts w:ascii="Arial" w:hAnsi="Arial" w:cs="Arial"/>
            <w:b/>
            <w:bCs/>
            <w:sz w:val="20"/>
            <w:u w:val="none"/>
          </w:rPr>
          <w:t xml:space="preserve"> under the Births</w:t>
        </w:r>
        <w:r w:rsidR="00C43292">
          <w:rPr>
            <w:rStyle w:val="Hyperlink"/>
            <w:rFonts w:ascii="Arial" w:hAnsi="Arial" w:cs="Arial"/>
            <w:b/>
            <w:bCs/>
            <w:sz w:val="20"/>
            <w:u w:val="none"/>
          </w:rPr>
          <w:t>, Deaths and Marriages</w:t>
        </w:r>
        <w:r w:rsidRPr="004261AF">
          <w:rPr>
            <w:rStyle w:val="Hyperlink"/>
            <w:rFonts w:ascii="Arial" w:hAnsi="Arial" w:cs="Arial"/>
            <w:b/>
            <w:bCs/>
            <w:sz w:val="20"/>
            <w:u w:val="none"/>
          </w:rPr>
          <w:t xml:space="preserve"> </w:t>
        </w:r>
        <w:r w:rsidR="0060228E">
          <w:rPr>
            <w:rStyle w:val="Hyperlink"/>
            <w:rFonts w:ascii="Arial" w:hAnsi="Arial" w:cs="Arial"/>
            <w:b/>
            <w:bCs/>
            <w:sz w:val="20"/>
            <w:u w:val="none"/>
          </w:rPr>
          <w:t xml:space="preserve">Registration </w:t>
        </w:r>
        <w:r w:rsidRPr="004261AF">
          <w:rPr>
            <w:rStyle w:val="Hyperlink"/>
            <w:rFonts w:ascii="Arial" w:hAnsi="Arial" w:cs="Arial"/>
            <w:b/>
            <w:bCs/>
            <w:sz w:val="20"/>
            <w:u w:val="none"/>
          </w:rPr>
          <w:t>Act 1996</w:t>
        </w:r>
      </w:hyperlink>
    </w:p>
    <w:p w14:paraId="3F85334A" w14:textId="154D1113" w:rsidR="00102E8E" w:rsidRPr="004261AF" w:rsidRDefault="00102E8E" w:rsidP="00102E8E">
      <w:pPr>
        <w:pBdr>
          <w:top w:val="single" w:sz="4" w:space="1" w:color="auto"/>
          <w:left w:val="single" w:sz="4" w:space="4" w:color="auto"/>
          <w:bottom w:val="single" w:sz="4" w:space="1" w:color="auto"/>
          <w:right w:val="single" w:sz="4" w:space="4" w:color="auto"/>
        </w:pBdr>
        <w:rPr>
          <w:rFonts w:ascii="Arial" w:hAnsi="Arial" w:cs="Arial"/>
          <w:b/>
          <w:bCs/>
          <w:sz w:val="20"/>
        </w:rPr>
      </w:pPr>
      <w:r w:rsidRPr="004261AF">
        <w:rPr>
          <w:rStyle w:val="Hyperlink"/>
          <w:rFonts w:ascii="Arial" w:hAnsi="Arial" w:cs="Arial"/>
          <w:b/>
          <w:bCs/>
          <w:sz w:val="20"/>
          <w:u w:val="none"/>
        </w:rPr>
        <w:tab/>
      </w:r>
      <w:r w:rsidRPr="004261AF">
        <w:rPr>
          <w:rStyle w:val="Hyperlink"/>
          <w:rFonts w:ascii="Arial" w:hAnsi="Arial" w:cs="Arial"/>
          <w:b/>
          <w:bCs/>
          <w:sz w:val="20"/>
          <w:u w:val="none"/>
        </w:rPr>
        <w:tab/>
      </w:r>
      <w:hyperlink w:anchor="_4.3.5_Jurisdiction_under" w:history="1">
        <w:r w:rsidRPr="004261AF">
          <w:rPr>
            <w:rStyle w:val="Hyperlink"/>
            <w:rFonts w:ascii="Arial" w:hAnsi="Arial" w:cs="Arial"/>
            <w:b/>
            <w:bCs/>
            <w:sz w:val="20"/>
            <w:u w:val="none"/>
          </w:rPr>
          <w:t>4.3.</w:t>
        </w:r>
        <w:r>
          <w:rPr>
            <w:rStyle w:val="Hyperlink"/>
            <w:rFonts w:ascii="Arial" w:hAnsi="Arial" w:cs="Arial"/>
            <w:b/>
            <w:bCs/>
            <w:sz w:val="20"/>
            <w:u w:val="none"/>
          </w:rPr>
          <w:t>5</w:t>
        </w:r>
        <w:r w:rsidRPr="004261AF">
          <w:rPr>
            <w:rStyle w:val="Hyperlink"/>
            <w:rFonts w:ascii="Arial" w:hAnsi="Arial" w:cs="Arial"/>
            <w:b/>
            <w:bCs/>
            <w:sz w:val="20"/>
            <w:u w:val="none"/>
          </w:rPr>
          <w:tab/>
        </w:r>
        <w:r>
          <w:rPr>
            <w:rStyle w:val="Hyperlink"/>
            <w:rFonts w:ascii="Arial" w:hAnsi="Arial" w:cs="Arial"/>
            <w:b/>
            <w:bCs/>
            <w:sz w:val="20"/>
            <w:u w:val="none"/>
          </w:rPr>
          <w:t>Jurisdiction</w:t>
        </w:r>
        <w:r w:rsidRPr="004261AF">
          <w:rPr>
            <w:rStyle w:val="Hyperlink"/>
            <w:rFonts w:ascii="Arial" w:hAnsi="Arial" w:cs="Arial"/>
            <w:b/>
            <w:bCs/>
            <w:sz w:val="20"/>
            <w:u w:val="none"/>
          </w:rPr>
          <w:t xml:space="preserve"> under the </w:t>
        </w:r>
        <w:r>
          <w:rPr>
            <w:rStyle w:val="Hyperlink"/>
            <w:rFonts w:ascii="Arial" w:hAnsi="Arial" w:cs="Arial"/>
            <w:b/>
            <w:bCs/>
            <w:sz w:val="20"/>
            <w:u w:val="none"/>
          </w:rPr>
          <w:t xml:space="preserve">Firearms </w:t>
        </w:r>
        <w:r w:rsidRPr="004261AF">
          <w:rPr>
            <w:rStyle w:val="Hyperlink"/>
            <w:rFonts w:ascii="Arial" w:hAnsi="Arial" w:cs="Arial"/>
            <w:b/>
            <w:bCs/>
            <w:sz w:val="20"/>
            <w:u w:val="none"/>
          </w:rPr>
          <w:t>Act 1996</w:t>
        </w:r>
      </w:hyperlink>
    </w:p>
    <w:p w14:paraId="3EDF4838" w14:textId="75A60C1B"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rPr>
      </w:pPr>
      <w:hyperlink w:anchor="_4.4_Definitions_of_1" w:history="1">
        <w:r w:rsidRPr="00BE5170">
          <w:rPr>
            <w:rStyle w:val="Hyperlink"/>
            <w:rFonts w:ascii="Arial" w:hAnsi="Arial" w:cs="Arial"/>
            <w:b/>
            <w:bCs/>
            <w:u w:val="none"/>
          </w:rPr>
          <w:t>4.4</w:t>
        </w:r>
        <w:r w:rsidRPr="00BE5170">
          <w:rPr>
            <w:rStyle w:val="Hyperlink"/>
            <w:rFonts w:ascii="Arial" w:hAnsi="Arial" w:cs="Arial"/>
            <w:b/>
            <w:bCs/>
            <w:u w:val="none"/>
          </w:rPr>
          <w:tab/>
        </w:r>
        <w:r w:rsidR="00D13996" w:rsidRPr="00BE5170">
          <w:rPr>
            <w:rStyle w:val="Hyperlink"/>
            <w:rFonts w:ascii="Arial" w:hAnsi="Arial" w:cs="Arial"/>
            <w:b/>
            <w:bCs/>
            <w:u w:val="none"/>
          </w:rPr>
          <w:tab/>
        </w:r>
        <w:r w:rsidRPr="00BE5170">
          <w:rPr>
            <w:rStyle w:val="Hyperlink"/>
            <w:rFonts w:ascii="Arial" w:hAnsi="Arial" w:cs="Arial"/>
            <w:b/>
            <w:bCs/>
            <w:u w:val="none"/>
          </w:rPr>
          <w:t>Definition</w:t>
        </w:r>
        <w:r w:rsidR="002B604A" w:rsidRPr="00BE5170">
          <w:rPr>
            <w:rStyle w:val="Hyperlink"/>
            <w:rFonts w:ascii="Arial" w:hAnsi="Arial" w:cs="Arial"/>
            <w:b/>
            <w:bCs/>
            <w:u w:val="none"/>
          </w:rPr>
          <w:t>s</w:t>
        </w:r>
        <w:r w:rsidRPr="00BE5170">
          <w:rPr>
            <w:rStyle w:val="Hyperlink"/>
            <w:rFonts w:ascii="Arial" w:hAnsi="Arial" w:cs="Arial"/>
            <w:b/>
            <w:bCs/>
            <w:u w:val="none"/>
          </w:rPr>
          <w:t xml:space="preserve"> of </w:t>
        </w:r>
        <w:r w:rsidR="002B604A" w:rsidRPr="00BE5170">
          <w:rPr>
            <w:rStyle w:val="Hyperlink"/>
            <w:rFonts w:ascii="Arial" w:hAnsi="Arial" w:cs="Arial"/>
            <w:b/>
            <w:bCs/>
            <w:u w:val="none"/>
          </w:rPr>
          <w:t xml:space="preserve">‘child’ &amp; </w:t>
        </w:r>
        <w:r w:rsidRPr="00BE5170">
          <w:rPr>
            <w:rStyle w:val="Hyperlink"/>
            <w:rFonts w:ascii="Arial" w:hAnsi="Arial" w:cs="Arial"/>
            <w:b/>
            <w:bCs/>
            <w:u w:val="none"/>
          </w:rPr>
          <w:t>'parent'</w:t>
        </w:r>
      </w:hyperlink>
    </w:p>
    <w:p w14:paraId="16E26F8D" w14:textId="77777777"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color w:val="000000"/>
        </w:rPr>
      </w:pPr>
      <w:hyperlink w:anchor="_4.5_Parental_responsibility" w:history="1">
        <w:r w:rsidRPr="00BE5170">
          <w:rPr>
            <w:rStyle w:val="Hyperlink"/>
            <w:rFonts w:ascii="Arial" w:hAnsi="Arial" w:cs="Arial"/>
            <w:b/>
            <w:bCs/>
            <w:u w:val="none"/>
          </w:rPr>
          <w:t>4.5</w:t>
        </w:r>
        <w:r w:rsidRPr="00BE5170">
          <w:rPr>
            <w:rStyle w:val="Hyperlink"/>
            <w:rFonts w:ascii="Arial" w:hAnsi="Arial" w:cs="Arial"/>
            <w:b/>
            <w:bCs/>
            <w:u w:val="none"/>
          </w:rPr>
          <w:tab/>
        </w:r>
        <w:r w:rsidR="00D13996" w:rsidRPr="00BE5170">
          <w:rPr>
            <w:rStyle w:val="Hyperlink"/>
            <w:rFonts w:ascii="Arial" w:hAnsi="Arial" w:cs="Arial"/>
            <w:b/>
            <w:bCs/>
            <w:u w:val="none"/>
          </w:rPr>
          <w:tab/>
        </w:r>
        <w:r w:rsidR="00C31E36" w:rsidRPr="00BE5170">
          <w:rPr>
            <w:rStyle w:val="Hyperlink"/>
            <w:rFonts w:ascii="Arial" w:hAnsi="Arial" w:cs="Arial"/>
            <w:b/>
            <w:bCs/>
            <w:u w:val="none"/>
          </w:rPr>
          <w:t>Parental responsibility</w:t>
        </w:r>
        <w:r w:rsidRPr="00BE5170">
          <w:rPr>
            <w:rStyle w:val="Hyperlink"/>
            <w:rFonts w:ascii="Arial" w:hAnsi="Arial" w:cs="Arial"/>
            <w:b/>
            <w:bCs/>
            <w:u w:val="none"/>
          </w:rPr>
          <w:t xml:space="preserve"> &amp; </w:t>
        </w:r>
        <w:r w:rsidR="00CF6AAD" w:rsidRPr="00BE5170">
          <w:rPr>
            <w:rStyle w:val="Hyperlink"/>
            <w:rFonts w:ascii="Arial" w:hAnsi="Arial" w:cs="Arial"/>
            <w:b/>
            <w:bCs/>
            <w:u w:val="none"/>
          </w:rPr>
          <w:t>contact</w:t>
        </w:r>
      </w:hyperlink>
    </w:p>
    <w:p w14:paraId="07DE3A96" w14:textId="77777777" w:rsidR="00693223" w:rsidRPr="00BE5170" w:rsidRDefault="00D451AD" w:rsidP="0054038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0"/>
        </w:rPr>
      </w:pPr>
      <w:hyperlink w:anchor="_4.5.1_Parental_responsibility"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4.5.1</w:t>
        </w:r>
        <w:r w:rsidR="00693223" w:rsidRPr="00BE5170">
          <w:rPr>
            <w:rStyle w:val="Hyperlink"/>
            <w:rFonts w:ascii="Arial" w:hAnsi="Arial" w:cs="Arial"/>
            <w:b/>
            <w:bCs/>
            <w:sz w:val="20"/>
            <w:u w:val="none"/>
          </w:rPr>
          <w:tab/>
        </w:r>
        <w:r w:rsidR="00787E9B" w:rsidRPr="00BE5170">
          <w:rPr>
            <w:rStyle w:val="Hyperlink"/>
            <w:rFonts w:ascii="Arial" w:hAnsi="Arial" w:cs="Arial"/>
            <w:b/>
            <w:bCs/>
            <w:sz w:val="20"/>
            <w:u w:val="none"/>
          </w:rPr>
          <w:t>Parental responsibility – Major long-term issue</w:t>
        </w:r>
      </w:hyperlink>
    </w:p>
    <w:p w14:paraId="737A2F1B" w14:textId="77777777" w:rsidR="00787E9B" w:rsidRPr="00BE5170" w:rsidRDefault="00787E9B" w:rsidP="00787E9B">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5.2_Where_carer" w:history="1">
        <w:r w:rsidRPr="00BE5170">
          <w:rPr>
            <w:rStyle w:val="Hyperlink"/>
            <w:rFonts w:ascii="Arial" w:hAnsi="Arial" w:cs="Arial"/>
            <w:b/>
            <w:bCs/>
            <w:sz w:val="20"/>
            <w:u w:val="none"/>
          </w:rPr>
          <w:tab/>
        </w:r>
        <w:r w:rsidRPr="00BE5170">
          <w:rPr>
            <w:rStyle w:val="Hyperlink"/>
            <w:rFonts w:ascii="Arial" w:hAnsi="Arial" w:cs="Arial"/>
            <w:b/>
            <w:bCs/>
            <w:sz w:val="20"/>
            <w:u w:val="none"/>
          </w:rPr>
          <w:tab/>
          <w:t>4.5.2</w:t>
        </w:r>
        <w:r w:rsidRPr="00BE5170">
          <w:rPr>
            <w:rStyle w:val="Hyperlink"/>
            <w:rFonts w:ascii="Arial" w:hAnsi="Arial" w:cs="Arial"/>
            <w:b/>
            <w:bCs/>
            <w:sz w:val="20"/>
            <w:u w:val="none"/>
          </w:rPr>
          <w:tab/>
          <w:t>Where carer may exercise parental responsibility</w:t>
        </w:r>
      </w:hyperlink>
    </w:p>
    <w:p w14:paraId="316E1BDD"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5.3_Contact"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4.5.3</w:t>
        </w:r>
        <w:r w:rsidR="00693223" w:rsidRPr="00BE5170">
          <w:rPr>
            <w:rStyle w:val="Hyperlink"/>
            <w:rFonts w:ascii="Arial" w:hAnsi="Arial" w:cs="Arial"/>
            <w:b/>
            <w:bCs/>
            <w:sz w:val="20"/>
            <w:u w:val="none"/>
          </w:rPr>
          <w:tab/>
        </w:r>
        <w:r w:rsidR="00CF6AAD" w:rsidRPr="00BE5170">
          <w:rPr>
            <w:rStyle w:val="Hyperlink"/>
            <w:rFonts w:ascii="Arial" w:hAnsi="Arial" w:cs="Arial"/>
            <w:b/>
            <w:bCs/>
            <w:sz w:val="20"/>
            <w:u w:val="none"/>
          </w:rPr>
          <w:t>Contact</w:t>
        </w:r>
      </w:hyperlink>
    </w:p>
    <w:p w14:paraId="682FCD44"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5.4_Terms_used"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4.5.4</w:t>
        </w:r>
        <w:r w:rsidR="00693223" w:rsidRPr="00BE5170">
          <w:rPr>
            <w:rStyle w:val="Hyperlink"/>
            <w:rFonts w:ascii="Arial" w:hAnsi="Arial" w:cs="Arial"/>
            <w:b/>
            <w:bCs/>
            <w:sz w:val="20"/>
            <w:u w:val="none"/>
          </w:rPr>
          <w:tab/>
          <w:t>Terms used in the Family Law Act</w:t>
        </w:r>
      </w:hyperlink>
    </w:p>
    <w:p w14:paraId="0CE29DB2" w14:textId="77777777"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rPr>
      </w:pPr>
      <w:hyperlink w:anchor="_4.6_Protective_intervention" w:history="1">
        <w:r w:rsidRPr="00BE5170">
          <w:rPr>
            <w:rStyle w:val="Hyperlink"/>
            <w:rFonts w:ascii="Arial" w:hAnsi="Arial" w:cs="Arial"/>
            <w:b/>
            <w:bCs/>
            <w:u w:val="none"/>
          </w:rPr>
          <w:t>4.6</w:t>
        </w:r>
        <w:r w:rsidRPr="00BE5170">
          <w:rPr>
            <w:rStyle w:val="Hyperlink"/>
            <w:rFonts w:ascii="Arial" w:hAnsi="Arial" w:cs="Arial"/>
            <w:b/>
            <w:bCs/>
            <w:u w:val="none"/>
          </w:rPr>
          <w:tab/>
        </w:r>
        <w:r w:rsidR="00D13996" w:rsidRPr="00BE5170">
          <w:rPr>
            <w:rStyle w:val="Hyperlink"/>
            <w:rFonts w:ascii="Arial" w:hAnsi="Arial" w:cs="Arial"/>
            <w:b/>
            <w:bCs/>
            <w:u w:val="none"/>
          </w:rPr>
          <w:tab/>
        </w:r>
        <w:r w:rsidR="00D66DC3" w:rsidRPr="00BE5170">
          <w:rPr>
            <w:rStyle w:val="Hyperlink"/>
            <w:rFonts w:ascii="Arial" w:hAnsi="Arial" w:cs="Arial"/>
            <w:b/>
            <w:bCs/>
            <w:u w:val="none"/>
          </w:rPr>
          <w:t>P</w:t>
        </w:r>
        <w:r w:rsidR="007A7B63" w:rsidRPr="00BE5170">
          <w:rPr>
            <w:rStyle w:val="Hyperlink"/>
            <w:rFonts w:ascii="Arial" w:hAnsi="Arial" w:cs="Arial"/>
            <w:b/>
            <w:bCs/>
            <w:u w:val="none"/>
          </w:rPr>
          <w:t>rotective interven</w:t>
        </w:r>
        <w:r w:rsidR="00D66DC3" w:rsidRPr="00BE5170">
          <w:rPr>
            <w:rStyle w:val="Hyperlink"/>
            <w:rFonts w:ascii="Arial" w:hAnsi="Arial" w:cs="Arial"/>
            <w:b/>
            <w:bCs/>
            <w:u w:val="none"/>
          </w:rPr>
          <w:t>tion report</w:t>
        </w:r>
        <w:r w:rsidR="007A7B63" w:rsidRPr="00BE5170">
          <w:rPr>
            <w:rStyle w:val="Hyperlink"/>
            <w:rFonts w:ascii="Arial" w:hAnsi="Arial" w:cs="Arial"/>
            <w:b/>
            <w:bCs/>
            <w:u w:val="none"/>
          </w:rPr>
          <w:t xml:space="preserve">s [previously termed </w:t>
        </w:r>
        <w:r w:rsidR="00272B88" w:rsidRPr="00BE5170">
          <w:rPr>
            <w:rStyle w:val="Hyperlink"/>
            <w:rFonts w:ascii="Arial" w:hAnsi="Arial" w:cs="Arial"/>
            <w:b/>
            <w:bCs/>
            <w:u w:val="none"/>
          </w:rPr>
          <w:t>“</w:t>
        </w:r>
        <w:r w:rsidRPr="00BE5170">
          <w:rPr>
            <w:rStyle w:val="Hyperlink"/>
            <w:rFonts w:ascii="Arial" w:hAnsi="Arial" w:cs="Arial"/>
            <w:b/>
            <w:bCs/>
            <w:u w:val="none"/>
          </w:rPr>
          <w:t>Notifications</w:t>
        </w:r>
        <w:r w:rsidR="00272B88" w:rsidRPr="00BE5170">
          <w:rPr>
            <w:rStyle w:val="Hyperlink"/>
            <w:rFonts w:ascii="Arial" w:hAnsi="Arial" w:cs="Arial"/>
            <w:b/>
            <w:bCs/>
            <w:u w:val="none"/>
          </w:rPr>
          <w:t>”</w:t>
        </w:r>
        <w:r w:rsidR="007A7B63" w:rsidRPr="00BE5170">
          <w:rPr>
            <w:rStyle w:val="Hyperlink"/>
            <w:rFonts w:ascii="Arial" w:hAnsi="Arial" w:cs="Arial"/>
            <w:b/>
            <w:bCs/>
            <w:u w:val="none"/>
          </w:rPr>
          <w:t>]</w:t>
        </w:r>
      </w:hyperlink>
    </w:p>
    <w:p w14:paraId="6CC87008" w14:textId="77777777" w:rsidR="00C64706" w:rsidRPr="00BE5170" w:rsidRDefault="00C64706" w:rsidP="0054038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0"/>
        </w:rPr>
      </w:pPr>
      <w:hyperlink w:anchor="_4.6.1_Anonymity_of" w:history="1">
        <w:r w:rsidRPr="00BE5170">
          <w:rPr>
            <w:rStyle w:val="Hyperlink"/>
            <w:rFonts w:ascii="Arial" w:hAnsi="Arial" w:cs="Arial"/>
            <w:b/>
            <w:bCs/>
            <w:sz w:val="20"/>
            <w:u w:val="none"/>
          </w:rPr>
          <w:tab/>
        </w:r>
        <w:r w:rsidRPr="00BE5170">
          <w:rPr>
            <w:rStyle w:val="Hyperlink"/>
            <w:rFonts w:ascii="Arial" w:hAnsi="Arial" w:cs="Arial"/>
            <w:b/>
            <w:bCs/>
            <w:sz w:val="20"/>
            <w:u w:val="none"/>
          </w:rPr>
          <w:tab/>
          <w:t>4.6.1</w:t>
        </w:r>
        <w:r w:rsidRPr="00BE5170">
          <w:rPr>
            <w:rStyle w:val="Hyperlink"/>
            <w:rFonts w:ascii="Arial" w:hAnsi="Arial" w:cs="Arial"/>
            <w:b/>
            <w:bCs/>
            <w:sz w:val="20"/>
            <w:u w:val="none"/>
          </w:rPr>
          <w:tab/>
          <w:t>Anonymity of protective intervention reporter [notifier]</w:t>
        </w:r>
      </w:hyperlink>
    </w:p>
    <w:p w14:paraId="607ECFDA" w14:textId="77777777" w:rsidR="00C64706" w:rsidRPr="00BE5170" w:rsidRDefault="00C64706" w:rsidP="00C64706">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6.2_Mandatory_protective" w:history="1">
        <w:r w:rsidRPr="00BE5170">
          <w:rPr>
            <w:rStyle w:val="Hyperlink"/>
            <w:rFonts w:ascii="Arial" w:hAnsi="Arial" w:cs="Arial"/>
            <w:b/>
            <w:bCs/>
            <w:sz w:val="20"/>
            <w:u w:val="none"/>
          </w:rPr>
          <w:tab/>
        </w:r>
        <w:r w:rsidRPr="00BE5170">
          <w:rPr>
            <w:rStyle w:val="Hyperlink"/>
            <w:rFonts w:ascii="Arial" w:hAnsi="Arial" w:cs="Arial"/>
            <w:b/>
            <w:bCs/>
            <w:sz w:val="20"/>
            <w:u w:val="none"/>
          </w:rPr>
          <w:tab/>
          <w:t>4.6.2</w:t>
        </w:r>
        <w:r w:rsidRPr="00BE5170">
          <w:rPr>
            <w:rStyle w:val="Hyperlink"/>
            <w:rFonts w:ascii="Arial" w:hAnsi="Arial" w:cs="Arial"/>
            <w:b/>
            <w:bCs/>
            <w:sz w:val="20"/>
            <w:u w:val="none"/>
          </w:rPr>
          <w:tab/>
          <w:t>Mandatory protective intervention report</w:t>
        </w:r>
      </w:hyperlink>
    </w:p>
    <w:p w14:paraId="7BF8BC3A" w14:textId="22E6A0F0" w:rsidR="00693223" w:rsidRPr="008358C0" w:rsidRDefault="00D451AD" w:rsidP="00C64706">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6.3_Child_protection" w:history="1">
        <w:r w:rsidRPr="008358C0">
          <w:rPr>
            <w:rStyle w:val="Hyperlink"/>
            <w:rFonts w:ascii="Arial" w:hAnsi="Arial" w:cs="Arial"/>
            <w:b/>
            <w:bCs/>
            <w:sz w:val="20"/>
            <w:u w:val="none"/>
          </w:rPr>
          <w:tab/>
        </w:r>
        <w:r w:rsidR="00693223" w:rsidRPr="008358C0">
          <w:rPr>
            <w:rStyle w:val="Hyperlink"/>
            <w:rFonts w:ascii="Arial" w:hAnsi="Arial" w:cs="Arial"/>
            <w:b/>
            <w:bCs/>
            <w:sz w:val="20"/>
            <w:u w:val="none"/>
          </w:rPr>
          <w:tab/>
          <w:t>4.6.</w:t>
        </w:r>
        <w:r w:rsidR="00C64706" w:rsidRPr="008358C0">
          <w:rPr>
            <w:rStyle w:val="Hyperlink"/>
            <w:rFonts w:ascii="Arial" w:hAnsi="Arial" w:cs="Arial"/>
            <w:b/>
            <w:bCs/>
            <w:sz w:val="20"/>
            <w:u w:val="none"/>
          </w:rPr>
          <w:t>3</w:t>
        </w:r>
        <w:r w:rsidR="00693223" w:rsidRPr="008358C0">
          <w:rPr>
            <w:rStyle w:val="Hyperlink"/>
            <w:rFonts w:ascii="Arial" w:hAnsi="Arial" w:cs="Arial"/>
            <w:b/>
            <w:bCs/>
            <w:sz w:val="20"/>
            <w:u w:val="none"/>
          </w:rPr>
          <w:tab/>
        </w:r>
        <w:r w:rsidR="008358C0" w:rsidRPr="008358C0">
          <w:rPr>
            <w:rStyle w:val="Hyperlink"/>
            <w:rFonts w:ascii="Arial" w:hAnsi="Arial" w:cs="Arial"/>
            <w:b/>
            <w:bCs/>
            <w:sz w:val="20"/>
            <w:u w:val="none"/>
          </w:rPr>
          <w:t>C</w:t>
        </w:r>
        <w:r w:rsidR="008D3A55" w:rsidRPr="008358C0">
          <w:rPr>
            <w:rStyle w:val="Hyperlink"/>
            <w:rFonts w:ascii="Arial" w:hAnsi="Arial" w:cs="Arial"/>
            <w:b/>
            <w:bCs/>
            <w:sz w:val="20"/>
            <w:u w:val="none"/>
          </w:rPr>
          <w:t>hild protection report</w:t>
        </w:r>
        <w:r w:rsidR="008358C0" w:rsidRPr="008358C0">
          <w:rPr>
            <w:rStyle w:val="Hyperlink"/>
            <w:rFonts w:ascii="Arial" w:hAnsi="Arial" w:cs="Arial"/>
            <w:b/>
            <w:bCs/>
            <w:sz w:val="20"/>
            <w:u w:val="none"/>
          </w:rPr>
          <w:t xml:space="preserve"> </w:t>
        </w:r>
        <w:r w:rsidR="008D3A55" w:rsidRPr="008358C0">
          <w:rPr>
            <w:rStyle w:val="Hyperlink"/>
            <w:rFonts w:ascii="Arial" w:hAnsi="Arial" w:cs="Arial"/>
            <w:b/>
            <w:bCs/>
            <w:sz w:val="20"/>
            <w:u w:val="none"/>
          </w:rPr>
          <w:t>s</w:t>
        </w:r>
        <w:r w:rsidR="008358C0" w:rsidRPr="008358C0">
          <w:rPr>
            <w:rStyle w:val="Hyperlink"/>
            <w:rFonts w:ascii="Arial" w:hAnsi="Arial" w:cs="Arial"/>
            <w:b/>
            <w:bCs/>
            <w:sz w:val="20"/>
            <w:u w:val="none"/>
          </w:rPr>
          <w:t>tatistics</w:t>
        </w:r>
        <w:r w:rsidR="008D3A55" w:rsidRPr="008358C0">
          <w:rPr>
            <w:rStyle w:val="Hyperlink"/>
            <w:rFonts w:ascii="Arial" w:hAnsi="Arial" w:cs="Arial"/>
            <w:b/>
            <w:bCs/>
            <w:sz w:val="20"/>
            <w:u w:val="none"/>
          </w:rPr>
          <w:t xml:space="preserve"> </w:t>
        </w:r>
        <w:r w:rsidR="008358C0" w:rsidRPr="008358C0">
          <w:rPr>
            <w:rStyle w:val="Hyperlink"/>
            <w:rFonts w:ascii="Arial" w:hAnsi="Arial" w:cs="Arial"/>
            <w:b/>
            <w:bCs/>
            <w:sz w:val="20"/>
            <w:u w:val="none"/>
          </w:rPr>
          <w:t>(</w:t>
        </w:r>
        <w:r w:rsidR="009D6EF3" w:rsidRPr="008358C0">
          <w:rPr>
            <w:rStyle w:val="Hyperlink"/>
            <w:rFonts w:ascii="Arial" w:hAnsi="Arial" w:cs="Arial"/>
            <w:b/>
            <w:bCs/>
            <w:sz w:val="20"/>
            <w:u w:val="none"/>
          </w:rPr>
          <w:t>Victoria</w:t>
        </w:r>
        <w:r w:rsidR="008358C0" w:rsidRPr="008358C0">
          <w:rPr>
            <w:rStyle w:val="Hyperlink"/>
            <w:rFonts w:ascii="Arial" w:hAnsi="Arial" w:cs="Arial"/>
            <w:b/>
            <w:bCs/>
            <w:sz w:val="20"/>
            <w:u w:val="none"/>
          </w:rPr>
          <w:t xml:space="preserve"> &amp; Australia)</w:t>
        </w:r>
        <w:r w:rsidR="008D3A55" w:rsidRPr="008358C0">
          <w:rPr>
            <w:rStyle w:val="Hyperlink"/>
            <w:rFonts w:ascii="Arial" w:hAnsi="Arial" w:cs="Arial"/>
            <w:b/>
            <w:bCs/>
            <w:sz w:val="20"/>
            <w:u w:val="none"/>
          </w:rPr>
          <w:t xml:space="preserve"> – 19</w:t>
        </w:r>
        <w:r w:rsidR="009D6EF3" w:rsidRPr="008358C0">
          <w:rPr>
            <w:rStyle w:val="Hyperlink"/>
            <w:rFonts w:ascii="Arial" w:hAnsi="Arial" w:cs="Arial"/>
            <w:b/>
            <w:bCs/>
            <w:sz w:val="20"/>
            <w:u w:val="none"/>
          </w:rPr>
          <w:t>8</w:t>
        </w:r>
        <w:r w:rsidR="008D3A55" w:rsidRPr="008358C0">
          <w:rPr>
            <w:rStyle w:val="Hyperlink"/>
            <w:rFonts w:ascii="Arial" w:hAnsi="Arial" w:cs="Arial"/>
            <w:b/>
            <w:bCs/>
            <w:sz w:val="20"/>
            <w:u w:val="none"/>
          </w:rPr>
          <w:t>9</w:t>
        </w:r>
        <w:r w:rsidR="009D6EF3" w:rsidRPr="008358C0">
          <w:rPr>
            <w:rStyle w:val="Hyperlink"/>
            <w:rFonts w:ascii="Arial" w:hAnsi="Arial" w:cs="Arial"/>
            <w:b/>
            <w:bCs/>
            <w:sz w:val="20"/>
            <w:u w:val="none"/>
          </w:rPr>
          <w:t xml:space="preserve"> to 20</w:t>
        </w:r>
        <w:r w:rsidR="008358C0" w:rsidRPr="008358C0">
          <w:rPr>
            <w:rStyle w:val="Hyperlink"/>
            <w:rFonts w:ascii="Arial" w:hAnsi="Arial" w:cs="Arial"/>
            <w:b/>
            <w:bCs/>
            <w:sz w:val="20"/>
            <w:u w:val="none"/>
          </w:rPr>
          <w:t>2</w:t>
        </w:r>
        <w:r w:rsidR="00551938">
          <w:rPr>
            <w:rStyle w:val="Hyperlink"/>
            <w:rFonts w:ascii="Arial" w:hAnsi="Arial" w:cs="Arial"/>
            <w:b/>
            <w:bCs/>
            <w:sz w:val="20"/>
            <w:u w:val="none"/>
          </w:rPr>
          <w:t>3</w:t>
        </w:r>
      </w:hyperlink>
    </w:p>
    <w:p w14:paraId="65F226DF" w14:textId="6E9CD925"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color w:val="000000"/>
        </w:rPr>
      </w:pPr>
      <w:hyperlink w:anchor="_4.7_Representation_of_2" w:history="1">
        <w:r w:rsidRPr="00BE5170">
          <w:rPr>
            <w:rStyle w:val="Hyperlink"/>
            <w:rFonts w:ascii="Arial" w:hAnsi="Arial" w:cs="Arial"/>
            <w:b/>
            <w:bCs/>
            <w:u w:val="none"/>
          </w:rPr>
          <w:t>4.7</w:t>
        </w:r>
        <w:r w:rsidRPr="00BE5170">
          <w:rPr>
            <w:rStyle w:val="Hyperlink"/>
            <w:rFonts w:ascii="Arial" w:hAnsi="Arial" w:cs="Arial"/>
            <w:b/>
            <w:bCs/>
            <w:u w:val="none"/>
          </w:rPr>
          <w:tab/>
        </w:r>
        <w:r w:rsidR="00D13996" w:rsidRPr="00BE5170">
          <w:rPr>
            <w:rStyle w:val="Hyperlink"/>
            <w:rFonts w:ascii="Arial" w:hAnsi="Arial" w:cs="Arial"/>
            <w:b/>
            <w:bCs/>
            <w:u w:val="none"/>
          </w:rPr>
          <w:tab/>
        </w:r>
        <w:r w:rsidRPr="00BE5170">
          <w:rPr>
            <w:rStyle w:val="Hyperlink"/>
            <w:rFonts w:ascii="Arial" w:hAnsi="Arial" w:cs="Arial"/>
            <w:b/>
            <w:bCs/>
            <w:u w:val="none"/>
          </w:rPr>
          <w:t>Representation of children in the Family Division of the Court</w:t>
        </w:r>
      </w:hyperlink>
    </w:p>
    <w:p w14:paraId="15CA1D7E" w14:textId="77777777" w:rsidR="00C70722" w:rsidRPr="00BE5170" w:rsidRDefault="00C70722" w:rsidP="0030237B">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0"/>
        </w:rPr>
      </w:pPr>
      <w:hyperlink w:anchor="_4.7.1_Obligation_to" w:history="1">
        <w:r w:rsidRPr="00BE5170">
          <w:rPr>
            <w:rStyle w:val="Hyperlink"/>
            <w:rFonts w:ascii="Arial" w:hAnsi="Arial" w:cs="Arial"/>
            <w:b/>
            <w:bCs/>
            <w:sz w:val="20"/>
            <w:u w:val="none"/>
          </w:rPr>
          <w:tab/>
        </w:r>
        <w:r w:rsidRPr="00BE5170">
          <w:rPr>
            <w:rStyle w:val="Hyperlink"/>
            <w:rFonts w:ascii="Arial" w:hAnsi="Arial" w:cs="Arial"/>
            <w:b/>
            <w:bCs/>
            <w:sz w:val="20"/>
            <w:u w:val="none"/>
          </w:rPr>
          <w:tab/>
          <w:t>4.7.1</w:t>
        </w:r>
        <w:r w:rsidRPr="00BE5170">
          <w:rPr>
            <w:rStyle w:val="Hyperlink"/>
            <w:rFonts w:ascii="Arial" w:hAnsi="Arial" w:cs="Arial"/>
            <w:b/>
            <w:bCs/>
            <w:sz w:val="20"/>
            <w:u w:val="none"/>
          </w:rPr>
          <w:tab/>
          <w:t>Obligation to afford child a fair hearing</w:t>
        </w:r>
      </w:hyperlink>
    </w:p>
    <w:p w14:paraId="05DA3482" w14:textId="77777777" w:rsidR="00FB23AB" w:rsidRPr="00BE5170" w:rsidRDefault="00FB23AB" w:rsidP="00FB23AB">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2_Models_of" w:history="1">
        <w:r w:rsidRPr="00BE5170">
          <w:rPr>
            <w:rStyle w:val="Hyperlink"/>
            <w:rFonts w:ascii="Arial" w:hAnsi="Arial" w:cs="Arial"/>
            <w:b/>
            <w:bCs/>
            <w:sz w:val="20"/>
            <w:u w:val="none"/>
          </w:rPr>
          <w:tab/>
        </w:r>
        <w:r w:rsidRPr="00BE5170">
          <w:rPr>
            <w:rStyle w:val="Hyperlink"/>
            <w:rFonts w:ascii="Arial" w:hAnsi="Arial" w:cs="Arial"/>
            <w:b/>
            <w:bCs/>
            <w:sz w:val="20"/>
            <w:u w:val="none"/>
          </w:rPr>
          <w:tab/>
          <w:t>4.7.2</w:t>
        </w:r>
        <w:r w:rsidRPr="00BE5170">
          <w:rPr>
            <w:rStyle w:val="Hyperlink"/>
            <w:rFonts w:ascii="Arial" w:hAnsi="Arial" w:cs="Arial"/>
            <w:b/>
            <w:bCs/>
            <w:sz w:val="20"/>
            <w:u w:val="none"/>
          </w:rPr>
          <w:tab/>
          <w:t>Models of child representation</w:t>
        </w:r>
      </w:hyperlink>
    </w:p>
    <w:p w14:paraId="1F1D0884" w14:textId="77777777" w:rsidR="00693223" w:rsidRPr="00BE5170" w:rsidRDefault="00D451AD" w:rsidP="00C70722">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3_Child_usually"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4.7.</w:t>
        </w:r>
        <w:r w:rsidR="00FB23AB" w:rsidRPr="00BE5170">
          <w:rPr>
            <w:rStyle w:val="Hyperlink"/>
            <w:rFonts w:ascii="Arial" w:hAnsi="Arial" w:cs="Arial"/>
            <w:b/>
            <w:bCs/>
            <w:sz w:val="20"/>
            <w:u w:val="none"/>
          </w:rPr>
          <w:t>3</w:t>
        </w:r>
        <w:r w:rsidR="00693223" w:rsidRPr="00BE5170">
          <w:rPr>
            <w:rStyle w:val="Hyperlink"/>
            <w:rFonts w:ascii="Arial" w:hAnsi="Arial" w:cs="Arial"/>
            <w:b/>
            <w:bCs/>
            <w:sz w:val="20"/>
            <w:u w:val="none"/>
          </w:rPr>
          <w:tab/>
          <w:t xml:space="preserve">Child usually represented if </w:t>
        </w:r>
        <w:r w:rsidR="003E2B31" w:rsidRPr="00BE5170">
          <w:rPr>
            <w:rStyle w:val="Hyperlink"/>
            <w:rFonts w:ascii="Arial" w:hAnsi="Arial" w:cs="Arial"/>
            <w:b/>
            <w:bCs/>
            <w:sz w:val="20"/>
            <w:u w:val="none"/>
          </w:rPr>
          <w:t>aged 10 years or more</w:t>
        </w:r>
      </w:hyperlink>
    </w:p>
    <w:p w14:paraId="37DC66A7"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4_Representation_of"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4.7.</w:t>
        </w:r>
        <w:r w:rsidR="00FB23AB" w:rsidRPr="00BE5170">
          <w:rPr>
            <w:rStyle w:val="Hyperlink"/>
            <w:rFonts w:ascii="Arial" w:hAnsi="Arial" w:cs="Arial"/>
            <w:b/>
            <w:bCs/>
            <w:sz w:val="20"/>
            <w:u w:val="none"/>
          </w:rPr>
          <w:t>4</w:t>
        </w:r>
        <w:r w:rsidR="00693223" w:rsidRPr="00BE5170">
          <w:rPr>
            <w:rStyle w:val="Hyperlink"/>
            <w:rFonts w:ascii="Arial" w:hAnsi="Arial" w:cs="Arial"/>
            <w:b/>
            <w:bCs/>
            <w:sz w:val="20"/>
            <w:u w:val="none"/>
          </w:rPr>
          <w:tab/>
        </w:r>
        <w:proofErr w:type="spellStart"/>
        <w:r w:rsidR="0063057F" w:rsidRPr="00BE5170">
          <w:rPr>
            <w:rStyle w:val="Hyperlink"/>
            <w:rFonts w:ascii="Arial" w:hAnsi="Arial" w:cs="Arial"/>
            <w:b/>
            <w:bCs/>
            <w:sz w:val="20"/>
            <w:u w:val="none"/>
          </w:rPr>
          <w:t>Represent’n</w:t>
        </w:r>
        <w:proofErr w:type="spellEnd"/>
        <w:r w:rsidR="0063057F" w:rsidRPr="00BE5170">
          <w:rPr>
            <w:rStyle w:val="Hyperlink"/>
            <w:rFonts w:ascii="Arial" w:hAnsi="Arial" w:cs="Arial"/>
            <w:b/>
            <w:bCs/>
            <w:sz w:val="20"/>
            <w:u w:val="none"/>
          </w:rPr>
          <w:t xml:space="preserve"> of </w:t>
        </w:r>
        <w:r w:rsidR="001D3F93" w:rsidRPr="00BE5170">
          <w:rPr>
            <w:rStyle w:val="Hyperlink"/>
            <w:rFonts w:ascii="Arial" w:hAnsi="Arial" w:cs="Arial"/>
            <w:b/>
            <w:bCs/>
            <w:sz w:val="20"/>
            <w:u w:val="none"/>
          </w:rPr>
          <w:t xml:space="preserve">child </w:t>
        </w:r>
        <w:r w:rsidR="0063057F" w:rsidRPr="00BE5170">
          <w:rPr>
            <w:rStyle w:val="Hyperlink"/>
            <w:rFonts w:ascii="Arial" w:hAnsi="Arial" w:cs="Arial"/>
            <w:b/>
            <w:bCs/>
            <w:sz w:val="20"/>
            <w:u w:val="none"/>
          </w:rPr>
          <w:t xml:space="preserve">under 10 or </w:t>
        </w:r>
        <w:r w:rsidR="001D3F93" w:rsidRPr="00BE5170">
          <w:rPr>
            <w:rStyle w:val="Hyperlink"/>
            <w:rFonts w:ascii="Arial" w:hAnsi="Arial" w:cs="Arial"/>
            <w:b/>
            <w:bCs/>
            <w:sz w:val="20"/>
            <w:u w:val="none"/>
          </w:rPr>
          <w:t>not mature enough to give instructions</w:t>
        </w:r>
      </w:hyperlink>
    </w:p>
    <w:p w14:paraId="1D5ADF13" w14:textId="77777777" w:rsidR="0094744E" w:rsidRPr="00BE5170" w:rsidRDefault="0094744E" w:rsidP="0094744E">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5_Representing_more" w:history="1">
        <w:r w:rsidRPr="00BE5170">
          <w:rPr>
            <w:rStyle w:val="Hyperlink"/>
            <w:rFonts w:ascii="Arial" w:hAnsi="Arial" w:cs="Arial"/>
            <w:b/>
            <w:bCs/>
            <w:sz w:val="20"/>
            <w:u w:val="none"/>
          </w:rPr>
          <w:tab/>
        </w:r>
        <w:r w:rsidRPr="00BE5170">
          <w:rPr>
            <w:rStyle w:val="Hyperlink"/>
            <w:rFonts w:ascii="Arial" w:hAnsi="Arial" w:cs="Arial"/>
            <w:b/>
            <w:bCs/>
            <w:sz w:val="20"/>
            <w:u w:val="none"/>
          </w:rPr>
          <w:tab/>
          <w:t>4.7.</w:t>
        </w:r>
        <w:r w:rsidR="00FB23AB" w:rsidRPr="00BE5170">
          <w:rPr>
            <w:rStyle w:val="Hyperlink"/>
            <w:rFonts w:ascii="Arial" w:hAnsi="Arial" w:cs="Arial"/>
            <w:b/>
            <w:bCs/>
            <w:sz w:val="20"/>
            <w:u w:val="none"/>
          </w:rPr>
          <w:t>5</w:t>
        </w:r>
        <w:r w:rsidRPr="00BE5170">
          <w:rPr>
            <w:rStyle w:val="Hyperlink"/>
            <w:rFonts w:ascii="Arial" w:hAnsi="Arial" w:cs="Arial"/>
            <w:b/>
            <w:bCs/>
            <w:sz w:val="20"/>
            <w:u w:val="none"/>
          </w:rPr>
          <w:tab/>
          <w:t>Representing more than one child in a proceeding</w:t>
        </w:r>
      </w:hyperlink>
    </w:p>
    <w:p w14:paraId="422C9D8A" w14:textId="77777777" w:rsidR="003252C3" w:rsidRPr="00BE5170" w:rsidRDefault="003252C3" w:rsidP="003252C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6_Child_representation" w:history="1">
        <w:r w:rsidRPr="00BE5170">
          <w:rPr>
            <w:rStyle w:val="Hyperlink"/>
            <w:rFonts w:ascii="Arial" w:hAnsi="Arial" w:cs="Arial"/>
            <w:b/>
            <w:bCs/>
            <w:sz w:val="20"/>
            <w:u w:val="none"/>
          </w:rPr>
          <w:tab/>
        </w:r>
        <w:r w:rsidRPr="00BE5170">
          <w:rPr>
            <w:rStyle w:val="Hyperlink"/>
            <w:rFonts w:ascii="Arial" w:hAnsi="Arial" w:cs="Arial"/>
            <w:b/>
            <w:bCs/>
            <w:sz w:val="20"/>
            <w:u w:val="none"/>
          </w:rPr>
          <w:tab/>
          <w:t>4.7.</w:t>
        </w:r>
        <w:r w:rsidR="0094744E" w:rsidRPr="00BE5170">
          <w:rPr>
            <w:rStyle w:val="Hyperlink"/>
            <w:rFonts w:ascii="Arial" w:hAnsi="Arial" w:cs="Arial"/>
            <w:b/>
            <w:bCs/>
            <w:sz w:val="20"/>
            <w:u w:val="none"/>
          </w:rPr>
          <w:t>6</w:t>
        </w:r>
        <w:r w:rsidRPr="00BE5170">
          <w:rPr>
            <w:rStyle w:val="Hyperlink"/>
            <w:rFonts w:ascii="Arial" w:hAnsi="Arial" w:cs="Arial"/>
            <w:b/>
            <w:bCs/>
            <w:sz w:val="20"/>
            <w:u w:val="none"/>
          </w:rPr>
          <w:tab/>
          <w:t>Child representation in Children's Court and Family Court compared</w:t>
        </w:r>
      </w:hyperlink>
    </w:p>
    <w:p w14:paraId="44A49578"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7_Recommendations_by" w:history="1">
        <w:r w:rsidRPr="00BE5170">
          <w:rPr>
            <w:rStyle w:val="Hyperlink"/>
            <w:rFonts w:ascii="Arial" w:hAnsi="Arial" w:cs="Arial"/>
            <w:b/>
            <w:bCs/>
            <w:sz w:val="20"/>
            <w:u w:val="none"/>
          </w:rPr>
          <w:tab/>
        </w:r>
        <w:r w:rsidR="00176C77" w:rsidRPr="00BE5170">
          <w:rPr>
            <w:rStyle w:val="Hyperlink"/>
            <w:rFonts w:ascii="Arial" w:hAnsi="Arial" w:cs="Arial"/>
            <w:b/>
            <w:bCs/>
            <w:sz w:val="20"/>
            <w:u w:val="none"/>
          </w:rPr>
          <w:tab/>
          <w:t>4.7.</w:t>
        </w:r>
        <w:r w:rsidR="009B3556" w:rsidRPr="00BE5170">
          <w:rPr>
            <w:rStyle w:val="Hyperlink"/>
            <w:rFonts w:ascii="Arial" w:hAnsi="Arial" w:cs="Arial"/>
            <w:b/>
            <w:bCs/>
            <w:sz w:val="20"/>
            <w:u w:val="none"/>
          </w:rPr>
          <w:t>7</w:t>
        </w:r>
        <w:r w:rsidR="00693223" w:rsidRPr="00BE5170">
          <w:rPr>
            <w:rStyle w:val="Hyperlink"/>
            <w:rFonts w:ascii="Arial" w:hAnsi="Arial" w:cs="Arial"/>
            <w:b/>
            <w:bCs/>
            <w:sz w:val="20"/>
            <w:u w:val="none"/>
          </w:rPr>
          <w:tab/>
          <w:t>Recommendations by Australian Law Reform Commission</w:t>
        </w:r>
      </w:hyperlink>
    </w:p>
    <w:p w14:paraId="7906EA5E" w14:textId="77777777" w:rsidR="00F917A7" w:rsidRPr="00BE5170" w:rsidRDefault="00F917A7" w:rsidP="00F917A7">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8_Recommendations_by" w:history="1">
        <w:r w:rsidRPr="00BE5170">
          <w:rPr>
            <w:rStyle w:val="Hyperlink"/>
            <w:rFonts w:ascii="Arial" w:hAnsi="Arial" w:cs="Arial"/>
            <w:b/>
            <w:bCs/>
            <w:sz w:val="20"/>
            <w:u w:val="none"/>
          </w:rPr>
          <w:tab/>
        </w:r>
        <w:r w:rsidRPr="00BE5170">
          <w:rPr>
            <w:rStyle w:val="Hyperlink"/>
            <w:rFonts w:ascii="Arial" w:hAnsi="Arial" w:cs="Arial"/>
            <w:b/>
            <w:bCs/>
            <w:sz w:val="20"/>
            <w:u w:val="none"/>
          </w:rPr>
          <w:tab/>
          <w:t>4.7.</w:t>
        </w:r>
        <w:r w:rsidR="009B3556" w:rsidRPr="00BE5170">
          <w:rPr>
            <w:rStyle w:val="Hyperlink"/>
            <w:rFonts w:ascii="Arial" w:hAnsi="Arial" w:cs="Arial"/>
            <w:b/>
            <w:bCs/>
            <w:sz w:val="20"/>
            <w:u w:val="none"/>
          </w:rPr>
          <w:t>8</w:t>
        </w:r>
        <w:r w:rsidRPr="00BE5170">
          <w:rPr>
            <w:rStyle w:val="Hyperlink"/>
            <w:rFonts w:ascii="Arial" w:hAnsi="Arial" w:cs="Arial"/>
            <w:b/>
            <w:bCs/>
            <w:sz w:val="20"/>
            <w:u w:val="none"/>
          </w:rPr>
          <w:tab/>
          <w:t>Recommendations by Victorian Law Reform Commission</w:t>
        </w:r>
      </w:hyperlink>
    </w:p>
    <w:p w14:paraId="195A06D2" w14:textId="77777777" w:rsidR="009E5DAC" w:rsidRPr="00BE5170" w:rsidRDefault="009E5DAC" w:rsidP="009E5DAC">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9_Recommendations_by" w:history="1">
        <w:r w:rsidRPr="00BE5170">
          <w:rPr>
            <w:rStyle w:val="Hyperlink"/>
            <w:rFonts w:ascii="Arial" w:hAnsi="Arial" w:cs="Arial"/>
            <w:b/>
            <w:bCs/>
            <w:sz w:val="20"/>
            <w:u w:val="none"/>
          </w:rPr>
          <w:tab/>
        </w:r>
        <w:r w:rsidRPr="00BE5170">
          <w:rPr>
            <w:rStyle w:val="Hyperlink"/>
            <w:rFonts w:ascii="Arial" w:hAnsi="Arial" w:cs="Arial"/>
            <w:b/>
            <w:bCs/>
            <w:sz w:val="20"/>
            <w:u w:val="none"/>
          </w:rPr>
          <w:tab/>
          <w:t>4.7.</w:t>
        </w:r>
        <w:r w:rsidR="009B3556" w:rsidRPr="00BE5170">
          <w:rPr>
            <w:rStyle w:val="Hyperlink"/>
            <w:rFonts w:ascii="Arial" w:hAnsi="Arial" w:cs="Arial"/>
            <w:b/>
            <w:bCs/>
            <w:sz w:val="20"/>
            <w:u w:val="none"/>
          </w:rPr>
          <w:t>9</w:t>
        </w:r>
        <w:r w:rsidRPr="00BE5170">
          <w:rPr>
            <w:rStyle w:val="Hyperlink"/>
            <w:rFonts w:ascii="Arial" w:hAnsi="Arial" w:cs="Arial"/>
            <w:b/>
            <w:bCs/>
            <w:sz w:val="20"/>
            <w:u w:val="none"/>
          </w:rPr>
          <w:tab/>
          <w:t>Recommendations by the “Cummins Inquiry”</w:t>
        </w:r>
      </w:hyperlink>
    </w:p>
    <w:p w14:paraId="2DC464B5" w14:textId="77777777" w:rsidR="000B2C51" w:rsidRPr="00BE5170" w:rsidRDefault="000B2C51" w:rsidP="000B2C51">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7.10_Representation_of" w:history="1">
        <w:r w:rsidRPr="00BE5170">
          <w:rPr>
            <w:rStyle w:val="Hyperlink"/>
            <w:rFonts w:ascii="Arial" w:hAnsi="Arial" w:cs="Arial"/>
            <w:b/>
            <w:bCs/>
            <w:sz w:val="20"/>
            <w:u w:val="none"/>
          </w:rPr>
          <w:tab/>
        </w:r>
        <w:r w:rsidRPr="00BE5170">
          <w:rPr>
            <w:rStyle w:val="Hyperlink"/>
            <w:rFonts w:ascii="Arial" w:hAnsi="Arial" w:cs="Arial"/>
            <w:b/>
            <w:bCs/>
            <w:sz w:val="20"/>
            <w:u w:val="none"/>
          </w:rPr>
          <w:tab/>
          <w:t>4.7.</w:t>
        </w:r>
        <w:r w:rsidR="008D7F61" w:rsidRPr="00BE5170">
          <w:rPr>
            <w:rStyle w:val="Hyperlink"/>
            <w:rFonts w:ascii="Arial" w:hAnsi="Arial" w:cs="Arial"/>
            <w:b/>
            <w:bCs/>
            <w:sz w:val="20"/>
            <w:u w:val="none"/>
          </w:rPr>
          <w:t>1</w:t>
        </w:r>
        <w:r w:rsidR="009B3556" w:rsidRPr="00BE5170">
          <w:rPr>
            <w:rStyle w:val="Hyperlink"/>
            <w:rFonts w:ascii="Arial" w:hAnsi="Arial" w:cs="Arial"/>
            <w:b/>
            <w:bCs/>
            <w:sz w:val="20"/>
            <w:u w:val="none"/>
          </w:rPr>
          <w:t>0</w:t>
        </w:r>
        <w:r w:rsidRPr="00BE5170">
          <w:rPr>
            <w:rStyle w:val="Hyperlink"/>
            <w:rFonts w:ascii="Arial" w:hAnsi="Arial" w:cs="Arial"/>
            <w:b/>
            <w:bCs/>
            <w:sz w:val="20"/>
            <w:u w:val="none"/>
          </w:rPr>
          <w:tab/>
          <w:t>Representation of child who is not respondent or applicant under FVPA</w:t>
        </w:r>
      </w:hyperlink>
    </w:p>
    <w:p w14:paraId="625832FE" w14:textId="77777777"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color w:val="000000"/>
        </w:rPr>
      </w:pPr>
      <w:hyperlink w:anchor="_4.8_Conduct_of" w:history="1">
        <w:r w:rsidRPr="00BE5170">
          <w:rPr>
            <w:rStyle w:val="Hyperlink"/>
            <w:rFonts w:ascii="Arial" w:hAnsi="Arial" w:cs="Arial"/>
            <w:b/>
            <w:bCs/>
            <w:u w:val="none"/>
          </w:rPr>
          <w:t>4.8</w:t>
        </w:r>
        <w:r w:rsidRPr="00BE5170">
          <w:rPr>
            <w:rStyle w:val="Hyperlink"/>
            <w:rFonts w:ascii="Arial" w:hAnsi="Arial" w:cs="Arial"/>
            <w:b/>
            <w:bCs/>
            <w:u w:val="none"/>
          </w:rPr>
          <w:tab/>
        </w:r>
        <w:r w:rsidR="00D13996" w:rsidRPr="00BE5170">
          <w:rPr>
            <w:rStyle w:val="Hyperlink"/>
            <w:rFonts w:ascii="Arial" w:hAnsi="Arial" w:cs="Arial"/>
            <w:b/>
            <w:bCs/>
            <w:u w:val="none"/>
          </w:rPr>
          <w:tab/>
        </w:r>
        <w:r w:rsidRPr="00BE5170">
          <w:rPr>
            <w:rStyle w:val="Hyperlink"/>
            <w:rFonts w:ascii="Arial" w:hAnsi="Arial" w:cs="Arial"/>
            <w:b/>
            <w:bCs/>
            <w:u w:val="none"/>
          </w:rPr>
          <w:t>Conduct of proceedings in Family Division</w:t>
        </w:r>
      </w:hyperlink>
    </w:p>
    <w:p w14:paraId="6CA91FCD" w14:textId="77777777" w:rsidR="00693223" w:rsidRPr="00BE5170" w:rsidRDefault="00D451AD" w:rsidP="0030237B">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0"/>
        </w:rPr>
      </w:pPr>
      <w:hyperlink w:anchor="_4.8.1_Informal_procedure"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4.8.1</w:t>
        </w:r>
        <w:r w:rsidR="00693223" w:rsidRPr="00BE5170">
          <w:rPr>
            <w:rStyle w:val="Hyperlink"/>
            <w:rFonts w:ascii="Arial" w:hAnsi="Arial" w:cs="Arial"/>
            <w:b/>
            <w:bCs/>
            <w:sz w:val="20"/>
            <w:u w:val="none"/>
          </w:rPr>
          <w:tab/>
          <w:t>Informal procedure</w:t>
        </w:r>
      </w:hyperlink>
    </w:p>
    <w:p w14:paraId="4F4C6AE3" w14:textId="37E382C9" w:rsidR="0026104F" w:rsidRPr="0099333E" w:rsidRDefault="0026104F" w:rsidP="0026104F">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8.2_Whether_an" w:history="1">
        <w:r w:rsidRPr="0099333E">
          <w:rPr>
            <w:rStyle w:val="Hyperlink"/>
            <w:rFonts w:ascii="Arial" w:hAnsi="Arial" w:cs="Arial"/>
            <w:b/>
            <w:bCs/>
            <w:sz w:val="20"/>
            <w:u w:val="none"/>
          </w:rPr>
          <w:tab/>
        </w:r>
        <w:r w:rsidRPr="0099333E">
          <w:rPr>
            <w:rStyle w:val="Hyperlink"/>
            <w:rFonts w:ascii="Arial" w:hAnsi="Arial" w:cs="Arial"/>
            <w:b/>
            <w:bCs/>
            <w:sz w:val="20"/>
            <w:u w:val="none"/>
          </w:rPr>
          <w:tab/>
          <w:t>4.8.2</w:t>
        </w:r>
        <w:r w:rsidRPr="0099333E">
          <w:rPr>
            <w:rStyle w:val="Hyperlink"/>
            <w:rFonts w:ascii="Arial" w:hAnsi="Arial" w:cs="Arial"/>
            <w:b/>
            <w:bCs/>
            <w:sz w:val="20"/>
            <w:u w:val="none"/>
          </w:rPr>
          <w:tab/>
          <w:t>Whether an adult party may be represented by a ‘litigation guardian’</w:t>
        </w:r>
      </w:hyperlink>
    </w:p>
    <w:p w14:paraId="2F35DA09" w14:textId="10C33FCD"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8.3_Court_may"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4.8.</w:t>
        </w:r>
        <w:r w:rsidR="0026104F">
          <w:rPr>
            <w:rStyle w:val="Hyperlink"/>
            <w:rFonts w:ascii="Arial" w:hAnsi="Arial" w:cs="Arial"/>
            <w:b/>
            <w:bCs/>
            <w:sz w:val="20"/>
            <w:u w:val="none"/>
          </w:rPr>
          <w:t>3</w:t>
        </w:r>
        <w:r w:rsidR="00693223" w:rsidRPr="00BE5170">
          <w:rPr>
            <w:rStyle w:val="Hyperlink"/>
            <w:rFonts w:ascii="Arial" w:hAnsi="Arial" w:cs="Arial"/>
            <w:b/>
            <w:bCs/>
            <w:sz w:val="20"/>
            <w:u w:val="none"/>
          </w:rPr>
          <w:tab/>
        </w:r>
        <w:r w:rsidR="00D36D17" w:rsidRPr="00BE5170">
          <w:rPr>
            <w:rStyle w:val="Hyperlink"/>
            <w:rFonts w:ascii="Arial" w:hAnsi="Arial" w:cs="Arial"/>
            <w:b/>
            <w:bCs/>
            <w:sz w:val="20"/>
            <w:u w:val="none"/>
          </w:rPr>
          <w:t>Court may inform itself as it thinks fit - Rules of evidence not mandatory</w:t>
        </w:r>
      </w:hyperlink>
    </w:p>
    <w:p w14:paraId="3FFA47BD" w14:textId="4AF4145E" w:rsidR="00D6007D" w:rsidRPr="00BE5170" w:rsidRDefault="00D6007D" w:rsidP="00D6007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8.3_Impact_of" w:history="1">
        <w:r w:rsidRPr="00BE5170">
          <w:rPr>
            <w:rStyle w:val="Hyperlink"/>
            <w:rFonts w:ascii="Arial" w:hAnsi="Arial" w:cs="Arial"/>
            <w:b/>
            <w:bCs/>
            <w:sz w:val="20"/>
            <w:u w:val="none"/>
          </w:rPr>
          <w:tab/>
        </w:r>
        <w:r w:rsidRPr="00BE5170">
          <w:rPr>
            <w:rStyle w:val="Hyperlink"/>
            <w:rFonts w:ascii="Arial" w:hAnsi="Arial" w:cs="Arial"/>
            <w:b/>
            <w:bCs/>
            <w:sz w:val="20"/>
            <w:u w:val="none"/>
          </w:rPr>
          <w:tab/>
          <w:t>4.8.</w:t>
        </w:r>
        <w:r w:rsidR="0026104F">
          <w:rPr>
            <w:rStyle w:val="Hyperlink"/>
            <w:rFonts w:ascii="Arial" w:hAnsi="Arial" w:cs="Arial"/>
            <w:b/>
            <w:bCs/>
            <w:sz w:val="20"/>
            <w:u w:val="none"/>
          </w:rPr>
          <w:t>4</w:t>
        </w:r>
        <w:r w:rsidRPr="00BE5170">
          <w:rPr>
            <w:rStyle w:val="Hyperlink"/>
            <w:rFonts w:ascii="Arial" w:hAnsi="Arial" w:cs="Arial"/>
            <w:b/>
            <w:bCs/>
            <w:sz w:val="20"/>
            <w:u w:val="none"/>
          </w:rPr>
          <w:tab/>
          <w:t>Impact of the “best interests” principle on the Court’s procedure</w:t>
        </w:r>
      </w:hyperlink>
    </w:p>
    <w:p w14:paraId="7F9EE789" w14:textId="6B59088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8.4_Findings_on"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4.8.</w:t>
        </w:r>
        <w:r w:rsidR="0026104F">
          <w:rPr>
            <w:rStyle w:val="Hyperlink"/>
            <w:rFonts w:ascii="Arial" w:hAnsi="Arial" w:cs="Arial"/>
            <w:b/>
            <w:bCs/>
            <w:sz w:val="20"/>
            <w:u w:val="none"/>
          </w:rPr>
          <w:t>5</w:t>
        </w:r>
        <w:r w:rsidR="00693223" w:rsidRPr="00BE5170">
          <w:rPr>
            <w:rStyle w:val="Hyperlink"/>
            <w:rFonts w:ascii="Arial" w:hAnsi="Arial" w:cs="Arial"/>
            <w:b/>
            <w:bCs/>
            <w:sz w:val="20"/>
            <w:u w:val="none"/>
          </w:rPr>
          <w:tab/>
          <w:t>Findings on balance of probabilities</w:t>
        </w:r>
      </w:hyperlink>
    </w:p>
    <w:p w14:paraId="4E4845BD" w14:textId="1A3AF6FB" w:rsidR="00775DC6" w:rsidRPr="00BE5170" w:rsidRDefault="00775DC6">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8.6_Attendance_of" w:history="1">
        <w:r w:rsidRPr="00BE5170">
          <w:rPr>
            <w:rStyle w:val="Hyperlink"/>
            <w:rFonts w:ascii="Arial" w:hAnsi="Arial" w:cs="Arial"/>
            <w:b/>
            <w:bCs/>
            <w:sz w:val="20"/>
            <w:u w:val="none"/>
          </w:rPr>
          <w:tab/>
        </w:r>
        <w:r w:rsidRPr="00BE5170">
          <w:rPr>
            <w:rStyle w:val="Hyperlink"/>
            <w:rFonts w:ascii="Arial" w:hAnsi="Arial" w:cs="Arial"/>
            <w:b/>
            <w:bCs/>
            <w:sz w:val="20"/>
            <w:u w:val="none"/>
          </w:rPr>
          <w:tab/>
          <w:t>4.8.</w:t>
        </w:r>
        <w:r w:rsidR="00030EFF">
          <w:rPr>
            <w:rStyle w:val="Hyperlink"/>
            <w:rFonts w:ascii="Arial" w:hAnsi="Arial" w:cs="Arial"/>
            <w:b/>
            <w:bCs/>
            <w:sz w:val="20"/>
            <w:u w:val="none"/>
          </w:rPr>
          <w:t>6</w:t>
        </w:r>
        <w:r w:rsidRPr="00BE5170">
          <w:rPr>
            <w:rStyle w:val="Hyperlink"/>
            <w:rFonts w:ascii="Arial" w:hAnsi="Arial" w:cs="Arial"/>
            <w:b/>
            <w:bCs/>
            <w:sz w:val="20"/>
            <w:u w:val="none"/>
          </w:rPr>
          <w:tab/>
          <w:t>Attendance of child at Court</w:t>
        </w:r>
      </w:hyperlink>
    </w:p>
    <w:p w14:paraId="45A835C8" w14:textId="66DB4AAD" w:rsidR="00693223" w:rsidRPr="00BE5170" w:rsidRDefault="00693223" w:rsidP="00540381">
      <w:pPr>
        <w:pBdr>
          <w:top w:val="single" w:sz="4" w:space="1" w:color="auto"/>
          <w:left w:val="single" w:sz="4" w:space="4" w:color="auto"/>
          <w:bottom w:val="single" w:sz="4" w:space="1" w:color="auto"/>
          <w:right w:val="single" w:sz="4" w:space="4" w:color="auto"/>
        </w:pBdr>
        <w:spacing w:before="80"/>
        <w:rPr>
          <w:rFonts w:ascii="Arial" w:hAnsi="Arial" w:cs="Arial"/>
          <w:b/>
          <w:bCs/>
          <w:color w:val="000000"/>
        </w:rPr>
      </w:pPr>
      <w:hyperlink w:anchor="_4.9_Family_Division" w:history="1">
        <w:r w:rsidRPr="00BE5170">
          <w:rPr>
            <w:rStyle w:val="Hyperlink"/>
            <w:rFonts w:ascii="Arial" w:hAnsi="Arial" w:cs="Arial"/>
            <w:b/>
            <w:bCs/>
            <w:u w:val="none"/>
          </w:rPr>
          <w:t>4.9</w:t>
        </w:r>
        <w:r w:rsidRPr="00BE5170">
          <w:rPr>
            <w:rStyle w:val="Hyperlink"/>
            <w:rFonts w:ascii="Arial" w:hAnsi="Arial" w:cs="Arial"/>
            <w:b/>
            <w:bCs/>
            <w:u w:val="none"/>
          </w:rPr>
          <w:tab/>
        </w:r>
        <w:r w:rsidR="00D13996" w:rsidRPr="00BE5170">
          <w:rPr>
            <w:rStyle w:val="Hyperlink"/>
            <w:rFonts w:ascii="Arial" w:hAnsi="Arial" w:cs="Arial"/>
            <w:b/>
            <w:bCs/>
            <w:u w:val="none"/>
          </w:rPr>
          <w:tab/>
        </w:r>
        <w:r w:rsidRPr="00BE5170">
          <w:rPr>
            <w:rStyle w:val="Hyperlink"/>
            <w:rFonts w:ascii="Arial" w:hAnsi="Arial" w:cs="Arial"/>
            <w:b/>
            <w:bCs/>
            <w:u w:val="none"/>
          </w:rPr>
          <w:t>Family Division Court hearings</w:t>
        </w:r>
      </w:hyperlink>
    </w:p>
    <w:p w14:paraId="6124167E" w14:textId="77777777" w:rsidR="00693223" w:rsidRPr="00BE5170" w:rsidRDefault="00693223" w:rsidP="0030237B">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0"/>
        </w:rPr>
      </w:pPr>
      <w:hyperlink w:anchor="_4.9.1_Apprehension_–" w:history="1">
        <w:r w:rsidRPr="00BE5170">
          <w:rPr>
            <w:rStyle w:val="Hyperlink"/>
            <w:rFonts w:ascii="Arial" w:hAnsi="Arial" w:cs="Arial"/>
            <w:b/>
            <w:bCs/>
            <w:sz w:val="20"/>
            <w:u w:val="none"/>
          </w:rPr>
          <w:tab/>
        </w:r>
        <w:r w:rsidR="00D451AD" w:rsidRPr="00BE5170">
          <w:rPr>
            <w:rStyle w:val="Hyperlink"/>
            <w:rFonts w:ascii="Arial" w:hAnsi="Arial" w:cs="Arial"/>
            <w:b/>
            <w:bCs/>
            <w:sz w:val="20"/>
            <w:u w:val="none"/>
          </w:rPr>
          <w:tab/>
        </w:r>
        <w:r w:rsidRPr="00BE5170">
          <w:rPr>
            <w:rStyle w:val="Hyperlink"/>
            <w:rFonts w:ascii="Arial" w:hAnsi="Arial" w:cs="Arial"/>
            <w:b/>
            <w:bCs/>
            <w:sz w:val="20"/>
            <w:u w:val="none"/>
          </w:rPr>
          <w:t>4.9.</w:t>
        </w:r>
        <w:r w:rsidR="00775DC6" w:rsidRPr="00BE5170">
          <w:rPr>
            <w:rStyle w:val="Hyperlink"/>
            <w:rFonts w:ascii="Arial" w:hAnsi="Arial" w:cs="Arial"/>
            <w:b/>
            <w:bCs/>
            <w:sz w:val="20"/>
            <w:u w:val="none"/>
          </w:rPr>
          <w:t>1</w:t>
        </w:r>
        <w:r w:rsidRPr="00BE5170">
          <w:rPr>
            <w:rStyle w:val="Hyperlink"/>
            <w:rFonts w:ascii="Arial" w:hAnsi="Arial" w:cs="Arial"/>
            <w:b/>
            <w:bCs/>
            <w:sz w:val="20"/>
            <w:u w:val="none"/>
          </w:rPr>
          <w:tab/>
        </w:r>
        <w:r w:rsidR="003325AD" w:rsidRPr="00BE5170">
          <w:rPr>
            <w:rStyle w:val="Hyperlink"/>
            <w:rFonts w:ascii="Arial" w:hAnsi="Arial" w:cs="Arial"/>
            <w:b/>
            <w:bCs/>
            <w:sz w:val="20"/>
            <w:u w:val="none"/>
          </w:rPr>
          <w:t xml:space="preserve">Apprehension </w:t>
        </w:r>
        <w:r w:rsidR="009F5B0E" w:rsidRPr="00BE5170">
          <w:rPr>
            <w:rStyle w:val="Hyperlink"/>
            <w:rFonts w:ascii="Arial" w:hAnsi="Arial" w:cs="Arial"/>
            <w:b/>
            <w:bCs/>
            <w:sz w:val="20"/>
            <w:u w:val="none"/>
          </w:rPr>
          <w:t>–</w:t>
        </w:r>
        <w:r w:rsidR="003325AD" w:rsidRPr="00BE5170">
          <w:rPr>
            <w:rStyle w:val="Hyperlink"/>
            <w:rFonts w:ascii="Arial" w:hAnsi="Arial" w:cs="Arial"/>
            <w:b/>
            <w:bCs/>
            <w:sz w:val="20"/>
            <w:u w:val="none"/>
          </w:rPr>
          <w:t xml:space="preserve"> H</w:t>
        </w:r>
        <w:r w:rsidR="00E31A12" w:rsidRPr="00BE5170">
          <w:rPr>
            <w:rStyle w:val="Hyperlink"/>
            <w:rFonts w:ascii="Arial" w:hAnsi="Arial" w:cs="Arial"/>
            <w:b/>
            <w:bCs/>
            <w:sz w:val="20"/>
            <w:u w:val="none"/>
          </w:rPr>
          <w:t>earing</w:t>
        </w:r>
        <w:r w:rsidR="009F5B0E" w:rsidRPr="00BE5170">
          <w:rPr>
            <w:rStyle w:val="Hyperlink"/>
            <w:rFonts w:ascii="Arial" w:hAnsi="Arial" w:cs="Arial"/>
            <w:b/>
            <w:bCs/>
            <w:sz w:val="20"/>
            <w:u w:val="none"/>
          </w:rPr>
          <w:t xml:space="preserve"> </w:t>
        </w:r>
        <w:r w:rsidR="00E31A12" w:rsidRPr="00BE5170">
          <w:rPr>
            <w:rStyle w:val="Hyperlink"/>
            <w:rFonts w:ascii="Arial" w:hAnsi="Arial" w:cs="Arial"/>
            <w:b/>
            <w:bCs/>
            <w:sz w:val="20"/>
            <w:u w:val="none"/>
          </w:rPr>
          <w:t>after child placed in e</w:t>
        </w:r>
        <w:r w:rsidR="002229EE" w:rsidRPr="00BE5170">
          <w:rPr>
            <w:rStyle w:val="Hyperlink"/>
            <w:rFonts w:ascii="Arial" w:hAnsi="Arial" w:cs="Arial"/>
            <w:b/>
            <w:bCs/>
            <w:sz w:val="20"/>
            <w:u w:val="none"/>
          </w:rPr>
          <w:t>mergency care</w:t>
        </w:r>
      </w:hyperlink>
    </w:p>
    <w:p w14:paraId="407FBBA3"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9.2_Mention"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4.9.</w:t>
        </w:r>
        <w:r w:rsidR="00775DC6" w:rsidRPr="00BE5170">
          <w:rPr>
            <w:rStyle w:val="Hyperlink"/>
            <w:rFonts w:ascii="Arial" w:hAnsi="Arial" w:cs="Arial"/>
            <w:b/>
            <w:bCs/>
            <w:sz w:val="20"/>
            <w:u w:val="none"/>
          </w:rPr>
          <w:t>2</w:t>
        </w:r>
        <w:r w:rsidR="00693223" w:rsidRPr="00BE5170">
          <w:rPr>
            <w:rStyle w:val="Hyperlink"/>
            <w:rFonts w:ascii="Arial" w:hAnsi="Arial" w:cs="Arial"/>
            <w:b/>
            <w:bCs/>
            <w:sz w:val="20"/>
            <w:u w:val="none"/>
          </w:rPr>
          <w:tab/>
          <w:t>Mention</w:t>
        </w:r>
      </w:hyperlink>
    </w:p>
    <w:p w14:paraId="7F4E2A36" w14:textId="05144CBD"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9.3_Conciliation"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4.9.</w:t>
        </w:r>
        <w:r w:rsidR="00775DC6" w:rsidRPr="00BE5170">
          <w:rPr>
            <w:rStyle w:val="Hyperlink"/>
            <w:rFonts w:ascii="Arial" w:hAnsi="Arial" w:cs="Arial"/>
            <w:b/>
            <w:bCs/>
            <w:sz w:val="20"/>
            <w:u w:val="none"/>
          </w:rPr>
          <w:t>3</w:t>
        </w:r>
        <w:r w:rsidR="00693223" w:rsidRPr="00BE5170">
          <w:rPr>
            <w:rStyle w:val="Hyperlink"/>
            <w:rFonts w:ascii="Arial" w:hAnsi="Arial" w:cs="Arial"/>
            <w:b/>
            <w:bCs/>
            <w:sz w:val="20"/>
            <w:u w:val="none"/>
          </w:rPr>
          <w:tab/>
        </w:r>
        <w:r w:rsidR="00484481" w:rsidRPr="00BE5170">
          <w:rPr>
            <w:rStyle w:val="Hyperlink"/>
            <w:rFonts w:ascii="Arial" w:hAnsi="Arial" w:cs="Arial"/>
            <w:b/>
            <w:bCs/>
            <w:sz w:val="20"/>
            <w:u w:val="none"/>
          </w:rPr>
          <w:t>Concil</w:t>
        </w:r>
        <w:r w:rsidR="006D2D55" w:rsidRPr="00BE5170">
          <w:rPr>
            <w:rStyle w:val="Hyperlink"/>
            <w:rFonts w:ascii="Arial" w:hAnsi="Arial" w:cs="Arial"/>
            <w:b/>
            <w:bCs/>
            <w:sz w:val="20"/>
            <w:u w:val="none"/>
          </w:rPr>
          <w:t>iation</w:t>
        </w:r>
      </w:hyperlink>
    </w:p>
    <w:p w14:paraId="1321F925" w14:textId="12B416AC" w:rsidR="0030237B" w:rsidRPr="00BE5170" w:rsidRDefault="0030237B">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9.4A_Readiness_Hearing" w:history="1">
        <w:r w:rsidRPr="00BE5170">
          <w:rPr>
            <w:rStyle w:val="Hyperlink"/>
            <w:rFonts w:ascii="Arial" w:hAnsi="Arial" w:cs="Arial"/>
            <w:b/>
            <w:bCs/>
            <w:sz w:val="20"/>
            <w:u w:val="none"/>
          </w:rPr>
          <w:tab/>
        </w:r>
        <w:r w:rsidRPr="00BE5170">
          <w:rPr>
            <w:rStyle w:val="Hyperlink"/>
            <w:rFonts w:ascii="Arial" w:hAnsi="Arial" w:cs="Arial"/>
            <w:b/>
            <w:bCs/>
            <w:sz w:val="20"/>
            <w:u w:val="none"/>
          </w:rPr>
          <w:tab/>
          <w:t>4.9.</w:t>
        </w:r>
        <w:r w:rsidR="00AB4B8D">
          <w:rPr>
            <w:rStyle w:val="Hyperlink"/>
            <w:rFonts w:ascii="Arial" w:hAnsi="Arial" w:cs="Arial"/>
            <w:b/>
            <w:bCs/>
            <w:sz w:val="20"/>
            <w:u w:val="none"/>
          </w:rPr>
          <w:t>4</w:t>
        </w:r>
        <w:r w:rsidRPr="00BE5170">
          <w:rPr>
            <w:rStyle w:val="Hyperlink"/>
            <w:rFonts w:ascii="Arial" w:hAnsi="Arial" w:cs="Arial"/>
            <w:b/>
            <w:bCs/>
            <w:sz w:val="20"/>
            <w:u w:val="none"/>
          </w:rPr>
          <w:tab/>
          <w:t xml:space="preserve">Readiness </w:t>
        </w:r>
        <w:r w:rsidR="00527793">
          <w:rPr>
            <w:rStyle w:val="Hyperlink"/>
            <w:rFonts w:ascii="Arial" w:hAnsi="Arial" w:cs="Arial"/>
            <w:b/>
            <w:bCs/>
            <w:sz w:val="20"/>
            <w:u w:val="none"/>
          </w:rPr>
          <w:t>H</w:t>
        </w:r>
        <w:r w:rsidRPr="00BE5170">
          <w:rPr>
            <w:rStyle w:val="Hyperlink"/>
            <w:rFonts w:ascii="Arial" w:hAnsi="Arial" w:cs="Arial"/>
            <w:b/>
            <w:bCs/>
            <w:sz w:val="20"/>
            <w:u w:val="none"/>
          </w:rPr>
          <w:t>earing</w:t>
        </w:r>
      </w:hyperlink>
    </w:p>
    <w:p w14:paraId="67CEC97B" w14:textId="535B2443" w:rsidR="00935D58" w:rsidRPr="00BE5170" w:rsidRDefault="00935D58" w:rsidP="00935D58">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9.5_Directions_hearing" w:history="1">
        <w:r w:rsidRPr="00BE5170">
          <w:rPr>
            <w:rStyle w:val="Hyperlink"/>
            <w:rFonts w:ascii="Arial" w:hAnsi="Arial" w:cs="Arial"/>
            <w:b/>
            <w:bCs/>
            <w:sz w:val="20"/>
            <w:u w:val="none"/>
          </w:rPr>
          <w:tab/>
        </w:r>
        <w:r w:rsidRPr="00BE5170">
          <w:rPr>
            <w:rStyle w:val="Hyperlink"/>
            <w:rFonts w:ascii="Arial" w:hAnsi="Arial" w:cs="Arial"/>
            <w:b/>
            <w:bCs/>
            <w:sz w:val="20"/>
            <w:u w:val="none"/>
          </w:rPr>
          <w:tab/>
          <w:t>4.9.</w:t>
        </w:r>
        <w:r>
          <w:rPr>
            <w:rStyle w:val="Hyperlink"/>
            <w:rFonts w:ascii="Arial" w:hAnsi="Arial" w:cs="Arial"/>
            <w:b/>
            <w:bCs/>
            <w:sz w:val="20"/>
            <w:u w:val="none"/>
          </w:rPr>
          <w:t>5</w:t>
        </w:r>
        <w:r w:rsidRPr="00BE5170">
          <w:rPr>
            <w:rStyle w:val="Hyperlink"/>
            <w:rFonts w:ascii="Arial" w:hAnsi="Arial" w:cs="Arial"/>
            <w:b/>
            <w:bCs/>
            <w:sz w:val="20"/>
            <w:u w:val="none"/>
          </w:rPr>
          <w:tab/>
          <w:t>Directions hearing preceding a contest</w:t>
        </w:r>
      </w:hyperlink>
    </w:p>
    <w:p w14:paraId="195FB9EA" w14:textId="3A8C05BE" w:rsidR="00693223" w:rsidRPr="00A6227C" w:rsidRDefault="00D451AD">
      <w:pPr>
        <w:pBdr>
          <w:top w:val="single" w:sz="4" w:space="1" w:color="auto"/>
          <w:left w:val="single" w:sz="4" w:space="4" w:color="auto"/>
          <w:bottom w:val="single" w:sz="4" w:space="1" w:color="auto"/>
          <w:right w:val="single" w:sz="4" w:space="4" w:color="auto"/>
        </w:pBdr>
        <w:rPr>
          <w:rStyle w:val="Hyperlink"/>
          <w:rFonts w:ascii="Arial" w:hAnsi="Arial" w:cs="Arial"/>
          <w:b/>
          <w:bCs/>
          <w:sz w:val="20"/>
        </w:rPr>
      </w:pPr>
      <w:hyperlink w:anchor="_4.9.5_Contested_hearing" w:history="1">
        <w:r w:rsidRPr="00BE5170">
          <w:rPr>
            <w:rStyle w:val="Hyperlink"/>
            <w:rFonts w:ascii="Arial" w:hAnsi="Arial" w:cs="Arial"/>
            <w:b/>
            <w:bCs/>
            <w:sz w:val="20"/>
            <w:u w:val="none"/>
          </w:rPr>
          <w:tab/>
        </w:r>
        <w:r w:rsidR="002229EE" w:rsidRPr="00BE5170">
          <w:rPr>
            <w:rStyle w:val="Hyperlink"/>
            <w:rFonts w:ascii="Arial" w:hAnsi="Arial" w:cs="Arial"/>
            <w:b/>
            <w:bCs/>
            <w:sz w:val="20"/>
            <w:u w:val="none"/>
          </w:rPr>
          <w:tab/>
          <w:t>4.9</w:t>
        </w:r>
        <w:r w:rsidR="007867B3" w:rsidRPr="00BE5170">
          <w:rPr>
            <w:rStyle w:val="Hyperlink"/>
            <w:rFonts w:ascii="Arial" w:hAnsi="Arial" w:cs="Arial"/>
            <w:b/>
            <w:bCs/>
            <w:sz w:val="20"/>
            <w:u w:val="none"/>
          </w:rPr>
          <w:t>.</w:t>
        </w:r>
        <w:r w:rsidR="00527793">
          <w:rPr>
            <w:rStyle w:val="Hyperlink"/>
            <w:rFonts w:ascii="Arial" w:hAnsi="Arial" w:cs="Arial"/>
            <w:b/>
            <w:bCs/>
            <w:sz w:val="20"/>
            <w:u w:val="none"/>
          </w:rPr>
          <w:t>6</w:t>
        </w:r>
        <w:r w:rsidR="00693223" w:rsidRPr="00BE5170">
          <w:rPr>
            <w:rStyle w:val="Hyperlink"/>
            <w:rFonts w:ascii="Arial" w:hAnsi="Arial" w:cs="Arial"/>
            <w:b/>
            <w:bCs/>
            <w:sz w:val="20"/>
            <w:u w:val="none"/>
          </w:rPr>
          <w:tab/>
          <w:t>Contested hearing</w:t>
        </w:r>
      </w:hyperlink>
      <w:r w:rsidR="00A6227C">
        <w:rPr>
          <w:rFonts w:ascii="Arial" w:hAnsi="Arial" w:cs="Arial"/>
          <w:b/>
          <w:bCs/>
          <w:sz w:val="20"/>
        </w:rPr>
        <w:fldChar w:fldCharType="begin"/>
      </w:r>
      <w:r w:rsidR="001966B1">
        <w:rPr>
          <w:rFonts w:ascii="Arial" w:hAnsi="Arial" w:cs="Arial"/>
          <w:b/>
          <w:bCs/>
          <w:sz w:val="20"/>
        </w:rPr>
        <w:instrText>HYPERLINK  \l "_4.9.7_Throughput_of_2"</w:instrText>
      </w:r>
      <w:r w:rsidR="00A6227C">
        <w:rPr>
          <w:rFonts w:ascii="Arial" w:hAnsi="Arial" w:cs="Arial"/>
          <w:b/>
          <w:bCs/>
          <w:sz w:val="20"/>
        </w:rPr>
      </w:r>
      <w:r w:rsidR="00A6227C">
        <w:rPr>
          <w:rFonts w:ascii="Arial" w:hAnsi="Arial" w:cs="Arial"/>
          <w:b/>
          <w:bCs/>
          <w:sz w:val="20"/>
        </w:rPr>
        <w:fldChar w:fldCharType="separate"/>
      </w:r>
    </w:p>
    <w:p w14:paraId="64217E44" w14:textId="5E22B868" w:rsidR="005C410C" w:rsidRPr="00A6227C" w:rsidRDefault="005C410C" w:rsidP="005C410C">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A6227C">
        <w:rPr>
          <w:rStyle w:val="Hyperlink"/>
          <w:rFonts w:ascii="Arial" w:hAnsi="Arial" w:cs="Arial"/>
          <w:b/>
          <w:bCs/>
          <w:sz w:val="20"/>
          <w:u w:val="none"/>
        </w:rPr>
        <w:tab/>
      </w:r>
      <w:r w:rsidRPr="00A6227C">
        <w:rPr>
          <w:rStyle w:val="Hyperlink"/>
          <w:rFonts w:ascii="Arial" w:hAnsi="Arial" w:cs="Arial"/>
          <w:b/>
          <w:bCs/>
          <w:sz w:val="20"/>
          <w:u w:val="none"/>
        </w:rPr>
        <w:tab/>
        <w:t>4.9.7</w:t>
      </w:r>
      <w:r w:rsidRPr="00A6227C">
        <w:rPr>
          <w:rStyle w:val="Hyperlink"/>
          <w:rFonts w:ascii="Arial" w:hAnsi="Arial" w:cs="Arial"/>
          <w:b/>
          <w:bCs/>
          <w:sz w:val="20"/>
          <w:u w:val="none"/>
        </w:rPr>
        <w:tab/>
        <w:t>Throughput of applications</w:t>
      </w:r>
      <w:r w:rsidR="001F6450">
        <w:rPr>
          <w:rStyle w:val="Hyperlink"/>
          <w:rFonts w:ascii="Arial" w:hAnsi="Arial" w:cs="Arial"/>
          <w:b/>
          <w:bCs/>
          <w:sz w:val="20"/>
          <w:u w:val="none"/>
        </w:rPr>
        <w:t xml:space="preserve"> in the Family </w:t>
      </w:r>
      <w:proofErr w:type="spellStart"/>
      <w:r w:rsidR="001F6450">
        <w:rPr>
          <w:rStyle w:val="Hyperlink"/>
          <w:rFonts w:ascii="Arial" w:hAnsi="Arial" w:cs="Arial"/>
          <w:b/>
          <w:bCs/>
          <w:sz w:val="20"/>
          <w:u w:val="none"/>
        </w:rPr>
        <w:t>Div’n</w:t>
      </w:r>
      <w:proofErr w:type="spellEnd"/>
      <w:r w:rsidR="001F6450">
        <w:rPr>
          <w:rStyle w:val="Hyperlink"/>
          <w:rFonts w:ascii="Arial" w:hAnsi="Arial" w:cs="Arial"/>
          <w:b/>
          <w:bCs/>
          <w:sz w:val="20"/>
          <w:u w:val="none"/>
        </w:rPr>
        <w:t xml:space="preserve"> child </w:t>
      </w:r>
      <w:proofErr w:type="spellStart"/>
      <w:r w:rsidR="001F6450">
        <w:rPr>
          <w:rStyle w:val="Hyperlink"/>
          <w:rFonts w:ascii="Arial" w:hAnsi="Arial" w:cs="Arial"/>
          <w:b/>
          <w:bCs/>
          <w:sz w:val="20"/>
          <w:u w:val="none"/>
        </w:rPr>
        <w:t>prot’n</w:t>
      </w:r>
      <w:proofErr w:type="spellEnd"/>
      <w:r w:rsidR="001F6450">
        <w:rPr>
          <w:rStyle w:val="Hyperlink"/>
          <w:rFonts w:ascii="Arial" w:hAnsi="Arial" w:cs="Arial"/>
          <w:b/>
          <w:bCs/>
          <w:sz w:val="20"/>
          <w:u w:val="none"/>
        </w:rPr>
        <w:t xml:space="preserve"> jurisdiction</w:t>
      </w:r>
    </w:p>
    <w:p w14:paraId="003F3CD8" w14:textId="11A112CC" w:rsidR="00ED3555" w:rsidRPr="00BE5170" w:rsidRDefault="00A6227C" w:rsidP="00ED3555">
      <w:pPr>
        <w:pBdr>
          <w:top w:val="single" w:sz="4" w:space="1" w:color="auto"/>
          <w:left w:val="single" w:sz="4" w:space="4" w:color="auto"/>
          <w:bottom w:val="single" w:sz="4" w:space="1" w:color="auto"/>
          <w:right w:val="single" w:sz="4" w:space="4" w:color="auto"/>
        </w:pBdr>
        <w:rPr>
          <w:rFonts w:ascii="Arial" w:hAnsi="Arial" w:cs="Arial"/>
          <w:b/>
          <w:bCs/>
          <w:color w:val="000000"/>
          <w:sz w:val="20"/>
        </w:rPr>
      </w:pPr>
      <w:r>
        <w:rPr>
          <w:rFonts w:ascii="Arial" w:hAnsi="Arial" w:cs="Arial"/>
          <w:b/>
          <w:bCs/>
          <w:sz w:val="20"/>
        </w:rPr>
        <w:fldChar w:fldCharType="end"/>
      </w:r>
      <w:hyperlink w:anchor="_4.9.8_Marram-Ngala_Ganbu" w:history="1">
        <w:r w:rsidR="00ED3555" w:rsidRPr="00BE5170">
          <w:rPr>
            <w:rStyle w:val="Hyperlink"/>
            <w:rFonts w:ascii="Arial" w:hAnsi="Arial" w:cs="Arial"/>
            <w:b/>
            <w:bCs/>
            <w:sz w:val="20"/>
            <w:u w:val="none"/>
          </w:rPr>
          <w:tab/>
        </w:r>
        <w:r w:rsidR="00ED3555" w:rsidRPr="00BE5170">
          <w:rPr>
            <w:rStyle w:val="Hyperlink"/>
            <w:rFonts w:ascii="Arial" w:hAnsi="Arial" w:cs="Arial"/>
            <w:b/>
            <w:bCs/>
            <w:sz w:val="20"/>
            <w:u w:val="none"/>
          </w:rPr>
          <w:tab/>
          <w:t>4.9.</w:t>
        </w:r>
        <w:r w:rsidR="005C410C">
          <w:rPr>
            <w:rStyle w:val="Hyperlink"/>
            <w:rFonts w:ascii="Arial" w:hAnsi="Arial" w:cs="Arial"/>
            <w:b/>
            <w:bCs/>
            <w:sz w:val="20"/>
            <w:u w:val="none"/>
          </w:rPr>
          <w:t>8</w:t>
        </w:r>
        <w:r w:rsidR="00ED3555" w:rsidRPr="00BE5170">
          <w:rPr>
            <w:rStyle w:val="Hyperlink"/>
            <w:rFonts w:ascii="Arial" w:hAnsi="Arial" w:cs="Arial"/>
            <w:b/>
            <w:bCs/>
            <w:sz w:val="20"/>
            <w:u w:val="none"/>
          </w:rPr>
          <w:tab/>
          <w:t xml:space="preserve">Marram-Ngala </w:t>
        </w:r>
        <w:proofErr w:type="spellStart"/>
        <w:r w:rsidR="00ED3555" w:rsidRPr="00BE5170">
          <w:rPr>
            <w:rStyle w:val="Hyperlink"/>
            <w:rFonts w:ascii="Arial" w:hAnsi="Arial" w:cs="Arial"/>
            <w:b/>
            <w:bCs/>
            <w:sz w:val="20"/>
            <w:u w:val="none"/>
          </w:rPr>
          <w:t>Ganbu</w:t>
        </w:r>
        <w:proofErr w:type="spellEnd"/>
        <w:r w:rsidR="00ED3555" w:rsidRPr="00BE5170">
          <w:rPr>
            <w:rStyle w:val="Hyperlink"/>
            <w:rFonts w:ascii="Arial" w:hAnsi="Arial" w:cs="Arial"/>
            <w:b/>
            <w:bCs/>
            <w:sz w:val="20"/>
            <w:u w:val="none"/>
          </w:rPr>
          <w:t xml:space="preserve"> Program</w:t>
        </w:r>
      </w:hyperlink>
    </w:p>
    <w:p w14:paraId="332366A4" w14:textId="77777777" w:rsidR="00A338D2" w:rsidRPr="00540381" w:rsidRDefault="00A338D2" w:rsidP="00A338D2">
      <w:pPr>
        <w:pBdr>
          <w:top w:val="single" w:sz="4" w:space="1" w:color="auto"/>
          <w:left w:val="single" w:sz="4" w:space="4" w:color="auto"/>
          <w:bottom w:val="single" w:sz="4" w:space="1" w:color="auto"/>
          <w:right w:val="single" w:sz="4" w:space="4" w:color="auto"/>
        </w:pBdr>
        <w:rPr>
          <w:rFonts w:ascii="Arial" w:hAnsi="Arial" w:cs="Arial"/>
          <w:b/>
          <w:bCs/>
          <w:sz w:val="6"/>
          <w:szCs w:val="18"/>
        </w:rPr>
      </w:pPr>
    </w:p>
    <w:p w14:paraId="70256769" w14:textId="5B677447" w:rsidR="00693223" w:rsidRPr="0026104F" w:rsidRDefault="00693223">
      <w:pPr>
        <w:pStyle w:val="Heading1"/>
        <w:numPr>
          <w:ilvl w:val="0"/>
          <w:numId w:val="0"/>
        </w:numPr>
        <w:spacing w:before="0" w:line="240" w:lineRule="auto"/>
        <w:jc w:val="center"/>
        <w:rPr>
          <w:rFonts w:ascii="Arial" w:hAnsi="Arial" w:cs="Arial"/>
          <w:b/>
          <w:bCs/>
          <w:color w:val="FF0000"/>
          <w:sz w:val="40"/>
        </w:rPr>
      </w:pPr>
      <w:r>
        <w:rPr>
          <w:rFonts w:ascii="Arial" w:hAnsi="Arial" w:cs="Arial"/>
        </w:rPr>
        <w:br w:type="page"/>
      </w:r>
      <w:r w:rsidRPr="0026104F">
        <w:rPr>
          <w:rFonts w:ascii="Arial" w:hAnsi="Arial" w:cs="Arial"/>
          <w:b/>
          <w:bCs/>
          <w:color w:val="FF0000"/>
          <w:sz w:val="40"/>
        </w:rPr>
        <w:lastRenderedPageBreak/>
        <w:t xml:space="preserve">4.  FAMILY DIVISION </w:t>
      </w:r>
      <w:r w:rsidR="002221CB">
        <w:rPr>
          <w:rFonts w:ascii="Arial" w:hAnsi="Arial" w:cs="Arial"/>
          <w:b/>
          <w:bCs/>
          <w:color w:val="FF0000"/>
          <w:sz w:val="40"/>
        </w:rPr>
        <w:t>–</w:t>
      </w:r>
      <w:r w:rsidRPr="0026104F">
        <w:rPr>
          <w:rFonts w:ascii="Arial" w:hAnsi="Arial" w:cs="Arial"/>
          <w:b/>
          <w:bCs/>
          <w:color w:val="FF0000"/>
          <w:sz w:val="40"/>
        </w:rPr>
        <w:t xml:space="preserve"> GENERAL</w:t>
      </w:r>
    </w:p>
    <w:p w14:paraId="65FD0C12" w14:textId="77777777" w:rsidR="00693223" w:rsidRPr="00E14F02" w:rsidRDefault="00693223">
      <w:pPr>
        <w:jc w:val="both"/>
        <w:rPr>
          <w:rFonts w:ascii="Arial" w:hAnsi="Arial" w:cs="Arial"/>
          <w:sz w:val="12"/>
        </w:rPr>
      </w:pPr>
    </w:p>
    <w:p w14:paraId="37C50227" w14:textId="1FC60C57" w:rsidR="00693223" w:rsidRPr="00540381" w:rsidRDefault="00693223">
      <w:pPr>
        <w:pBdr>
          <w:top w:val="single" w:sz="4" w:space="1" w:color="auto"/>
          <w:left w:val="single" w:sz="4" w:space="4" w:color="auto"/>
          <w:bottom w:val="single" w:sz="4" w:space="1" w:color="auto"/>
          <w:right w:val="single" w:sz="4" w:space="4" w:color="auto"/>
        </w:pBdr>
        <w:rPr>
          <w:rFonts w:ascii="Arial" w:hAnsi="Arial" w:cs="Arial"/>
          <w:b/>
          <w:bCs/>
          <w:sz w:val="12"/>
          <w:szCs w:val="28"/>
        </w:rPr>
      </w:pPr>
      <w:bookmarkStart w:id="33" w:name="_Toc30607525"/>
      <w:bookmarkStart w:id="34" w:name="_Toc30607654"/>
      <w:bookmarkStart w:id="35" w:name="_Toc30607979"/>
      <w:bookmarkStart w:id="36" w:name="_Toc30608812"/>
      <w:bookmarkStart w:id="37" w:name="_Toc30610026"/>
      <w:bookmarkStart w:id="38" w:name="_Toc30610270"/>
      <w:bookmarkStart w:id="39" w:name="_Toc30638424"/>
      <w:bookmarkStart w:id="40" w:name="_Toc30644234"/>
      <w:bookmarkStart w:id="41" w:name="_Toc30644637"/>
      <w:bookmarkStart w:id="42" w:name="_Toc30645187"/>
      <w:bookmarkStart w:id="43" w:name="_Toc30646398"/>
      <w:bookmarkStart w:id="44" w:name="_Toc30646693"/>
      <w:bookmarkStart w:id="45" w:name="_Toc30646804"/>
      <w:bookmarkStart w:id="46" w:name="_Toc30648161"/>
      <w:bookmarkStart w:id="47" w:name="_Toc30649059"/>
      <w:bookmarkStart w:id="48" w:name="_Toc30649135"/>
      <w:bookmarkStart w:id="49" w:name="_Toc30649396"/>
      <w:bookmarkStart w:id="50" w:name="_Toc30649721"/>
      <w:bookmarkStart w:id="51" w:name="_Toc30651661"/>
      <w:bookmarkStart w:id="52" w:name="_Toc30652651"/>
      <w:bookmarkStart w:id="53" w:name="_Toc30652747"/>
      <w:bookmarkStart w:id="54" w:name="_Toc30654092"/>
      <w:bookmarkStart w:id="55" w:name="_Toc30654443"/>
      <w:bookmarkStart w:id="56" w:name="_Toc30655062"/>
      <w:bookmarkStart w:id="57" w:name="_Toc30655319"/>
      <w:bookmarkStart w:id="58" w:name="_Toc30656997"/>
      <w:bookmarkStart w:id="59" w:name="_Toc30661746"/>
      <w:bookmarkStart w:id="60" w:name="_Toc30666434"/>
      <w:bookmarkStart w:id="61" w:name="_Toc30666664"/>
      <w:bookmarkStart w:id="62" w:name="_Toc30667839"/>
      <w:bookmarkStart w:id="63" w:name="_Toc30669217"/>
      <w:bookmarkStart w:id="64" w:name="_Toc30671433"/>
      <w:bookmarkStart w:id="65" w:name="_Toc30673960"/>
      <w:bookmarkStart w:id="66" w:name="_Toc30691182"/>
      <w:bookmarkStart w:id="67" w:name="_Toc30691555"/>
      <w:bookmarkStart w:id="68" w:name="_Toc30691935"/>
      <w:bookmarkStart w:id="69" w:name="_Toc30692694"/>
      <w:bookmarkStart w:id="70" w:name="_Toc30693073"/>
      <w:bookmarkStart w:id="71" w:name="_Toc30693451"/>
      <w:bookmarkStart w:id="72" w:name="_Toc30693829"/>
      <w:bookmarkStart w:id="73" w:name="_Toc30694210"/>
      <w:bookmarkStart w:id="74" w:name="_Toc30698799"/>
      <w:bookmarkStart w:id="75" w:name="_Toc30699177"/>
      <w:bookmarkStart w:id="76" w:name="_Toc30699562"/>
      <w:bookmarkStart w:id="77" w:name="_Toc30700717"/>
      <w:bookmarkStart w:id="78" w:name="_Toc30701104"/>
      <w:bookmarkStart w:id="79" w:name="_Toc30743713"/>
      <w:bookmarkStart w:id="80" w:name="_Toc30754536"/>
      <w:bookmarkStart w:id="81" w:name="_Toc30756976"/>
      <w:bookmarkStart w:id="82" w:name="_Toc30757525"/>
      <w:bookmarkStart w:id="83" w:name="_Toc30757925"/>
      <w:bookmarkStart w:id="84" w:name="_Toc30762686"/>
      <w:bookmarkStart w:id="85" w:name="_Toc30767340"/>
      <w:bookmarkStart w:id="86" w:name="_Toc34823356"/>
    </w:p>
    <w:p w14:paraId="72FBE86B" w14:textId="77777777" w:rsidR="00497924" w:rsidRPr="00BE5170" w:rsidRDefault="00A338D2" w:rsidP="00540381">
      <w:pPr>
        <w:pBdr>
          <w:top w:val="single" w:sz="4" w:space="1" w:color="auto"/>
          <w:left w:val="single" w:sz="4" w:space="4" w:color="auto"/>
          <w:bottom w:val="single" w:sz="4" w:space="1" w:color="auto"/>
          <w:right w:val="single" w:sz="4" w:space="4" w:color="auto"/>
        </w:pBdr>
        <w:rPr>
          <w:rFonts w:ascii="Arial" w:hAnsi="Arial" w:cs="Arial"/>
          <w:b/>
          <w:bCs/>
          <w:color w:val="000000"/>
        </w:rPr>
      </w:pPr>
      <w:hyperlink w:anchor="_4.10_Alternative_Dispute" w:history="1">
        <w:r w:rsidRPr="00BE5170">
          <w:rPr>
            <w:rStyle w:val="Hyperlink"/>
            <w:rFonts w:ascii="Arial" w:hAnsi="Arial" w:cs="Arial"/>
            <w:b/>
            <w:bCs/>
            <w:u w:val="none"/>
          </w:rPr>
          <w:t>4.10</w:t>
        </w:r>
        <w:r w:rsidR="003C760C" w:rsidRPr="00BE5170">
          <w:rPr>
            <w:rStyle w:val="Hyperlink"/>
            <w:rFonts w:ascii="Arial" w:hAnsi="Arial" w:cs="Arial"/>
            <w:b/>
            <w:bCs/>
            <w:u w:val="none"/>
          </w:rPr>
          <w:tab/>
        </w:r>
        <w:r w:rsidR="007C7752" w:rsidRPr="00BE5170">
          <w:rPr>
            <w:rStyle w:val="Hyperlink"/>
            <w:rFonts w:ascii="Arial" w:hAnsi="Arial" w:cs="Arial"/>
            <w:b/>
            <w:bCs/>
            <w:u w:val="none"/>
          </w:rPr>
          <w:t>A</w:t>
        </w:r>
        <w:r w:rsidR="005A4138" w:rsidRPr="00BE5170">
          <w:rPr>
            <w:rStyle w:val="Hyperlink"/>
            <w:rFonts w:ascii="Arial" w:hAnsi="Arial" w:cs="Arial"/>
            <w:b/>
            <w:bCs/>
            <w:u w:val="none"/>
          </w:rPr>
          <w:t>lternative</w:t>
        </w:r>
        <w:r w:rsidR="00411866" w:rsidRPr="00BE5170">
          <w:rPr>
            <w:rStyle w:val="Hyperlink"/>
            <w:rFonts w:ascii="Arial" w:hAnsi="Arial" w:cs="Arial"/>
            <w:b/>
            <w:bCs/>
            <w:u w:val="none"/>
          </w:rPr>
          <w:t xml:space="preserve"> </w:t>
        </w:r>
        <w:r w:rsidR="00AF5500" w:rsidRPr="00BE5170">
          <w:rPr>
            <w:rStyle w:val="Hyperlink"/>
            <w:rFonts w:ascii="Arial" w:hAnsi="Arial" w:cs="Arial"/>
            <w:b/>
            <w:bCs/>
            <w:u w:val="none"/>
          </w:rPr>
          <w:t>Dispute Resolution</w:t>
        </w:r>
      </w:hyperlink>
    </w:p>
    <w:p w14:paraId="4510533F" w14:textId="644A5E00" w:rsidR="00497924" w:rsidRPr="00111111" w:rsidRDefault="00D451AD" w:rsidP="007E7E0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0"/>
        </w:rPr>
      </w:pPr>
      <w:hyperlink w:anchor="_4.10.1_Conciliation_Conferences" w:history="1">
        <w:r w:rsidRPr="00111111">
          <w:rPr>
            <w:rStyle w:val="Hyperlink"/>
            <w:rFonts w:ascii="Arial" w:hAnsi="Arial" w:cs="Arial"/>
            <w:b/>
            <w:bCs/>
            <w:sz w:val="20"/>
            <w:u w:val="none"/>
          </w:rPr>
          <w:tab/>
        </w:r>
        <w:r w:rsidR="00497924" w:rsidRPr="00111111">
          <w:rPr>
            <w:rStyle w:val="Hyperlink"/>
            <w:rFonts w:ascii="Arial" w:hAnsi="Arial" w:cs="Arial"/>
            <w:b/>
            <w:bCs/>
            <w:sz w:val="20"/>
            <w:u w:val="none"/>
          </w:rPr>
          <w:tab/>
          <w:t>4.1</w:t>
        </w:r>
        <w:r w:rsidR="00A338D2" w:rsidRPr="00111111">
          <w:rPr>
            <w:rStyle w:val="Hyperlink"/>
            <w:rFonts w:ascii="Arial" w:hAnsi="Arial" w:cs="Arial"/>
            <w:b/>
            <w:bCs/>
            <w:sz w:val="20"/>
            <w:u w:val="none"/>
          </w:rPr>
          <w:t>0</w:t>
        </w:r>
        <w:r w:rsidR="00497924" w:rsidRPr="00111111">
          <w:rPr>
            <w:rStyle w:val="Hyperlink"/>
            <w:rFonts w:ascii="Arial" w:hAnsi="Arial" w:cs="Arial"/>
            <w:b/>
            <w:bCs/>
            <w:sz w:val="20"/>
            <w:u w:val="none"/>
          </w:rPr>
          <w:t>.1</w:t>
        </w:r>
        <w:r w:rsidR="00EE4D2D" w:rsidRPr="00111111">
          <w:rPr>
            <w:rStyle w:val="Hyperlink"/>
            <w:rFonts w:ascii="Arial" w:hAnsi="Arial" w:cs="Arial"/>
            <w:b/>
            <w:bCs/>
            <w:sz w:val="20"/>
            <w:u w:val="none"/>
          </w:rPr>
          <w:tab/>
        </w:r>
        <w:r w:rsidR="00801CD5" w:rsidRPr="00111111">
          <w:rPr>
            <w:rStyle w:val="Hyperlink"/>
            <w:rFonts w:ascii="Arial" w:hAnsi="Arial" w:cs="Arial"/>
            <w:b/>
            <w:bCs/>
            <w:sz w:val="20"/>
            <w:u w:val="none"/>
          </w:rPr>
          <w:t>Concilia</w:t>
        </w:r>
        <w:r w:rsidR="009A5523" w:rsidRPr="00111111">
          <w:rPr>
            <w:rStyle w:val="Hyperlink"/>
            <w:rFonts w:ascii="Arial" w:hAnsi="Arial" w:cs="Arial"/>
            <w:b/>
            <w:bCs/>
            <w:sz w:val="20"/>
            <w:u w:val="none"/>
          </w:rPr>
          <w:t>tion Conferences</w:t>
        </w:r>
      </w:hyperlink>
      <w:r w:rsidR="00412B7F">
        <w:rPr>
          <w:rFonts w:ascii="Arial" w:hAnsi="Arial" w:cs="Arial"/>
          <w:b/>
          <w:bCs/>
          <w:color w:val="000000"/>
          <w:sz w:val="20"/>
        </w:rPr>
        <w:t xml:space="preserve"> </w:t>
      </w:r>
      <w:r w:rsidR="00412B7F" w:rsidRPr="00111111">
        <w:rPr>
          <w:rFonts w:ascii="Arial" w:hAnsi="Arial" w:cs="Arial"/>
          <w:b/>
          <w:bCs/>
          <w:color w:val="FFFFFF" w:themeColor="background1"/>
          <w:sz w:val="20"/>
          <w:shd w:val="clear" w:color="auto" w:fill="FF0000"/>
        </w:rPr>
        <w:t>[NO LONGER AVAILABLE]</w:t>
      </w:r>
    </w:p>
    <w:p w14:paraId="1E5673D3" w14:textId="77777777" w:rsidR="004C5BBD" w:rsidRPr="00BE5170" w:rsidRDefault="004C5BBD" w:rsidP="004C5BB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2_Jurisdiction_&amp;" w:history="1">
        <w:r w:rsidRPr="00BE5170">
          <w:rPr>
            <w:rStyle w:val="Hyperlink"/>
            <w:rFonts w:ascii="Arial" w:hAnsi="Arial" w:cs="Arial"/>
            <w:b/>
            <w:bCs/>
            <w:sz w:val="20"/>
            <w:u w:val="none"/>
          </w:rPr>
          <w:tab/>
        </w:r>
        <w:r w:rsidRPr="00BE5170">
          <w:rPr>
            <w:rStyle w:val="Hyperlink"/>
            <w:rFonts w:ascii="Arial" w:hAnsi="Arial" w:cs="Arial"/>
            <w:b/>
            <w:bCs/>
            <w:sz w:val="20"/>
            <w:u w:val="none"/>
          </w:rPr>
          <w:tab/>
          <w:t>4.10.</w:t>
        </w:r>
        <w:r w:rsidR="009A5523" w:rsidRPr="00BE5170">
          <w:rPr>
            <w:rStyle w:val="Hyperlink"/>
            <w:rFonts w:ascii="Arial" w:hAnsi="Arial" w:cs="Arial"/>
            <w:b/>
            <w:bCs/>
            <w:sz w:val="20"/>
            <w:u w:val="none"/>
          </w:rPr>
          <w:t>2</w:t>
        </w:r>
        <w:r w:rsidR="009A5523" w:rsidRPr="00BE5170">
          <w:rPr>
            <w:rStyle w:val="Hyperlink"/>
            <w:rFonts w:ascii="Arial" w:hAnsi="Arial" w:cs="Arial"/>
            <w:b/>
            <w:bCs/>
            <w:sz w:val="20"/>
            <w:u w:val="none"/>
          </w:rPr>
          <w:tab/>
        </w:r>
        <w:r w:rsidRPr="00BE5170">
          <w:rPr>
            <w:rStyle w:val="Hyperlink"/>
            <w:rFonts w:ascii="Arial" w:hAnsi="Arial" w:cs="Arial"/>
            <w:b/>
            <w:bCs/>
            <w:sz w:val="20"/>
            <w:u w:val="none"/>
          </w:rPr>
          <w:t>Jurisdiction &amp; Purpose</w:t>
        </w:r>
        <w:r w:rsidR="005623CD" w:rsidRPr="00BE5170">
          <w:rPr>
            <w:rStyle w:val="Hyperlink"/>
            <w:rFonts w:ascii="Arial" w:hAnsi="Arial" w:cs="Arial"/>
            <w:b/>
            <w:bCs/>
            <w:sz w:val="20"/>
            <w:u w:val="none"/>
          </w:rPr>
          <w:t xml:space="preserve"> of </w:t>
        </w:r>
        <w:r w:rsidR="00801CD5" w:rsidRPr="00BE5170">
          <w:rPr>
            <w:rStyle w:val="Hyperlink"/>
            <w:rFonts w:ascii="Arial" w:hAnsi="Arial" w:cs="Arial"/>
            <w:b/>
            <w:bCs/>
            <w:sz w:val="20"/>
            <w:u w:val="none"/>
          </w:rPr>
          <w:t>C</w:t>
        </w:r>
        <w:r w:rsidR="009A5523" w:rsidRPr="00BE5170">
          <w:rPr>
            <w:rStyle w:val="Hyperlink"/>
            <w:rFonts w:ascii="Arial" w:hAnsi="Arial" w:cs="Arial"/>
            <w:b/>
            <w:bCs/>
            <w:sz w:val="20"/>
            <w:u w:val="none"/>
          </w:rPr>
          <w:t>C</w:t>
        </w:r>
      </w:hyperlink>
    </w:p>
    <w:p w14:paraId="75A63A9E" w14:textId="77777777" w:rsidR="00497924" w:rsidRPr="00BE5170" w:rsidRDefault="009A5523" w:rsidP="00497924">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3_Convenor" w:history="1">
        <w:r w:rsidRPr="00BE5170">
          <w:rPr>
            <w:rStyle w:val="Hyperlink"/>
            <w:rFonts w:ascii="Arial" w:hAnsi="Arial" w:cs="Arial"/>
            <w:b/>
            <w:bCs/>
            <w:sz w:val="20"/>
            <w:u w:val="none"/>
          </w:rPr>
          <w:tab/>
        </w:r>
        <w:r w:rsidRPr="00BE5170">
          <w:rPr>
            <w:rStyle w:val="Hyperlink"/>
            <w:rFonts w:ascii="Arial" w:hAnsi="Arial" w:cs="Arial"/>
            <w:b/>
            <w:bCs/>
            <w:sz w:val="20"/>
            <w:u w:val="none"/>
          </w:rPr>
          <w:tab/>
        </w:r>
        <w:r w:rsidR="00497924" w:rsidRPr="00BE5170">
          <w:rPr>
            <w:rStyle w:val="Hyperlink"/>
            <w:rFonts w:ascii="Arial" w:hAnsi="Arial" w:cs="Arial"/>
            <w:b/>
            <w:bCs/>
            <w:sz w:val="20"/>
            <w:u w:val="none"/>
          </w:rPr>
          <w:t>4.1</w:t>
        </w:r>
        <w:r w:rsidR="00A338D2" w:rsidRPr="00BE5170">
          <w:rPr>
            <w:rStyle w:val="Hyperlink"/>
            <w:rFonts w:ascii="Arial" w:hAnsi="Arial" w:cs="Arial"/>
            <w:b/>
            <w:bCs/>
            <w:sz w:val="20"/>
            <w:u w:val="none"/>
          </w:rPr>
          <w:t>0</w:t>
        </w:r>
        <w:r w:rsidR="00497924" w:rsidRPr="00BE5170">
          <w:rPr>
            <w:rStyle w:val="Hyperlink"/>
            <w:rFonts w:ascii="Arial" w:hAnsi="Arial" w:cs="Arial"/>
            <w:b/>
            <w:bCs/>
            <w:sz w:val="20"/>
            <w:u w:val="none"/>
          </w:rPr>
          <w:t>.</w:t>
        </w:r>
        <w:r w:rsidRPr="00BE5170">
          <w:rPr>
            <w:rStyle w:val="Hyperlink"/>
            <w:rFonts w:ascii="Arial" w:hAnsi="Arial" w:cs="Arial"/>
            <w:b/>
            <w:bCs/>
            <w:sz w:val="20"/>
            <w:u w:val="none"/>
          </w:rPr>
          <w:t>3</w:t>
        </w:r>
        <w:r w:rsidRPr="00BE5170">
          <w:rPr>
            <w:rStyle w:val="Hyperlink"/>
            <w:rFonts w:ascii="Arial" w:hAnsi="Arial" w:cs="Arial"/>
            <w:b/>
            <w:bCs/>
            <w:sz w:val="20"/>
            <w:u w:val="none"/>
          </w:rPr>
          <w:tab/>
        </w:r>
        <w:r w:rsidR="005A3FD8" w:rsidRPr="00BE5170">
          <w:rPr>
            <w:rStyle w:val="Hyperlink"/>
            <w:rFonts w:ascii="Arial" w:hAnsi="Arial" w:cs="Arial"/>
            <w:b/>
            <w:bCs/>
            <w:sz w:val="20"/>
            <w:u w:val="none"/>
          </w:rPr>
          <w:t>Convenor</w:t>
        </w:r>
      </w:hyperlink>
    </w:p>
    <w:p w14:paraId="0523BEDB" w14:textId="77777777" w:rsidR="0071271A" w:rsidRPr="00BE5170" w:rsidRDefault="00D451AD" w:rsidP="00497924">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4_Repeal_of" w:history="1">
        <w:r w:rsidRPr="00BE5170">
          <w:rPr>
            <w:rStyle w:val="Hyperlink"/>
            <w:rFonts w:ascii="Arial" w:hAnsi="Arial" w:cs="Arial"/>
            <w:b/>
            <w:bCs/>
            <w:sz w:val="20"/>
            <w:u w:val="none"/>
          </w:rPr>
          <w:tab/>
        </w:r>
        <w:r w:rsidR="0071271A" w:rsidRPr="00BE5170">
          <w:rPr>
            <w:rStyle w:val="Hyperlink"/>
            <w:rFonts w:ascii="Arial" w:hAnsi="Arial" w:cs="Arial"/>
            <w:b/>
            <w:bCs/>
            <w:sz w:val="20"/>
            <w:u w:val="none"/>
          </w:rPr>
          <w:tab/>
          <w:t>4.10.</w:t>
        </w:r>
        <w:r w:rsidR="009A5523" w:rsidRPr="00BE5170">
          <w:rPr>
            <w:rStyle w:val="Hyperlink"/>
            <w:rFonts w:ascii="Arial" w:hAnsi="Arial" w:cs="Arial"/>
            <w:b/>
            <w:bCs/>
            <w:sz w:val="20"/>
            <w:u w:val="none"/>
          </w:rPr>
          <w:t>4</w:t>
        </w:r>
        <w:r w:rsidR="009A5523" w:rsidRPr="00BE5170">
          <w:rPr>
            <w:rStyle w:val="Hyperlink"/>
            <w:rFonts w:ascii="Arial" w:hAnsi="Arial" w:cs="Arial"/>
            <w:b/>
            <w:bCs/>
            <w:sz w:val="20"/>
            <w:u w:val="none"/>
          </w:rPr>
          <w:tab/>
        </w:r>
        <w:r w:rsidR="00801CD5" w:rsidRPr="00BE5170">
          <w:rPr>
            <w:rStyle w:val="Hyperlink"/>
            <w:rFonts w:ascii="Arial" w:hAnsi="Arial" w:cs="Arial"/>
            <w:b/>
            <w:bCs/>
            <w:sz w:val="20"/>
            <w:u w:val="none"/>
          </w:rPr>
          <w:t>Repeal of</w:t>
        </w:r>
        <w:r w:rsidR="0071271A" w:rsidRPr="00BE5170">
          <w:rPr>
            <w:rStyle w:val="Hyperlink"/>
            <w:rFonts w:ascii="Arial" w:hAnsi="Arial" w:cs="Arial"/>
            <w:b/>
            <w:bCs/>
            <w:sz w:val="20"/>
            <w:u w:val="none"/>
          </w:rPr>
          <w:t xml:space="preserve"> advisory conference</w:t>
        </w:r>
        <w:r w:rsidR="00801CD5" w:rsidRPr="00BE5170">
          <w:rPr>
            <w:rStyle w:val="Hyperlink"/>
            <w:rFonts w:ascii="Arial" w:hAnsi="Arial" w:cs="Arial"/>
            <w:b/>
            <w:bCs/>
            <w:sz w:val="20"/>
            <w:u w:val="none"/>
          </w:rPr>
          <w:t xml:space="preserve"> provisions</w:t>
        </w:r>
      </w:hyperlink>
    </w:p>
    <w:p w14:paraId="475D89FC" w14:textId="77777777" w:rsidR="009A5523" w:rsidRPr="00BE5170" w:rsidRDefault="004C5BBD" w:rsidP="00497924">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5_Attendance_at" w:history="1">
        <w:r w:rsidRPr="00BE5170">
          <w:rPr>
            <w:rStyle w:val="Hyperlink"/>
            <w:rFonts w:ascii="Arial" w:hAnsi="Arial" w:cs="Arial"/>
            <w:b/>
            <w:bCs/>
            <w:sz w:val="20"/>
            <w:u w:val="none"/>
          </w:rPr>
          <w:tab/>
        </w:r>
        <w:r w:rsidRPr="00BE5170">
          <w:rPr>
            <w:rStyle w:val="Hyperlink"/>
            <w:rFonts w:ascii="Arial" w:hAnsi="Arial" w:cs="Arial"/>
            <w:b/>
            <w:bCs/>
            <w:sz w:val="20"/>
            <w:u w:val="none"/>
          </w:rPr>
          <w:tab/>
        </w:r>
        <w:r w:rsidR="00497924" w:rsidRPr="00BE5170">
          <w:rPr>
            <w:rStyle w:val="Hyperlink"/>
            <w:rFonts w:ascii="Arial" w:hAnsi="Arial" w:cs="Arial"/>
            <w:b/>
            <w:bCs/>
            <w:sz w:val="20"/>
            <w:u w:val="none"/>
          </w:rPr>
          <w:t>4.1</w:t>
        </w:r>
        <w:r w:rsidR="00A338D2" w:rsidRPr="00BE5170">
          <w:rPr>
            <w:rStyle w:val="Hyperlink"/>
            <w:rFonts w:ascii="Arial" w:hAnsi="Arial" w:cs="Arial"/>
            <w:b/>
            <w:bCs/>
            <w:sz w:val="20"/>
            <w:u w:val="none"/>
          </w:rPr>
          <w:t>0</w:t>
        </w:r>
        <w:r w:rsidR="00497924" w:rsidRPr="00BE5170">
          <w:rPr>
            <w:rStyle w:val="Hyperlink"/>
            <w:rFonts w:ascii="Arial" w:hAnsi="Arial" w:cs="Arial"/>
            <w:b/>
            <w:bCs/>
            <w:sz w:val="20"/>
            <w:u w:val="none"/>
          </w:rPr>
          <w:t>.</w:t>
        </w:r>
        <w:r w:rsidR="009A5523" w:rsidRPr="00BE5170">
          <w:rPr>
            <w:rStyle w:val="Hyperlink"/>
            <w:rFonts w:ascii="Arial" w:hAnsi="Arial" w:cs="Arial"/>
            <w:b/>
            <w:bCs/>
            <w:sz w:val="20"/>
            <w:u w:val="none"/>
          </w:rPr>
          <w:t>5</w:t>
        </w:r>
        <w:r w:rsidR="009A5523" w:rsidRPr="00BE5170">
          <w:rPr>
            <w:rStyle w:val="Hyperlink"/>
            <w:rFonts w:ascii="Arial" w:hAnsi="Arial" w:cs="Arial"/>
            <w:b/>
            <w:bCs/>
            <w:sz w:val="20"/>
            <w:u w:val="none"/>
          </w:rPr>
          <w:tab/>
          <w:t>Attendance at</w:t>
        </w:r>
        <w:r w:rsidR="009A5523" w:rsidRPr="00BE5170">
          <w:rPr>
            <w:rStyle w:val="Hyperlink"/>
            <w:rFonts w:ascii="Arial" w:hAnsi="Arial" w:cs="Arial"/>
            <w:b/>
            <w:sz w:val="20"/>
            <w:u w:val="none"/>
          </w:rPr>
          <w:t xml:space="preserve"> </w:t>
        </w:r>
        <w:r w:rsidR="00801CD5" w:rsidRPr="00BE5170">
          <w:rPr>
            <w:rStyle w:val="Hyperlink"/>
            <w:rFonts w:ascii="Arial" w:hAnsi="Arial" w:cs="Arial"/>
            <w:b/>
            <w:sz w:val="20"/>
            <w:u w:val="none"/>
          </w:rPr>
          <w:t>C</w:t>
        </w:r>
        <w:r w:rsidR="009A5523" w:rsidRPr="00BE5170">
          <w:rPr>
            <w:rStyle w:val="Hyperlink"/>
            <w:rFonts w:ascii="Arial" w:hAnsi="Arial" w:cs="Arial"/>
            <w:b/>
            <w:sz w:val="20"/>
            <w:u w:val="none"/>
          </w:rPr>
          <w:t>C</w:t>
        </w:r>
      </w:hyperlink>
    </w:p>
    <w:p w14:paraId="6A836BC0" w14:textId="77777777" w:rsidR="00497924" w:rsidRPr="00BE5170" w:rsidRDefault="009A5523" w:rsidP="009A552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6_Guidelines_&amp;" w:history="1">
        <w:r w:rsidRPr="00BE5170">
          <w:rPr>
            <w:rStyle w:val="Hyperlink"/>
            <w:rFonts w:ascii="Arial" w:hAnsi="Arial" w:cs="Arial"/>
            <w:b/>
            <w:bCs/>
            <w:sz w:val="20"/>
            <w:u w:val="none"/>
          </w:rPr>
          <w:tab/>
        </w:r>
        <w:r w:rsidRPr="00BE5170">
          <w:rPr>
            <w:rStyle w:val="Hyperlink"/>
            <w:rFonts w:ascii="Arial" w:hAnsi="Arial" w:cs="Arial"/>
            <w:b/>
            <w:bCs/>
            <w:sz w:val="20"/>
            <w:u w:val="none"/>
          </w:rPr>
          <w:tab/>
          <w:t>4.10.6</w:t>
        </w:r>
        <w:r w:rsidRPr="00BE5170">
          <w:rPr>
            <w:rStyle w:val="Hyperlink"/>
            <w:rFonts w:ascii="Arial" w:hAnsi="Arial" w:cs="Arial"/>
            <w:b/>
            <w:bCs/>
            <w:sz w:val="20"/>
            <w:u w:val="none"/>
          </w:rPr>
          <w:tab/>
        </w:r>
        <w:r w:rsidR="0071271A" w:rsidRPr="00BE5170">
          <w:rPr>
            <w:rStyle w:val="Hyperlink"/>
            <w:rFonts w:ascii="Arial" w:hAnsi="Arial" w:cs="Arial"/>
            <w:b/>
            <w:bCs/>
            <w:sz w:val="20"/>
            <w:u w:val="none"/>
          </w:rPr>
          <w:t xml:space="preserve">Guidelines &amp; </w:t>
        </w:r>
        <w:r w:rsidR="00497924" w:rsidRPr="00BE5170">
          <w:rPr>
            <w:rStyle w:val="Hyperlink"/>
            <w:rFonts w:ascii="Arial" w:hAnsi="Arial" w:cs="Arial"/>
            <w:b/>
            <w:bCs/>
            <w:sz w:val="20"/>
            <w:u w:val="none"/>
          </w:rPr>
          <w:t>Procedure</w:t>
        </w:r>
      </w:hyperlink>
    </w:p>
    <w:p w14:paraId="4EC99178" w14:textId="77777777" w:rsidR="007A7BE3" w:rsidRPr="00BE5170" w:rsidRDefault="004C5BBD" w:rsidP="007A7BE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7_Reports_&amp;" w:history="1">
        <w:r w:rsidRPr="00BE5170">
          <w:rPr>
            <w:rStyle w:val="Hyperlink"/>
            <w:rFonts w:ascii="Arial" w:hAnsi="Arial" w:cs="Arial"/>
            <w:b/>
            <w:bCs/>
            <w:sz w:val="20"/>
            <w:u w:val="none"/>
          </w:rPr>
          <w:tab/>
        </w:r>
        <w:r w:rsidRPr="00BE5170">
          <w:rPr>
            <w:rStyle w:val="Hyperlink"/>
            <w:rFonts w:ascii="Arial" w:hAnsi="Arial" w:cs="Arial"/>
            <w:b/>
            <w:bCs/>
            <w:sz w:val="20"/>
            <w:u w:val="none"/>
          </w:rPr>
          <w:tab/>
        </w:r>
        <w:r w:rsidR="007A7BE3" w:rsidRPr="00BE5170">
          <w:rPr>
            <w:rStyle w:val="Hyperlink"/>
            <w:rFonts w:ascii="Arial" w:hAnsi="Arial" w:cs="Arial"/>
            <w:b/>
            <w:bCs/>
            <w:sz w:val="20"/>
            <w:u w:val="none"/>
          </w:rPr>
          <w:t>4.10.7</w:t>
        </w:r>
        <w:r w:rsidR="00EE4D2D" w:rsidRPr="00BE5170">
          <w:rPr>
            <w:rStyle w:val="Hyperlink"/>
            <w:rFonts w:ascii="Arial" w:hAnsi="Arial" w:cs="Arial"/>
            <w:b/>
            <w:bCs/>
            <w:sz w:val="20"/>
            <w:u w:val="none"/>
          </w:rPr>
          <w:tab/>
        </w:r>
        <w:r w:rsidR="00F301D1" w:rsidRPr="00BE5170">
          <w:rPr>
            <w:rStyle w:val="Hyperlink"/>
            <w:rFonts w:ascii="Arial" w:hAnsi="Arial" w:cs="Arial"/>
            <w:b/>
            <w:bCs/>
            <w:sz w:val="20"/>
            <w:u w:val="none"/>
          </w:rPr>
          <w:t>Reports &amp; Confidentiality</w:t>
        </w:r>
      </w:hyperlink>
    </w:p>
    <w:p w14:paraId="25DE97F0" w14:textId="77777777" w:rsidR="0048483D" w:rsidRPr="00BE5170" w:rsidRDefault="0048483D" w:rsidP="007A7BE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8_Court_orders" w:history="1">
        <w:r w:rsidRPr="00BE5170">
          <w:rPr>
            <w:rStyle w:val="Hyperlink"/>
            <w:rFonts w:ascii="Arial" w:hAnsi="Arial" w:cs="Arial"/>
            <w:b/>
            <w:bCs/>
            <w:sz w:val="20"/>
            <w:u w:val="none"/>
          </w:rPr>
          <w:tab/>
        </w:r>
        <w:r w:rsidRPr="00BE5170">
          <w:rPr>
            <w:rStyle w:val="Hyperlink"/>
            <w:rFonts w:ascii="Arial" w:hAnsi="Arial" w:cs="Arial"/>
            <w:b/>
            <w:bCs/>
            <w:sz w:val="20"/>
            <w:u w:val="none"/>
          </w:rPr>
          <w:tab/>
          <w:t>4.10.</w:t>
        </w:r>
        <w:r w:rsidR="00F301D1" w:rsidRPr="00BE5170">
          <w:rPr>
            <w:rStyle w:val="Hyperlink"/>
            <w:rFonts w:ascii="Arial" w:hAnsi="Arial" w:cs="Arial"/>
            <w:b/>
            <w:bCs/>
            <w:sz w:val="20"/>
            <w:u w:val="none"/>
          </w:rPr>
          <w:t>8</w:t>
        </w:r>
        <w:r w:rsidRPr="00BE5170">
          <w:rPr>
            <w:rStyle w:val="Hyperlink"/>
            <w:rFonts w:ascii="Arial" w:hAnsi="Arial" w:cs="Arial"/>
            <w:b/>
            <w:bCs/>
            <w:sz w:val="20"/>
            <w:u w:val="none"/>
          </w:rPr>
          <w:tab/>
        </w:r>
        <w:r w:rsidR="00F301D1" w:rsidRPr="00BE5170">
          <w:rPr>
            <w:rStyle w:val="Hyperlink"/>
            <w:rFonts w:ascii="Arial" w:hAnsi="Arial" w:cs="Arial"/>
            <w:b/>
            <w:bCs/>
            <w:sz w:val="20"/>
            <w:u w:val="none"/>
          </w:rPr>
          <w:t>Court orders</w:t>
        </w:r>
      </w:hyperlink>
    </w:p>
    <w:p w14:paraId="6777A8E1" w14:textId="77777777" w:rsidR="00F301D1" w:rsidRPr="00BE5170" w:rsidRDefault="00F301D1" w:rsidP="007A7BE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9_Statistics" w:history="1">
        <w:r w:rsidRPr="00BE5170">
          <w:rPr>
            <w:rStyle w:val="Hyperlink"/>
            <w:rFonts w:ascii="Arial" w:hAnsi="Arial" w:cs="Arial"/>
            <w:b/>
            <w:bCs/>
            <w:sz w:val="20"/>
            <w:u w:val="none"/>
          </w:rPr>
          <w:tab/>
        </w:r>
        <w:r w:rsidRPr="00BE5170">
          <w:rPr>
            <w:rStyle w:val="Hyperlink"/>
            <w:rFonts w:ascii="Arial" w:hAnsi="Arial" w:cs="Arial"/>
            <w:b/>
            <w:bCs/>
            <w:sz w:val="20"/>
            <w:u w:val="none"/>
          </w:rPr>
          <w:tab/>
          <w:t>4.10.9</w:t>
        </w:r>
        <w:r w:rsidRPr="00BE5170">
          <w:rPr>
            <w:rStyle w:val="Hyperlink"/>
            <w:rFonts w:ascii="Arial" w:hAnsi="Arial" w:cs="Arial"/>
            <w:b/>
            <w:bCs/>
            <w:sz w:val="20"/>
            <w:u w:val="none"/>
          </w:rPr>
          <w:tab/>
          <w:t>Statistics</w:t>
        </w:r>
      </w:hyperlink>
    </w:p>
    <w:p w14:paraId="74969FA5" w14:textId="77777777" w:rsidR="00F0138C" w:rsidRPr="00BE5170" w:rsidRDefault="00F0138C" w:rsidP="007A7BE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4.10.10__Judicial" w:history="1">
        <w:r w:rsidRPr="00BE5170">
          <w:rPr>
            <w:rStyle w:val="Hyperlink"/>
            <w:rFonts w:ascii="Arial" w:hAnsi="Arial" w:cs="Arial"/>
            <w:b/>
            <w:bCs/>
            <w:sz w:val="20"/>
            <w:u w:val="none"/>
          </w:rPr>
          <w:tab/>
        </w:r>
        <w:r w:rsidRPr="00BE5170">
          <w:rPr>
            <w:rStyle w:val="Hyperlink"/>
            <w:rFonts w:ascii="Arial" w:hAnsi="Arial" w:cs="Arial"/>
            <w:b/>
            <w:bCs/>
            <w:sz w:val="20"/>
            <w:u w:val="none"/>
          </w:rPr>
          <w:tab/>
          <w:t>4.10.</w:t>
        </w:r>
        <w:r w:rsidR="00F301D1" w:rsidRPr="00BE5170">
          <w:rPr>
            <w:rStyle w:val="Hyperlink"/>
            <w:rFonts w:ascii="Arial" w:hAnsi="Arial" w:cs="Arial"/>
            <w:b/>
            <w:bCs/>
            <w:sz w:val="20"/>
            <w:u w:val="none"/>
          </w:rPr>
          <w:t>10</w:t>
        </w:r>
        <w:r w:rsidRPr="00BE5170">
          <w:rPr>
            <w:rStyle w:val="Hyperlink"/>
            <w:rFonts w:ascii="Arial" w:hAnsi="Arial" w:cs="Arial"/>
            <w:b/>
            <w:bCs/>
            <w:sz w:val="20"/>
            <w:u w:val="none"/>
          </w:rPr>
          <w:tab/>
          <w:t>Judicial Resolution Conferences</w:t>
        </w:r>
      </w:hyperlink>
    </w:p>
    <w:p w14:paraId="517769F6" w14:textId="77777777" w:rsidR="00693223" w:rsidRPr="00BE5170" w:rsidRDefault="00693223" w:rsidP="00C66220">
      <w:pPr>
        <w:pBdr>
          <w:top w:val="single" w:sz="4" w:space="1" w:color="auto"/>
          <w:left w:val="single" w:sz="4" w:space="4" w:color="auto"/>
          <w:bottom w:val="single" w:sz="4" w:space="1" w:color="auto"/>
          <w:right w:val="single" w:sz="4" w:space="4" w:color="auto"/>
        </w:pBdr>
        <w:spacing w:before="120"/>
        <w:rPr>
          <w:rFonts w:ascii="Arial" w:hAnsi="Arial" w:cs="Arial"/>
          <w:b/>
          <w:bCs/>
        </w:rPr>
      </w:pPr>
      <w:hyperlink w:anchor="_4.11_Children's_Court" w:history="1">
        <w:r w:rsidRPr="00BE5170">
          <w:rPr>
            <w:rStyle w:val="Hyperlink"/>
            <w:rFonts w:ascii="Arial" w:hAnsi="Arial" w:cs="Arial"/>
            <w:b/>
            <w:bCs/>
            <w:u w:val="none"/>
          </w:rPr>
          <w:t>4.1</w:t>
        </w:r>
        <w:r w:rsidR="00A338D2" w:rsidRPr="00BE5170">
          <w:rPr>
            <w:rStyle w:val="Hyperlink"/>
            <w:rFonts w:ascii="Arial" w:hAnsi="Arial" w:cs="Arial"/>
            <w:b/>
            <w:bCs/>
            <w:u w:val="none"/>
          </w:rPr>
          <w:t>1</w:t>
        </w:r>
        <w:r w:rsidRPr="00BE5170">
          <w:rPr>
            <w:rStyle w:val="Hyperlink"/>
            <w:rFonts w:ascii="Arial" w:hAnsi="Arial" w:cs="Arial"/>
            <w:b/>
            <w:bCs/>
            <w:u w:val="none"/>
          </w:rPr>
          <w:tab/>
          <w:t>Children's Court &amp; Family Court compared &amp; contrasted</w:t>
        </w:r>
      </w:hyperlink>
    </w:p>
    <w:p w14:paraId="6D28E74B" w14:textId="77777777" w:rsidR="00693223" w:rsidRPr="00BE5170" w:rsidRDefault="00D451AD" w:rsidP="00C66220">
      <w:pPr>
        <w:pBdr>
          <w:top w:val="single" w:sz="4" w:space="1" w:color="auto"/>
          <w:left w:val="single" w:sz="4" w:space="4" w:color="auto"/>
          <w:bottom w:val="single" w:sz="4" w:space="1" w:color="auto"/>
          <w:right w:val="single" w:sz="4" w:space="4" w:color="auto"/>
        </w:pBdr>
        <w:spacing w:before="60"/>
        <w:rPr>
          <w:rFonts w:ascii="Arial" w:hAnsi="Arial" w:cs="Arial"/>
          <w:b/>
          <w:bCs/>
          <w:sz w:val="20"/>
        </w:rPr>
      </w:pPr>
      <w:hyperlink w:anchor="_4.11.1__Public" w:history="1">
        <w:r w:rsidRPr="00BE5170">
          <w:rPr>
            <w:rStyle w:val="Hyperlink"/>
            <w:rFonts w:ascii="Arial" w:hAnsi="Arial" w:cs="Arial"/>
            <w:b/>
            <w:bCs/>
            <w:sz w:val="20"/>
            <w:u w:val="none"/>
          </w:rPr>
          <w:tab/>
        </w:r>
        <w:r w:rsidR="00693223" w:rsidRPr="00BE5170">
          <w:rPr>
            <w:rStyle w:val="Hyperlink"/>
            <w:rFonts w:ascii="Arial" w:hAnsi="Arial" w:cs="Arial"/>
            <w:b/>
            <w:bCs/>
            <w:sz w:val="20"/>
            <w:u w:val="none"/>
          </w:rPr>
          <w:tab/>
          <w:t>4.1</w:t>
        </w:r>
        <w:r w:rsidR="00A338D2" w:rsidRPr="00BE5170">
          <w:rPr>
            <w:rStyle w:val="Hyperlink"/>
            <w:rFonts w:ascii="Arial" w:hAnsi="Arial" w:cs="Arial"/>
            <w:b/>
            <w:bCs/>
            <w:sz w:val="20"/>
            <w:u w:val="none"/>
          </w:rPr>
          <w:t>1</w:t>
        </w:r>
        <w:r w:rsidR="00693223" w:rsidRPr="00BE5170">
          <w:rPr>
            <w:rStyle w:val="Hyperlink"/>
            <w:rFonts w:ascii="Arial" w:hAnsi="Arial" w:cs="Arial"/>
            <w:b/>
            <w:bCs/>
            <w:sz w:val="20"/>
            <w:u w:val="none"/>
          </w:rPr>
          <w:t>.1</w:t>
        </w:r>
        <w:r w:rsidR="004C5BBD" w:rsidRPr="00BE5170">
          <w:rPr>
            <w:rStyle w:val="Hyperlink"/>
            <w:rFonts w:ascii="Arial" w:hAnsi="Arial" w:cs="Arial"/>
            <w:b/>
            <w:bCs/>
            <w:sz w:val="20"/>
            <w:u w:val="none"/>
          </w:rPr>
          <w:tab/>
        </w:r>
        <w:r w:rsidR="00693223" w:rsidRPr="00BE5170">
          <w:rPr>
            <w:rStyle w:val="Hyperlink"/>
            <w:rFonts w:ascii="Arial" w:hAnsi="Arial" w:cs="Arial"/>
            <w:b/>
            <w:bCs/>
            <w:sz w:val="20"/>
            <w:u w:val="none"/>
          </w:rPr>
          <w:t>Public law versus private law</w:t>
        </w:r>
      </w:hyperlink>
    </w:p>
    <w:p w14:paraId="553E1BC9"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1.2__Responsibilities" w:history="1">
        <w:r w:rsidRPr="00BE5170">
          <w:rPr>
            <w:rStyle w:val="Hyperlink"/>
            <w:rFonts w:ascii="Arial" w:hAnsi="Arial" w:cs="Arial"/>
            <w:b/>
            <w:bCs/>
            <w:sz w:val="20"/>
            <w:u w:val="none"/>
          </w:rPr>
          <w:tab/>
        </w:r>
        <w:r w:rsidR="00A338D2" w:rsidRPr="00BE5170">
          <w:rPr>
            <w:rStyle w:val="Hyperlink"/>
            <w:rFonts w:ascii="Arial" w:hAnsi="Arial" w:cs="Arial"/>
            <w:b/>
            <w:bCs/>
            <w:sz w:val="20"/>
            <w:u w:val="none"/>
          </w:rPr>
          <w:tab/>
          <w:t>4.11</w:t>
        </w:r>
        <w:r w:rsidR="00693223" w:rsidRPr="00BE5170">
          <w:rPr>
            <w:rStyle w:val="Hyperlink"/>
            <w:rFonts w:ascii="Arial" w:hAnsi="Arial" w:cs="Arial"/>
            <w:b/>
            <w:bCs/>
            <w:sz w:val="20"/>
            <w:u w:val="none"/>
          </w:rPr>
          <w:t>.2</w:t>
        </w:r>
        <w:r w:rsidR="00EE4D2D" w:rsidRPr="00BE5170">
          <w:rPr>
            <w:rStyle w:val="Hyperlink"/>
            <w:rFonts w:ascii="Arial" w:hAnsi="Arial" w:cs="Arial"/>
            <w:b/>
            <w:bCs/>
            <w:sz w:val="20"/>
            <w:u w:val="none"/>
          </w:rPr>
          <w:tab/>
        </w:r>
        <w:r w:rsidR="00183039">
          <w:rPr>
            <w:rStyle w:val="Hyperlink"/>
            <w:rFonts w:ascii="Arial" w:hAnsi="Arial" w:cs="Arial"/>
            <w:b/>
            <w:bCs/>
            <w:sz w:val="20"/>
            <w:u w:val="none"/>
          </w:rPr>
          <w:t>R</w:t>
        </w:r>
        <w:r w:rsidR="00693223" w:rsidRPr="00BE5170">
          <w:rPr>
            <w:rStyle w:val="Hyperlink"/>
            <w:rFonts w:ascii="Arial" w:hAnsi="Arial" w:cs="Arial"/>
            <w:b/>
            <w:bCs/>
            <w:sz w:val="20"/>
            <w:u w:val="none"/>
          </w:rPr>
          <w:t>esponsibilities and obligations of the Family Court to children</w:t>
        </w:r>
      </w:hyperlink>
    </w:p>
    <w:p w14:paraId="4ABCCB74" w14:textId="77777777" w:rsidR="00693223" w:rsidRPr="00BE5170" w:rsidRDefault="00A338D2">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1.3__Notification" w:history="1">
        <w:r w:rsidRPr="00BE5170">
          <w:rPr>
            <w:rStyle w:val="Hyperlink"/>
            <w:rFonts w:ascii="Arial" w:hAnsi="Arial" w:cs="Arial"/>
            <w:b/>
            <w:bCs/>
            <w:sz w:val="20"/>
            <w:u w:val="none"/>
          </w:rPr>
          <w:tab/>
        </w:r>
        <w:r w:rsidR="00D451AD" w:rsidRPr="00BE5170">
          <w:rPr>
            <w:rStyle w:val="Hyperlink"/>
            <w:rFonts w:ascii="Arial" w:hAnsi="Arial" w:cs="Arial"/>
            <w:b/>
            <w:bCs/>
            <w:sz w:val="20"/>
            <w:u w:val="none"/>
          </w:rPr>
          <w:tab/>
        </w:r>
        <w:r w:rsidRPr="00BE5170">
          <w:rPr>
            <w:rStyle w:val="Hyperlink"/>
            <w:rFonts w:ascii="Arial" w:hAnsi="Arial" w:cs="Arial"/>
            <w:b/>
            <w:bCs/>
            <w:sz w:val="20"/>
            <w:u w:val="none"/>
          </w:rPr>
          <w:t>4.11</w:t>
        </w:r>
        <w:r w:rsidR="00693223" w:rsidRPr="00BE5170">
          <w:rPr>
            <w:rStyle w:val="Hyperlink"/>
            <w:rFonts w:ascii="Arial" w:hAnsi="Arial" w:cs="Arial"/>
            <w:b/>
            <w:bCs/>
            <w:sz w:val="20"/>
            <w:u w:val="none"/>
          </w:rPr>
          <w:t>.3</w:t>
        </w:r>
        <w:r w:rsidR="00EE4D2D" w:rsidRPr="00BE5170">
          <w:rPr>
            <w:rStyle w:val="Hyperlink"/>
            <w:rFonts w:ascii="Arial" w:hAnsi="Arial" w:cs="Arial"/>
            <w:b/>
            <w:bCs/>
            <w:sz w:val="20"/>
            <w:u w:val="none"/>
          </w:rPr>
          <w:tab/>
        </w:r>
        <w:r w:rsidR="00693223" w:rsidRPr="00BE5170">
          <w:rPr>
            <w:rStyle w:val="Hyperlink"/>
            <w:rFonts w:ascii="Arial" w:hAnsi="Arial" w:cs="Arial"/>
            <w:b/>
            <w:bCs/>
            <w:sz w:val="20"/>
            <w:u w:val="none"/>
          </w:rPr>
          <w:t>Notification by the Family Court to State welfare authorities</w:t>
        </w:r>
      </w:hyperlink>
    </w:p>
    <w:p w14:paraId="47D60E63" w14:textId="77777777" w:rsidR="00693223" w:rsidRPr="00BE5170"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1.4__Representation" w:history="1">
        <w:r w:rsidRPr="00BE5170">
          <w:rPr>
            <w:rStyle w:val="Hyperlink"/>
            <w:rFonts w:ascii="Arial" w:hAnsi="Arial" w:cs="Arial"/>
            <w:b/>
            <w:bCs/>
            <w:sz w:val="20"/>
            <w:u w:val="none"/>
          </w:rPr>
          <w:tab/>
        </w:r>
        <w:r w:rsidR="00A338D2" w:rsidRPr="00BE5170">
          <w:rPr>
            <w:rStyle w:val="Hyperlink"/>
            <w:rFonts w:ascii="Arial" w:hAnsi="Arial" w:cs="Arial"/>
            <w:b/>
            <w:bCs/>
            <w:sz w:val="20"/>
            <w:u w:val="none"/>
          </w:rPr>
          <w:tab/>
          <w:t>4.11</w:t>
        </w:r>
        <w:r w:rsidR="00693223" w:rsidRPr="00BE5170">
          <w:rPr>
            <w:rStyle w:val="Hyperlink"/>
            <w:rFonts w:ascii="Arial" w:hAnsi="Arial" w:cs="Arial"/>
            <w:b/>
            <w:bCs/>
            <w:sz w:val="20"/>
            <w:u w:val="none"/>
          </w:rPr>
          <w:t>.4</w:t>
        </w:r>
        <w:r w:rsidR="00EE4D2D" w:rsidRPr="00BE5170">
          <w:rPr>
            <w:rStyle w:val="Hyperlink"/>
            <w:rFonts w:ascii="Arial" w:hAnsi="Arial" w:cs="Arial"/>
            <w:b/>
            <w:bCs/>
            <w:sz w:val="20"/>
            <w:u w:val="none"/>
          </w:rPr>
          <w:tab/>
        </w:r>
        <w:r w:rsidR="00693223" w:rsidRPr="00BE5170">
          <w:rPr>
            <w:rStyle w:val="Hyperlink"/>
            <w:rFonts w:ascii="Arial" w:hAnsi="Arial" w:cs="Arial"/>
            <w:b/>
            <w:bCs/>
            <w:sz w:val="20"/>
            <w:u w:val="none"/>
          </w:rPr>
          <w:t>Representation of children</w:t>
        </w:r>
      </w:hyperlink>
    </w:p>
    <w:p w14:paraId="79F2BF5B" w14:textId="77777777" w:rsidR="00693223" w:rsidRDefault="00D451AD">
      <w:pPr>
        <w:pBdr>
          <w:top w:val="single" w:sz="4" w:space="1" w:color="auto"/>
          <w:left w:val="single" w:sz="4" w:space="4" w:color="auto"/>
          <w:bottom w:val="single" w:sz="4" w:space="1" w:color="auto"/>
          <w:right w:val="single" w:sz="4" w:space="4" w:color="auto"/>
        </w:pBdr>
        <w:rPr>
          <w:rFonts w:ascii="Arial" w:hAnsi="Arial" w:cs="Arial"/>
          <w:b/>
          <w:bCs/>
          <w:sz w:val="20"/>
        </w:rPr>
      </w:pPr>
      <w:hyperlink w:anchor="_4.11.5__Priority" w:history="1">
        <w:r w:rsidRPr="00BE5170">
          <w:rPr>
            <w:rStyle w:val="Hyperlink"/>
            <w:rFonts w:ascii="Arial" w:hAnsi="Arial" w:cs="Arial"/>
            <w:b/>
            <w:bCs/>
            <w:sz w:val="20"/>
            <w:u w:val="none"/>
          </w:rPr>
          <w:tab/>
        </w:r>
        <w:r w:rsidR="00A338D2" w:rsidRPr="00BE5170">
          <w:rPr>
            <w:rStyle w:val="Hyperlink"/>
            <w:rFonts w:ascii="Arial" w:hAnsi="Arial" w:cs="Arial"/>
            <w:b/>
            <w:bCs/>
            <w:sz w:val="20"/>
            <w:u w:val="none"/>
          </w:rPr>
          <w:tab/>
          <w:t>4.11</w:t>
        </w:r>
        <w:r w:rsidR="00693223" w:rsidRPr="00BE5170">
          <w:rPr>
            <w:rStyle w:val="Hyperlink"/>
            <w:rFonts w:ascii="Arial" w:hAnsi="Arial" w:cs="Arial"/>
            <w:b/>
            <w:bCs/>
            <w:sz w:val="20"/>
            <w:u w:val="none"/>
          </w:rPr>
          <w:t>.5</w:t>
        </w:r>
        <w:r w:rsidR="00EE4D2D" w:rsidRPr="00BE5170">
          <w:rPr>
            <w:rStyle w:val="Hyperlink"/>
            <w:rFonts w:ascii="Arial" w:hAnsi="Arial" w:cs="Arial"/>
            <w:b/>
            <w:bCs/>
            <w:sz w:val="20"/>
            <w:u w:val="none"/>
          </w:rPr>
          <w:tab/>
        </w:r>
        <w:r w:rsidR="00693223" w:rsidRPr="00BE5170">
          <w:rPr>
            <w:rStyle w:val="Hyperlink"/>
            <w:rFonts w:ascii="Arial" w:hAnsi="Arial" w:cs="Arial"/>
            <w:b/>
            <w:bCs/>
            <w:sz w:val="20"/>
            <w:u w:val="none"/>
          </w:rPr>
          <w:t>Priority of orders</w:t>
        </w:r>
      </w:hyperlink>
    </w:p>
    <w:p w14:paraId="70A40CA1" w14:textId="77777777" w:rsidR="00802EC5" w:rsidRPr="00D74C22" w:rsidRDefault="00802EC5">
      <w:pPr>
        <w:pBdr>
          <w:top w:val="single" w:sz="4" w:space="1" w:color="auto"/>
          <w:left w:val="single" w:sz="4" w:space="4" w:color="auto"/>
          <w:bottom w:val="single" w:sz="4" w:space="1" w:color="auto"/>
          <w:right w:val="single" w:sz="4" w:space="4" w:color="auto"/>
        </w:pBdr>
        <w:rPr>
          <w:rFonts w:ascii="Arial" w:hAnsi="Arial" w:cs="Arial"/>
          <w:b/>
          <w:bCs/>
          <w:sz w:val="20"/>
        </w:rPr>
      </w:pPr>
      <w:r w:rsidRPr="00D74C22">
        <w:rPr>
          <w:rFonts w:ascii="Arial" w:hAnsi="Arial" w:cs="Arial"/>
          <w:b/>
          <w:bCs/>
          <w:sz w:val="20"/>
        </w:rPr>
        <w:tab/>
      </w:r>
      <w:r w:rsidRPr="00D74C22">
        <w:rPr>
          <w:rFonts w:ascii="Arial" w:hAnsi="Arial" w:cs="Arial"/>
          <w:b/>
          <w:bCs/>
          <w:sz w:val="20"/>
        </w:rPr>
        <w:tab/>
      </w:r>
      <w:hyperlink w:anchor="_4.11.6__Sharing" w:history="1">
        <w:r w:rsidRPr="00D74C22">
          <w:rPr>
            <w:rStyle w:val="Hyperlink"/>
            <w:rFonts w:ascii="Arial" w:hAnsi="Arial" w:cs="Arial"/>
            <w:b/>
            <w:bCs/>
            <w:sz w:val="20"/>
            <w:u w:val="none"/>
          </w:rPr>
          <w:t>4.11.6</w:t>
        </w:r>
        <w:r w:rsidRPr="00D74C22">
          <w:rPr>
            <w:rStyle w:val="Hyperlink"/>
            <w:rFonts w:ascii="Arial" w:hAnsi="Arial" w:cs="Arial"/>
            <w:b/>
            <w:bCs/>
            <w:sz w:val="20"/>
            <w:u w:val="none"/>
          </w:rPr>
          <w:tab/>
          <w:t>Sharing of materials between Children’s Court &amp; Family Court</w:t>
        </w:r>
      </w:hyperlink>
    </w:p>
    <w:p w14:paraId="60855F04" w14:textId="77777777" w:rsidR="00693223" w:rsidRPr="00BE5170" w:rsidRDefault="00693223">
      <w:pPr>
        <w:pBdr>
          <w:top w:val="single" w:sz="4" w:space="1" w:color="auto"/>
          <w:left w:val="single" w:sz="4" w:space="4" w:color="auto"/>
          <w:bottom w:val="single" w:sz="4" w:space="1" w:color="auto"/>
          <w:right w:val="single" w:sz="4" w:space="4" w:color="auto"/>
        </w:pBdr>
        <w:spacing w:before="120"/>
        <w:rPr>
          <w:rFonts w:ascii="Arial" w:hAnsi="Arial" w:cs="Arial"/>
          <w:b/>
          <w:bCs/>
        </w:rPr>
      </w:pPr>
      <w:hyperlink w:anchor="_4.12_Relationship_between" w:history="1">
        <w:r w:rsidRPr="00BE5170">
          <w:rPr>
            <w:rStyle w:val="Hyperlink"/>
            <w:rFonts w:ascii="Arial" w:hAnsi="Arial" w:cs="Arial"/>
            <w:b/>
            <w:bCs/>
            <w:u w:val="none"/>
          </w:rPr>
          <w:t>4.1</w:t>
        </w:r>
        <w:r w:rsidR="00A338D2" w:rsidRPr="00BE5170">
          <w:rPr>
            <w:rStyle w:val="Hyperlink"/>
            <w:rFonts w:ascii="Arial" w:hAnsi="Arial" w:cs="Arial"/>
            <w:b/>
            <w:bCs/>
            <w:u w:val="none"/>
          </w:rPr>
          <w:t>2</w:t>
        </w:r>
        <w:r w:rsidRPr="00BE5170">
          <w:rPr>
            <w:rStyle w:val="Hyperlink"/>
            <w:rFonts w:ascii="Arial" w:hAnsi="Arial" w:cs="Arial"/>
            <w:b/>
            <w:bCs/>
            <w:u w:val="none"/>
          </w:rPr>
          <w:tab/>
          <w:t>Relationship between attachment and child's emotional wellbeing</w:t>
        </w:r>
      </w:hyperlink>
    </w:p>
    <w:p w14:paraId="779B1742" w14:textId="77777777" w:rsidR="00693223" w:rsidRPr="00BE5170" w:rsidRDefault="00A338D2">
      <w:pPr>
        <w:pBdr>
          <w:top w:val="single" w:sz="4" w:space="1" w:color="auto"/>
          <w:left w:val="single" w:sz="4" w:space="4" w:color="auto"/>
          <w:bottom w:val="single" w:sz="4" w:space="1" w:color="auto"/>
          <w:right w:val="single" w:sz="4" w:space="4" w:color="auto"/>
        </w:pBdr>
        <w:spacing w:before="120"/>
        <w:rPr>
          <w:rFonts w:ascii="Arial" w:hAnsi="Arial" w:cs="Arial"/>
          <w:b/>
          <w:bCs/>
        </w:rPr>
      </w:pPr>
      <w:hyperlink w:anchor="_4.13_Shared_care" w:history="1">
        <w:r w:rsidRPr="00BE5170">
          <w:rPr>
            <w:rStyle w:val="Hyperlink"/>
            <w:rFonts w:ascii="Arial" w:hAnsi="Arial" w:cs="Arial"/>
            <w:b/>
            <w:bCs/>
            <w:u w:val="none"/>
          </w:rPr>
          <w:t>4.13</w:t>
        </w:r>
        <w:r w:rsidR="00693223" w:rsidRPr="00BE5170">
          <w:rPr>
            <w:rStyle w:val="Hyperlink"/>
            <w:rFonts w:ascii="Arial" w:hAnsi="Arial" w:cs="Arial"/>
            <w:b/>
            <w:bCs/>
            <w:u w:val="none"/>
          </w:rPr>
          <w:tab/>
          <w:t>Shared care of a young child</w:t>
        </w:r>
      </w:hyperlink>
    </w:p>
    <w:p w14:paraId="13D83405" w14:textId="77777777" w:rsidR="00E14F02" w:rsidRPr="00BE5170" w:rsidRDefault="00E14F02" w:rsidP="00E14F02">
      <w:pPr>
        <w:pBdr>
          <w:top w:val="single" w:sz="4" w:space="1" w:color="auto"/>
          <w:left w:val="single" w:sz="4" w:space="4" w:color="auto"/>
          <w:bottom w:val="single" w:sz="4" w:space="1" w:color="auto"/>
          <w:right w:val="single" w:sz="4" w:space="4" w:color="auto"/>
        </w:pBdr>
        <w:spacing w:before="120"/>
        <w:rPr>
          <w:rFonts w:ascii="Arial" w:hAnsi="Arial" w:cs="Arial"/>
          <w:b/>
          <w:bCs/>
          <w:color w:val="000000"/>
        </w:rPr>
      </w:pPr>
      <w:hyperlink w:anchor="_4.14_Frequency_of" w:history="1">
        <w:r w:rsidRPr="00BE5170">
          <w:rPr>
            <w:rStyle w:val="Hyperlink"/>
            <w:rFonts w:ascii="Arial" w:hAnsi="Arial" w:cs="Arial"/>
            <w:b/>
            <w:bCs/>
            <w:u w:val="none"/>
          </w:rPr>
          <w:t>4.14</w:t>
        </w:r>
        <w:r w:rsidRPr="00BE5170">
          <w:rPr>
            <w:rStyle w:val="Hyperlink"/>
            <w:rFonts w:ascii="Arial" w:hAnsi="Arial" w:cs="Arial"/>
            <w:b/>
            <w:bCs/>
            <w:u w:val="none"/>
          </w:rPr>
          <w:tab/>
          <w:t xml:space="preserve">Frequency of </w:t>
        </w:r>
        <w:r w:rsidR="00CF6AAD" w:rsidRPr="00BE5170">
          <w:rPr>
            <w:rStyle w:val="Hyperlink"/>
            <w:rFonts w:ascii="Arial" w:hAnsi="Arial" w:cs="Arial"/>
            <w:b/>
            <w:bCs/>
            <w:u w:val="none"/>
          </w:rPr>
          <w:t>contact</w:t>
        </w:r>
        <w:r w:rsidRPr="00BE5170">
          <w:rPr>
            <w:rStyle w:val="Hyperlink"/>
            <w:rFonts w:ascii="Arial" w:hAnsi="Arial" w:cs="Arial"/>
            <w:b/>
            <w:bCs/>
            <w:u w:val="none"/>
          </w:rPr>
          <w:t xml:space="preserve"> between </w:t>
        </w:r>
        <w:r w:rsidR="00EF65CA" w:rsidRPr="00BE5170">
          <w:rPr>
            <w:rStyle w:val="Hyperlink"/>
            <w:rFonts w:ascii="Arial" w:hAnsi="Arial" w:cs="Arial"/>
            <w:b/>
            <w:bCs/>
            <w:u w:val="none"/>
          </w:rPr>
          <w:t>young child</w:t>
        </w:r>
        <w:r w:rsidRPr="00BE5170">
          <w:rPr>
            <w:rStyle w:val="Hyperlink"/>
            <w:rFonts w:ascii="Arial" w:hAnsi="Arial" w:cs="Arial"/>
            <w:b/>
            <w:bCs/>
            <w:u w:val="none"/>
          </w:rPr>
          <w:t xml:space="preserve"> and parent</w:t>
        </w:r>
      </w:hyperlink>
    </w:p>
    <w:p w14:paraId="6B9F3C05" w14:textId="13415D84" w:rsidR="007E7E01" w:rsidRPr="00C66220" w:rsidRDefault="00C66220" w:rsidP="00C66220">
      <w:pPr>
        <w:pBdr>
          <w:top w:val="single" w:sz="4" w:space="1" w:color="auto"/>
          <w:left w:val="single" w:sz="4" w:space="4" w:color="auto"/>
          <w:bottom w:val="single" w:sz="4" w:space="1" w:color="auto"/>
          <w:right w:val="single" w:sz="4" w:space="4" w:color="auto"/>
        </w:pBdr>
        <w:spacing w:before="60"/>
        <w:rPr>
          <w:rStyle w:val="Hyperlink"/>
          <w:rFonts w:ascii="Arial" w:hAnsi="Arial" w:cs="Arial"/>
          <w:b/>
          <w:bCs/>
          <w:sz w:val="20"/>
          <w:u w:val="none"/>
        </w:rPr>
      </w:pPr>
      <w:r w:rsidRPr="00C66220">
        <w:rPr>
          <w:rFonts w:ascii="Arial" w:hAnsi="Arial" w:cs="Arial"/>
          <w:b/>
          <w:bCs/>
          <w:sz w:val="20"/>
        </w:rPr>
        <w:fldChar w:fldCharType="begin"/>
      </w:r>
      <w:r w:rsidRPr="00C66220">
        <w:rPr>
          <w:rFonts w:ascii="Arial" w:hAnsi="Arial" w:cs="Arial"/>
          <w:b/>
          <w:bCs/>
          <w:sz w:val="20"/>
        </w:rPr>
        <w:instrText xml:space="preserve"> HYPERLINK  \l "_4.14.1_The_Victorian" </w:instrText>
      </w:r>
      <w:r w:rsidRPr="00C66220">
        <w:rPr>
          <w:rFonts w:ascii="Arial" w:hAnsi="Arial" w:cs="Arial"/>
          <w:b/>
          <w:bCs/>
          <w:sz w:val="20"/>
        </w:rPr>
      </w:r>
      <w:r w:rsidRPr="00C66220">
        <w:rPr>
          <w:rFonts w:ascii="Arial" w:hAnsi="Arial" w:cs="Arial"/>
          <w:b/>
          <w:bCs/>
          <w:sz w:val="20"/>
        </w:rPr>
        <w:fldChar w:fldCharType="separate"/>
      </w:r>
      <w:r w:rsidR="007E7E01" w:rsidRPr="00C66220">
        <w:rPr>
          <w:rStyle w:val="Hyperlink"/>
          <w:rFonts w:ascii="Arial" w:hAnsi="Arial" w:cs="Arial"/>
          <w:b/>
          <w:bCs/>
          <w:sz w:val="20"/>
          <w:u w:val="none"/>
        </w:rPr>
        <w:tab/>
      </w:r>
      <w:r w:rsidR="007E7E01" w:rsidRPr="00C66220">
        <w:rPr>
          <w:rStyle w:val="Hyperlink"/>
          <w:rFonts w:ascii="Arial" w:hAnsi="Arial" w:cs="Arial"/>
          <w:b/>
          <w:bCs/>
          <w:sz w:val="20"/>
          <w:u w:val="none"/>
        </w:rPr>
        <w:tab/>
        <w:t>4.14.</w:t>
      </w:r>
      <w:r w:rsidR="00AF349E" w:rsidRPr="00C66220">
        <w:rPr>
          <w:rStyle w:val="Hyperlink"/>
          <w:rFonts w:ascii="Arial" w:hAnsi="Arial" w:cs="Arial"/>
          <w:b/>
          <w:bCs/>
          <w:sz w:val="20"/>
          <w:u w:val="none"/>
        </w:rPr>
        <w:t>1</w:t>
      </w:r>
      <w:r w:rsidR="007E7E01" w:rsidRPr="00C66220">
        <w:rPr>
          <w:rStyle w:val="Hyperlink"/>
          <w:rFonts w:ascii="Arial" w:hAnsi="Arial" w:cs="Arial"/>
          <w:b/>
          <w:bCs/>
          <w:sz w:val="20"/>
          <w:u w:val="none"/>
        </w:rPr>
        <w:tab/>
      </w:r>
      <w:r w:rsidRPr="00C66220">
        <w:rPr>
          <w:rStyle w:val="Hyperlink"/>
          <w:rFonts w:ascii="Arial" w:hAnsi="Arial" w:cs="Arial"/>
          <w:b/>
          <w:bCs/>
          <w:sz w:val="20"/>
          <w:u w:val="none"/>
        </w:rPr>
        <w:t xml:space="preserve">The Victorian case of </w:t>
      </w:r>
      <w:r w:rsidRPr="00C66220">
        <w:rPr>
          <w:rStyle w:val="Hyperlink"/>
          <w:rFonts w:ascii="Arial" w:hAnsi="Arial" w:cs="Arial"/>
          <w:b/>
          <w:bCs/>
          <w:i/>
          <w:iCs/>
          <w:sz w:val="20"/>
          <w:u w:val="none"/>
        </w:rPr>
        <w:t>DOHS v Ms B &amp; Mr G</w:t>
      </w:r>
    </w:p>
    <w:p w14:paraId="56CE8D11" w14:textId="7A58BAC1" w:rsidR="00F236C2" w:rsidRPr="00BE5170" w:rsidRDefault="00C66220" w:rsidP="007E7E01">
      <w:pPr>
        <w:pBdr>
          <w:top w:val="single" w:sz="4" w:space="1" w:color="auto"/>
          <w:left w:val="single" w:sz="4" w:space="4" w:color="auto"/>
          <w:bottom w:val="single" w:sz="4" w:space="1" w:color="auto"/>
          <w:right w:val="single" w:sz="4" w:space="4" w:color="auto"/>
        </w:pBdr>
        <w:rPr>
          <w:rFonts w:ascii="Arial" w:hAnsi="Arial" w:cs="Arial"/>
          <w:b/>
          <w:bCs/>
          <w:color w:val="000000"/>
          <w:sz w:val="20"/>
        </w:rPr>
      </w:pPr>
      <w:r w:rsidRPr="00C66220">
        <w:rPr>
          <w:rFonts w:ascii="Arial" w:hAnsi="Arial" w:cs="Arial"/>
          <w:b/>
          <w:bCs/>
          <w:sz w:val="20"/>
        </w:rPr>
        <w:fldChar w:fldCharType="end"/>
      </w:r>
      <w:hyperlink w:anchor="_4.14.3__American" w:history="1">
        <w:r w:rsidR="00806118" w:rsidRPr="00BE5170">
          <w:rPr>
            <w:rStyle w:val="Hyperlink"/>
            <w:rFonts w:ascii="Arial" w:hAnsi="Arial" w:cs="Arial"/>
            <w:b/>
            <w:bCs/>
            <w:sz w:val="20"/>
            <w:u w:val="none"/>
          </w:rPr>
          <w:tab/>
        </w:r>
        <w:r w:rsidR="00806118" w:rsidRPr="00BE5170">
          <w:rPr>
            <w:rStyle w:val="Hyperlink"/>
            <w:rFonts w:ascii="Arial" w:hAnsi="Arial" w:cs="Arial"/>
            <w:b/>
            <w:bCs/>
            <w:sz w:val="20"/>
            <w:u w:val="none"/>
          </w:rPr>
          <w:tab/>
          <w:t>4.14.</w:t>
        </w:r>
        <w:r w:rsidR="009F6564">
          <w:rPr>
            <w:rStyle w:val="Hyperlink"/>
            <w:rFonts w:ascii="Arial" w:hAnsi="Arial" w:cs="Arial"/>
            <w:b/>
            <w:bCs/>
            <w:sz w:val="20"/>
            <w:u w:val="none"/>
          </w:rPr>
          <w:t>2</w:t>
        </w:r>
        <w:r w:rsidR="00806118" w:rsidRPr="00BE5170">
          <w:rPr>
            <w:rStyle w:val="Hyperlink"/>
            <w:rFonts w:ascii="Arial" w:hAnsi="Arial" w:cs="Arial"/>
            <w:b/>
            <w:bCs/>
            <w:sz w:val="20"/>
            <w:u w:val="none"/>
          </w:rPr>
          <w:tab/>
        </w:r>
        <w:r w:rsidR="00183039">
          <w:rPr>
            <w:rStyle w:val="Hyperlink"/>
            <w:rFonts w:ascii="Arial" w:hAnsi="Arial" w:cs="Arial"/>
            <w:b/>
            <w:bCs/>
            <w:sz w:val="20"/>
            <w:u w:val="none"/>
          </w:rPr>
          <w:t>A</w:t>
        </w:r>
        <w:r w:rsidR="00F236C2" w:rsidRPr="00BE5170">
          <w:rPr>
            <w:rStyle w:val="Hyperlink"/>
            <w:rFonts w:ascii="Arial" w:hAnsi="Arial" w:cs="Arial"/>
            <w:b/>
            <w:bCs/>
            <w:sz w:val="20"/>
            <w:u w:val="none"/>
          </w:rPr>
          <w:t xml:space="preserve">merican judicial </w:t>
        </w:r>
        <w:r w:rsidR="00247BF7" w:rsidRPr="00BE5170">
          <w:rPr>
            <w:rStyle w:val="Hyperlink"/>
            <w:rFonts w:ascii="Arial" w:hAnsi="Arial" w:cs="Arial"/>
            <w:b/>
            <w:bCs/>
            <w:sz w:val="20"/>
            <w:u w:val="none"/>
          </w:rPr>
          <w:t>guidelines</w:t>
        </w:r>
        <w:r w:rsidR="00806118" w:rsidRPr="00BE5170">
          <w:rPr>
            <w:rStyle w:val="Hyperlink"/>
            <w:rFonts w:ascii="Arial" w:hAnsi="Arial" w:cs="Arial"/>
            <w:b/>
            <w:bCs/>
            <w:sz w:val="20"/>
            <w:u w:val="none"/>
          </w:rPr>
          <w:t xml:space="preserve"> 2009</w:t>
        </w:r>
      </w:hyperlink>
    </w:p>
    <w:p w14:paraId="13F7D825" w14:textId="77777777" w:rsidR="00FB53EB" w:rsidRPr="00BE5170" w:rsidRDefault="00497924">
      <w:pPr>
        <w:pBdr>
          <w:top w:val="single" w:sz="4" w:space="1" w:color="auto"/>
          <w:left w:val="single" w:sz="4" w:space="4" w:color="auto"/>
          <w:bottom w:val="single" w:sz="4" w:space="1" w:color="auto"/>
          <w:right w:val="single" w:sz="4" w:space="4" w:color="auto"/>
        </w:pBdr>
        <w:spacing w:before="120"/>
        <w:rPr>
          <w:rFonts w:ascii="Arial" w:hAnsi="Arial" w:cs="Arial"/>
          <w:b/>
          <w:bCs/>
        </w:rPr>
      </w:pPr>
      <w:hyperlink w:anchor="_4.15_Cumulative_harm" w:history="1">
        <w:r w:rsidRPr="00BE5170">
          <w:rPr>
            <w:rStyle w:val="Hyperlink"/>
            <w:rFonts w:ascii="Arial" w:hAnsi="Arial" w:cs="Arial"/>
            <w:b/>
            <w:bCs/>
            <w:u w:val="none"/>
          </w:rPr>
          <w:t>4.1</w:t>
        </w:r>
        <w:r w:rsidR="00E14F02" w:rsidRPr="00BE5170">
          <w:rPr>
            <w:rStyle w:val="Hyperlink"/>
            <w:rFonts w:ascii="Arial" w:hAnsi="Arial" w:cs="Arial"/>
            <w:b/>
            <w:bCs/>
            <w:u w:val="none"/>
          </w:rPr>
          <w:t>5</w:t>
        </w:r>
        <w:r w:rsidR="00693223" w:rsidRPr="00BE5170">
          <w:rPr>
            <w:rStyle w:val="Hyperlink"/>
            <w:rFonts w:ascii="Arial" w:hAnsi="Arial" w:cs="Arial"/>
            <w:b/>
            <w:bCs/>
            <w:u w:val="none"/>
          </w:rPr>
          <w:tab/>
        </w:r>
        <w:r w:rsidR="00FB53EB" w:rsidRPr="00BE5170">
          <w:rPr>
            <w:rStyle w:val="Hyperlink"/>
            <w:rFonts w:ascii="Arial" w:hAnsi="Arial" w:cs="Arial"/>
            <w:b/>
            <w:bCs/>
            <w:u w:val="none"/>
          </w:rPr>
          <w:t>Cumulative harm</w:t>
        </w:r>
      </w:hyperlink>
    </w:p>
    <w:p w14:paraId="7482B925" w14:textId="40B9C155" w:rsidR="00580B58" w:rsidRPr="00BE5170" w:rsidRDefault="00BE5170" w:rsidP="00580B58">
      <w:pPr>
        <w:pBdr>
          <w:top w:val="single" w:sz="4" w:space="1" w:color="auto"/>
          <w:left w:val="single" w:sz="4" w:space="4" w:color="auto"/>
          <w:bottom w:val="single" w:sz="4" w:space="1" w:color="auto"/>
          <w:right w:val="single" w:sz="4" w:space="4" w:color="auto"/>
        </w:pBdr>
        <w:spacing w:before="120"/>
        <w:rPr>
          <w:rStyle w:val="Hyperlink"/>
          <w:rFonts w:ascii="Arial" w:hAnsi="Arial" w:cs="Arial"/>
          <w:b/>
          <w:bCs/>
          <w:u w:val="none"/>
        </w:rPr>
      </w:pPr>
      <w:r w:rsidRPr="00BE5170">
        <w:rPr>
          <w:rFonts w:ascii="Arial" w:hAnsi="Arial" w:cs="Arial"/>
          <w:b/>
          <w:bCs/>
          <w:color w:val="000000"/>
        </w:rPr>
        <w:fldChar w:fldCharType="begin"/>
      </w:r>
      <w:r w:rsidRPr="00BE5170">
        <w:rPr>
          <w:rFonts w:ascii="Arial" w:hAnsi="Arial" w:cs="Arial"/>
          <w:b/>
          <w:bCs/>
          <w:color w:val="000000"/>
        </w:rPr>
        <w:instrText xml:space="preserve"> HYPERLINK  \l "_4.17_Family_Drug" </w:instrText>
      </w:r>
      <w:r w:rsidRPr="00BE5170">
        <w:rPr>
          <w:rFonts w:ascii="Arial" w:hAnsi="Arial" w:cs="Arial"/>
          <w:b/>
          <w:bCs/>
          <w:color w:val="000000"/>
        </w:rPr>
      </w:r>
      <w:r w:rsidRPr="00BE5170">
        <w:rPr>
          <w:rFonts w:ascii="Arial" w:hAnsi="Arial" w:cs="Arial"/>
          <w:b/>
          <w:bCs/>
          <w:color w:val="000000"/>
        </w:rPr>
        <w:fldChar w:fldCharType="separate"/>
      </w:r>
      <w:r w:rsidR="00580B58" w:rsidRPr="00BE5170">
        <w:rPr>
          <w:rStyle w:val="Hyperlink"/>
          <w:rFonts w:ascii="Arial" w:hAnsi="Arial" w:cs="Arial"/>
          <w:b/>
          <w:bCs/>
          <w:u w:val="none"/>
        </w:rPr>
        <w:t>4.1</w:t>
      </w:r>
      <w:r w:rsidR="001521E7">
        <w:rPr>
          <w:rStyle w:val="Hyperlink"/>
          <w:rFonts w:ascii="Arial" w:hAnsi="Arial" w:cs="Arial"/>
          <w:b/>
          <w:bCs/>
          <w:u w:val="none"/>
        </w:rPr>
        <w:t>6</w:t>
      </w:r>
      <w:r w:rsidR="00580B58" w:rsidRPr="00BE5170">
        <w:rPr>
          <w:rStyle w:val="Hyperlink"/>
          <w:rFonts w:ascii="Arial" w:hAnsi="Arial" w:cs="Arial"/>
          <w:b/>
          <w:bCs/>
          <w:u w:val="none"/>
        </w:rPr>
        <w:tab/>
        <w:t>Family Drug Treatment Court</w:t>
      </w:r>
    </w:p>
    <w:p w14:paraId="5072F3E4" w14:textId="795D891B" w:rsidR="00BA7079" w:rsidRPr="00BE5170" w:rsidRDefault="00BE5170" w:rsidP="00BA7079">
      <w:pPr>
        <w:pBdr>
          <w:top w:val="single" w:sz="4" w:space="1" w:color="auto"/>
          <w:left w:val="single" w:sz="4" w:space="4" w:color="auto"/>
          <w:bottom w:val="single" w:sz="4" w:space="1" w:color="auto"/>
          <w:right w:val="single" w:sz="4" w:space="4" w:color="auto"/>
        </w:pBdr>
        <w:spacing w:before="120"/>
        <w:rPr>
          <w:rStyle w:val="Hyperlink"/>
          <w:rFonts w:ascii="Arial" w:hAnsi="Arial" w:cs="Arial"/>
          <w:b/>
          <w:bCs/>
          <w:u w:val="none"/>
        </w:rPr>
      </w:pPr>
      <w:r w:rsidRPr="00BE5170">
        <w:rPr>
          <w:rFonts w:ascii="Arial" w:hAnsi="Arial" w:cs="Arial"/>
          <w:b/>
          <w:bCs/>
          <w:color w:val="000000"/>
        </w:rPr>
        <w:fldChar w:fldCharType="end"/>
      </w:r>
      <w:r w:rsidR="00BA7079" w:rsidRPr="00BE5170">
        <w:rPr>
          <w:rFonts w:ascii="Arial" w:hAnsi="Arial" w:cs="Arial"/>
          <w:b/>
          <w:bCs/>
          <w:color w:val="000000"/>
        </w:rPr>
        <w:fldChar w:fldCharType="begin"/>
      </w:r>
      <w:r w:rsidR="00790EB2">
        <w:rPr>
          <w:rFonts w:ascii="Arial" w:hAnsi="Arial" w:cs="Arial"/>
          <w:b/>
          <w:bCs/>
          <w:color w:val="000000"/>
        </w:rPr>
        <w:instrText>HYPERLINK  \l "_4.17_Working_with"</w:instrText>
      </w:r>
      <w:r w:rsidR="00BA7079" w:rsidRPr="00BE5170">
        <w:rPr>
          <w:rFonts w:ascii="Arial" w:hAnsi="Arial" w:cs="Arial"/>
          <w:b/>
          <w:bCs/>
          <w:color w:val="000000"/>
        </w:rPr>
      </w:r>
      <w:r w:rsidR="00BA7079" w:rsidRPr="00BE5170">
        <w:rPr>
          <w:rFonts w:ascii="Arial" w:hAnsi="Arial" w:cs="Arial"/>
          <w:b/>
          <w:bCs/>
          <w:color w:val="000000"/>
        </w:rPr>
        <w:fldChar w:fldCharType="separate"/>
      </w:r>
      <w:r w:rsidR="00BA7079" w:rsidRPr="00BE5170">
        <w:rPr>
          <w:rStyle w:val="Hyperlink"/>
          <w:rFonts w:ascii="Arial" w:hAnsi="Arial" w:cs="Arial"/>
          <w:b/>
          <w:bCs/>
          <w:u w:val="none"/>
        </w:rPr>
        <w:t>4.1</w:t>
      </w:r>
      <w:r w:rsidR="00BA7079">
        <w:rPr>
          <w:rStyle w:val="Hyperlink"/>
          <w:rFonts w:ascii="Arial" w:hAnsi="Arial" w:cs="Arial"/>
          <w:b/>
          <w:bCs/>
          <w:u w:val="none"/>
        </w:rPr>
        <w:t>7</w:t>
      </w:r>
      <w:r w:rsidR="00BA7079" w:rsidRPr="00BE5170">
        <w:rPr>
          <w:rStyle w:val="Hyperlink"/>
          <w:rFonts w:ascii="Arial" w:hAnsi="Arial" w:cs="Arial"/>
          <w:b/>
          <w:bCs/>
          <w:u w:val="none"/>
        </w:rPr>
        <w:tab/>
      </w:r>
      <w:r w:rsidR="00BA7079">
        <w:rPr>
          <w:rStyle w:val="Hyperlink"/>
          <w:rFonts w:ascii="Arial" w:hAnsi="Arial" w:cs="Arial"/>
          <w:b/>
          <w:bCs/>
          <w:u w:val="none"/>
        </w:rPr>
        <w:t>Working with children checks</w:t>
      </w:r>
    </w:p>
    <w:p w14:paraId="35E489E1" w14:textId="6503497E" w:rsidR="00693223" w:rsidRPr="00EF65CA" w:rsidRDefault="00BA7079" w:rsidP="00BA7079">
      <w:pPr>
        <w:pBdr>
          <w:top w:val="single" w:sz="4" w:space="1" w:color="auto"/>
          <w:left w:val="single" w:sz="4" w:space="4" w:color="auto"/>
          <w:bottom w:val="single" w:sz="4" w:space="1" w:color="auto"/>
          <w:right w:val="single" w:sz="4" w:space="4" w:color="auto"/>
        </w:pBdr>
        <w:spacing w:before="120"/>
        <w:rPr>
          <w:rFonts w:ascii="Arial" w:hAnsi="Arial" w:cs="Arial"/>
          <w:b/>
          <w:bCs/>
          <w:sz w:val="10"/>
        </w:rPr>
      </w:pPr>
      <w:r w:rsidRPr="00BE5170">
        <w:rPr>
          <w:rFonts w:ascii="Arial" w:hAnsi="Arial" w:cs="Arial"/>
          <w:b/>
          <w:bCs/>
          <w:color w:val="000000"/>
        </w:rPr>
        <w:fldChar w:fldCharType="end"/>
      </w:r>
    </w:p>
    <w:p w14:paraId="1B8A49C4" w14:textId="77777777" w:rsidR="00160EB1" w:rsidRDefault="00160EB1">
      <w:pPr>
        <w:jc w:val="both"/>
        <w:rPr>
          <w:rFonts w:ascii="Arial" w:hAnsi="Arial" w:cs="Arial"/>
          <w:sz w:val="18"/>
        </w:rPr>
      </w:pPr>
    </w:p>
    <w:p w14:paraId="233CB38E" w14:textId="41ACCDE7" w:rsidR="00A56DB8" w:rsidRPr="00830010" w:rsidRDefault="00A56DB8" w:rsidP="00A56DB8">
      <w:pPr>
        <w:shd w:val="clear" w:color="auto" w:fill="000000"/>
        <w:ind w:left="-57" w:right="-85"/>
        <w:jc w:val="both"/>
        <w:rPr>
          <w:rFonts w:ascii="Arial" w:hAnsi="Arial" w:cs="Arial"/>
          <w:b/>
          <w:bCs/>
          <w:sz w:val="22"/>
          <w:szCs w:val="32"/>
        </w:rPr>
      </w:pPr>
      <w:r w:rsidRPr="00830010">
        <w:rPr>
          <w:rFonts w:ascii="Arial" w:hAnsi="Arial" w:cs="Arial"/>
          <w:b/>
          <w:bCs/>
          <w:sz w:val="22"/>
          <w:szCs w:val="32"/>
        </w:rPr>
        <w:t>IN THESE RESEARCH MATERIALS A REFERENCE TO THE “FAMILY COURT” OR THE “FAMILY COURT OF AUSTRALIA” IS A REFERENCE TO WHAT IS NOW KNOWN AS THE “FEDERAL CIRCUIT AND FAMILY COURT OF AUSTRALIA”.</w:t>
      </w:r>
    </w:p>
    <w:p w14:paraId="6AC10FC5" w14:textId="77777777" w:rsidR="00A56DB8" w:rsidRDefault="00A56DB8" w:rsidP="00A56DB8">
      <w:pPr>
        <w:rPr>
          <w:rFonts w:ascii="Arial" w:hAnsi="Arial" w:cs="Arial"/>
          <w:color w:val="000000"/>
          <w:sz w:val="18"/>
          <w:szCs w:val="22"/>
        </w:rPr>
      </w:pPr>
    </w:p>
    <w:p w14:paraId="0B86F9D2" w14:textId="77777777" w:rsidR="005B4417" w:rsidRDefault="005B4417" w:rsidP="005B4417">
      <w:pPr>
        <w:pBdr>
          <w:top w:val="single" w:sz="4" w:space="1" w:color="auto"/>
          <w:left w:val="single" w:sz="4" w:space="4" w:color="auto"/>
          <w:bottom w:val="single" w:sz="4" w:space="1" w:color="auto"/>
          <w:right w:val="single" w:sz="4" w:space="4" w:color="auto"/>
        </w:pBdr>
        <w:jc w:val="center"/>
        <w:rPr>
          <w:rFonts w:ascii="Arial" w:hAnsi="Arial" w:cs="Arial"/>
          <w:b/>
          <w:bCs/>
          <w:sz w:val="20"/>
        </w:rPr>
      </w:pPr>
      <w:r>
        <w:rPr>
          <w:rFonts w:ascii="Arial" w:hAnsi="Arial" w:cs="Arial"/>
          <w:b/>
          <w:bCs/>
          <w:sz w:val="20"/>
        </w:rPr>
        <w:t>"What is learned in childhood is engraved in stone."</w:t>
      </w:r>
    </w:p>
    <w:p w14:paraId="542AAD6D" w14:textId="77777777" w:rsidR="005B4417" w:rsidRDefault="009A5DF9" w:rsidP="005B4417">
      <w:pPr>
        <w:pBdr>
          <w:top w:val="single" w:sz="4" w:space="1" w:color="auto"/>
          <w:left w:val="single" w:sz="4" w:space="4" w:color="auto"/>
          <w:bottom w:val="single" w:sz="4" w:space="1" w:color="auto"/>
          <w:right w:val="single" w:sz="4" w:space="4" w:color="auto"/>
        </w:pBdr>
        <w:jc w:val="center"/>
        <w:rPr>
          <w:rFonts w:ascii="Arial" w:hAnsi="Arial" w:cs="Arial"/>
          <w:sz w:val="20"/>
        </w:rPr>
      </w:pPr>
      <w:r>
        <w:rPr>
          <w:rFonts w:ascii="Arial" w:hAnsi="Arial" w:cs="Arial"/>
          <w:sz w:val="20"/>
        </w:rPr>
        <w:t>Mary McAleese</w:t>
      </w:r>
      <w:r w:rsidR="005B4417">
        <w:rPr>
          <w:rFonts w:ascii="Arial" w:hAnsi="Arial" w:cs="Arial"/>
          <w:sz w:val="20"/>
        </w:rPr>
        <w:t xml:space="preserve"> (Pr</w:t>
      </w:r>
      <w:r>
        <w:rPr>
          <w:rFonts w:ascii="Arial" w:hAnsi="Arial" w:cs="Arial"/>
          <w:sz w:val="20"/>
        </w:rPr>
        <w:t xml:space="preserve">esident of </w:t>
      </w:r>
      <w:smartTag w:uri="urn:schemas-microsoft-com:office:smarttags" w:element="country-region">
        <w:r>
          <w:rPr>
            <w:rFonts w:ascii="Arial" w:hAnsi="Arial" w:cs="Arial"/>
            <w:sz w:val="20"/>
          </w:rPr>
          <w:t>Ireland</w:t>
        </w:r>
      </w:smartTag>
      <w:r>
        <w:rPr>
          <w:rFonts w:ascii="Arial" w:hAnsi="Arial" w:cs="Arial"/>
          <w:sz w:val="20"/>
        </w:rPr>
        <w:t xml:space="preserve"> – </w:t>
      </w:r>
      <w:smartTag w:uri="urn:schemas-microsoft-com:office:smarttags" w:element="place">
        <w:smartTag w:uri="urn:schemas-microsoft-com:office:smarttags" w:element="City">
          <w:r>
            <w:rPr>
              <w:rFonts w:ascii="Arial" w:hAnsi="Arial" w:cs="Arial"/>
              <w:sz w:val="20"/>
            </w:rPr>
            <w:t>Belfast</w:t>
          </w:r>
        </w:smartTag>
      </w:smartTag>
      <w:r>
        <w:rPr>
          <w:rFonts w:ascii="Arial" w:hAnsi="Arial" w:cs="Arial"/>
          <w:sz w:val="20"/>
        </w:rPr>
        <w:t>, August 2006</w:t>
      </w:r>
      <w:r w:rsidR="005B4417">
        <w:rPr>
          <w:rFonts w:ascii="Arial" w:hAnsi="Arial" w:cs="Arial"/>
          <w:sz w:val="20"/>
        </w:rPr>
        <w:t>)</w:t>
      </w:r>
    </w:p>
    <w:p w14:paraId="044C1B06" w14:textId="77777777" w:rsidR="005B4417" w:rsidRPr="00EF65CA" w:rsidRDefault="005B4417">
      <w:pPr>
        <w:jc w:val="both"/>
        <w:rPr>
          <w:rFonts w:ascii="Arial" w:hAnsi="Arial" w:cs="Arial"/>
          <w:sz w:val="14"/>
        </w:rPr>
      </w:pPr>
    </w:p>
    <w:p w14:paraId="76B56249" w14:textId="77777777" w:rsidR="00693223" w:rsidRDefault="00693223">
      <w:pPr>
        <w:pStyle w:val="Heading2"/>
        <w:tabs>
          <w:tab w:val="left" w:pos="567"/>
        </w:tabs>
        <w:spacing w:line="240" w:lineRule="auto"/>
        <w:rPr>
          <w:rFonts w:ascii="Arial" w:hAnsi="Arial" w:cs="Arial"/>
          <w:b/>
          <w:bCs/>
        </w:rPr>
      </w:pPr>
      <w:bookmarkStart w:id="87" w:name="_4.1_The_Child"/>
      <w:bookmarkStart w:id="88" w:name="B41"/>
      <w:bookmarkEnd w:id="87"/>
      <w:bookmarkEnd w:id="88"/>
      <w:r>
        <w:rPr>
          <w:rFonts w:ascii="Arial" w:hAnsi="Arial" w:cs="Arial"/>
          <w:b/>
          <w:bCs/>
        </w:rPr>
        <w:t>4.1</w:t>
      </w:r>
      <w:r>
        <w:rPr>
          <w:rFonts w:ascii="Arial" w:hAnsi="Arial" w:cs="Arial"/>
          <w:b/>
          <w:bCs/>
        </w:rPr>
        <w:tab/>
      </w:r>
      <w:r w:rsidR="00940D74">
        <w:rPr>
          <w:rFonts w:ascii="Arial" w:hAnsi="Arial" w:cs="Arial"/>
          <w:b/>
          <w:bCs/>
        </w:rPr>
        <w:t xml:space="preserve">The </w:t>
      </w:r>
      <w:r>
        <w:rPr>
          <w:rFonts w:ascii="Arial" w:hAnsi="Arial" w:cs="Arial"/>
          <w:b/>
          <w:bCs/>
        </w:rPr>
        <w:t xml:space="preserve">Child Protection </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940D74">
        <w:rPr>
          <w:rFonts w:ascii="Arial" w:hAnsi="Arial" w:cs="Arial"/>
          <w:b/>
          <w:bCs/>
        </w:rPr>
        <w:t>Service</w:t>
      </w:r>
      <w:r w:rsidR="00785D2D">
        <w:rPr>
          <w:rFonts w:ascii="Arial" w:hAnsi="Arial" w:cs="Arial"/>
          <w:b/>
          <w:bCs/>
        </w:rPr>
        <w:t xml:space="preserve"> [‘DFFH’]</w:t>
      </w:r>
    </w:p>
    <w:p w14:paraId="278871B3" w14:textId="77777777" w:rsidR="00693223" w:rsidRPr="00EF65CA" w:rsidRDefault="00693223">
      <w:pPr>
        <w:jc w:val="both"/>
        <w:rPr>
          <w:rFonts w:ascii="Arial" w:hAnsi="Arial" w:cs="Arial"/>
          <w:sz w:val="14"/>
        </w:rPr>
      </w:pPr>
    </w:p>
    <w:p w14:paraId="387E9826" w14:textId="607274D0" w:rsidR="00693223" w:rsidRDefault="00693223">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Most Victorian children and young people are adequately cared for and nurtured by their family. </w:t>
      </w:r>
      <w:r w:rsidR="00B05EC7">
        <w:rPr>
          <w:rFonts w:ascii="Arial" w:hAnsi="Arial" w:cs="Arial"/>
          <w:sz w:val="20"/>
          <w:szCs w:val="20"/>
        </w:rPr>
        <w:t xml:space="preserve"> </w:t>
      </w:r>
      <w:r>
        <w:rPr>
          <w:rFonts w:ascii="Arial" w:hAnsi="Arial" w:cs="Arial"/>
          <w:sz w:val="20"/>
          <w:szCs w:val="20"/>
        </w:rPr>
        <w:t xml:space="preserve">It is only when parents or caregivers are unable or unwilling to protect children against significant harm that the Child Protection Service of the Victorian Government's Department of </w:t>
      </w:r>
      <w:r w:rsidR="00785D2D">
        <w:rPr>
          <w:rFonts w:ascii="Arial" w:hAnsi="Arial" w:cs="Arial"/>
          <w:sz w:val="20"/>
          <w:szCs w:val="20"/>
        </w:rPr>
        <w:t xml:space="preserve">Families, Fairness and Housing ('DFFH’ or ‘the Department') – formerly called the Department of </w:t>
      </w:r>
      <w:r w:rsidR="00520BE4">
        <w:rPr>
          <w:rFonts w:ascii="Arial" w:hAnsi="Arial" w:cs="Arial"/>
          <w:sz w:val="20"/>
          <w:szCs w:val="20"/>
        </w:rPr>
        <w:t xml:space="preserve">Health &amp; </w:t>
      </w:r>
      <w:r>
        <w:rPr>
          <w:rFonts w:ascii="Arial" w:hAnsi="Arial" w:cs="Arial"/>
          <w:sz w:val="20"/>
          <w:szCs w:val="20"/>
        </w:rPr>
        <w:t xml:space="preserve">Human Services </w:t>
      </w:r>
      <w:r w:rsidR="00785D2D">
        <w:rPr>
          <w:rFonts w:ascii="Arial" w:hAnsi="Arial" w:cs="Arial"/>
          <w:sz w:val="20"/>
          <w:szCs w:val="20"/>
        </w:rPr>
        <w:t>('DHHS') or the Department of Human Services (</w:t>
      </w:r>
      <w:r w:rsidR="002E0E92">
        <w:rPr>
          <w:rFonts w:ascii="Arial" w:hAnsi="Arial" w:cs="Arial"/>
          <w:sz w:val="20"/>
          <w:szCs w:val="20"/>
        </w:rPr>
        <w:t xml:space="preserve">‘DHS’ or </w:t>
      </w:r>
      <w:r w:rsidR="00785D2D">
        <w:rPr>
          <w:rFonts w:ascii="Arial" w:hAnsi="Arial" w:cs="Arial"/>
          <w:sz w:val="20"/>
          <w:szCs w:val="20"/>
        </w:rPr>
        <w:t xml:space="preserve">‘DOHS’) – </w:t>
      </w:r>
      <w:r>
        <w:rPr>
          <w:rFonts w:ascii="Arial" w:hAnsi="Arial" w:cs="Arial"/>
          <w:sz w:val="20"/>
          <w:szCs w:val="20"/>
        </w:rPr>
        <w:t>intervenes</w:t>
      </w:r>
      <w:r w:rsidR="00785D2D">
        <w:rPr>
          <w:rFonts w:ascii="Arial" w:hAnsi="Arial" w:cs="Arial"/>
          <w:sz w:val="20"/>
          <w:szCs w:val="20"/>
        </w:rPr>
        <w:t xml:space="preserve"> </w:t>
      </w:r>
      <w:r>
        <w:rPr>
          <w:rFonts w:ascii="Arial" w:hAnsi="Arial" w:cs="Arial"/>
          <w:sz w:val="20"/>
          <w:szCs w:val="20"/>
        </w:rPr>
        <w:t xml:space="preserve">to protect children and young people.  The permanent head of the Department is entitled 'the Secretary' [s.3 of the </w:t>
      </w:r>
      <w:r>
        <w:rPr>
          <w:rFonts w:ascii="Arial" w:hAnsi="Arial" w:cs="Arial"/>
          <w:iCs/>
          <w:sz w:val="20"/>
          <w:u w:val="single"/>
        </w:rPr>
        <w:t>Children</w:t>
      </w:r>
      <w:r w:rsidR="007A7B63">
        <w:rPr>
          <w:rFonts w:ascii="Arial" w:hAnsi="Arial" w:cs="Arial"/>
          <w:iCs/>
          <w:sz w:val="20"/>
          <w:u w:val="single"/>
        </w:rPr>
        <w:t xml:space="preserve">, Youth and Families Act </w:t>
      </w:r>
      <w:r w:rsidR="007A7B63">
        <w:rPr>
          <w:rFonts w:ascii="Arial" w:hAnsi="Arial" w:cs="Arial"/>
          <w:sz w:val="20"/>
          <w:u w:val="single"/>
        </w:rPr>
        <w:t>2005</w:t>
      </w:r>
      <w:r>
        <w:rPr>
          <w:rFonts w:ascii="Arial" w:hAnsi="Arial" w:cs="Arial"/>
          <w:sz w:val="20"/>
          <w:u w:val="single"/>
        </w:rPr>
        <w:t xml:space="preserve"> (Vic)</w:t>
      </w:r>
      <w:r>
        <w:rPr>
          <w:rFonts w:ascii="Arial" w:hAnsi="Arial" w:cs="Arial"/>
          <w:sz w:val="20"/>
        </w:rPr>
        <w:t xml:space="preserve"> [No.</w:t>
      </w:r>
      <w:r w:rsidR="007A7B63">
        <w:rPr>
          <w:rFonts w:ascii="Arial" w:hAnsi="Arial" w:cs="Arial"/>
          <w:sz w:val="20"/>
        </w:rPr>
        <w:t>9</w:t>
      </w:r>
      <w:r>
        <w:rPr>
          <w:rFonts w:ascii="Arial" w:hAnsi="Arial" w:cs="Arial"/>
          <w:sz w:val="20"/>
        </w:rPr>
        <w:t>6/</w:t>
      </w:r>
      <w:r w:rsidR="007A7B63">
        <w:rPr>
          <w:rFonts w:ascii="Arial" w:hAnsi="Arial" w:cs="Arial"/>
          <w:sz w:val="20"/>
        </w:rPr>
        <w:t>2005</w:t>
      </w:r>
      <w:r>
        <w:rPr>
          <w:rFonts w:ascii="Arial" w:hAnsi="Arial" w:cs="Arial"/>
          <w:sz w:val="20"/>
        </w:rPr>
        <w:t>] ('the CY</w:t>
      </w:r>
      <w:r w:rsidR="007A7B63">
        <w:rPr>
          <w:rFonts w:ascii="Arial" w:hAnsi="Arial" w:cs="Arial"/>
          <w:sz w:val="20"/>
        </w:rPr>
        <w:t>F</w:t>
      </w:r>
      <w:r>
        <w:rPr>
          <w:rFonts w:ascii="Arial" w:hAnsi="Arial" w:cs="Arial"/>
          <w:sz w:val="20"/>
        </w:rPr>
        <w:t>A')</w:t>
      </w:r>
      <w:r w:rsidR="00FB77B7">
        <w:rPr>
          <w:rFonts w:ascii="Arial" w:hAnsi="Arial" w:cs="Arial"/>
          <w:sz w:val="20"/>
        </w:rPr>
        <w:t>]</w:t>
      </w:r>
      <w:r>
        <w:rPr>
          <w:rFonts w:ascii="Arial" w:hAnsi="Arial" w:cs="Arial"/>
          <w:sz w:val="20"/>
          <w:szCs w:val="20"/>
        </w:rPr>
        <w:t>.</w:t>
      </w:r>
      <w:r w:rsidR="00921C6A">
        <w:rPr>
          <w:rFonts w:ascii="Arial" w:hAnsi="Arial" w:cs="Arial"/>
          <w:sz w:val="20"/>
          <w:szCs w:val="20"/>
        </w:rPr>
        <w:t xml:space="preserve">  Section 17 CYFA empowers the Secretary to delegate to any employee or class of employees any function or power of the Secretary under the CYFA except for 7 specific exclusions, the last of which is “this power of delegation”.</w:t>
      </w:r>
    </w:p>
    <w:p w14:paraId="6B9FC584" w14:textId="77777777" w:rsidR="00693223" w:rsidRPr="00E14F02" w:rsidRDefault="00693223">
      <w:pPr>
        <w:pStyle w:val="NormalWeb"/>
        <w:spacing w:before="0" w:beforeAutospacing="0" w:after="0" w:afterAutospacing="0"/>
        <w:jc w:val="both"/>
        <w:rPr>
          <w:rFonts w:ascii="Arial" w:hAnsi="Arial" w:cs="Arial"/>
          <w:sz w:val="18"/>
          <w:szCs w:val="20"/>
        </w:rPr>
      </w:pPr>
    </w:p>
    <w:p w14:paraId="6B693F61" w14:textId="77777777" w:rsidR="00693223" w:rsidRDefault="00693223" w:rsidP="00A56DB8">
      <w:pPr>
        <w:pStyle w:val="Heading3"/>
        <w:keepNext/>
        <w:keepLines/>
        <w:widowControl/>
        <w:spacing w:line="240" w:lineRule="auto"/>
        <w:rPr>
          <w:rFonts w:ascii="Arial" w:hAnsi="Arial" w:cs="Arial"/>
          <w:b/>
          <w:bCs/>
          <w:sz w:val="20"/>
        </w:rPr>
      </w:pPr>
      <w:bookmarkStart w:id="89" w:name="_4.1.1_Functions_of"/>
      <w:bookmarkStart w:id="90" w:name="B41x1"/>
      <w:bookmarkStart w:id="91" w:name="_Toc30644235"/>
      <w:bookmarkStart w:id="92" w:name="_Toc30644638"/>
      <w:bookmarkStart w:id="93" w:name="_Toc30645188"/>
      <w:bookmarkStart w:id="94" w:name="_Toc30646399"/>
      <w:bookmarkStart w:id="95" w:name="_Toc30646694"/>
      <w:bookmarkStart w:id="96" w:name="_Toc30646805"/>
      <w:bookmarkStart w:id="97" w:name="_Toc30648162"/>
      <w:bookmarkStart w:id="98" w:name="_Toc30649060"/>
      <w:bookmarkStart w:id="99" w:name="_Toc30649136"/>
      <w:bookmarkStart w:id="100" w:name="_Toc30649397"/>
      <w:bookmarkStart w:id="101" w:name="_Toc30649722"/>
      <w:bookmarkStart w:id="102" w:name="_Toc30651662"/>
      <w:bookmarkStart w:id="103" w:name="_Toc30652652"/>
      <w:bookmarkStart w:id="104" w:name="_Toc30652748"/>
      <w:bookmarkStart w:id="105" w:name="_Toc30654093"/>
      <w:bookmarkStart w:id="106" w:name="_Toc30654444"/>
      <w:bookmarkStart w:id="107" w:name="_Toc30655063"/>
      <w:bookmarkStart w:id="108" w:name="_Toc30655320"/>
      <w:bookmarkStart w:id="109" w:name="_Toc30656998"/>
      <w:bookmarkStart w:id="110" w:name="_Toc30661747"/>
      <w:bookmarkStart w:id="111" w:name="_Toc30666435"/>
      <w:bookmarkStart w:id="112" w:name="_Toc30666665"/>
      <w:bookmarkStart w:id="113" w:name="_Toc30667840"/>
      <w:bookmarkStart w:id="114" w:name="_Toc30669218"/>
      <w:bookmarkStart w:id="115" w:name="_Toc30671434"/>
      <w:bookmarkStart w:id="116" w:name="_Toc30673961"/>
      <w:bookmarkStart w:id="117" w:name="_Toc30691183"/>
      <w:bookmarkStart w:id="118" w:name="_Toc30691556"/>
      <w:bookmarkStart w:id="119" w:name="_Toc30691936"/>
      <w:bookmarkStart w:id="120" w:name="_Toc30692695"/>
      <w:bookmarkStart w:id="121" w:name="_Toc30693074"/>
      <w:bookmarkStart w:id="122" w:name="_Toc30693452"/>
      <w:bookmarkStart w:id="123" w:name="_Toc30693830"/>
      <w:bookmarkStart w:id="124" w:name="_Toc30694211"/>
      <w:bookmarkStart w:id="125" w:name="_Toc30698800"/>
      <w:bookmarkStart w:id="126" w:name="_Toc30699178"/>
      <w:bookmarkStart w:id="127" w:name="_Toc30699563"/>
      <w:bookmarkStart w:id="128" w:name="_Toc30700718"/>
      <w:bookmarkStart w:id="129" w:name="_Toc30701105"/>
      <w:bookmarkStart w:id="130" w:name="_Toc30743714"/>
      <w:bookmarkStart w:id="131" w:name="_Toc30754537"/>
      <w:bookmarkStart w:id="132" w:name="_Toc30756977"/>
      <w:bookmarkStart w:id="133" w:name="_Toc30757526"/>
      <w:bookmarkStart w:id="134" w:name="_Toc30757926"/>
      <w:bookmarkStart w:id="135" w:name="_Toc30762687"/>
      <w:bookmarkStart w:id="136" w:name="_Toc30767341"/>
      <w:bookmarkStart w:id="137" w:name="_Toc34823357"/>
      <w:bookmarkEnd w:id="89"/>
      <w:bookmarkEnd w:id="90"/>
      <w:r>
        <w:rPr>
          <w:rFonts w:ascii="Arial" w:hAnsi="Arial" w:cs="Arial"/>
          <w:b/>
          <w:bCs/>
          <w:sz w:val="20"/>
        </w:rPr>
        <w:t>4.1.1</w:t>
      </w:r>
      <w:r>
        <w:rPr>
          <w:rFonts w:ascii="Arial" w:hAnsi="Arial" w:cs="Arial"/>
          <w:b/>
          <w:bCs/>
          <w:sz w:val="20"/>
        </w:rPr>
        <w:tab/>
        <w:t>Functions of the Child Protection Service</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3FB151C4" w14:textId="77777777" w:rsidR="00693223" w:rsidRPr="00E14F02" w:rsidRDefault="00693223" w:rsidP="00516B86">
      <w:pPr>
        <w:pStyle w:val="Heading3"/>
        <w:keepNext/>
        <w:keepLines/>
        <w:widowControl/>
        <w:spacing w:line="240" w:lineRule="auto"/>
        <w:rPr>
          <w:rFonts w:ascii="Arial" w:hAnsi="Arial" w:cs="Arial"/>
          <w:b/>
          <w:bCs/>
          <w:sz w:val="18"/>
        </w:rPr>
      </w:pPr>
    </w:p>
    <w:p w14:paraId="109AAAD7" w14:textId="77777777" w:rsidR="00693223" w:rsidRDefault="00693223" w:rsidP="00082A5E">
      <w:pPr>
        <w:jc w:val="both"/>
        <w:rPr>
          <w:rFonts w:ascii="Arial" w:hAnsi="Arial" w:cs="Arial"/>
          <w:sz w:val="20"/>
        </w:rPr>
      </w:pPr>
      <w:r>
        <w:rPr>
          <w:rFonts w:ascii="Arial" w:hAnsi="Arial" w:cs="Arial"/>
          <w:sz w:val="20"/>
        </w:rPr>
        <w:t xml:space="preserve">The main functions of the </w:t>
      </w:r>
      <w:r w:rsidRPr="00FA1A78">
        <w:rPr>
          <w:rFonts w:ascii="Arial" w:hAnsi="Arial" w:cs="Arial"/>
          <w:b/>
          <w:bCs/>
          <w:sz w:val="20"/>
        </w:rPr>
        <w:t>Child Protection Service</w:t>
      </w:r>
      <w:r>
        <w:rPr>
          <w:rFonts w:ascii="Arial" w:hAnsi="Arial" w:cs="Arial"/>
          <w:sz w:val="20"/>
        </w:rPr>
        <w:t xml:space="preserve"> are:</w:t>
      </w:r>
    </w:p>
    <w:p w14:paraId="1898BD65" w14:textId="77777777" w:rsidR="00693223" w:rsidRDefault="00693223">
      <w:pPr>
        <w:keepNext/>
        <w:keepLines/>
        <w:numPr>
          <w:ilvl w:val="0"/>
          <w:numId w:val="55"/>
        </w:numPr>
        <w:ind w:left="357" w:hanging="357"/>
        <w:jc w:val="both"/>
        <w:rPr>
          <w:sz w:val="20"/>
        </w:rPr>
      </w:pPr>
      <w:r>
        <w:rPr>
          <w:rFonts w:ascii="Arial" w:hAnsi="Arial" w:cs="Arial"/>
          <w:sz w:val="20"/>
        </w:rPr>
        <w:lastRenderedPageBreak/>
        <w:t>to investigate matters where it is alleged that a child is at risk of significant harm;</w:t>
      </w:r>
    </w:p>
    <w:p w14:paraId="36A68384" w14:textId="77777777" w:rsidR="00693223" w:rsidRDefault="00693223">
      <w:pPr>
        <w:keepNext/>
        <w:keepLines/>
        <w:numPr>
          <w:ilvl w:val="0"/>
          <w:numId w:val="55"/>
        </w:numPr>
        <w:ind w:left="357" w:hanging="357"/>
        <w:jc w:val="both"/>
        <w:rPr>
          <w:sz w:val="20"/>
        </w:rPr>
      </w:pPr>
      <w:r>
        <w:rPr>
          <w:rFonts w:ascii="Arial" w:hAnsi="Arial" w:cs="Arial"/>
          <w:sz w:val="20"/>
        </w:rPr>
        <w:t>to refer children and families to services that assist in providing the ongoing safety and well-being of the children;</w:t>
      </w:r>
    </w:p>
    <w:p w14:paraId="2D101ECB" w14:textId="77777777" w:rsidR="00693223" w:rsidRDefault="00693223">
      <w:pPr>
        <w:numPr>
          <w:ilvl w:val="0"/>
          <w:numId w:val="55"/>
        </w:numPr>
        <w:ind w:left="357" w:hanging="357"/>
        <w:jc w:val="both"/>
        <w:rPr>
          <w:sz w:val="20"/>
        </w:rPr>
      </w:pPr>
      <w:r>
        <w:rPr>
          <w:rFonts w:ascii="Arial" w:hAnsi="Arial" w:cs="Arial"/>
          <w:sz w:val="20"/>
        </w:rPr>
        <w:t>to take matters before the Children's Court if the child's safety cannot be ensured within the family;</w:t>
      </w:r>
    </w:p>
    <w:p w14:paraId="5E7A224B" w14:textId="77777777" w:rsidR="00693223" w:rsidRDefault="00693223">
      <w:pPr>
        <w:numPr>
          <w:ilvl w:val="0"/>
          <w:numId w:val="55"/>
        </w:numPr>
        <w:ind w:left="357" w:hanging="357"/>
        <w:jc w:val="both"/>
        <w:rPr>
          <w:sz w:val="20"/>
        </w:rPr>
      </w:pPr>
      <w:r>
        <w:rPr>
          <w:rFonts w:ascii="Arial" w:hAnsi="Arial" w:cs="Arial"/>
          <w:sz w:val="20"/>
        </w:rPr>
        <w:t>to supervise children on legal orders granted by the Children's Court; and</w:t>
      </w:r>
    </w:p>
    <w:p w14:paraId="0E827B34" w14:textId="77777777" w:rsidR="00693223" w:rsidRDefault="00693223">
      <w:pPr>
        <w:numPr>
          <w:ilvl w:val="0"/>
          <w:numId w:val="55"/>
        </w:numPr>
        <w:ind w:left="357" w:hanging="357"/>
        <w:jc w:val="both"/>
        <w:rPr>
          <w:sz w:val="20"/>
        </w:rPr>
      </w:pPr>
      <w:r>
        <w:rPr>
          <w:rFonts w:ascii="Arial" w:hAnsi="Arial" w:cs="Arial"/>
          <w:sz w:val="20"/>
        </w:rPr>
        <w:t>to provide and fund accommodation services, specialist support services, and adoption and permanent care to those children and adolescents in need.</w:t>
      </w:r>
    </w:p>
    <w:p w14:paraId="3EBD3935" w14:textId="77777777" w:rsidR="00A82435" w:rsidRPr="00E14F02" w:rsidRDefault="00A82435" w:rsidP="00A82435">
      <w:pPr>
        <w:pStyle w:val="NormalWeb"/>
        <w:spacing w:before="0" w:beforeAutospacing="0" w:after="0" w:afterAutospacing="0"/>
        <w:jc w:val="both"/>
        <w:rPr>
          <w:rFonts w:ascii="Arial" w:hAnsi="Arial" w:cs="Arial"/>
          <w:sz w:val="18"/>
          <w:szCs w:val="20"/>
        </w:rPr>
      </w:pPr>
    </w:p>
    <w:p w14:paraId="6ED05BA0" w14:textId="7F5AA65F" w:rsidR="006911B0" w:rsidRDefault="006911B0" w:rsidP="00A82435">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w:t>
      </w:r>
      <w:r w:rsidR="00B134ED">
        <w:rPr>
          <w:rFonts w:ascii="Arial" w:hAnsi="Arial" w:cs="Arial"/>
          <w:sz w:val="20"/>
          <w:szCs w:val="20"/>
        </w:rPr>
        <w:t xml:space="preserve">relation to point (5), </w:t>
      </w:r>
      <w:r>
        <w:rPr>
          <w:rFonts w:ascii="Arial" w:hAnsi="Arial" w:cs="Arial"/>
          <w:sz w:val="20"/>
          <w:szCs w:val="20"/>
        </w:rPr>
        <w:t xml:space="preserve">an independent report to Parliament on Kinship Care dated June 2022 </w:t>
      </w:r>
      <w:r w:rsidR="00B134ED">
        <w:rPr>
          <w:rFonts w:ascii="Arial" w:hAnsi="Arial" w:cs="Arial"/>
          <w:sz w:val="20"/>
          <w:szCs w:val="20"/>
        </w:rPr>
        <w:t xml:space="preserve">by </w:t>
      </w:r>
      <w:r>
        <w:rPr>
          <w:rFonts w:ascii="Arial" w:hAnsi="Arial" w:cs="Arial"/>
          <w:sz w:val="20"/>
          <w:szCs w:val="20"/>
        </w:rPr>
        <w:t xml:space="preserve">the Victorian Auditor-General’s Office </w:t>
      </w:r>
      <w:r w:rsidR="00B134ED">
        <w:rPr>
          <w:rFonts w:ascii="Arial" w:hAnsi="Arial" w:cs="Arial"/>
          <w:sz w:val="20"/>
          <w:szCs w:val="20"/>
        </w:rPr>
        <w:t xml:space="preserve">(the VAGO report) </w:t>
      </w:r>
      <w:r>
        <w:rPr>
          <w:rFonts w:ascii="Arial" w:hAnsi="Arial" w:cs="Arial"/>
          <w:sz w:val="20"/>
          <w:szCs w:val="20"/>
        </w:rPr>
        <w:t xml:space="preserve">summarised out of home care (OOHC) in Victoria </w:t>
      </w:r>
      <w:r w:rsidR="00B17320">
        <w:rPr>
          <w:rFonts w:ascii="Arial" w:hAnsi="Arial" w:cs="Arial"/>
          <w:sz w:val="20"/>
          <w:szCs w:val="20"/>
        </w:rPr>
        <w:t xml:space="preserve">at p.14 </w:t>
      </w:r>
      <w:r>
        <w:rPr>
          <w:rFonts w:ascii="Arial" w:hAnsi="Arial" w:cs="Arial"/>
          <w:sz w:val="20"/>
          <w:szCs w:val="20"/>
        </w:rPr>
        <w:t>as follows:</w:t>
      </w:r>
    </w:p>
    <w:p w14:paraId="281F2F25" w14:textId="032038B8" w:rsidR="006911B0" w:rsidRDefault="006911B0" w:rsidP="00FA1A78">
      <w:pPr>
        <w:spacing w:before="60"/>
        <w:ind w:left="454" w:right="454"/>
        <w:jc w:val="both"/>
        <w:rPr>
          <w:rFonts w:ascii="Arial" w:hAnsi="Arial" w:cs="Arial"/>
          <w:sz w:val="20"/>
        </w:rPr>
      </w:pPr>
      <w:r>
        <w:rPr>
          <w:rFonts w:ascii="Arial" w:hAnsi="Arial" w:cs="Arial"/>
          <w:sz w:val="20"/>
        </w:rPr>
        <w:t>“If parents are unable or unwilling to keep their children safe at home, the state’s OOHC system provides alternative care for them.  While some children are placed in this system for only a few days or weeks, others spend many years in it.</w:t>
      </w:r>
    </w:p>
    <w:p w14:paraId="062C8AB1" w14:textId="5B55DDAA" w:rsidR="006911B0" w:rsidRDefault="006911B0" w:rsidP="006911B0">
      <w:pPr>
        <w:spacing w:before="60"/>
        <w:ind w:left="454" w:right="454"/>
        <w:jc w:val="both"/>
        <w:rPr>
          <w:rFonts w:ascii="Arial" w:hAnsi="Arial" w:cs="Arial"/>
          <w:sz w:val="20"/>
        </w:rPr>
      </w:pPr>
      <w:r>
        <w:rPr>
          <w:rFonts w:ascii="Arial" w:hAnsi="Arial" w:cs="Arial"/>
          <w:sz w:val="20"/>
        </w:rPr>
        <w:t>There are 3 main types of placements:</w:t>
      </w:r>
    </w:p>
    <w:p w14:paraId="2D3FBAB7" w14:textId="6E8A7667" w:rsidR="006911B0" w:rsidRDefault="006911B0">
      <w:pPr>
        <w:pStyle w:val="NormalWeb"/>
        <w:numPr>
          <w:ilvl w:val="0"/>
          <w:numId w:val="53"/>
        </w:numPr>
        <w:spacing w:before="0" w:beforeAutospacing="0" w:after="0" w:afterAutospacing="0"/>
        <w:ind w:left="811" w:right="454" w:hanging="357"/>
        <w:jc w:val="both"/>
        <w:rPr>
          <w:rFonts w:ascii="Arial" w:hAnsi="Arial" w:cs="Arial"/>
          <w:sz w:val="20"/>
          <w:szCs w:val="20"/>
        </w:rPr>
      </w:pPr>
      <w:r w:rsidRPr="006911B0">
        <w:rPr>
          <w:rFonts w:ascii="Arial" w:hAnsi="Arial" w:cs="Arial"/>
          <w:b/>
          <w:bCs/>
          <w:sz w:val="20"/>
          <w:szCs w:val="20"/>
        </w:rPr>
        <w:t>foster care</w:t>
      </w:r>
      <w:r>
        <w:rPr>
          <w:rFonts w:ascii="Arial" w:hAnsi="Arial" w:cs="Arial"/>
          <w:sz w:val="20"/>
          <w:szCs w:val="20"/>
        </w:rPr>
        <w:t>, where trained carers provide care;</w:t>
      </w:r>
    </w:p>
    <w:p w14:paraId="36E94173" w14:textId="1FD287E7" w:rsidR="006911B0" w:rsidRDefault="006911B0">
      <w:pPr>
        <w:pStyle w:val="NormalWeb"/>
        <w:numPr>
          <w:ilvl w:val="0"/>
          <w:numId w:val="53"/>
        </w:numPr>
        <w:spacing w:before="0" w:beforeAutospacing="0" w:after="0" w:afterAutospacing="0"/>
        <w:ind w:left="811" w:right="454" w:hanging="357"/>
        <w:jc w:val="both"/>
        <w:rPr>
          <w:rFonts w:ascii="Arial" w:hAnsi="Arial" w:cs="Arial"/>
          <w:sz w:val="20"/>
          <w:szCs w:val="20"/>
        </w:rPr>
      </w:pPr>
      <w:r w:rsidRPr="006911B0">
        <w:rPr>
          <w:rFonts w:ascii="Arial" w:hAnsi="Arial" w:cs="Arial"/>
          <w:b/>
          <w:bCs/>
          <w:sz w:val="20"/>
          <w:szCs w:val="20"/>
        </w:rPr>
        <w:t>residential care</w:t>
      </w:r>
      <w:r>
        <w:rPr>
          <w:rFonts w:ascii="Arial" w:hAnsi="Arial" w:cs="Arial"/>
          <w:sz w:val="20"/>
          <w:szCs w:val="20"/>
        </w:rPr>
        <w:t>, where children live in community-based care homes;</w:t>
      </w:r>
    </w:p>
    <w:p w14:paraId="6AB459D8" w14:textId="38328009" w:rsidR="006911B0" w:rsidRDefault="006911B0">
      <w:pPr>
        <w:pStyle w:val="NormalWeb"/>
        <w:numPr>
          <w:ilvl w:val="0"/>
          <w:numId w:val="53"/>
        </w:numPr>
        <w:spacing w:before="0" w:beforeAutospacing="0" w:after="0" w:afterAutospacing="0"/>
        <w:ind w:left="811" w:right="454" w:hanging="357"/>
        <w:jc w:val="both"/>
        <w:rPr>
          <w:rFonts w:ascii="Arial" w:hAnsi="Arial" w:cs="Arial"/>
          <w:sz w:val="20"/>
          <w:szCs w:val="20"/>
        </w:rPr>
      </w:pPr>
      <w:r w:rsidRPr="006911B0">
        <w:rPr>
          <w:rFonts w:ascii="Arial" w:hAnsi="Arial" w:cs="Arial"/>
          <w:b/>
          <w:bCs/>
          <w:sz w:val="20"/>
          <w:szCs w:val="20"/>
        </w:rPr>
        <w:t>kinship care</w:t>
      </w:r>
      <w:r>
        <w:rPr>
          <w:rFonts w:ascii="Arial" w:hAnsi="Arial" w:cs="Arial"/>
          <w:sz w:val="20"/>
          <w:szCs w:val="20"/>
        </w:rPr>
        <w:t>, where relatives or other familiar people in a child’s life provide care.</w:t>
      </w:r>
    </w:p>
    <w:p w14:paraId="2F797BAE" w14:textId="26D8FB3C" w:rsidR="00995E86" w:rsidRDefault="006911B0" w:rsidP="00995E86">
      <w:pPr>
        <w:spacing w:before="80"/>
        <w:ind w:left="454" w:right="454"/>
        <w:jc w:val="both"/>
        <w:rPr>
          <w:rFonts w:ascii="Arial" w:hAnsi="Arial" w:cs="Arial"/>
          <w:sz w:val="20"/>
        </w:rPr>
      </w:pPr>
      <w:r>
        <w:rPr>
          <w:rFonts w:ascii="Arial" w:hAnsi="Arial" w:cs="Arial"/>
          <w:sz w:val="20"/>
          <w:szCs w:val="20"/>
        </w:rPr>
        <w:t>Kinship care is the fastest</w:t>
      </w:r>
      <w:r w:rsidR="00995E86">
        <w:rPr>
          <w:rFonts w:ascii="Arial" w:hAnsi="Arial" w:cs="Arial"/>
          <w:sz w:val="20"/>
          <w:szCs w:val="20"/>
        </w:rPr>
        <w:t>-growing placement type in Victoria.  Available information indicates that:</w:t>
      </w:r>
    </w:p>
    <w:p w14:paraId="243AA8F4" w14:textId="3EBDCFAB" w:rsidR="00995E86" w:rsidRDefault="00995E86">
      <w:pPr>
        <w:pStyle w:val="NormalWeb"/>
        <w:numPr>
          <w:ilvl w:val="0"/>
          <w:numId w:val="53"/>
        </w:numPr>
        <w:spacing w:before="0" w:beforeAutospacing="0" w:after="0" w:afterAutospacing="0"/>
        <w:ind w:left="811" w:hanging="357"/>
        <w:jc w:val="both"/>
        <w:rPr>
          <w:rFonts w:ascii="Arial" w:hAnsi="Arial" w:cs="Arial"/>
          <w:sz w:val="20"/>
          <w:szCs w:val="20"/>
        </w:rPr>
      </w:pPr>
      <w:r>
        <w:rPr>
          <w:rFonts w:ascii="Arial" w:hAnsi="Arial" w:cs="Arial"/>
          <w:sz w:val="20"/>
          <w:szCs w:val="20"/>
        </w:rPr>
        <w:t>over 70% of all children in OOHC live with a kinship carer;</w:t>
      </w:r>
    </w:p>
    <w:p w14:paraId="12D4BA13" w14:textId="7A9AFCC7" w:rsidR="00995E86" w:rsidRDefault="00995E86">
      <w:pPr>
        <w:pStyle w:val="NormalWeb"/>
        <w:numPr>
          <w:ilvl w:val="0"/>
          <w:numId w:val="53"/>
        </w:numPr>
        <w:spacing w:before="0" w:beforeAutospacing="0" w:after="0" w:afterAutospacing="0"/>
        <w:ind w:left="811" w:hanging="357"/>
        <w:jc w:val="both"/>
        <w:rPr>
          <w:rFonts w:ascii="Arial" w:hAnsi="Arial" w:cs="Arial"/>
          <w:sz w:val="20"/>
          <w:szCs w:val="20"/>
        </w:rPr>
      </w:pPr>
      <w:r>
        <w:rPr>
          <w:rFonts w:ascii="Arial" w:hAnsi="Arial" w:cs="Arial"/>
          <w:sz w:val="20"/>
          <w:szCs w:val="20"/>
        </w:rPr>
        <w:t>between 2017 and 2021, the number of children in:</w:t>
      </w:r>
    </w:p>
    <w:p w14:paraId="538E3EDF" w14:textId="783E30B0" w:rsidR="006911B0" w:rsidRDefault="00995E86">
      <w:pPr>
        <w:pStyle w:val="NormalWeb"/>
        <w:numPr>
          <w:ilvl w:val="0"/>
          <w:numId w:val="54"/>
        </w:numPr>
        <w:spacing w:before="0" w:beforeAutospacing="0" w:after="0" w:afterAutospacing="0"/>
        <w:ind w:left="1168" w:hanging="357"/>
        <w:jc w:val="both"/>
        <w:rPr>
          <w:rFonts w:ascii="Arial" w:hAnsi="Arial" w:cs="Arial"/>
          <w:sz w:val="20"/>
          <w:szCs w:val="20"/>
        </w:rPr>
      </w:pPr>
      <w:r>
        <w:rPr>
          <w:rFonts w:ascii="Arial" w:hAnsi="Arial" w:cs="Arial"/>
          <w:sz w:val="20"/>
          <w:szCs w:val="20"/>
        </w:rPr>
        <w:t>OOHC grew by 25.2% from 7,571 to 9,498;</w:t>
      </w:r>
    </w:p>
    <w:p w14:paraId="04DEC9ED" w14:textId="649F445D" w:rsidR="00995E86" w:rsidRDefault="00995E86">
      <w:pPr>
        <w:pStyle w:val="NormalWeb"/>
        <w:numPr>
          <w:ilvl w:val="0"/>
          <w:numId w:val="54"/>
        </w:numPr>
        <w:spacing w:before="0" w:beforeAutospacing="0" w:after="0" w:afterAutospacing="0"/>
        <w:ind w:left="1168" w:hanging="357"/>
        <w:jc w:val="both"/>
        <w:rPr>
          <w:rFonts w:ascii="Arial" w:hAnsi="Arial" w:cs="Arial"/>
          <w:sz w:val="20"/>
          <w:szCs w:val="20"/>
        </w:rPr>
      </w:pPr>
      <w:r>
        <w:rPr>
          <w:rFonts w:ascii="Arial" w:hAnsi="Arial" w:cs="Arial"/>
          <w:sz w:val="20"/>
          <w:szCs w:val="20"/>
        </w:rPr>
        <w:t>Kinship care grew by 33.2% from 5,577 to 7,429.</w:t>
      </w:r>
    </w:p>
    <w:p w14:paraId="4171A3BA" w14:textId="6D05F52F" w:rsidR="00995E86" w:rsidRDefault="00995E86" w:rsidP="00B17320">
      <w:pPr>
        <w:pStyle w:val="NormalWeb"/>
        <w:spacing w:before="80" w:beforeAutospacing="0" w:after="0" w:afterAutospacing="0"/>
        <w:ind w:left="454" w:right="454"/>
        <w:jc w:val="both"/>
        <w:rPr>
          <w:rFonts w:ascii="Arial" w:hAnsi="Arial" w:cs="Arial"/>
          <w:sz w:val="20"/>
          <w:szCs w:val="20"/>
        </w:rPr>
      </w:pPr>
      <w:r>
        <w:rPr>
          <w:rFonts w:ascii="Arial" w:hAnsi="Arial" w:cs="Arial"/>
          <w:sz w:val="20"/>
          <w:szCs w:val="20"/>
        </w:rPr>
        <w:t>Aboriginal and Torres Strait Islander children are significantly over-represented in kinship care.  Aboriginal or Torres strait Islander children in Victoria are 20.1 times more likely to be in kinship care than non-Aboriginal or Torres Strait Islander children.”</w:t>
      </w:r>
    </w:p>
    <w:p w14:paraId="3ABDF7D2" w14:textId="77777777" w:rsidR="00995E86" w:rsidRDefault="00995E86" w:rsidP="00995E86">
      <w:pPr>
        <w:pStyle w:val="NormalWeb"/>
        <w:spacing w:before="0" w:beforeAutospacing="0" w:after="0" w:afterAutospacing="0"/>
        <w:jc w:val="both"/>
        <w:rPr>
          <w:rFonts w:ascii="Arial" w:hAnsi="Arial" w:cs="Arial"/>
          <w:sz w:val="20"/>
          <w:szCs w:val="20"/>
        </w:rPr>
      </w:pPr>
    </w:p>
    <w:p w14:paraId="24D9117A" w14:textId="7EAA0DCC" w:rsidR="00995E86" w:rsidRDefault="00995E86" w:rsidP="00995E86">
      <w:pPr>
        <w:pStyle w:val="NormalWeb"/>
        <w:spacing w:before="0" w:beforeAutospacing="0" w:after="0" w:afterAutospacing="0"/>
        <w:jc w:val="both"/>
        <w:rPr>
          <w:rFonts w:ascii="Arial" w:hAnsi="Arial" w:cs="Arial"/>
          <w:sz w:val="20"/>
          <w:szCs w:val="20"/>
        </w:rPr>
      </w:pPr>
      <w:r>
        <w:rPr>
          <w:rFonts w:ascii="Arial" w:hAnsi="Arial" w:cs="Arial"/>
          <w:sz w:val="20"/>
          <w:szCs w:val="20"/>
        </w:rPr>
        <w:t>The key characteristics</w:t>
      </w:r>
      <w:r w:rsidR="00B17320">
        <w:rPr>
          <w:rFonts w:ascii="Arial" w:hAnsi="Arial" w:cs="Arial"/>
          <w:sz w:val="20"/>
          <w:szCs w:val="20"/>
        </w:rPr>
        <w:t xml:space="preserve"> of kinship carers are summarised in the VAGO report at p.15 as follows:</w:t>
      </w:r>
    </w:p>
    <w:p w14:paraId="2199A620" w14:textId="68475147" w:rsidR="00B17320" w:rsidRDefault="00B17320">
      <w:pPr>
        <w:pStyle w:val="NormalWeb"/>
        <w:numPr>
          <w:ilvl w:val="0"/>
          <w:numId w:val="53"/>
        </w:numPr>
        <w:spacing w:before="60" w:beforeAutospacing="0" w:after="0" w:afterAutospacing="0"/>
        <w:ind w:left="811" w:right="454" w:hanging="357"/>
        <w:jc w:val="both"/>
        <w:rPr>
          <w:rFonts w:ascii="Arial" w:hAnsi="Arial" w:cs="Arial"/>
          <w:sz w:val="20"/>
          <w:szCs w:val="20"/>
        </w:rPr>
      </w:pPr>
      <w:r>
        <w:rPr>
          <w:rFonts w:ascii="Arial" w:hAnsi="Arial" w:cs="Arial"/>
          <w:sz w:val="20"/>
          <w:szCs w:val="20"/>
        </w:rPr>
        <w:t>94% are female;</w:t>
      </w:r>
    </w:p>
    <w:p w14:paraId="1305F74C" w14:textId="2CA88C07" w:rsidR="00B17320" w:rsidRDefault="00B17320">
      <w:pPr>
        <w:pStyle w:val="NormalWeb"/>
        <w:numPr>
          <w:ilvl w:val="0"/>
          <w:numId w:val="53"/>
        </w:numPr>
        <w:spacing w:before="0" w:beforeAutospacing="0" w:after="0" w:afterAutospacing="0"/>
        <w:ind w:left="811" w:right="454" w:hanging="357"/>
        <w:jc w:val="both"/>
        <w:rPr>
          <w:rFonts w:ascii="Arial" w:hAnsi="Arial" w:cs="Arial"/>
          <w:sz w:val="20"/>
          <w:szCs w:val="20"/>
        </w:rPr>
      </w:pPr>
      <w:r>
        <w:rPr>
          <w:rFonts w:ascii="Arial" w:hAnsi="Arial" w:cs="Arial"/>
          <w:sz w:val="20"/>
          <w:szCs w:val="20"/>
        </w:rPr>
        <w:t xml:space="preserve">the average age is 54 with 59% being grandparents or great-grandparents, 16% being </w:t>
      </w:r>
      <w:r w:rsidR="004F7E15">
        <w:rPr>
          <w:rFonts w:ascii="Arial" w:hAnsi="Arial" w:cs="Arial"/>
          <w:sz w:val="20"/>
          <w:szCs w:val="20"/>
        </w:rPr>
        <w:t xml:space="preserve">an </w:t>
      </w:r>
      <w:r>
        <w:rPr>
          <w:rFonts w:ascii="Arial" w:hAnsi="Arial" w:cs="Arial"/>
          <w:sz w:val="20"/>
          <w:szCs w:val="20"/>
        </w:rPr>
        <w:t>aunt or uncle and 5% being another relative;</w:t>
      </w:r>
    </w:p>
    <w:p w14:paraId="79F426EB" w14:textId="63FEC65A" w:rsidR="00B17320" w:rsidRDefault="00B17320">
      <w:pPr>
        <w:pStyle w:val="NormalWeb"/>
        <w:numPr>
          <w:ilvl w:val="0"/>
          <w:numId w:val="53"/>
        </w:numPr>
        <w:spacing w:before="0" w:beforeAutospacing="0" w:after="0" w:afterAutospacing="0"/>
        <w:ind w:left="811" w:right="454" w:hanging="357"/>
        <w:jc w:val="both"/>
        <w:rPr>
          <w:rFonts w:ascii="Arial" w:hAnsi="Arial" w:cs="Arial"/>
          <w:sz w:val="20"/>
          <w:szCs w:val="20"/>
        </w:rPr>
      </w:pPr>
      <w:r>
        <w:rPr>
          <w:rFonts w:ascii="Arial" w:hAnsi="Arial" w:cs="Arial"/>
          <w:sz w:val="20"/>
          <w:szCs w:val="20"/>
        </w:rPr>
        <w:t>22% are working part-time, 19% are looking after the home, 19% are working full time and 17% are retired;</w:t>
      </w:r>
    </w:p>
    <w:p w14:paraId="400C4E93" w14:textId="763F8F5C" w:rsidR="00B17320" w:rsidRDefault="00B17320">
      <w:pPr>
        <w:pStyle w:val="NormalWeb"/>
        <w:numPr>
          <w:ilvl w:val="0"/>
          <w:numId w:val="53"/>
        </w:numPr>
        <w:spacing w:before="0" w:beforeAutospacing="0" w:after="0" w:afterAutospacing="0"/>
        <w:ind w:left="811" w:right="454" w:hanging="357"/>
        <w:jc w:val="both"/>
        <w:rPr>
          <w:rFonts w:ascii="Arial" w:hAnsi="Arial" w:cs="Arial"/>
          <w:sz w:val="20"/>
          <w:szCs w:val="20"/>
        </w:rPr>
      </w:pPr>
      <w:r>
        <w:rPr>
          <w:rFonts w:ascii="Arial" w:hAnsi="Arial" w:cs="Arial"/>
          <w:sz w:val="20"/>
          <w:szCs w:val="20"/>
        </w:rPr>
        <w:t>31% have not completed VCE</w:t>
      </w:r>
      <w:r w:rsidR="007A44A4">
        <w:rPr>
          <w:rFonts w:ascii="Arial" w:hAnsi="Arial" w:cs="Arial"/>
          <w:sz w:val="20"/>
          <w:szCs w:val="20"/>
        </w:rPr>
        <w:t xml:space="preserve">, 10% have completed VCE and 58% have </w:t>
      </w:r>
      <w:r w:rsidR="00B134ED">
        <w:rPr>
          <w:rFonts w:ascii="Arial" w:hAnsi="Arial" w:cs="Arial"/>
          <w:sz w:val="20"/>
          <w:szCs w:val="20"/>
        </w:rPr>
        <w:t>been educated to a higher level</w:t>
      </w:r>
      <w:r w:rsidR="007A44A4">
        <w:rPr>
          <w:rFonts w:ascii="Arial" w:hAnsi="Arial" w:cs="Arial"/>
          <w:sz w:val="20"/>
          <w:szCs w:val="20"/>
        </w:rPr>
        <w:t xml:space="preserve"> than VCE;</w:t>
      </w:r>
    </w:p>
    <w:p w14:paraId="447D3341" w14:textId="3326ABE3" w:rsidR="007A44A4" w:rsidRDefault="007A44A4">
      <w:pPr>
        <w:pStyle w:val="NormalWeb"/>
        <w:numPr>
          <w:ilvl w:val="0"/>
          <w:numId w:val="53"/>
        </w:numPr>
        <w:spacing w:before="0" w:beforeAutospacing="0" w:after="0" w:afterAutospacing="0"/>
        <w:ind w:left="811" w:right="454" w:hanging="357"/>
        <w:jc w:val="both"/>
        <w:rPr>
          <w:rFonts w:ascii="Arial" w:hAnsi="Arial" w:cs="Arial"/>
          <w:sz w:val="20"/>
          <w:szCs w:val="20"/>
        </w:rPr>
      </w:pPr>
      <w:r>
        <w:rPr>
          <w:rFonts w:ascii="Arial" w:hAnsi="Arial" w:cs="Arial"/>
          <w:sz w:val="20"/>
          <w:szCs w:val="20"/>
        </w:rPr>
        <w:t>40% have a household income of under $40,000, 23% of $40,000-$69,999, 12% of $70,000-$99,999 and 14% of $100,000 or more;</w:t>
      </w:r>
    </w:p>
    <w:p w14:paraId="6D9CF822" w14:textId="3440CB6D" w:rsidR="007A44A4" w:rsidRDefault="007A44A4">
      <w:pPr>
        <w:pStyle w:val="NormalWeb"/>
        <w:numPr>
          <w:ilvl w:val="0"/>
          <w:numId w:val="53"/>
        </w:numPr>
        <w:spacing w:before="0" w:beforeAutospacing="0" w:after="0" w:afterAutospacing="0"/>
        <w:ind w:left="811" w:right="454" w:hanging="357"/>
        <w:jc w:val="both"/>
        <w:rPr>
          <w:rFonts w:ascii="Arial" w:hAnsi="Arial" w:cs="Arial"/>
          <w:sz w:val="20"/>
          <w:szCs w:val="20"/>
        </w:rPr>
      </w:pPr>
      <w:r>
        <w:rPr>
          <w:rFonts w:ascii="Arial" w:hAnsi="Arial" w:cs="Arial"/>
          <w:sz w:val="20"/>
          <w:szCs w:val="20"/>
        </w:rPr>
        <w:t xml:space="preserve">55% are in Melbourne and 45% </w:t>
      </w:r>
      <w:r w:rsidR="004F7E15">
        <w:rPr>
          <w:rFonts w:ascii="Arial" w:hAnsi="Arial" w:cs="Arial"/>
          <w:sz w:val="20"/>
          <w:szCs w:val="20"/>
        </w:rPr>
        <w:t xml:space="preserve">are </w:t>
      </w:r>
      <w:r>
        <w:rPr>
          <w:rFonts w:ascii="Arial" w:hAnsi="Arial" w:cs="Arial"/>
          <w:sz w:val="20"/>
          <w:szCs w:val="20"/>
        </w:rPr>
        <w:t>in the rest of Victoria; and</w:t>
      </w:r>
    </w:p>
    <w:p w14:paraId="2A53C166" w14:textId="0F8405FF" w:rsidR="007A44A4" w:rsidRDefault="007A44A4">
      <w:pPr>
        <w:pStyle w:val="NormalWeb"/>
        <w:numPr>
          <w:ilvl w:val="0"/>
          <w:numId w:val="53"/>
        </w:numPr>
        <w:spacing w:before="0" w:beforeAutospacing="0" w:after="0" w:afterAutospacing="0"/>
        <w:ind w:left="811" w:right="454" w:hanging="357"/>
        <w:jc w:val="both"/>
        <w:rPr>
          <w:rFonts w:ascii="Arial" w:hAnsi="Arial" w:cs="Arial"/>
          <w:sz w:val="20"/>
          <w:szCs w:val="20"/>
        </w:rPr>
      </w:pPr>
      <w:r>
        <w:rPr>
          <w:rFonts w:ascii="Arial" w:hAnsi="Arial" w:cs="Arial"/>
          <w:sz w:val="20"/>
          <w:szCs w:val="20"/>
        </w:rPr>
        <w:t>53% are caring for 1 child, 27% for 2 children, 17% for 3 or 4 children and 3% of 5 or more children.</w:t>
      </w:r>
    </w:p>
    <w:p w14:paraId="67D40A7D" w14:textId="3AF6861A" w:rsidR="00995E86" w:rsidRDefault="00995E86" w:rsidP="00A82435">
      <w:pPr>
        <w:pStyle w:val="NormalWeb"/>
        <w:spacing w:before="0" w:beforeAutospacing="0" w:after="0" w:afterAutospacing="0"/>
        <w:jc w:val="both"/>
        <w:rPr>
          <w:rFonts w:ascii="Arial" w:hAnsi="Arial" w:cs="Arial"/>
          <w:sz w:val="20"/>
          <w:szCs w:val="20"/>
        </w:rPr>
      </w:pPr>
    </w:p>
    <w:p w14:paraId="1E835679" w14:textId="242DF4AD" w:rsidR="007A44A4" w:rsidRDefault="007A44A4" w:rsidP="00A82435">
      <w:pPr>
        <w:pStyle w:val="NormalWeb"/>
        <w:spacing w:before="0" w:beforeAutospacing="0" w:after="0" w:afterAutospacing="0"/>
        <w:jc w:val="both"/>
        <w:rPr>
          <w:rFonts w:ascii="Arial" w:hAnsi="Arial" w:cs="Arial"/>
          <w:sz w:val="20"/>
          <w:szCs w:val="20"/>
        </w:rPr>
      </w:pPr>
      <w:r>
        <w:rPr>
          <w:rFonts w:ascii="Arial" w:hAnsi="Arial" w:cs="Arial"/>
          <w:sz w:val="20"/>
          <w:szCs w:val="20"/>
        </w:rPr>
        <w:t>At p.16 the VAGO report noted that DFFH is responsible for designing and delivering programs that provide safe homes for children who cannot live with their family, including kinship care.  DFFH also contracts 28 community service organisations and 13 Aboriginal community-controlled organisations to provide OOHC services across Victoria.</w:t>
      </w:r>
    </w:p>
    <w:p w14:paraId="1E6BBC6C" w14:textId="2AD6D455" w:rsidR="007A44A4" w:rsidRDefault="007A44A4" w:rsidP="00A82435">
      <w:pPr>
        <w:pStyle w:val="NormalWeb"/>
        <w:spacing w:before="0" w:beforeAutospacing="0" w:after="0" w:afterAutospacing="0"/>
        <w:jc w:val="both"/>
        <w:rPr>
          <w:rFonts w:ascii="Arial" w:hAnsi="Arial" w:cs="Arial"/>
          <w:sz w:val="20"/>
          <w:szCs w:val="20"/>
        </w:rPr>
      </w:pPr>
    </w:p>
    <w:p w14:paraId="10EDD101" w14:textId="77777777" w:rsidR="006911B0" w:rsidRDefault="006911B0" w:rsidP="006911B0">
      <w:pPr>
        <w:pStyle w:val="NormalWeb"/>
        <w:spacing w:before="0" w:beforeAutospacing="0" w:after="0" w:afterAutospacing="0"/>
        <w:jc w:val="both"/>
        <w:rPr>
          <w:rFonts w:ascii="Arial" w:hAnsi="Arial" w:cs="Arial"/>
          <w:sz w:val="20"/>
          <w:szCs w:val="20"/>
        </w:rPr>
      </w:pPr>
      <w:r>
        <w:rPr>
          <w:rFonts w:ascii="Arial" w:hAnsi="Arial" w:cs="Arial"/>
          <w:sz w:val="20"/>
          <w:szCs w:val="20"/>
        </w:rPr>
        <w:t>In a paper entitled “National comparison of child protection systems”, published by the Australian Institute of Family Studies as No.22 Autumn 2005, the authors Leah Bromfield and Daryl Higgins provided a national snapshot of Australian statutory child protection services and concluded that despite different legislative frameworks and some operational differences, Australian state and territory statutory child protection services are providing very similar models of intervention.</w:t>
      </w:r>
    </w:p>
    <w:p w14:paraId="0E77C7F7" w14:textId="77777777" w:rsidR="006911B0" w:rsidRDefault="006911B0" w:rsidP="006911B0">
      <w:pPr>
        <w:pStyle w:val="NormalWeb"/>
        <w:spacing w:before="0" w:beforeAutospacing="0" w:after="0" w:afterAutospacing="0"/>
        <w:jc w:val="both"/>
        <w:rPr>
          <w:rFonts w:ascii="Arial" w:hAnsi="Arial" w:cs="Arial"/>
          <w:sz w:val="20"/>
          <w:szCs w:val="20"/>
        </w:rPr>
      </w:pPr>
    </w:p>
    <w:p w14:paraId="0FDFCD4D" w14:textId="62866C15" w:rsidR="00FC3098" w:rsidRPr="00FC3098" w:rsidRDefault="00FC3098" w:rsidP="00FC3098">
      <w:pPr>
        <w:keepNext/>
        <w:keepLines/>
        <w:shd w:val="clear" w:color="auto" w:fill="FF0000"/>
        <w:jc w:val="center"/>
        <w:rPr>
          <w:rFonts w:ascii="Arial" w:hAnsi="Arial" w:cs="Arial"/>
          <w:b/>
          <w:bCs/>
          <w:color w:val="FFFFFF" w:themeColor="background1"/>
          <w:sz w:val="26"/>
          <w:szCs w:val="26"/>
        </w:rPr>
      </w:pPr>
      <w:r w:rsidRPr="00FC3098">
        <w:rPr>
          <w:rFonts w:ascii="Arial" w:hAnsi="Arial" w:cs="Arial"/>
          <w:b/>
          <w:bCs/>
          <w:color w:val="FFFFFF" w:themeColor="background1"/>
          <w:sz w:val="26"/>
          <w:szCs w:val="26"/>
        </w:rPr>
        <w:lastRenderedPageBreak/>
        <w:t>CYFA AMENDMENT (SUPPORTING STABLE AND STRONG FAMILIES) ACT 2026</w:t>
      </w:r>
      <w:r>
        <w:rPr>
          <w:rFonts w:ascii="Arial" w:hAnsi="Arial" w:cs="Arial"/>
          <w:b/>
          <w:bCs/>
          <w:color w:val="FFFFFF" w:themeColor="background1"/>
          <w:sz w:val="26"/>
          <w:szCs w:val="26"/>
        </w:rPr>
        <w:t xml:space="preserve"> – NOT YET IN OPERATION</w:t>
      </w:r>
    </w:p>
    <w:p w14:paraId="17D3C2E4" w14:textId="77777777" w:rsidR="00FC3098" w:rsidRPr="008A59C8" w:rsidRDefault="00FC3098" w:rsidP="00FC3098">
      <w:pPr>
        <w:rPr>
          <w:rFonts w:ascii="Arial" w:hAnsi="Arial" w:cs="Arial"/>
          <w:sz w:val="20"/>
          <w:szCs w:val="20"/>
        </w:rPr>
      </w:pPr>
    </w:p>
    <w:p w14:paraId="31E855FB" w14:textId="4C8B407F" w:rsidR="00FC3098" w:rsidRPr="00597D8D" w:rsidRDefault="00FC3098">
      <w:pPr>
        <w:pStyle w:val="ListParagraph"/>
        <w:numPr>
          <w:ilvl w:val="0"/>
          <w:numId w:val="115"/>
        </w:numPr>
        <w:ind w:left="357" w:hanging="357"/>
        <w:contextualSpacing/>
        <w:jc w:val="both"/>
        <w:rPr>
          <w:rFonts w:ascii="Arial" w:hAnsi="Arial" w:cs="Arial"/>
          <w:sz w:val="20"/>
        </w:rPr>
      </w:pPr>
      <w:r w:rsidRPr="00597D8D">
        <w:rPr>
          <w:rFonts w:ascii="Arial" w:hAnsi="Arial" w:cs="Arial"/>
          <w:sz w:val="20"/>
        </w:rPr>
        <w:t xml:space="preserve">The ‘high-level’ </w:t>
      </w:r>
      <w:r w:rsidRPr="00597D8D">
        <w:rPr>
          <w:rFonts w:ascii="Arial" w:hAnsi="Arial" w:cs="Arial"/>
          <w:i/>
          <w:iCs/>
          <w:sz w:val="20"/>
        </w:rPr>
        <w:t xml:space="preserve">Children, Youth and Families Amendment (Supporting Stable and Strong Families) Act 2026 </w:t>
      </w:r>
      <w:r w:rsidRPr="00597D8D">
        <w:rPr>
          <w:rFonts w:ascii="Arial" w:hAnsi="Arial" w:cs="Arial"/>
          <w:sz w:val="20"/>
        </w:rPr>
        <w:t xml:space="preserve">[SSSF Act] received the Royal Assent on **/03/2026. Its default commencement date is 30/09/2026. DFFH has advised that the “first </w:t>
      </w:r>
      <w:r w:rsidRPr="00597D8D">
        <w:rPr>
          <w:rFonts w:ascii="Arial" w:hAnsi="Arial" w:cs="Arial"/>
          <w:b/>
          <w:bCs/>
          <w:sz w:val="20"/>
          <w:shd w:val="clear" w:color="auto" w:fill="000099"/>
        </w:rPr>
        <w:t>SSSF plans</w:t>
      </w:r>
      <w:r w:rsidRPr="00597D8D">
        <w:rPr>
          <w:rFonts w:ascii="Arial" w:hAnsi="Arial" w:cs="Arial"/>
          <w:sz w:val="20"/>
        </w:rPr>
        <w:t xml:space="preserve"> will be prepared within the first 12</w:t>
      </w:r>
      <w:r>
        <w:rPr>
          <w:rFonts w:ascii="Arial" w:hAnsi="Arial" w:cs="Arial"/>
          <w:sz w:val="20"/>
        </w:rPr>
        <w:t xml:space="preserve"> </w:t>
      </w:r>
      <w:r w:rsidRPr="00597D8D">
        <w:rPr>
          <w:rFonts w:ascii="Arial" w:hAnsi="Arial" w:cs="Arial"/>
          <w:sz w:val="20"/>
        </w:rPr>
        <w:t>months from the commencement date”.</w:t>
      </w:r>
    </w:p>
    <w:p w14:paraId="39375E05" w14:textId="77777777" w:rsidR="00FC3098" w:rsidRPr="00597D8D" w:rsidRDefault="00FC3098" w:rsidP="00FC3098">
      <w:pPr>
        <w:rPr>
          <w:rFonts w:ascii="Arial" w:hAnsi="Arial" w:cs="Arial"/>
          <w:sz w:val="18"/>
          <w:szCs w:val="18"/>
        </w:rPr>
      </w:pPr>
    </w:p>
    <w:p w14:paraId="1C1EA582" w14:textId="77777777" w:rsidR="00FC3098" w:rsidRPr="00597D8D" w:rsidRDefault="00FC3098">
      <w:pPr>
        <w:pStyle w:val="ListParagraph"/>
        <w:numPr>
          <w:ilvl w:val="0"/>
          <w:numId w:val="115"/>
        </w:numPr>
        <w:ind w:left="357" w:hanging="357"/>
        <w:contextualSpacing/>
        <w:jc w:val="both"/>
        <w:rPr>
          <w:rFonts w:ascii="Arial" w:hAnsi="Arial" w:cs="Arial"/>
          <w:sz w:val="20"/>
        </w:rPr>
      </w:pPr>
      <w:r>
        <w:rPr>
          <w:rFonts w:ascii="Arial" w:hAnsi="Arial" w:cs="Arial"/>
          <w:sz w:val="20"/>
        </w:rPr>
        <w:t>Information</w:t>
      </w:r>
      <w:r w:rsidRPr="00597D8D">
        <w:rPr>
          <w:rFonts w:ascii="Arial" w:hAnsi="Arial" w:cs="Arial"/>
          <w:sz w:val="20"/>
        </w:rPr>
        <w:t xml:space="preserve"> from DFFH is that the SSSF Act (</w:t>
      </w:r>
      <w:r>
        <w:rPr>
          <w:rFonts w:ascii="Arial" w:hAnsi="Arial" w:cs="Arial"/>
          <w:sz w:val="20"/>
        </w:rPr>
        <w:t xml:space="preserve">which is </w:t>
      </w:r>
      <w:r w:rsidRPr="00597D8D">
        <w:rPr>
          <w:rFonts w:ascii="Arial" w:hAnsi="Arial" w:cs="Arial"/>
          <w:sz w:val="20"/>
        </w:rPr>
        <w:t>based on the Scottish Corporate Parent model)</w:t>
      </w:r>
      <w:r>
        <w:rPr>
          <w:rFonts w:ascii="Arial" w:hAnsi="Arial" w:cs="Arial"/>
          <w:sz w:val="20"/>
        </w:rPr>
        <w:t>:</w:t>
      </w:r>
    </w:p>
    <w:p w14:paraId="5EC02ED6" w14:textId="77777777" w:rsidR="00FC3098" w:rsidRPr="00597D8D" w:rsidRDefault="00FC3098">
      <w:pPr>
        <w:numPr>
          <w:ilvl w:val="0"/>
          <w:numId w:val="127"/>
        </w:numPr>
        <w:ind w:left="714" w:hanging="357"/>
        <w:jc w:val="both"/>
        <w:rPr>
          <w:rFonts w:ascii="Arial" w:hAnsi="Arial" w:cs="Arial"/>
          <w:sz w:val="20"/>
          <w:szCs w:val="20"/>
        </w:rPr>
      </w:pPr>
      <w:r w:rsidRPr="00597D8D">
        <w:rPr>
          <w:rFonts w:ascii="Arial" w:hAnsi="Arial" w:cs="Arial"/>
          <w:sz w:val="20"/>
          <w:szCs w:val="20"/>
        </w:rPr>
        <w:t>will help to ensure at-risk children, young people and families receive more comprehensive supports when and where they need it; and</w:t>
      </w:r>
    </w:p>
    <w:p w14:paraId="0DD1B3F1" w14:textId="77777777" w:rsidR="00FC3098" w:rsidRPr="00597D8D" w:rsidRDefault="00FC3098">
      <w:pPr>
        <w:numPr>
          <w:ilvl w:val="0"/>
          <w:numId w:val="127"/>
        </w:numPr>
        <w:ind w:left="714" w:hanging="357"/>
        <w:jc w:val="both"/>
        <w:rPr>
          <w:rFonts w:ascii="Arial" w:hAnsi="Arial" w:cs="Arial"/>
          <w:sz w:val="20"/>
          <w:szCs w:val="20"/>
        </w:rPr>
      </w:pPr>
      <w:r w:rsidRPr="00597D8D">
        <w:rPr>
          <w:rFonts w:ascii="Arial" w:hAnsi="Arial" w:cs="Arial"/>
          <w:sz w:val="20"/>
          <w:szCs w:val="20"/>
        </w:rPr>
        <w:t>will support reunification to happen sooner through improved access and timeliness of support services, where this is in the child or young person’s best interests.</w:t>
      </w:r>
    </w:p>
    <w:p w14:paraId="40F0E31E" w14:textId="77777777" w:rsidR="00FC3098" w:rsidRPr="00597D8D" w:rsidRDefault="00FC3098" w:rsidP="00FC3098">
      <w:pPr>
        <w:rPr>
          <w:rFonts w:ascii="Arial" w:hAnsi="Arial" w:cs="Arial"/>
          <w:sz w:val="18"/>
          <w:szCs w:val="18"/>
        </w:rPr>
      </w:pPr>
    </w:p>
    <w:p w14:paraId="7445C312" w14:textId="77777777" w:rsidR="00FC3098" w:rsidRPr="00A7148A" w:rsidRDefault="00FC3098">
      <w:pPr>
        <w:pStyle w:val="ListParagraph"/>
        <w:numPr>
          <w:ilvl w:val="0"/>
          <w:numId w:val="115"/>
        </w:numPr>
        <w:ind w:left="357" w:hanging="357"/>
        <w:contextualSpacing/>
        <w:jc w:val="both"/>
        <w:rPr>
          <w:rFonts w:ascii="Arial" w:hAnsi="Arial" w:cs="Arial"/>
          <w:sz w:val="20"/>
        </w:rPr>
      </w:pPr>
      <w:r w:rsidRPr="00597D8D">
        <w:rPr>
          <w:rFonts w:ascii="Arial" w:hAnsi="Arial" w:cs="Arial"/>
          <w:sz w:val="20"/>
        </w:rPr>
        <w:t xml:space="preserve">The major purpose of the SSSF Act is to </w:t>
      </w:r>
      <w:r w:rsidRPr="00A7148A">
        <w:rPr>
          <w:rFonts w:ascii="Arial" w:hAnsi="Arial" w:cs="Arial"/>
          <w:sz w:val="20"/>
        </w:rPr>
        <w:t xml:space="preserve">add </w:t>
      </w:r>
      <w:r w:rsidRPr="00A7148A">
        <w:rPr>
          <w:rFonts w:ascii="Arial" w:hAnsi="Arial" w:cs="Arial"/>
          <w:b/>
          <w:bCs/>
          <w:sz w:val="20"/>
          <w:shd w:val="clear" w:color="auto" w:fill="C5E0B3" w:themeFill="accent6" w:themeFillTint="66"/>
        </w:rPr>
        <w:t>ss.20C–20Q</w:t>
      </w:r>
      <w:r w:rsidRPr="00A7148A">
        <w:rPr>
          <w:rFonts w:ascii="Arial" w:hAnsi="Arial" w:cs="Arial"/>
          <w:sz w:val="20"/>
        </w:rPr>
        <w:t xml:space="preserve"> to the </w:t>
      </w:r>
      <w:r w:rsidRPr="00A7148A">
        <w:rPr>
          <w:rFonts w:ascii="Arial" w:hAnsi="Arial" w:cs="Arial"/>
          <w:i/>
          <w:iCs/>
          <w:sz w:val="20"/>
        </w:rPr>
        <w:t>Children, Youth and Families Act 2005</w:t>
      </w:r>
      <w:r w:rsidRPr="00A7148A">
        <w:rPr>
          <w:rFonts w:ascii="Arial" w:hAnsi="Arial" w:cs="Arial"/>
          <w:sz w:val="20"/>
        </w:rPr>
        <w:t xml:space="preserve"> [CYFA] in order to set up a </w:t>
      </w:r>
      <w:r w:rsidRPr="00A7148A">
        <w:rPr>
          <w:rFonts w:ascii="Arial" w:hAnsi="Arial" w:cs="Arial"/>
          <w:b/>
          <w:bCs/>
          <w:sz w:val="20"/>
        </w:rPr>
        <w:t>Supporting Stable and Strong Families scheme</w:t>
      </w:r>
      <w:r w:rsidRPr="00A7148A">
        <w:rPr>
          <w:rFonts w:ascii="Arial" w:hAnsi="Arial" w:cs="Arial"/>
          <w:sz w:val="20"/>
        </w:rPr>
        <w:t xml:space="preserve"> </w:t>
      </w:r>
      <w:r>
        <w:rPr>
          <w:rFonts w:ascii="Arial" w:hAnsi="Arial" w:cs="Arial"/>
          <w:sz w:val="20"/>
        </w:rPr>
        <w:t xml:space="preserve">whose </w:t>
      </w:r>
      <w:r w:rsidRPr="00A7148A">
        <w:rPr>
          <w:rFonts w:ascii="Arial" w:hAnsi="Arial" w:cs="Arial"/>
          <w:sz w:val="20"/>
        </w:rPr>
        <w:t xml:space="preserve">objects are described in </w:t>
      </w:r>
      <w:r w:rsidRPr="00A7148A">
        <w:rPr>
          <w:rFonts w:ascii="Arial" w:hAnsi="Arial" w:cs="Arial"/>
          <w:b/>
          <w:bCs/>
          <w:sz w:val="20"/>
          <w:shd w:val="clear" w:color="auto" w:fill="C5E0B3" w:themeFill="accent6" w:themeFillTint="66"/>
        </w:rPr>
        <w:t>s.20C</w:t>
      </w:r>
      <w:r w:rsidRPr="00A7148A">
        <w:rPr>
          <w:rFonts w:ascii="Arial" w:hAnsi="Arial" w:cs="Arial"/>
          <w:sz w:val="20"/>
        </w:rPr>
        <w:t xml:space="preserve"> as—</w:t>
      </w:r>
    </w:p>
    <w:p w14:paraId="33598D30" w14:textId="77777777" w:rsidR="00FC3098" w:rsidRPr="00597D8D" w:rsidRDefault="00FC3098">
      <w:pPr>
        <w:pStyle w:val="ListParagraph"/>
        <w:numPr>
          <w:ilvl w:val="0"/>
          <w:numId w:val="116"/>
        </w:numPr>
        <w:ind w:left="714" w:hanging="357"/>
        <w:contextualSpacing/>
        <w:jc w:val="both"/>
        <w:rPr>
          <w:rFonts w:ascii="Arial" w:hAnsi="Arial" w:cs="Arial"/>
          <w:sz w:val="20"/>
        </w:rPr>
      </w:pPr>
      <w:r w:rsidRPr="00597D8D">
        <w:rPr>
          <w:rFonts w:ascii="Arial" w:hAnsi="Arial" w:cs="Arial"/>
          <w:sz w:val="20"/>
        </w:rPr>
        <w:t>to support collective responsibility and a whole-of-government approach to child wellbeing and safety; and</w:t>
      </w:r>
    </w:p>
    <w:p w14:paraId="0D8A49D3" w14:textId="77777777" w:rsidR="00FC3098" w:rsidRPr="00597D8D" w:rsidRDefault="00FC3098">
      <w:pPr>
        <w:pStyle w:val="ListParagraph"/>
        <w:numPr>
          <w:ilvl w:val="0"/>
          <w:numId w:val="116"/>
        </w:numPr>
        <w:contextualSpacing/>
        <w:jc w:val="both"/>
        <w:rPr>
          <w:rFonts w:ascii="Arial" w:hAnsi="Arial" w:cs="Arial"/>
          <w:sz w:val="20"/>
        </w:rPr>
      </w:pPr>
      <w:r w:rsidRPr="00597D8D">
        <w:rPr>
          <w:rFonts w:ascii="Arial" w:hAnsi="Arial" w:cs="Arial"/>
          <w:sz w:val="20"/>
        </w:rPr>
        <w:t xml:space="preserve">to consider the wellbeing and best interests of </w:t>
      </w:r>
      <w:r w:rsidRPr="00D34093">
        <w:rPr>
          <w:rFonts w:ascii="Arial" w:hAnsi="Arial" w:cs="Arial"/>
          <w:b/>
          <w:bCs/>
          <w:color w:val="FFFFFF" w:themeColor="background1"/>
          <w:sz w:val="20"/>
          <w:shd w:val="clear" w:color="auto" w:fill="7030A0"/>
        </w:rPr>
        <w:t>vulnerable children and care leavers</w:t>
      </w:r>
      <w:r w:rsidRPr="00597D8D">
        <w:rPr>
          <w:rFonts w:ascii="Arial" w:hAnsi="Arial" w:cs="Arial"/>
          <w:sz w:val="20"/>
        </w:rPr>
        <w:t xml:space="preserve"> by </w:t>
      </w:r>
      <w:r w:rsidRPr="002B6B53">
        <w:rPr>
          <w:rFonts w:ascii="Arial" w:hAnsi="Arial" w:cs="Arial"/>
          <w:b/>
          <w:bCs/>
          <w:sz w:val="20"/>
          <w:shd w:val="clear" w:color="auto" w:fill="FBE4D5" w:themeFill="accent2" w:themeFillTint="33"/>
        </w:rPr>
        <w:t>SSSF partners</w:t>
      </w:r>
      <w:r w:rsidRPr="00597D8D">
        <w:rPr>
          <w:rFonts w:ascii="Arial" w:hAnsi="Arial" w:cs="Arial"/>
          <w:sz w:val="20"/>
        </w:rPr>
        <w:t xml:space="preserve"> considering </w:t>
      </w:r>
      <w:r w:rsidRPr="007E2468">
        <w:rPr>
          <w:rFonts w:ascii="Arial" w:hAnsi="Arial" w:cs="Arial"/>
          <w:b/>
          <w:bCs/>
          <w:sz w:val="20"/>
          <w:shd w:val="clear" w:color="auto" w:fill="CCFFFF"/>
        </w:rPr>
        <w:t>SSSF responsibilities</w:t>
      </w:r>
      <w:r w:rsidRPr="00597D8D">
        <w:rPr>
          <w:rFonts w:ascii="Arial" w:hAnsi="Arial" w:cs="Arial"/>
          <w:sz w:val="20"/>
        </w:rPr>
        <w:t>; and</w:t>
      </w:r>
    </w:p>
    <w:p w14:paraId="0D3EDFE6" w14:textId="77777777" w:rsidR="00FC3098" w:rsidRPr="00597D8D" w:rsidRDefault="00FC3098">
      <w:pPr>
        <w:pStyle w:val="ListParagraph"/>
        <w:numPr>
          <w:ilvl w:val="0"/>
          <w:numId w:val="116"/>
        </w:numPr>
        <w:contextualSpacing/>
        <w:jc w:val="both"/>
        <w:rPr>
          <w:rFonts w:ascii="Arial" w:hAnsi="Arial" w:cs="Arial"/>
          <w:sz w:val="20"/>
        </w:rPr>
      </w:pPr>
      <w:r w:rsidRPr="00CA756A">
        <w:rPr>
          <w:rFonts w:ascii="Arial" w:hAnsi="Arial" w:cs="Arial"/>
          <w:b/>
          <w:bCs/>
          <w:sz w:val="20"/>
          <w:highlight w:val="yellow"/>
        </w:rPr>
        <w:t>to enable early intervention and provide more timely and adequate services to support families caring for vulnerable children</w:t>
      </w:r>
      <w:r w:rsidRPr="00597D8D">
        <w:rPr>
          <w:rFonts w:ascii="Arial" w:hAnsi="Arial" w:cs="Arial"/>
          <w:sz w:val="20"/>
        </w:rPr>
        <w:t>; and</w:t>
      </w:r>
    </w:p>
    <w:p w14:paraId="40202F88" w14:textId="77777777" w:rsidR="00FC3098" w:rsidRPr="00597D8D" w:rsidRDefault="00FC3098">
      <w:pPr>
        <w:pStyle w:val="ListParagraph"/>
        <w:numPr>
          <w:ilvl w:val="0"/>
          <w:numId w:val="116"/>
        </w:numPr>
        <w:contextualSpacing/>
        <w:jc w:val="both"/>
        <w:rPr>
          <w:rFonts w:ascii="Arial" w:hAnsi="Arial" w:cs="Arial"/>
          <w:sz w:val="20"/>
        </w:rPr>
      </w:pPr>
      <w:r w:rsidRPr="00597D8D">
        <w:rPr>
          <w:rFonts w:ascii="Arial" w:hAnsi="Arial" w:cs="Arial"/>
          <w:b/>
          <w:bCs/>
          <w:sz w:val="20"/>
          <w:highlight w:val="yellow"/>
        </w:rPr>
        <w:t>to support family preservation and family reunification for persons engaged with child protection</w:t>
      </w:r>
      <w:r w:rsidRPr="00597D8D">
        <w:rPr>
          <w:rFonts w:ascii="Arial" w:hAnsi="Arial" w:cs="Arial"/>
          <w:sz w:val="20"/>
        </w:rPr>
        <w:t>; and</w:t>
      </w:r>
    </w:p>
    <w:p w14:paraId="2DCC37FE" w14:textId="77777777" w:rsidR="00FC3098" w:rsidRPr="00597D8D" w:rsidRDefault="00FC3098">
      <w:pPr>
        <w:pStyle w:val="ListParagraph"/>
        <w:numPr>
          <w:ilvl w:val="0"/>
          <w:numId w:val="116"/>
        </w:numPr>
        <w:contextualSpacing/>
        <w:jc w:val="both"/>
        <w:rPr>
          <w:rFonts w:ascii="Arial" w:hAnsi="Arial" w:cs="Arial"/>
          <w:sz w:val="20"/>
        </w:rPr>
      </w:pPr>
      <w:r w:rsidRPr="00597D8D">
        <w:rPr>
          <w:rFonts w:ascii="Arial" w:hAnsi="Arial" w:cs="Arial"/>
          <w:sz w:val="20"/>
        </w:rPr>
        <w:t>to co-ordinate a multi-agency approach to child wellbeing and safety; and</w:t>
      </w:r>
    </w:p>
    <w:p w14:paraId="0E8CDEF9" w14:textId="77777777" w:rsidR="00FC3098" w:rsidRPr="00597D8D" w:rsidRDefault="00FC3098">
      <w:pPr>
        <w:pStyle w:val="ListParagraph"/>
        <w:numPr>
          <w:ilvl w:val="0"/>
          <w:numId w:val="116"/>
        </w:numPr>
        <w:contextualSpacing/>
        <w:jc w:val="both"/>
        <w:rPr>
          <w:rFonts w:ascii="Arial" w:hAnsi="Arial" w:cs="Arial"/>
          <w:sz w:val="20"/>
        </w:rPr>
      </w:pPr>
      <w:r w:rsidRPr="00597D8D">
        <w:rPr>
          <w:rFonts w:ascii="Arial" w:hAnsi="Arial" w:cs="Arial"/>
          <w:sz w:val="20"/>
        </w:rPr>
        <w:t xml:space="preserve">to promote enhanced accountability of </w:t>
      </w:r>
      <w:r w:rsidRPr="002B6B53">
        <w:rPr>
          <w:rFonts w:ascii="Arial" w:hAnsi="Arial" w:cs="Arial"/>
          <w:b/>
          <w:bCs/>
          <w:sz w:val="20"/>
          <w:shd w:val="clear" w:color="auto" w:fill="FBE4D5" w:themeFill="accent2" w:themeFillTint="33"/>
        </w:rPr>
        <w:t>SSSF partners</w:t>
      </w:r>
      <w:r w:rsidRPr="00597D8D">
        <w:rPr>
          <w:rFonts w:ascii="Arial" w:hAnsi="Arial" w:cs="Arial"/>
          <w:sz w:val="20"/>
        </w:rPr>
        <w:t xml:space="preserve"> through </w:t>
      </w:r>
      <w:r w:rsidRPr="00597D8D">
        <w:rPr>
          <w:rFonts w:ascii="Arial" w:hAnsi="Arial" w:cs="Arial"/>
          <w:b/>
          <w:bCs/>
          <w:sz w:val="20"/>
          <w:shd w:val="clear" w:color="auto" w:fill="000099"/>
        </w:rPr>
        <w:t>SSSF plans</w:t>
      </w:r>
      <w:r w:rsidRPr="00597D8D">
        <w:rPr>
          <w:rFonts w:ascii="Arial" w:hAnsi="Arial" w:cs="Arial"/>
          <w:sz w:val="20"/>
        </w:rPr>
        <w:t xml:space="preserve"> and </w:t>
      </w:r>
      <w:r w:rsidRPr="00597D8D">
        <w:rPr>
          <w:rFonts w:ascii="Arial" w:hAnsi="Arial" w:cs="Arial"/>
          <w:b/>
          <w:bCs/>
          <w:sz w:val="20"/>
        </w:rPr>
        <w:t>SSSF progress reports</w:t>
      </w:r>
      <w:r w:rsidRPr="00597D8D">
        <w:rPr>
          <w:rFonts w:ascii="Arial" w:hAnsi="Arial" w:cs="Arial"/>
          <w:sz w:val="20"/>
        </w:rPr>
        <w:t>.</w:t>
      </w:r>
    </w:p>
    <w:p w14:paraId="4D52A5D0" w14:textId="77777777" w:rsidR="00FC3098" w:rsidRPr="008A59C8" w:rsidRDefault="00FC3098" w:rsidP="00FC3098">
      <w:pPr>
        <w:rPr>
          <w:rFonts w:ascii="Arial" w:hAnsi="Arial" w:cs="Arial"/>
          <w:sz w:val="20"/>
          <w:szCs w:val="20"/>
        </w:rPr>
      </w:pPr>
    </w:p>
    <w:p w14:paraId="76AFEE9B" w14:textId="77777777" w:rsidR="00FC3098" w:rsidRPr="0095198F" w:rsidRDefault="00FC3098">
      <w:pPr>
        <w:pStyle w:val="ListParagraph"/>
        <w:numPr>
          <w:ilvl w:val="0"/>
          <w:numId w:val="115"/>
        </w:numPr>
        <w:pBdr>
          <w:top w:val="single" w:sz="8" w:space="1" w:color="auto"/>
          <w:left w:val="single" w:sz="8" w:space="4" w:color="auto"/>
          <w:bottom w:val="single" w:sz="8" w:space="1" w:color="auto"/>
          <w:right w:val="single" w:sz="8" w:space="4" w:color="auto"/>
        </w:pBdr>
        <w:ind w:left="357" w:hanging="357"/>
        <w:contextualSpacing/>
        <w:jc w:val="both"/>
        <w:rPr>
          <w:rFonts w:ascii="Arial" w:hAnsi="Arial" w:cs="Arial"/>
          <w:b/>
          <w:bCs/>
          <w:color w:val="000000" w:themeColor="text1"/>
          <w:sz w:val="20"/>
          <w:highlight w:val="yellow"/>
        </w:rPr>
      </w:pPr>
      <w:r w:rsidRPr="0095198F">
        <w:rPr>
          <w:rFonts w:ascii="Arial" w:hAnsi="Arial" w:cs="Arial"/>
          <w:b/>
          <w:bCs/>
          <w:color w:val="000000" w:themeColor="text1"/>
          <w:sz w:val="20"/>
          <w:highlight w:val="yellow"/>
        </w:rPr>
        <w:t xml:space="preserve">The Children’s Court of Victoria is not an </w:t>
      </w:r>
      <w:r w:rsidRPr="0095198F">
        <w:rPr>
          <w:rFonts w:ascii="Arial" w:hAnsi="Arial" w:cs="Arial"/>
          <w:b/>
          <w:bCs/>
          <w:color w:val="000000" w:themeColor="text1"/>
          <w:sz w:val="20"/>
          <w:highlight w:val="yellow"/>
          <w:shd w:val="clear" w:color="auto" w:fill="F7CAAC" w:themeFill="accent2" w:themeFillTint="66"/>
        </w:rPr>
        <w:t>SSSF partner</w:t>
      </w:r>
      <w:r w:rsidRPr="0095198F">
        <w:rPr>
          <w:rFonts w:ascii="Arial" w:hAnsi="Arial" w:cs="Arial"/>
          <w:b/>
          <w:bCs/>
          <w:color w:val="000000" w:themeColor="text1"/>
          <w:sz w:val="20"/>
          <w:highlight w:val="yellow"/>
        </w:rPr>
        <w:t xml:space="preserve"> and the SSSF Act does not make any changes to the powers or duties of the Children’s Court or impose any additional obligations on the Children’s Court.</w:t>
      </w:r>
    </w:p>
    <w:p w14:paraId="5661AC8A" w14:textId="77777777" w:rsidR="00FC3098" w:rsidRPr="00D84366" w:rsidRDefault="00FC3098" w:rsidP="00FC3098">
      <w:pPr>
        <w:rPr>
          <w:rFonts w:ascii="Arial" w:hAnsi="Arial" w:cs="Arial"/>
          <w:color w:val="FFFFFF" w:themeColor="background1"/>
          <w:sz w:val="20"/>
          <w:szCs w:val="20"/>
        </w:rPr>
      </w:pPr>
    </w:p>
    <w:p w14:paraId="7C250A43" w14:textId="77777777" w:rsidR="00FC3098" w:rsidRPr="00597D8D" w:rsidRDefault="00FC3098">
      <w:pPr>
        <w:pStyle w:val="ListParagraph"/>
        <w:numPr>
          <w:ilvl w:val="0"/>
          <w:numId w:val="115"/>
        </w:numPr>
        <w:spacing w:after="60"/>
        <w:ind w:left="357" w:hanging="357"/>
        <w:jc w:val="both"/>
        <w:rPr>
          <w:rFonts w:ascii="Arial" w:hAnsi="Arial" w:cs="Arial"/>
          <w:sz w:val="20"/>
        </w:rPr>
      </w:pPr>
      <w:r w:rsidRPr="002B6B53">
        <w:rPr>
          <w:rFonts w:ascii="Arial" w:hAnsi="Arial" w:cs="Arial"/>
          <w:b/>
          <w:bCs/>
          <w:sz w:val="20"/>
          <w:shd w:val="clear" w:color="auto" w:fill="FBE4D5" w:themeFill="accent2" w:themeFillTint="33"/>
        </w:rPr>
        <w:t>SSSF partners</w:t>
      </w:r>
      <w:r w:rsidRPr="00597D8D">
        <w:rPr>
          <w:rFonts w:ascii="Arial" w:hAnsi="Arial" w:cs="Arial"/>
          <w:sz w:val="20"/>
        </w:rPr>
        <w:t xml:space="preserve"> are defined in </w:t>
      </w:r>
      <w:r w:rsidRPr="00597D8D">
        <w:rPr>
          <w:rFonts w:ascii="Arial" w:hAnsi="Arial" w:cs="Arial"/>
          <w:b/>
          <w:bCs/>
          <w:sz w:val="20"/>
          <w:shd w:val="clear" w:color="auto" w:fill="C5E0B3" w:themeFill="accent6" w:themeFillTint="66"/>
        </w:rPr>
        <w:t>s.20E</w:t>
      </w:r>
      <w:r w:rsidRPr="00597D8D">
        <w:rPr>
          <w:rFonts w:ascii="Arial" w:hAnsi="Arial" w:cs="Arial"/>
          <w:sz w:val="20"/>
        </w:rPr>
        <w:t xml:space="preserve"> CYFA and their functions are defined in </w:t>
      </w:r>
      <w:r w:rsidRPr="00597D8D">
        <w:rPr>
          <w:rFonts w:ascii="Arial" w:hAnsi="Arial" w:cs="Arial"/>
          <w:b/>
          <w:bCs/>
          <w:sz w:val="20"/>
          <w:shd w:val="clear" w:color="auto" w:fill="C5E0B3" w:themeFill="accent6" w:themeFillTint="66"/>
        </w:rPr>
        <w:t>s.20H</w:t>
      </w:r>
      <w:r w:rsidRPr="00597D8D">
        <w:rPr>
          <w:rFonts w:ascii="Arial" w:hAnsi="Arial" w:cs="Arial"/>
          <w:sz w:val="20"/>
        </w:rPr>
        <w:t>:</w:t>
      </w:r>
    </w:p>
    <w:tbl>
      <w:tblPr>
        <w:tblStyle w:val="TableGrid"/>
        <w:tblW w:w="0" w:type="auto"/>
        <w:tblInd w:w="357" w:type="dxa"/>
        <w:tblLook w:val="04A0" w:firstRow="1" w:lastRow="0" w:firstColumn="1" w:lastColumn="0" w:noHBand="0" w:noVBand="1"/>
      </w:tblPr>
      <w:tblGrid>
        <w:gridCol w:w="3039"/>
        <w:gridCol w:w="4906"/>
      </w:tblGrid>
      <w:tr w:rsidR="00FC3098" w:rsidRPr="008A59C8" w14:paraId="354BE83D" w14:textId="77777777" w:rsidTr="007212AE">
        <w:tc>
          <w:tcPr>
            <w:tcW w:w="3288" w:type="dxa"/>
            <w:shd w:val="clear" w:color="auto" w:fill="000000" w:themeFill="text1"/>
          </w:tcPr>
          <w:p w14:paraId="3407AE44" w14:textId="77777777" w:rsidR="00FC3098" w:rsidRPr="008A59C8" w:rsidRDefault="00FC3098" w:rsidP="007212AE">
            <w:pPr>
              <w:pStyle w:val="ListParagraph"/>
              <w:ind w:left="357"/>
              <w:jc w:val="center"/>
              <w:rPr>
                <w:rFonts w:ascii="Arial" w:hAnsi="Arial" w:cs="Arial"/>
                <w:b/>
                <w:bCs/>
                <w:sz w:val="20"/>
              </w:rPr>
            </w:pPr>
            <w:r w:rsidRPr="002B6B53">
              <w:rPr>
                <w:rFonts w:ascii="Arial" w:hAnsi="Arial" w:cs="Arial"/>
                <w:b/>
                <w:bCs/>
                <w:sz w:val="20"/>
                <w:shd w:val="clear" w:color="auto" w:fill="FBE4D5" w:themeFill="accent2" w:themeFillTint="33"/>
              </w:rPr>
              <w:t>SSSF PARTNER</w:t>
            </w:r>
            <w:r>
              <w:rPr>
                <w:rFonts w:ascii="Arial" w:hAnsi="Arial" w:cs="Arial"/>
                <w:b/>
                <w:bCs/>
                <w:sz w:val="20"/>
              </w:rPr>
              <w:t xml:space="preserve"> </w:t>
            </w:r>
            <w:r w:rsidRPr="00404B7B">
              <w:rPr>
                <w:rFonts w:ascii="Arial" w:hAnsi="Arial" w:cs="Arial"/>
                <w:b/>
                <w:bCs/>
                <w:color w:val="000000" w:themeColor="text1"/>
                <w:sz w:val="20"/>
                <w:shd w:val="clear" w:color="auto" w:fill="C5E0B3" w:themeFill="accent6" w:themeFillTint="66"/>
              </w:rPr>
              <w:t>s.20E</w:t>
            </w:r>
          </w:p>
        </w:tc>
        <w:tc>
          <w:tcPr>
            <w:tcW w:w="5507" w:type="dxa"/>
            <w:shd w:val="clear" w:color="auto" w:fill="000000" w:themeFill="text1"/>
          </w:tcPr>
          <w:p w14:paraId="25B53F58" w14:textId="77777777" w:rsidR="00FC3098" w:rsidRPr="008A59C8" w:rsidRDefault="00FC3098" w:rsidP="007212AE">
            <w:pPr>
              <w:pStyle w:val="ListParagraph"/>
              <w:ind w:left="0"/>
              <w:jc w:val="center"/>
              <w:rPr>
                <w:rFonts w:ascii="Arial" w:hAnsi="Arial" w:cs="Arial"/>
                <w:b/>
                <w:bCs/>
                <w:sz w:val="20"/>
              </w:rPr>
            </w:pPr>
            <w:r w:rsidRPr="008A59C8">
              <w:rPr>
                <w:rFonts w:ascii="Arial" w:hAnsi="Arial" w:cs="Arial"/>
                <w:b/>
                <w:bCs/>
                <w:sz w:val="20"/>
              </w:rPr>
              <w:t>FUNCTION</w:t>
            </w:r>
            <w:r>
              <w:rPr>
                <w:rFonts w:ascii="Arial" w:hAnsi="Arial" w:cs="Arial"/>
                <w:b/>
                <w:bCs/>
                <w:sz w:val="20"/>
              </w:rPr>
              <w:t xml:space="preserve"> </w:t>
            </w:r>
            <w:r w:rsidRPr="00404B7B">
              <w:rPr>
                <w:rFonts w:ascii="Arial" w:hAnsi="Arial" w:cs="Arial"/>
                <w:b/>
                <w:bCs/>
                <w:color w:val="000000" w:themeColor="text1"/>
                <w:sz w:val="20"/>
                <w:shd w:val="clear" w:color="auto" w:fill="C5E0B3" w:themeFill="accent6" w:themeFillTint="66"/>
              </w:rPr>
              <w:t>s.20H</w:t>
            </w:r>
          </w:p>
        </w:tc>
      </w:tr>
      <w:tr w:rsidR="00FC3098" w:rsidRPr="008A59C8" w14:paraId="073BB35E" w14:textId="77777777" w:rsidTr="007212AE">
        <w:tc>
          <w:tcPr>
            <w:tcW w:w="3288" w:type="dxa"/>
          </w:tcPr>
          <w:p w14:paraId="3C193AC3" w14:textId="77777777" w:rsidR="00FC3098" w:rsidRPr="008A59C8" w:rsidRDefault="00FC3098">
            <w:pPr>
              <w:pStyle w:val="ListParagraph"/>
              <w:numPr>
                <w:ilvl w:val="0"/>
                <w:numId w:val="117"/>
              </w:numPr>
              <w:ind w:left="357" w:hanging="357"/>
              <w:contextualSpacing/>
              <w:jc w:val="both"/>
              <w:rPr>
                <w:rFonts w:ascii="Arial" w:hAnsi="Arial" w:cs="Arial"/>
                <w:sz w:val="20"/>
              </w:rPr>
            </w:pPr>
            <w:r w:rsidRPr="008A59C8">
              <w:rPr>
                <w:rFonts w:ascii="Arial" w:hAnsi="Arial" w:cs="Arial"/>
                <w:sz w:val="20"/>
              </w:rPr>
              <w:t>The Minister</w:t>
            </w:r>
          </w:p>
        </w:tc>
        <w:tc>
          <w:tcPr>
            <w:tcW w:w="5507" w:type="dxa"/>
          </w:tcPr>
          <w:p w14:paraId="2EF01312" w14:textId="77777777" w:rsidR="00FC3098" w:rsidRDefault="00FC3098">
            <w:pPr>
              <w:pStyle w:val="ListParagraph"/>
              <w:numPr>
                <w:ilvl w:val="0"/>
                <w:numId w:val="118"/>
              </w:numPr>
              <w:ind w:left="357" w:hanging="357"/>
              <w:contextualSpacing/>
              <w:jc w:val="both"/>
              <w:rPr>
                <w:rFonts w:ascii="Arial" w:hAnsi="Arial" w:cs="Arial"/>
                <w:sz w:val="20"/>
              </w:rPr>
            </w:pPr>
            <w:r>
              <w:rPr>
                <w:rFonts w:ascii="Arial" w:hAnsi="Arial" w:cs="Arial"/>
                <w:b/>
                <w:bCs/>
                <w:sz w:val="20"/>
                <w:shd w:val="clear" w:color="auto" w:fill="C5E0B3" w:themeFill="accent6" w:themeFillTint="66"/>
              </w:rPr>
              <w:t>S</w:t>
            </w:r>
            <w:r w:rsidRPr="002524ED">
              <w:rPr>
                <w:rFonts w:ascii="Arial" w:hAnsi="Arial" w:cs="Arial"/>
                <w:b/>
                <w:bCs/>
                <w:sz w:val="20"/>
                <w:shd w:val="clear" w:color="auto" w:fill="C5E0B3" w:themeFill="accent6" w:themeFillTint="66"/>
              </w:rPr>
              <w:t>.20J</w:t>
            </w:r>
            <w:r w:rsidRPr="002524ED">
              <w:rPr>
                <w:rFonts w:ascii="Arial" w:hAnsi="Arial" w:cs="Arial"/>
                <w:sz w:val="20"/>
              </w:rPr>
              <w:t xml:space="preserve">: To </w:t>
            </w:r>
            <w:r w:rsidRPr="002B52E2">
              <w:rPr>
                <w:rFonts w:ascii="Arial" w:hAnsi="Arial" w:cs="Arial"/>
                <w:b/>
                <w:bCs/>
                <w:sz w:val="20"/>
              </w:rPr>
              <w:t>prepare a</w:t>
            </w:r>
            <w:r w:rsidRPr="002524ED">
              <w:rPr>
                <w:rFonts w:ascii="Arial" w:hAnsi="Arial" w:cs="Arial"/>
                <w:sz w:val="20"/>
              </w:rPr>
              <w:t xml:space="preserve"> </w:t>
            </w:r>
            <w:r w:rsidRPr="00597D8D">
              <w:rPr>
                <w:rFonts w:ascii="Arial" w:hAnsi="Arial" w:cs="Arial"/>
                <w:b/>
                <w:bCs/>
                <w:sz w:val="20"/>
                <w:shd w:val="clear" w:color="auto" w:fill="000099"/>
              </w:rPr>
              <w:t>SSSF plan</w:t>
            </w:r>
            <w:r>
              <w:rPr>
                <w:rFonts w:ascii="Arial" w:hAnsi="Arial" w:cs="Arial"/>
                <w:sz w:val="20"/>
              </w:rPr>
              <w:t xml:space="preserve">, </w:t>
            </w:r>
            <w:r w:rsidRPr="002524ED">
              <w:rPr>
                <w:rFonts w:ascii="Arial" w:hAnsi="Arial" w:cs="Arial"/>
                <w:sz w:val="20"/>
              </w:rPr>
              <w:t xml:space="preserve">as to which </w:t>
            </w:r>
            <w:r>
              <w:rPr>
                <w:rFonts w:ascii="Arial" w:hAnsi="Arial" w:cs="Arial"/>
                <w:sz w:val="20"/>
              </w:rPr>
              <w:t xml:space="preserve">also </w:t>
            </w:r>
            <w:r w:rsidRPr="002524ED">
              <w:rPr>
                <w:rFonts w:ascii="Arial" w:hAnsi="Arial" w:cs="Arial"/>
                <w:sz w:val="20"/>
              </w:rPr>
              <w:t>see</w:t>
            </w:r>
            <w:r>
              <w:rPr>
                <w:rFonts w:ascii="Arial" w:hAnsi="Arial" w:cs="Arial"/>
                <w:sz w:val="20"/>
              </w:rPr>
              <w:t>:</w:t>
            </w:r>
          </w:p>
          <w:p w14:paraId="4B187746" w14:textId="77777777" w:rsidR="00FC3098" w:rsidRDefault="00FC3098">
            <w:pPr>
              <w:pStyle w:val="ListParagraph"/>
              <w:numPr>
                <w:ilvl w:val="0"/>
                <w:numId w:val="126"/>
              </w:numPr>
              <w:contextualSpacing/>
              <w:jc w:val="both"/>
              <w:rPr>
                <w:rFonts w:ascii="Arial" w:hAnsi="Arial" w:cs="Arial"/>
                <w:sz w:val="20"/>
              </w:rPr>
            </w:pPr>
            <w:r w:rsidRPr="002524ED">
              <w:rPr>
                <w:rFonts w:ascii="Arial" w:hAnsi="Arial" w:cs="Arial"/>
                <w:b/>
                <w:bCs/>
                <w:sz w:val="20"/>
                <w:shd w:val="clear" w:color="auto" w:fill="C5E0B3" w:themeFill="accent6" w:themeFillTint="66"/>
              </w:rPr>
              <w:t>s.20K</w:t>
            </w:r>
            <w:r w:rsidRPr="002524ED">
              <w:rPr>
                <w:rFonts w:ascii="Arial" w:hAnsi="Arial" w:cs="Arial"/>
                <w:sz w:val="20"/>
              </w:rPr>
              <w:t xml:space="preserve">: </w:t>
            </w:r>
            <w:r w:rsidRPr="002524ED">
              <w:rPr>
                <w:rFonts w:ascii="Arial" w:hAnsi="Arial" w:cs="Arial"/>
                <w:b/>
                <w:bCs/>
                <w:sz w:val="20"/>
              </w:rPr>
              <w:t>Process for preparing</w:t>
            </w:r>
            <w:r w:rsidRPr="002524ED">
              <w:rPr>
                <w:rFonts w:ascii="Arial" w:hAnsi="Arial" w:cs="Arial"/>
                <w:sz w:val="20"/>
              </w:rPr>
              <w:t xml:space="preserve"> </w:t>
            </w:r>
            <w:r w:rsidRPr="00597D8D">
              <w:rPr>
                <w:rFonts w:ascii="Arial" w:hAnsi="Arial" w:cs="Arial"/>
                <w:b/>
                <w:bCs/>
                <w:sz w:val="20"/>
                <w:shd w:val="clear" w:color="auto" w:fill="000099"/>
              </w:rPr>
              <w:t>SSSF plans</w:t>
            </w:r>
            <w:r w:rsidRPr="002B52E2">
              <w:rPr>
                <w:rFonts w:ascii="Arial" w:hAnsi="Arial" w:cs="Arial"/>
                <w:sz w:val="20"/>
              </w:rPr>
              <w:t>;</w:t>
            </w:r>
          </w:p>
          <w:p w14:paraId="04A49B30" w14:textId="77777777" w:rsidR="00FC3098" w:rsidRDefault="00FC3098">
            <w:pPr>
              <w:pStyle w:val="ListParagraph"/>
              <w:numPr>
                <w:ilvl w:val="0"/>
                <w:numId w:val="126"/>
              </w:numPr>
              <w:contextualSpacing/>
              <w:jc w:val="both"/>
              <w:rPr>
                <w:rFonts w:ascii="Arial" w:hAnsi="Arial" w:cs="Arial"/>
                <w:sz w:val="20"/>
              </w:rPr>
            </w:pPr>
            <w:r w:rsidRPr="002524ED">
              <w:rPr>
                <w:rFonts w:ascii="Arial" w:hAnsi="Arial" w:cs="Arial"/>
                <w:b/>
                <w:bCs/>
                <w:sz w:val="20"/>
                <w:shd w:val="clear" w:color="auto" w:fill="C5E0B3" w:themeFill="accent6" w:themeFillTint="66"/>
              </w:rPr>
              <w:t>s.20L</w:t>
            </w:r>
            <w:r w:rsidRPr="002524ED">
              <w:rPr>
                <w:rFonts w:ascii="Arial" w:hAnsi="Arial" w:cs="Arial"/>
                <w:sz w:val="20"/>
              </w:rPr>
              <w:t>:</w:t>
            </w:r>
            <w:r w:rsidRPr="002524ED">
              <w:rPr>
                <w:rFonts w:ascii="Arial" w:hAnsi="Arial" w:cs="Arial"/>
                <w:b/>
                <w:bCs/>
                <w:sz w:val="20"/>
              </w:rPr>
              <w:t xml:space="preserve"> Contents of </w:t>
            </w:r>
            <w:r w:rsidRPr="00597D8D">
              <w:rPr>
                <w:rFonts w:ascii="Arial" w:hAnsi="Arial" w:cs="Arial"/>
                <w:b/>
                <w:bCs/>
                <w:sz w:val="20"/>
                <w:shd w:val="clear" w:color="auto" w:fill="000099"/>
              </w:rPr>
              <w:t>SSSF plans</w:t>
            </w:r>
            <w:r w:rsidRPr="002B52E2">
              <w:rPr>
                <w:rFonts w:ascii="Arial" w:hAnsi="Arial" w:cs="Arial"/>
                <w:sz w:val="20"/>
              </w:rPr>
              <w:t>;</w:t>
            </w:r>
          </w:p>
          <w:p w14:paraId="39E24359" w14:textId="77777777" w:rsidR="00FC3098" w:rsidRPr="00B76C7A" w:rsidRDefault="00FC3098">
            <w:pPr>
              <w:pStyle w:val="ListParagraph"/>
              <w:numPr>
                <w:ilvl w:val="0"/>
                <w:numId w:val="126"/>
              </w:numPr>
              <w:contextualSpacing/>
              <w:jc w:val="both"/>
              <w:rPr>
                <w:rFonts w:ascii="Arial" w:hAnsi="Arial" w:cs="Arial"/>
                <w:sz w:val="20"/>
              </w:rPr>
            </w:pPr>
            <w:r w:rsidRPr="00357E41">
              <w:rPr>
                <w:rFonts w:ascii="Arial" w:hAnsi="Arial" w:cs="Arial"/>
                <w:b/>
                <w:bCs/>
                <w:sz w:val="20"/>
                <w:shd w:val="clear" w:color="auto" w:fill="C5E0B3" w:themeFill="accent6" w:themeFillTint="66"/>
              </w:rPr>
              <w:t>s.20N</w:t>
            </w:r>
            <w:r>
              <w:rPr>
                <w:rFonts w:ascii="Arial" w:hAnsi="Arial" w:cs="Arial"/>
                <w:sz w:val="20"/>
              </w:rPr>
              <w:t xml:space="preserve">: </w:t>
            </w:r>
            <w:r w:rsidRPr="00357E41">
              <w:rPr>
                <w:rFonts w:ascii="Arial" w:hAnsi="Arial" w:cs="Arial"/>
                <w:b/>
                <w:bCs/>
                <w:sz w:val="20"/>
              </w:rPr>
              <w:t xml:space="preserve">Term of </w:t>
            </w:r>
            <w:r w:rsidRPr="00597D8D">
              <w:rPr>
                <w:rFonts w:ascii="Arial" w:hAnsi="Arial" w:cs="Arial"/>
                <w:b/>
                <w:bCs/>
                <w:sz w:val="20"/>
                <w:shd w:val="clear" w:color="auto" w:fill="000099"/>
              </w:rPr>
              <w:t>SSSF plan</w:t>
            </w:r>
            <w:r>
              <w:rPr>
                <w:rFonts w:ascii="Arial" w:hAnsi="Arial" w:cs="Arial"/>
                <w:sz w:val="20"/>
              </w:rPr>
              <w:t xml:space="preserve"> (2 years unless revoked sooner).</w:t>
            </w:r>
          </w:p>
          <w:p w14:paraId="383E8F0A" w14:textId="77777777" w:rsidR="00FC3098" w:rsidRDefault="00FC3098">
            <w:pPr>
              <w:pStyle w:val="ListParagraph"/>
              <w:numPr>
                <w:ilvl w:val="0"/>
                <w:numId w:val="118"/>
              </w:numPr>
              <w:ind w:left="357" w:hanging="357"/>
              <w:contextualSpacing/>
              <w:jc w:val="both"/>
              <w:rPr>
                <w:rFonts w:ascii="Arial" w:hAnsi="Arial" w:cs="Arial"/>
                <w:sz w:val="20"/>
              </w:rPr>
            </w:pPr>
            <w:r>
              <w:rPr>
                <w:rFonts w:ascii="Arial" w:hAnsi="Arial" w:cs="Arial"/>
                <w:sz w:val="20"/>
              </w:rPr>
              <w:t xml:space="preserve">To consider the Minister’s </w:t>
            </w:r>
            <w:r w:rsidRPr="007E2468">
              <w:rPr>
                <w:rFonts w:ascii="Arial" w:hAnsi="Arial" w:cs="Arial"/>
                <w:b/>
                <w:bCs/>
                <w:sz w:val="20"/>
                <w:shd w:val="clear" w:color="auto" w:fill="CCFFFF"/>
              </w:rPr>
              <w:t>SSSF responsibilities</w:t>
            </w:r>
            <w:r>
              <w:rPr>
                <w:rFonts w:ascii="Arial" w:hAnsi="Arial" w:cs="Arial"/>
                <w:sz w:val="20"/>
              </w:rPr>
              <w:t xml:space="preserve"> (see </w:t>
            </w:r>
            <w:r w:rsidRPr="002B52E2">
              <w:rPr>
                <w:rFonts w:ascii="Arial" w:hAnsi="Arial" w:cs="Arial"/>
                <w:b/>
                <w:bCs/>
                <w:sz w:val="20"/>
                <w:shd w:val="clear" w:color="auto" w:fill="C5E0B3" w:themeFill="accent6" w:themeFillTint="66"/>
              </w:rPr>
              <w:t>s.20</w:t>
            </w:r>
            <w:r w:rsidRPr="002B52E2">
              <w:rPr>
                <w:b/>
                <w:bCs/>
                <w:sz w:val="20"/>
                <w:shd w:val="clear" w:color="auto" w:fill="C5E0B3" w:themeFill="accent6" w:themeFillTint="66"/>
              </w:rPr>
              <w:t>I</w:t>
            </w:r>
            <w:r>
              <w:rPr>
                <w:rFonts w:ascii="Arial" w:hAnsi="Arial" w:cs="Arial"/>
                <w:sz w:val="20"/>
              </w:rPr>
              <w:t xml:space="preserve">) in preparing a </w:t>
            </w:r>
            <w:r w:rsidRPr="00597D8D">
              <w:rPr>
                <w:rFonts w:ascii="Arial" w:hAnsi="Arial" w:cs="Arial"/>
                <w:b/>
                <w:bCs/>
                <w:sz w:val="20"/>
                <w:shd w:val="clear" w:color="auto" w:fill="000099"/>
              </w:rPr>
              <w:t>SSSF plan</w:t>
            </w:r>
            <w:r>
              <w:rPr>
                <w:rFonts w:ascii="Arial" w:hAnsi="Arial" w:cs="Arial"/>
                <w:sz w:val="20"/>
              </w:rPr>
              <w:t>.</w:t>
            </w:r>
          </w:p>
          <w:p w14:paraId="53024713" w14:textId="77777777" w:rsidR="00FC3098" w:rsidRDefault="00FC3098">
            <w:pPr>
              <w:pStyle w:val="ListParagraph"/>
              <w:numPr>
                <w:ilvl w:val="0"/>
                <w:numId w:val="118"/>
              </w:numPr>
              <w:ind w:left="357" w:hanging="357"/>
              <w:contextualSpacing/>
              <w:jc w:val="both"/>
              <w:rPr>
                <w:rFonts w:ascii="Arial" w:hAnsi="Arial" w:cs="Arial"/>
                <w:sz w:val="20"/>
              </w:rPr>
            </w:pPr>
            <w:r w:rsidRPr="000764DD">
              <w:rPr>
                <w:rFonts w:ascii="Arial" w:hAnsi="Arial" w:cs="Arial"/>
                <w:b/>
                <w:bCs/>
                <w:sz w:val="20"/>
              </w:rPr>
              <w:t xml:space="preserve">To take any actions specified in the </w:t>
            </w:r>
            <w:r w:rsidRPr="00597D8D">
              <w:rPr>
                <w:rFonts w:ascii="Arial" w:hAnsi="Arial" w:cs="Arial"/>
                <w:b/>
                <w:bCs/>
                <w:sz w:val="20"/>
                <w:shd w:val="clear" w:color="auto" w:fill="000099"/>
              </w:rPr>
              <w:t>SSS</w:t>
            </w:r>
            <w:r>
              <w:rPr>
                <w:rFonts w:ascii="Arial" w:hAnsi="Arial" w:cs="Arial"/>
                <w:b/>
                <w:bCs/>
                <w:sz w:val="20"/>
                <w:shd w:val="clear" w:color="auto" w:fill="000099"/>
              </w:rPr>
              <w:t>F</w:t>
            </w:r>
            <w:r w:rsidRPr="00597D8D">
              <w:rPr>
                <w:rFonts w:ascii="Arial" w:hAnsi="Arial" w:cs="Arial"/>
                <w:b/>
                <w:bCs/>
                <w:sz w:val="20"/>
                <w:shd w:val="clear" w:color="auto" w:fill="000099"/>
              </w:rPr>
              <w:t xml:space="preserve"> plan</w:t>
            </w:r>
            <w:r>
              <w:rPr>
                <w:rFonts w:ascii="Arial" w:hAnsi="Arial" w:cs="Arial"/>
                <w:sz w:val="20"/>
              </w:rPr>
              <w:t>.</w:t>
            </w:r>
          </w:p>
          <w:p w14:paraId="196D98F1" w14:textId="77777777" w:rsidR="00FC3098" w:rsidRDefault="00FC3098">
            <w:pPr>
              <w:pStyle w:val="ListParagraph"/>
              <w:numPr>
                <w:ilvl w:val="0"/>
                <w:numId w:val="118"/>
              </w:numPr>
              <w:ind w:left="357" w:hanging="357"/>
              <w:contextualSpacing/>
              <w:jc w:val="both"/>
              <w:rPr>
                <w:rFonts w:ascii="Arial" w:hAnsi="Arial" w:cs="Arial"/>
                <w:sz w:val="20"/>
              </w:rPr>
            </w:pPr>
            <w:r>
              <w:rPr>
                <w:rFonts w:ascii="Arial" w:hAnsi="Arial" w:cs="Arial"/>
                <w:b/>
                <w:bCs/>
                <w:sz w:val="20"/>
                <w:shd w:val="clear" w:color="auto" w:fill="C5E0B3" w:themeFill="accent6" w:themeFillTint="66"/>
              </w:rPr>
              <w:t>S</w:t>
            </w:r>
            <w:r w:rsidRPr="002524ED">
              <w:rPr>
                <w:rFonts w:ascii="Arial" w:hAnsi="Arial" w:cs="Arial"/>
                <w:b/>
                <w:bCs/>
                <w:sz w:val="20"/>
                <w:shd w:val="clear" w:color="auto" w:fill="C5E0B3" w:themeFill="accent6" w:themeFillTint="66"/>
              </w:rPr>
              <w:t>.20</w:t>
            </w:r>
            <w:r>
              <w:rPr>
                <w:rFonts w:ascii="Arial" w:hAnsi="Arial" w:cs="Arial"/>
                <w:b/>
                <w:bCs/>
                <w:sz w:val="20"/>
                <w:shd w:val="clear" w:color="auto" w:fill="C5E0B3" w:themeFill="accent6" w:themeFillTint="66"/>
              </w:rPr>
              <w:t>M</w:t>
            </w:r>
            <w:r w:rsidRPr="002524ED">
              <w:rPr>
                <w:rFonts w:ascii="Arial" w:hAnsi="Arial" w:cs="Arial"/>
                <w:sz w:val="20"/>
              </w:rPr>
              <w:t xml:space="preserve">: </w:t>
            </w:r>
            <w:r>
              <w:rPr>
                <w:rFonts w:ascii="Arial" w:hAnsi="Arial" w:cs="Arial"/>
                <w:sz w:val="20"/>
              </w:rPr>
              <w:t xml:space="preserve">To </w:t>
            </w:r>
            <w:r w:rsidRPr="002B52E2">
              <w:rPr>
                <w:rFonts w:ascii="Arial" w:hAnsi="Arial" w:cs="Arial"/>
                <w:b/>
                <w:bCs/>
                <w:sz w:val="20"/>
              </w:rPr>
              <w:t xml:space="preserve">transmit the </w:t>
            </w:r>
            <w:r w:rsidRPr="00597D8D">
              <w:rPr>
                <w:rFonts w:ascii="Arial" w:hAnsi="Arial" w:cs="Arial"/>
                <w:b/>
                <w:bCs/>
                <w:sz w:val="20"/>
                <w:shd w:val="clear" w:color="auto" w:fill="000099"/>
              </w:rPr>
              <w:t>SSS</w:t>
            </w:r>
            <w:r>
              <w:rPr>
                <w:rFonts w:ascii="Arial" w:hAnsi="Arial" w:cs="Arial"/>
                <w:b/>
                <w:bCs/>
                <w:sz w:val="20"/>
                <w:shd w:val="clear" w:color="auto" w:fill="000099"/>
              </w:rPr>
              <w:t>F</w:t>
            </w:r>
            <w:r w:rsidRPr="00597D8D">
              <w:rPr>
                <w:rFonts w:ascii="Arial" w:hAnsi="Arial" w:cs="Arial"/>
                <w:b/>
                <w:bCs/>
                <w:sz w:val="20"/>
                <w:shd w:val="clear" w:color="auto" w:fill="000099"/>
              </w:rPr>
              <w:t xml:space="preserve"> plan</w:t>
            </w:r>
            <w:r w:rsidRPr="002B52E2">
              <w:rPr>
                <w:rFonts w:ascii="Arial" w:hAnsi="Arial" w:cs="Arial"/>
                <w:b/>
                <w:bCs/>
                <w:sz w:val="20"/>
              </w:rPr>
              <w:t xml:space="preserve"> to Parliament</w:t>
            </w:r>
            <w:r>
              <w:rPr>
                <w:rFonts w:ascii="Arial" w:hAnsi="Arial" w:cs="Arial"/>
                <w:sz w:val="20"/>
              </w:rPr>
              <w:t>.</w:t>
            </w:r>
          </w:p>
          <w:p w14:paraId="1C9124C1" w14:textId="77777777" w:rsidR="00FC3098" w:rsidRPr="003803FD" w:rsidRDefault="00FC3098">
            <w:pPr>
              <w:pStyle w:val="ListParagraph"/>
              <w:numPr>
                <w:ilvl w:val="0"/>
                <w:numId w:val="118"/>
              </w:numPr>
              <w:ind w:left="357" w:hanging="357"/>
              <w:contextualSpacing/>
              <w:jc w:val="both"/>
              <w:rPr>
                <w:rFonts w:ascii="Arial" w:hAnsi="Arial" w:cs="Arial"/>
                <w:sz w:val="20"/>
              </w:rPr>
            </w:pPr>
            <w:r w:rsidRPr="002B52E2">
              <w:rPr>
                <w:rFonts w:ascii="Arial" w:hAnsi="Arial" w:cs="Arial"/>
                <w:b/>
                <w:bCs/>
                <w:sz w:val="20"/>
                <w:shd w:val="clear" w:color="auto" w:fill="C5E0B3" w:themeFill="accent6" w:themeFillTint="66"/>
              </w:rPr>
              <w:t>SS.20O+20P</w:t>
            </w:r>
            <w:r>
              <w:rPr>
                <w:rFonts w:ascii="Arial" w:hAnsi="Arial" w:cs="Arial"/>
                <w:sz w:val="20"/>
              </w:rPr>
              <w:t xml:space="preserve">: To </w:t>
            </w:r>
            <w:r w:rsidRPr="002B52E2">
              <w:rPr>
                <w:rFonts w:ascii="Arial" w:hAnsi="Arial" w:cs="Arial"/>
                <w:b/>
                <w:bCs/>
                <w:sz w:val="20"/>
              </w:rPr>
              <w:t xml:space="preserve">prepare a </w:t>
            </w:r>
            <w:r w:rsidRPr="00E612FB">
              <w:rPr>
                <w:rFonts w:ascii="Arial" w:hAnsi="Arial" w:cs="Arial"/>
                <w:b/>
                <w:bCs/>
                <w:sz w:val="20"/>
              </w:rPr>
              <w:t>SSSF</w:t>
            </w:r>
            <w:r>
              <w:rPr>
                <w:rFonts w:ascii="Arial" w:hAnsi="Arial" w:cs="Arial"/>
                <w:sz w:val="20"/>
              </w:rPr>
              <w:t xml:space="preserve"> </w:t>
            </w:r>
            <w:r w:rsidRPr="008A59C8">
              <w:rPr>
                <w:rFonts w:ascii="Arial" w:hAnsi="Arial" w:cs="Arial"/>
                <w:b/>
                <w:bCs/>
                <w:sz w:val="20"/>
              </w:rPr>
              <w:t>progress report</w:t>
            </w:r>
            <w:r w:rsidRPr="002B52E2">
              <w:rPr>
                <w:rFonts w:ascii="Arial" w:hAnsi="Arial" w:cs="Arial"/>
                <w:sz w:val="20"/>
              </w:rPr>
              <w:t xml:space="preserve"> and</w:t>
            </w:r>
            <w:r>
              <w:rPr>
                <w:rFonts w:ascii="Arial" w:hAnsi="Arial" w:cs="Arial"/>
                <w:sz w:val="20"/>
              </w:rPr>
              <w:t xml:space="preserve"> to </w:t>
            </w:r>
            <w:r w:rsidRPr="002B52E2">
              <w:rPr>
                <w:rFonts w:ascii="Arial" w:hAnsi="Arial" w:cs="Arial"/>
                <w:b/>
                <w:bCs/>
                <w:sz w:val="20"/>
              </w:rPr>
              <w:t>transmit it to Parliament</w:t>
            </w:r>
            <w:r>
              <w:rPr>
                <w:rFonts w:ascii="Arial" w:hAnsi="Arial" w:cs="Arial"/>
                <w:sz w:val="20"/>
              </w:rPr>
              <w:t>.</w:t>
            </w:r>
          </w:p>
        </w:tc>
      </w:tr>
      <w:tr w:rsidR="00FC3098" w:rsidRPr="008A59C8" w14:paraId="5FD127DE" w14:textId="77777777" w:rsidTr="007212AE">
        <w:tc>
          <w:tcPr>
            <w:tcW w:w="3288" w:type="dxa"/>
          </w:tcPr>
          <w:p w14:paraId="185CD9EB" w14:textId="77777777" w:rsidR="00FC3098" w:rsidRPr="008A59C8" w:rsidRDefault="00FC3098">
            <w:pPr>
              <w:pStyle w:val="ListParagraph"/>
              <w:numPr>
                <w:ilvl w:val="0"/>
                <w:numId w:val="117"/>
              </w:numPr>
              <w:ind w:left="357" w:hanging="357"/>
              <w:contextualSpacing/>
              <w:jc w:val="both"/>
              <w:rPr>
                <w:rFonts w:ascii="Arial" w:hAnsi="Arial" w:cs="Arial"/>
                <w:sz w:val="20"/>
              </w:rPr>
            </w:pPr>
            <w:r>
              <w:rPr>
                <w:rFonts w:ascii="Arial" w:hAnsi="Arial" w:cs="Arial"/>
                <w:sz w:val="20"/>
              </w:rPr>
              <w:t>a Public Service Department Head</w:t>
            </w:r>
          </w:p>
        </w:tc>
        <w:tc>
          <w:tcPr>
            <w:tcW w:w="5507" w:type="dxa"/>
            <w:vMerge w:val="restart"/>
          </w:tcPr>
          <w:p w14:paraId="3D20CBC3" w14:textId="77777777" w:rsidR="00FC3098" w:rsidRPr="00597D8D" w:rsidRDefault="00FC3098" w:rsidP="007212AE">
            <w:pPr>
              <w:pStyle w:val="ListParagraph"/>
              <w:ind w:left="0"/>
              <w:rPr>
                <w:rFonts w:ascii="Arial" w:hAnsi="Arial" w:cs="Arial"/>
                <w:color w:val="FFFFFF" w:themeColor="background1"/>
                <w:sz w:val="28"/>
                <w:szCs w:val="28"/>
              </w:rPr>
            </w:pPr>
          </w:p>
          <w:p w14:paraId="2E35C4F1" w14:textId="77777777" w:rsidR="00FC3098" w:rsidRPr="008A59C8" w:rsidRDefault="00FC3098">
            <w:pPr>
              <w:pStyle w:val="ListParagraph"/>
              <w:numPr>
                <w:ilvl w:val="0"/>
                <w:numId w:val="119"/>
              </w:numPr>
              <w:ind w:left="357" w:hanging="357"/>
              <w:contextualSpacing/>
              <w:jc w:val="both"/>
              <w:rPr>
                <w:rFonts w:ascii="Arial" w:hAnsi="Arial" w:cs="Arial"/>
                <w:sz w:val="20"/>
              </w:rPr>
            </w:pPr>
            <w:r>
              <w:rPr>
                <w:rFonts w:ascii="Arial" w:hAnsi="Arial" w:cs="Arial"/>
                <w:sz w:val="20"/>
              </w:rPr>
              <w:t xml:space="preserve">To consider their </w:t>
            </w:r>
            <w:r w:rsidRPr="007E2468">
              <w:rPr>
                <w:rFonts w:ascii="Arial" w:hAnsi="Arial" w:cs="Arial"/>
                <w:b/>
                <w:bCs/>
                <w:sz w:val="20"/>
                <w:shd w:val="clear" w:color="auto" w:fill="CCFFFF"/>
              </w:rPr>
              <w:t>SSSF responsibilities</w:t>
            </w:r>
            <w:r>
              <w:rPr>
                <w:rFonts w:ascii="Arial" w:hAnsi="Arial" w:cs="Arial"/>
                <w:sz w:val="20"/>
              </w:rPr>
              <w:t xml:space="preserve"> (see </w:t>
            </w:r>
            <w:r w:rsidRPr="002B52E2">
              <w:rPr>
                <w:rFonts w:ascii="Arial" w:hAnsi="Arial" w:cs="Arial"/>
                <w:b/>
                <w:bCs/>
                <w:sz w:val="20"/>
                <w:shd w:val="clear" w:color="auto" w:fill="C5E0B3" w:themeFill="accent6" w:themeFillTint="66"/>
              </w:rPr>
              <w:t>s.20</w:t>
            </w:r>
            <w:r w:rsidRPr="002B52E2">
              <w:rPr>
                <w:b/>
                <w:bCs/>
                <w:sz w:val="20"/>
                <w:shd w:val="clear" w:color="auto" w:fill="C5E0B3" w:themeFill="accent6" w:themeFillTint="66"/>
              </w:rPr>
              <w:t>I</w:t>
            </w:r>
            <w:r>
              <w:rPr>
                <w:rFonts w:ascii="Arial" w:hAnsi="Arial" w:cs="Arial"/>
                <w:sz w:val="20"/>
              </w:rPr>
              <w:t xml:space="preserve">) in taking actions specified in the </w:t>
            </w:r>
            <w:r w:rsidRPr="00597D8D">
              <w:rPr>
                <w:rFonts w:ascii="Arial" w:hAnsi="Arial" w:cs="Arial"/>
                <w:b/>
                <w:bCs/>
                <w:sz w:val="20"/>
                <w:shd w:val="clear" w:color="auto" w:fill="000099"/>
              </w:rPr>
              <w:t>SSSF plan</w:t>
            </w:r>
            <w:r>
              <w:rPr>
                <w:rFonts w:ascii="Arial" w:hAnsi="Arial" w:cs="Arial"/>
                <w:sz w:val="20"/>
              </w:rPr>
              <w:t>.</w:t>
            </w:r>
          </w:p>
        </w:tc>
      </w:tr>
      <w:tr w:rsidR="00FC3098" w:rsidRPr="008A59C8" w14:paraId="77927B2C" w14:textId="77777777" w:rsidTr="007212AE">
        <w:tc>
          <w:tcPr>
            <w:tcW w:w="3288" w:type="dxa"/>
          </w:tcPr>
          <w:p w14:paraId="75F35313" w14:textId="77777777" w:rsidR="00FC3098" w:rsidRPr="008A59C8" w:rsidRDefault="00FC3098">
            <w:pPr>
              <w:pStyle w:val="ListParagraph"/>
              <w:numPr>
                <w:ilvl w:val="0"/>
                <w:numId w:val="117"/>
              </w:numPr>
              <w:ind w:left="357" w:hanging="357"/>
              <w:contextualSpacing/>
              <w:jc w:val="both"/>
              <w:rPr>
                <w:rFonts w:ascii="Arial" w:hAnsi="Arial" w:cs="Arial"/>
                <w:sz w:val="20"/>
              </w:rPr>
            </w:pPr>
            <w:r>
              <w:rPr>
                <w:rFonts w:ascii="Arial" w:hAnsi="Arial" w:cs="Arial"/>
                <w:sz w:val="20"/>
              </w:rPr>
              <w:t>Chief Commissioner of Police</w:t>
            </w:r>
          </w:p>
        </w:tc>
        <w:tc>
          <w:tcPr>
            <w:tcW w:w="5507" w:type="dxa"/>
            <w:vMerge/>
          </w:tcPr>
          <w:p w14:paraId="12C70188" w14:textId="77777777" w:rsidR="00FC3098" w:rsidRPr="008A59C8" w:rsidRDefault="00FC3098" w:rsidP="007212AE">
            <w:pPr>
              <w:pStyle w:val="ListParagraph"/>
              <w:ind w:left="0"/>
              <w:rPr>
                <w:rFonts w:ascii="Arial" w:hAnsi="Arial" w:cs="Arial"/>
                <w:sz w:val="20"/>
              </w:rPr>
            </w:pPr>
          </w:p>
        </w:tc>
      </w:tr>
      <w:tr w:rsidR="00FC3098" w:rsidRPr="008A59C8" w14:paraId="23449DE7" w14:textId="77777777" w:rsidTr="007212AE">
        <w:tc>
          <w:tcPr>
            <w:tcW w:w="3288" w:type="dxa"/>
          </w:tcPr>
          <w:p w14:paraId="498C2CBD" w14:textId="77777777" w:rsidR="00FC3098" w:rsidRPr="008A59C8" w:rsidRDefault="00FC3098">
            <w:pPr>
              <w:pStyle w:val="ListParagraph"/>
              <w:numPr>
                <w:ilvl w:val="0"/>
                <w:numId w:val="117"/>
              </w:numPr>
              <w:ind w:left="357" w:hanging="357"/>
              <w:contextualSpacing/>
              <w:jc w:val="both"/>
              <w:rPr>
                <w:rFonts w:ascii="Arial" w:hAnsi="Arial" w:cs="Arial"/>
                <w:sz w:val="20"/>
              </w:rPr>
            </w:pPr>
            <w:r>
              <w:rPr>
                <w:rFonts w:ascii="Arial" w:hAnsi="Arial" w:cs="Arial"/>
                <w:sz w:val="20"/>
              </w:rPr>
              <w:t>a prescribed person or member of a prescribed class</w:t>
            </w:r>
          </w:p>
        </w:tc>
        <w:tc>
          <w:tcPr>
            <w:tcW w:w="5507" w:type="dxa"/>
            <w:vMerge/>
          </w:tcPr>
          <w:p w14:paraId="219D1BEA" w14:textId="77777777" w:rsidR="00FC3098" w:rsidRPr="008A59C8" w:rsidRDefault="00FC3098" w:rsidP="007212AE">
            <w:pPr>
              <w:pStyle w:val="ListParagraph"/>
              <w:ind w:left="0"/>
              <w:rPr>
                <w:rFonts w:ascii="Arial" w:hAnsi="Arial" w:cs="Arial"/>
                <w:sz w:val="20"/>
              </w:rPr>
            </w:pPr>
          </w:p>
        </w:tc>
      </w:tr>
    </w:tbl>
    <w:p w14:paraId="1A6A5BBF" w14:textId="77777777" w:rsidR="00FC3098" w:rsidRDefault="00FC3098" w:rsidP="00FC3098">
      <w:pPr>
        <w:rPr>
          <w:rFonts w:ascii="Arial" w:hAnsi="Arial" w:cs="Arial"/>
          <w:sz w:val="20"/>
          <w:szCs w:val="20"/>
        </w:rPr>
      </w:pPr>
    </w:p>
    <w:p w14:paraId="7D4E6408" w14:textId="77777777" w:rsidR="00FC3098" w:rsidRPr="00597D8D" w:rsidRDefault="00FC3098">
      <w:pPr>
        <w:pStyle w:val="ListParagraph"/>
        <w:numPr>
          <w:ilvl w:val="0"/>
          <w:numId w:val="115"/>
        </w:numPr>
        <w:ind w:left="357" w:hanging="357"/>
        <w:contextualSpacing/>
        <w:jc w:val="both"/>
        <w:rPr>
          <w:rFonts w:ascii="Arial" w:hAnsi="Arial" w:cs="Arial"/>
          <w:sz w:val="20"/>
        </w:rPr>
      </w:pPr>
      <w:r w:rsidRPr="00CA756A">
        <w:rPr>
          <w:rFonts w:ascii="Arial" w:hAnsi="Arial" w:cs="Arial"/>
          <w:b/>
          <w:bCs/>
          <w:sz w:val="20"/>
          <w:shd w:val="clear" w:color="auto" w:fill="C5E0B3" w:themeFill="accent6" w:themeFillTint="66"/>
        </w:rPr>
        <w:t>Section 20F</w:t>
      </w:r>
      <w:r w:rsidRPr="00597D8D">
        <w:rPr>
          <w:rFonts w:ascii="Arial" w:hAnsi="Arial" w:cs="Arial"/>
          <w:sz w:val="20"/>
        </w:rPr>
        <w:t xml:space="preserve"> CYFA defines a “supporting stable and strong families group” – </w:t>
      </w:r>
      <w:r w:rsidRPr="00CA756A">
        <w:rPr>
          <w:rFonts w:ascii="Arial" w:hAnsi="Arial" w:cs="Arial"/>
          <w:b/>
          <w:bCs/>
          <w:sz w:val="20"/>
          <w:shd w:val="clear" w:color="auto" w:fill="FFF2CC" w:themeFill="accent4" w:themeFillTint="33"/>
        </w:rPr>
        <w:t>SSSF Group</w:t>
      </w:r>
      <w:r w:rsidRPr="00597D8D">
        <w:rPr>
          <w:rFonts w:ascii="Arial" w:hAnsi="Arial" w:cs="Arial"/>
          <w:sz w:val="20"/>
        </w:rPr>
        <w:t xml:space="preserve"> – as the following persons—</w:t>
      </w:r>
    </w:p>
    <w:p w14:paraId="43608935" w14:textId="77777777" w:rsidR="00FC3098" w:rsidRPr="00D84366" w:rsidRDefault="00FC3098">
      <w:pPr>
        <w:pStyle w:val="ListParagraph"/>
        <w:numPr>
          <w:ilvl w:val="0"/>
          <w:numId w:val="120"/>
        </w:numPr>
        <w:contextualSpacing/>
        <w:jc w:val="both"/>
        <w:rPr>
          <w:rFonts w:ascii="Arial" w:hAnsi="Arial" w:cs="Arial"/>
          <w:sz w:val="20"/>
        </w:rPr>
      </w:pPr>
      <w:r w:rsidRPr="00D34093">
        <w:rPr>
          <w:rFonts w:ascii="Arial" w:hAnsi="Arial" w:cs="Arial"/>
          <w:b/>
          <w:bCs/>
          <w:color w:val="FFFFFF" w:themeColor="background1"/>
          <w:sz w:val="20"/>
          <w:shd w:val="clear" w:color="auto" w:fill="7030A0"/>
        </w:rPr>
        <w:lastRenderedPageBreak/>
        <w:t>vulnerable children and care leavers</w:t>
      </w:r>
      <w:r w:rsidRPr="00D84366">
        <w:rPr>
          <w:rFonts w:ascii="Arial" w:hAnsi="Arial" w:cs="Arial"/>
          <w:sz w:val="20"/>
        </w:rPr>
        <w:t>;</w:t>
      </w:r>
    </w:p>
    <w:p w14:paraId="697C8B4C" w14:textId="77777777" w:rsidR="00FC3098" w:rsidRDefault="00FC3098">
      <w:pPr>
        <w:pStyle w:val="ListParagraph"/>
        <w:numPr>
          <w:ilvl w:val="0"/>
          <w:numId w:val="120"/>
        </w:numPr>
        <w:contextualSpacing/>
        <w:jc w:val="both"/>
        <w:rPr>
          <w:rFonts w:ascii="Arial" w:hAnsi="Arial" w:cs="Arial"/>
          <w:sz w:val="20"/>
        </w:rPr>
      </w:pPr>
      <w:r w:rsidRPr="00C12433">
        <w:rPr>
          <w:rFonts w:ascii="Arial" w:hAnsi="Arial" w:cs="Arial"/>
          <w:sz w:val="20"/>
        </w:rPr>
        <w:t xml:space="preserve">parents of, and other family members who reside in a household with, </w:t>
      </w:r>
      <w:r w:rsidRPr="00D34093">
        <w:rPr>
          <w:rFonts w:ascii="Arial" w:hAnsi="Arial" w:cs="Arial"/>
          <w:b/>
          <w:bCs/>
          <w:color w:val="FFFFFF" w:themeColor="background1"/>
          <w:sz w:val="20"/>
          <w:shd w:val="clear" w:color="auto" w:fill="7030A0"/>
        </w:rPr>
        <w:t>vulnerable children</w:t>
      </w:r>
      <w:r w:rsidRPr="00C12433">
        <w:rPr>
          <w:rFonts w:ascii="Arial" w:hAnsi="Arial" w:cs="Arial"/>
          <w:sz w:val="20"/>
        </w:rPr>
        <w:t xml:space="preserve"> subject to a family preservation order</w:t>
      </w:r>
      <w:r>
        <w:rPr>
          <w:rFonts w:ascii="Arial" w:hAnsi="Arial" w:cs="Arial"/>
          <w:sz w:val="20"/>
        </w:rPr>
        <w:t xml:space="preserve"> [FPO];</w:t>
      </w:r>
    </w:p>
    <w:p w14:paraId="69F8C2AA" w14:textId="77777777" w:rsidR="00FC3098" w:rsidRPr="00D84366" w:rsidRDefault="00FC3098">
      <w:pPr>
        <w:pStyle w:val="ListParagraph"/>
        <w:numPr>
          <w:ilvl w:val="0"/>
          <w:numId w:val="120"/>
        </w:numPr>
        <w:contextualSpacing/>
        <w:jc w:val="both"/>
        <w:rPr>
          <w:rFonts w:ascii="Arial" w:hAnsi="Arial" w:cs="Arial"/>
          <w:sz w:val="20"/>
        </w:rPr>
      </w:pPr>
      <w:r w:rsidRPr="00C12433">
        <w:rPr>
          <w:rFonts w:ascii="Arial" w:hAnsi="Arial" w:cs="Arial"/>
          <w:sz w:val="20"/>
        </w:rPr>
        <w:t xml:space="preserve">in relation to </w:t>
      </w:r>
      <w:r w:rsidRPr="00D34093">
        <w:rPr>
          <w:rFonts w:ascii="Arial" w:hAnsi="Arial" w:cs="Arial"/>
          <w:b/>
          <w:bCs/>
          <w:color w:val="FFFFFF" w:themeColor="background1"/>
          <w:sz w:val="20"/>
          <w:shd w:val="clear" w:color="auto" w:fill="7030A0"/>
        </w:rPr>
        <w:t>vulnerable children</w:t>
      </w:r>
      <w:r w:rsidRPr="00C12433">
        <w:rPr>
          <w:rFonts w:ascii="Arial" w:hAnsi="Arial" w:cs="Arial"/>
          <w:sz w:val="20"/>
        </w:rPr>
        <w:t xml:space="preserve"> subject to a family reunification order</w:t>
      </w:r>
      <w:r>
        <w:rPr>
          <w:rFonts w:ascii="Arial" w:hAnsi="Arial" w:cs="Arial"/>
          <w:sz w:val="20"/>
        </w:rPr>
        <w:t xml:space="preserve"> [FRO]</w:t>
      </w:r>
      <w:r w:rsidRPr="00C12433">
        <w:rPr>
          <w:rFonts w:ascii="Arial" w:hAnsi="Arial" w:cs="Arial"/>
          <w:sz w:val="20"/>
        </w:rPr>
        <w:t>—</w:t>
      </w:r>
    </w:p>
    <w:p w14:paraId="0750EEB8" w14:textId="77777777" w:rsidR="00FC3098" w:rsidRPr="00404B7B" w:rsidRDefault="00FC3098" w:rsidP="00FC3098">
      <w:pPr>
        <w:ind w:left="1174" w:hanging="454"/>
        <w:rPr>
          <w:rFonts w:ascii="Arial" w:hAnsi="Arial" w:cs="Arial"/>
          <w:sz w:val="20"/>
          <w:szCs w:val="20"/>
        </w:rPr>
      </w:pPr>
      <w:r w:rsidRPr="00404B7B">
        <w:rPr>
          <w:rFonts w:ascii="Arial" w:hAnsi="Arial" w:cs="Arial"/>
          <w:sz w:val="20"/>
          <w:szCs w:val="20"/>
        </w:rPr>
        <w:t>(i)</w:t>
      </w:r>
      <w:r w:rsidRPr="00404B7B">
        <w:rPr>
          <w:rFonts w:ascii="Arial" w:hAnsi="Arial" w:cs="Arial"/>
          <w:sz w:val="20"/>
          <w:szCs w:val="20"/>
        </w:rPr>
        <w:tab/>
      </w:r>
      <w:r w:rsidRPr="00C12433">
        <w:rPr>
          <w:rFonts w:ascii="Arial" w:hAnsi="Arial" w:cs="Arial"/>
          <w:sz w:val="20"/>
          <w:szCs w:val="20"/>
        </w:rPr>
        <w:t xml:space="preserve">the parents of the </w:t>
      </w:r>
      <w:r w:rsidRPr="00D34093">
        <w:rPr>
          <w:rFonts w:ascii="Arial" w:hAnsi="Arial" w:cs="Arial"/>
          <w:b/>
          <w:bCs/>
          <w:color w:val="FFFFFF" w:themeColor="background1"/>
          <w:sz w:val="20"/>
          <w:szCs w:val="20"/>
          <w:shd w:val="clear" w:color="auto" w:fill="7030A0"/>
        </w:rPr>
        <w:t>vulnerable children</w:t>
      </w:r>
      <w:r w:rsidRPr="00C12433">
        <w:rPr>
          <w:rFonts w:ascii="Arial" w:hAnsi="Arial" w:cs="Arial"/>
          <w:sz w:val="20"/>
          <w:szCs w:val="20"/>
        </w:rPr>
        <w:t xml:space="preserve"> with whom the </w:t>
      </w:r>
      <w:r w:rsidRPr="00D34093">
        <w:rPr>
          <w:rFonts w:ascii="Arial" w:hAnsi="Arial" w:cs="Arial"/>
          <w:b/>
          <w:bCs/>
          <w:color w:val="FFFFFF" w:themeColor="background1"/>
          <w:sz w:val="20"/>
          <w:szCs w:val="20"/>
          <w:shd w:val="clear" w:color="auto" w:fill="7030A0"/>
        </w:rPr>
        <w:t>vulnerable children</w:t>
      </w:r>
      <w:r w:rsidRPr="00C12433">
        <w:rPr>
          <w:rFonts w:ascii="Arial" w:hAnsi="Arial" w:cs="Arial"/>
          <w:sz w:val="20"/>
          <w:szCs w:val="20"/>
        </w:rPr>
        <w:t xml:space="preserve"> will be reunified;</w:t>
      </w:r>
    </w:p>
    <w:p w14:paraId="46E2BF17" w14:textId="77777777" w:rsidR="00FC3098" w:rsidRPr="00404B7B" w:rsidRDefault="00FC3098" w:rsidP="00FC3098">
      <w:pPr>
        <w:ind w:left="1174" w:hanging="454"/>
        <w:rPr>
          <w:rFonts w:ascii="Arial" w:hAnsi="Arial" w:cs="Arial"/>
          <w:sz w:val="20"/>
          <w:szCs w:val="20"/>
        </w:rPr>
      </w:pPr>
      <w:r w:rsidRPr="00404B7B">
        <w:rPr>
          <w:rFonts w:ascii="Arial" w:hAnsi="Arial" w:cs="Arial"/>
          <w:sz w:val="20"/>
          <w:szCs w:val="20"/>
        </w:rPr>
        <w:t>(ii)</w:t>
      </w:r>
      <w:r w:rsidRPr="00404B7B">
        <w:rPr>
          <w:rFonts w:ascii="Arial" w:hAnsi="Arial" w:cs="Arial"/>
          <w:sz w:val="20"/>
          <w:szCs w:val="20"/>
        </w:rPr>
        <w:tab/>
      </w:r>
      <w:r w:rsidRPr="00C12433">
        <w:rPr>
          <w:rFonts w:ascii="Arial" w:hAnsi="Arial" w:cs="Arial"/>
          <w:sz w:val="20"/>
          <w:szCs w:val="20"/>
        </w:rPr>
        <w:t xml:space="preserve">other family members who will reside in a household with the </w:t>
      </w:r>
      <w:r w:rsidRPr="00D34093">
        <w:rPr>
          <w:rFonts w:ascii="Arial" w:hAnsi="Arial" w:cs="Arial"/>
          <w:b/>
          <w:bCs/>
          <w:color w:val="FFFFFF" w:themeColor="background1"/>
          <w:sz w:val="20"/>
          <w:szCs w:val="20"/>
          <w:shd w:val="clear" w:color="auto" w:fill="7030A0"/>
        </w:rPr>
        <w:t>vulnerable children</w:t>
      </w:r>
      <w:r w:rsidRPr="00C12433">
        <w:rPr>
          <w:rFonts w:ascii="Arial" w:hAnsi="Arial" w:cs="Arial"/>
          <w:sz w:val="20"/>
          <w:szCs w:val="20"/>
        </w:rPr>
        <w:t xml:space="preserve"> after reunification in accordance with the order</w:t>
      </w:r>
      <w:r>
        <w:rPr>
          <w:rFonts w:ascii="Arial" w:hAnsi="Arial" w:cs="Arial"/>
          <w:sz w:val="20"/>
          <w:szCs w:val="20"/>
        </w:rPr>
        <w:t>.</w:t>
      </w:r>
    </w:p>
    <w:p w14:paraId="48596A66" w14:textId="77777777" w:rsidR="00FC3098" w:rsidRPr="00FC3098" w:rsidRDefault="00FC3098" w:rsidP="00FC3098">
      <w:pPr>
        <w:rPr>
          <w:rFonts w:ascii="Arial" w:hAnsi="Arial" w:cs="Arial"/>
          <w:sz w:val="20"/>
        </w:rPr>
      </w:pPr>
    </w:p>
    <w:p w14:paraId="03C9C2AE" w14:textId="77777777" w:rsidR="00FC3098" w:rsidRPr="00597D8D" w:rsidRDefault="00FC3098">
      <w:pPr>
        <w:pStyle w:val="ListParagraph"/>
        <w:numPr>
          <w:ilvl w:val="0"/>
          <w:numId w:val="115"/>
        </w:numPr>
        <w:ind w:left="357" w:hanging="357"/>
        <w:contextualSpacing/>
        <w:jc w:val="both"/>
        <w:rPr>
          <w:rFonts w:ascii="Arial" w:hAnsi="Arial" w:cs="Arial"/>
          <w:sz w:val="20"/>
        </w:rPr>
      </w:pPr>
      <w:r w:rsidRPr="00965CF3">
        <w:rPr>
          <w:rFonts w:ascii="Arial" w:hAnsi="Arial" w:cs="Arial"/>
          <w:b/>
          <w:bCs/>
          <w:sz w:val="20"/>
          <w:shd w:val="clear" w:color="auto" w:fill="C5E0B3" w:themeFill="accent6" w:themeFillTint="66"/>
        </w:rPr>
        <w:t>Section 20G</w:t>
      </w:r>
      <w:r w:rsidRPr="00597D8D">
        <w:rPr>
          <w:rFonts w:ascii="Arial" w:hAnsi="Arial" w:cs="Arial"/>
          <w:sz w:val="20"/>
        </w:rPr>
        <w:t xml:space="preserve"> CYFA defines </w:t>
      </w:r>
      <w:r w:rsidRPr="00D34093">
        <w:rPr>
          <w:rFonts w:ascii="Arial" w:hAnsi="Arial" w:cs="Arial"/>
          <w:b/>
          <w:bCs/>
          <w:color w:val="FFFFFF" w:themeColor="background1"/>
          <w:sz w:val="20"/>
          <w:shd w:val="clear" w:color="auto" w:fill="7030A0"/>
        </w:rPr>
        <w:t>care leavers and vulnerable children</w:t>
      </w:r>
      <w:r w:rsidRPr="00597D8D">
        <w:rPr>
          <w:rFonts w:ascii="Arial" w:hAnsi="Arial" w:cs="Arial"/>
          <w:sz w:val="20"/>
        </w:rPr>
        <w:t xml:space="preserve"> as follows:</w:t>
      </w:r>
    </w:p>
    <w:p w14:paraId="6E3E4135" w14:textId="77777777" w:rsidR="00FC3098" w:rsidRPr="00597D8D" w:rsidRDefault="00FC3098">
      <w:pPr>
        <w:pStyle w:val="ListParagraph"/>
        <w:numPr>
          <w:ilvl w:val="0"/>
          <w:numId w:val="118"/>
        </w:numPr>
        <w:ind w:left="714" w:hanging="357"/>
        <w:contextualSpacing/>
        <w:jc w:val="both"/>
        <w:rPr>
          <w:rFonts w:ascii="Arial" w:hAnsi="Arial" w:cs="Arial"/>
          <w:sz w:val="20"/>
        </w:rPr>
      </w:pPr>
      <w:r w:rsidRPr="00D34093">
        <w:rPr>
          <w:rFonts w:ascii="Arial" w:hAnsi="Arial" w:cs="Arial"/>
          <w:b/>
          <w:bCs/>
          <w:i/>
          <w:iCs/>
          <w:color w:val="FFFFFF" w:themeColor="background1"/>
          <w:sz w:val="20"/>
          <w:shd w:val="clear" w:color="auto" w:fill="7030A0"/>
        </w:rPr>
        <w:t>care leavers</w:t>
      </w:r>
      <w:r w:rsidRPr="00597D8D">
        <w:rPr>
          <w:rFonts w:ascii="Arial" w:hAnsi="Arial" w:cs="Arial"/>
          <w:i/>
          <w:iCs/>
          <w:sz w:val="20"/>
        </w:rPr>
        <w:t xml:space="preserve"> </w:t>
      </w:r>
      <w:r w:rsidRPr="00597D8D">
        <w:rPr>
          <w:rFonts w:ascii="Arial" w:hAnsi="Arial" w:cs="Arial"/>
          <w:sz w:val="20"/>
        </w:rPr>
        <w:t>means persons under the age of 25 years who have left the care of DFFH and live independently or are of an age, or intend, to live independently;</w:t>
      </w:r>
    </w:p>
    <w:p w14:paraId="655890B4" w14:textId="77777777" w:rsidR="00FC3098" w:rsidRPr="00597D8D" w:rsidRDefault="00FC3098">
      <w:pPr>
        <w:pStyle w:val="ListParagraph"/>
        <w:numPr>
          <w:ilvl w:val="0"/>
          <w:numId w:val="118"/>
        </w:numPr>
        <w:ind w:left="714" w:hanging="357"/>
        <w:contextualSpacing/>
        <w:jc w:val="both"/>
        <w:rPr>
          <w:rFonts w:ascii="Arial" w:hAnsi="Arial" w:cs="Arial"/>
          <w:sz w:val="20"/>
        </w:rPr>
      </w:pPr>
      <w:r w:rsidRPr="00D34093">
        <w:rPr>
          <w:rFonts w:ascii="Arial" w:hAnsi="Arial" w:cs="Arial"/>
          <w:b/>
          <w:bCs/>
          <w:i/>
          <w:iCs/>
          <w:color w:val="FFFFFF" w:themeColor="background1"/>
          <w:sz w:val="20"/>
          <w:shd w:val="clear" w:color="auto" w:fill="7030A0"/>
        </w:rPr>
        <w:t>vulnerable children</w:t>
      </w:r>
      <w:r w:rsidRPr="00597D8D">
        <w:rPr>
          <w:rFonts w:ascii="Arial" w:hAnsi="Arial" w:cs="Arial"/>
          <w:b/>
          <w:bCs/>
          <w:i/>
          <w:iCs/>
          <w:sz w:val="20"/>
        </w:rPr>
        <w:t xml:space="preserve"> </w:t>
      </w:r>
      <w:r w:rsidRPr="00597D8D">
        <w:rPr>
          <w:rFonts w:ascii="Arial" w:hAnsi="Arial" w:cs="Arial"/>
          <w:sz w:val="20"/>
        </w:rPr>
        <w:t>includes—</w:t>
      </w:r>
    </w:p>
    <w:p w14:paraId="11B42C60" w14:textId="77777777" w:rsidR="00FC3098" w:rsidRPr="00597D8D" w:rsidRDefault="00FC3098">
      <w:pPr>
        <w:pStyle w:val="ListParagraph"/>
        <w:numPr>
          <w:ilvl w:val="0"/>
          <w:numId w:val="121"/>
        </w:numPr>
        <w:ind w:left="1077" w:hanging="357"/>
        <w:contextualSpacing/>
        <w:jc w:val="both"/>
        <w:rPr>
          <w:rFonts w:ascii="Arial" w:hAnsi="Arial" w:cs="Arial"/>
          <w:sz w:val="20"/>
        </w:rPr>
      </w:pPr>
      <w:r w:rsidRPr="00597D8D">
        <w:rPr>
          <w:rFonts w:ascii="Arial" w:hAnsi="Arial" w:cs="Arial"/>
          <w:sz w:val="20"/>
        </w:rPr>
        <w:t>a child (aged under 18) who is or has been subject to a report under s.28, 33(2), 183, 184 or 185 CYFA; and</w:t>
      </w:r>
    </w:p>
    <w:p w14:paraId="48171054" w14:textId="77777777" w:rsidR="00FC3098" w:rsidRPr="00597D8D" w:rsidRDefault="00FC3098">
      <w:pPr>
        <w:pStyle w:val="ListParagraph"/>
        <w:numPr>
          <w:ilvl w:val="0"/>
          <w:numId w:val="121"/>
        </w:numPr>
        <w:ind w:left="1077" w:hanging="357"/>
        <w:contextualSpacing/>
        <w:jc w:val="both"/>
        <w:rPr>
          <w:rFonts w:ascii="Arial" w:hAnsi="Arial" w:cs="Arial"/>
          <w:sz w:val="20"/>
        </w:rPr>
      </w:pPr>
      <w:r w:rsidRPr="00597D8D">
        <w:rPr>
          <w:rFonts w:ascii="Arial" w:hAnsi="Arial" w:cs="Arial"/>
          <w:sz w:val="20"/>
        </w:rPr>
        <w:t>a child (aged under 18) who (or whose primary family carer)—</w:t>
      </w:r>
    </w:p>
    <w:p w14:paraId="37DA3BDC" w14:textId="77777777" w:rsidR="00FC3098" w:rsidRPr="00597D8D" w:rsidRDefault="00FC3098" w:rsidP="00FC3098">
      <w:pPr>
        <w:ind w:left="1077"/>
        <w:rPr>
          <w:rFonts w:ascii="Arial" w:hAnsi="Arial" w:cs="Arial"/>
          <w:sz w:val="20"/>
          <w:szCs w:val="20"/>
        </w:rPr>
      </w:pPr>
      <w:r w:rsidRPr="00597D8D">
        <w:rPr>
          <w:rFonts w:ascii="Arial" w:hAnsi="Arial" w:cs="Arial"/>
          <w:sz w:val="20"/>
          <w:szCs w:val="20"/>
        </w:rPr>
        <w:t>(i)</w:t>
      </w:r>
      <w:r w:rsidRPr="00597D8D">
        <w:rPr>
          <w:rFonts w:ascii="Arial" w:hAnsi="Arial" w:cs="Arial"/>
          <w:sz w:val="20"/>
          <w:szCs w:val="20"/>
        </w:rPr>
        <w:tab/>
        <w:t>receives or has received services from a community service; or</w:t>
      </w:r>
    </w:p>
    <w:p w14:paraId="4A373C7D" w14:textId="77777777" w:rsidR="00FC3098" w:rsidRPr="00597D8D" w:rsidRDefault="00FC3098" w:rsidP="00FC3098">
      <w:pPr>
        <w:ind w:left="1434" w:hanging="357"/>
        <w:rPr>
          <w:rFonts w:ascii="Arial" w:hAnsi="Arial" w:cs="Arial"/>
          <w:sz w:val="20"/>
          <w:szCs w:val="20"/>
        </w:rPr>
      </w:pPr>
      <w:r w:rsidRPr="00597D8D">
        <w:rPr>
          <w:rFonts w:ascii="Arial" w:hAnsi="Arial" w:cs="Arial"/>
          <w:sz w:val="20"/>
          <w:szCs w:val="20"/>
        </w:rPr>
        <w:t>(ii)</w:t>
      </w:r>
      <w:r w:rsidRPr="00597D8D">
        <w:rPr>
          <w:rFonts w:ascii="Arial" w:hAnsi="Arial" w:cs="Arial"/>
          <w:sz w:val="20"/>
          <w:szCs w:val="20"/>
        </w:rPr>
        <w:tab/>
        <w:t>requires but has not received services from a community service: a child is taken to require a service from a community service if—</w:t>
      </w:r>
    </w:p>
    <w:p w14:paraId="441871E2" w14:textId="77777777" w:rsidR="00FC3098" w:rsidRPr="00597D8D" w:rsidRDefault="00FC3098">
      <w:pPr>
        <w:pStyle w:val="ListParagraph"/>
        <w:numPr>
          <w:ilvl w:val="0"/>
          <w:numId w:val="122"/>
        </w:numPr>
        <w:contextualSpacing/>
        <w:jc w:val="both"/>
        <w:rPr>
          <w:rFonts w:ascii="Arial" w:hAnsi="Arial" w:cs="Arial"/>
          <w:sz w:val="20"/>
        </w:rPr>
      </w:pPr>
      <w:r w:rsidRPr="00597D8D">
        <w:rPr>
          <w:rFonts w:ascii="Arial" w:hAnsi="Arial" w:cs="Arial"/>
          <w:sz w:val="20"/>
        </w:rPr>
        <w:t>the service would likely increase the safety or improve the wellbeing of the child; or</w:t>
      </w:r>
    </w:p>
    <w:p w14:paraId="78D5C935" w14:textId="77777777" w:rsidR="00FC3098" w:rsidRPr="00597D8D" w:rsidRDefault="00FC3098">
      <w:pPr>
        <w:pStyle w:val="ListParagraph"/>
        <w:numPr>
          <w:ilvl w:val="0"/>
          <w:numId w:val="122"/>
        </w:numPr>
        <w:contextualSpacing/>
        <w:jc w:val="both"/>
        <w:rPr>
          <w:rFonts w:ascii="Arial" w:hAnsi="Arial" w:cs="Arial"/>
          <w:sz w:val="20"/>
        </w:rPr>
      </w:pPr>
      <w:r w:rsidRPr="00597D8D">
        <w:rPr>
          <w:rFonts w:ascii="Arial" w:hAnsi="Arial" w:cs="Arial"/>
          <w:sz w:val="20"/>
        </w:rPr>
        <w:t xml:space="preserve">an expert in the area of a </w:t>
      </w:r>
      <w:r w:rsidRPr="002B6B53">
        <w:rPr>
          <w:rFonts w:ascii="Arial" w:hAnsi="Arial" w:cs="Arial"/>
          <w:b/>
          <w:bCs/>
          <w:sz w:val="20"/>
          <w:shd w:val="clear" w:color="auto" w:fill="FBE4D5" w:themeFill="accent2" w:themeFillTint="33"/>
        </w:rPr>
        <w:t>SSSF partner's</w:t>
      </w:r>
      <w:r w:rsidRPr="00597D8D">
        <w:rPr>
          <w:rFonts w:ascii="Arial" w:hAnsi="Arial" w:cs="Arial"/>
          <w:sz w:val="20"/>
        </w:rPr>
        <w:t xml:space="preserve"> remit has identified that the person would likely require a service from a community service.</w:t>
      </w:r>
    </w:p>
    <w:p w14:paraId="3C94FBDA" w14:textId="77777777" w:rsidR="00FC3098" w:rsidRPr="00597D8D" w:rsidRDefault="00FC3098" w:rsidP="00FC3098">
      <w:pPr>
        <w:rPr>
          <w:rFonts w:ascii="Arial" w:hAnsi="Arial" w:cs="Arial"/>
          <w:sz w:val="20"/>
          <w:szCs w:val="20"/>
        </w:rPr>
      </w:pPr>
    </w:p>
    <w:p w14:paraId="3A8EAEF1" w14:textId="77777777" w:rsidR="00FC3098" w:rsidRPr="00597D8D" w:rsidRDefault="00FC3098">
      <w:pPr>
        <w:pStyle w:val="ListParagraph"/>
        <w:numPr>
          <w:ilvl w:val="0"/>
          <w:numId w:val="115"/>
        </w:numPr>
        <w:ind w:left="357" w:hanging="357"/>
        <w:contextualSpacing/>
        <w:jc w:val="both"/>
        <w:rPr>
          <w:rFonts w:ascii="Arial" w:hAnsi="Arial" w:cs="Arial"/>
          <w:sz w:val="20"/>
        </w:rPr>
      </w:pPr>
      <w:r>
        <w:rPr>
          <w:rFonts w:ascii="Arial" w:hAnsi="Arial" w:cs="Arial"/>
          <w:b/>
          <w:bCs/>
          <w:sz w:val="20"/>
          <w:shd w:val="clear" w:color="auto" w:fill="C5E0B3" w:themeFill="accent6" w:themeFillTint="66"/>
        </w:rPr>
        <w:t xml:space="preserve">Section </w:t>
      </w:r>
      <w:r w:rsidRPr="00597D8D">
        <w:rPr>
          <w:rFonts w:ascii="Arial" w:hAnsi="Arial" w:cs="Arial"/>
          <w:b/>
          <w:bCs/>
          <w:sz w:val="20"/>
          <w:shd w:val="clear" w:color="auto" w:fill="C5E0B3" w:themeFill="accent6" w:themeFillTint="66"/>
        </w:rPr>
        <w:t>20</w:t>
      </w:r>
      <w:r w:rsidRPr="00597D8D">
        <w:rPr>
          <w:b/>
          <w:bCs/>
          <w:sz w:val="20"/>
          <w:shd w:val="clear" w:color="auto" w:fill="C5E0B3" w:themeFill="accent6" w:themeFillTint="66"/>
        </w:rPr>
        <w:t>I</w:t>
      </w:r>
      <w:r w:rsidRPr="00597D8D">
        <w:rPr>
          <w:rFonts w:ascii="Arial" w:hAnsi="Arial" w:cs="Arial"/>
          <w:sz w:val="20"/>
        </w:rPr>
        <w:t xml:space="preserve"> </w:t>
      </w:r>
      <w:r>
        <w:rPr>
          <w:rFonts w:ascii="Arial" w:hAnsi="Arial" w:cs="Arial"/>
          <w:sz w:val="20"/>
        </w:rPr>
        <w:t>CYFA provides that for</w:t>
      </w:r>
      <w:r w:rsidRPr="00597D8D">
        <w:rPr>
          <w:rFonts w:ascii="Arial" w:hAnsi="Arial" w:cs="Arial"/>
          <w:sz w:val="20"/>
        </w:rPr>
        <w:t xml:space="preserve"> the purposes of </w:t>
      </w:r>
      <w:r w:rsidRPr="00597D8D">
        <w:rPr>
          <w:rFonts w:ascii="Arial" w:hAnsi="Arial" w:cs="Arial"/>
          <w:b/>
          <w:bCs/>
          <w:sz w:val="20"/>
          <w:shd w:val="clear" w:color="auto" w:fill="C5E0B3" w:themeFill="accent6" w:themeFillTint="66"/>
        </w:rPr>
        <w:t>s.20H</w:t>
      </w:r>
      <w:r w:rsidRPr="00597D8D">
        <w:rPr>
          <w:rFonts w:ascii="Arial" w:hAnsi="Arial" w:cs="Arial"/>
          <w:sz w:val="20"/>
        </w:rPr>
        <w:t xml:space="preserve"> CYFA a </w:t>
      </w:r>
      <w:r w:rsidRPr="002B6B53">
        <w:rPr>
          <w:rFonts w:ascii="Arial" w:hAnsi="Arial" w:cs="Arial"/>
          <w:b/>
          <w:bCs/>
          <w:sz w:val="20"/>
          <w:shd w:val="clear" w:color="auto" w:fill="FBE4D5" w:themeFill="accent2" w:themeFillTint="33"/>
        </w:rPr>
        <w:t>SSSF partner</w:t>
      </w:r>
      <w:r w:rsidRPr="00597D8D">
        <w:rPr>
          <w:rFonts w:ascii="Arial" w:hAnsi="Arial" w:cs="Arial"/>
          <w:sz w:val="20"/>
        </w:rPr>
        <w:t xml:space="preserve"> has the following </w:t>
      </w:r>
      <w:r w:rsidRPr="007E2468">
        <w:rPr>
          <w:rFonts w:ascii="Arial" w:hAnsi="Arial" w:cs="Arial"/>
          <w:b/>
          <w:bCs/>
          <w:sz w:val="20"/>
          <w:shd w:val="clear" w:color="auto" w:fill="CCFFFF"/>
        </w:rPr>
        <w:t>SSSF responsibilities</w:t>
      </w:r>
      <w:r w:rsidRPr="00597D8D">
        <w:rPr>
          <w:rFonts w:ascii="Arial" w:hAnsi="Arial" w:cs="Arial"/>
          <w:sz w:val="20"/>
        </w:rPr>
        <w:t>—</w:t>
      </w:r>
    </w:p>
    <w:p w14:paraId="0EDA17BD" w14:textId="77777777" w:rsidR="00FC3098" w:rsidRPr="00597D8D" w:rsidRDefault="00FC3098" w:rsidP="00FC3098">
      <w:pPr>
        <w:ind w:firstLine="357"/>
        <w:rPr>
          <w:rFonts w:ascii="Arial" w:hAnsi="Arial" w:cs="Arial"/>
          <w:sz w:val="20"/>
          <w:szCs w:val="20"/>
        </w:rPr>
      </w:pPr>
      <w:r w:rsidRPr="00597D8D">
        <w:rPr>
          <w:rFonts w:ascii="Arial" w:hAnsi="Arial" w:cs="Arial"/>
          <w:sz w:val="20"/>
          <w:szCs w:val="20"/>
        </w:rPr>
        <w:t>(a)</w:t>
      </w:r>
      <w:r w:rsidRPr="00597D8D">
        <w:rPr>
          <w:rFonts w:ascii="Arial" w:hAnsi="Arial" w:cs="Arial"/>
          <w:sz w:val="20"/>
          <w:szCs w:val="20"/>
        </w:rPr>
        <w:tab/>
        <w:t xml:space="preserve">to deliver or facilitate the delivery of services to the </w:t>
      </w:r>
      <w:r w:rsidRPr="00CA756A">
        <w:rPr>
          <w:rFonts w:ascii="Arial" w:hAnsi="Arial" w:cs="Arial"/>
          <w:b/>
          <w:bCs/>
          <w:sz w:val="20"/>
          <w:szCs w:val="20"/>
          <w:shd w:val="clear" w:color="auto" w:fill="FFF2CC" w:themeFill="accent4" w:themeFillTint="33"/>
        </w:rPr>
        <w:t>SSSF group</w:t>
      </w:r>
      <w:r w:rsidRPr="00597D8D">
        <w:rPr>
          <w:rFonts w:ascii="Arial" w:hAnsi="Arial" w:cs="Arial"/>
          <w:sz w:val="20"/>
          <w:szCs w:val="20"/>
        </w:rPr>
        <w:t>, including—</w:t>
      </w:r>
    </w:p>
    <w:p w14:paraId="5FCD6C60" w14:textId="77777777" w:rsidR="00FC3098" w:rsidRPr="00597D8D" w:rsidRDefault="00FC3098" w:rsidP="00FC3098">
      <w:pPr>
        <w:ind w:left="1174" w:hanging="454"/>
        <w:rPr>
          <w:rFonts w:ascii="Arial" w:hAnsi="Arial" w:cs="Arial"/>
          <w:sz w:val="20"/>
          <w:szCs w:val="20"/>
        </w:rPr>
      </w:pPr>
      <w:r w:rsidRPr="00597D8D">
        <w:rPr>
          <w:rFonts w:ascii="Arial" w:hAnsi="Arial" w:cs="Arial"/>
          <w:sz w:val="20"/>
          <w:szCs w:val="20"/>
        </w:rPr>
        <w:t>(i)</w:t>
      </w:r>
      <w:r w:rsidRPr="00597D8D">
        <w:rPr>
          <w:rFonts w:ascii="Arial" w:hAnsi="Arial" w:cs="Arial"/>
          <w:sz w:val="20"/>
          <w:szCs w:val="20"/>
        </w:rPr>
        <w:tab/>
        <w:t xml:space="preserve">to assess the needs of the </w:t>
      </w:r>
      <w:r w:rsidRPr="00CA756A">
        <w:rPr>
          <w:rFonts w:ascii="Arial" w:hAnsi="Arial" w:cs="Arial"/>
          <w:b/>
          <w:bCs/>
          <w:sz w:val="20"/>
          <w:szCs w:val="20"/>
          <w:shd w:val="clear" w:color="auto" w:fill="FFF2CC" w:themeFill="accent4" w:themeFillTint="33"/>
        </w:rPr>
        <w:t>SSSF group</w:t>
      </w:r>
      <w:r w:rsidRPr="00597D8D">
        <w:rPr>
          <w:rFonts w:ascii="Arial" w:hAnsi="Arial" w:cs="Arial"/>
          <w:sz w:val="20"/>
          <w:szCs w:val="20"/>
        </w:rPr>
        <w:t>; and</w:t>
      </w:r>
    </w:p>
    <w:p w14:paraId="66C379FC" w14:textId="77777777" w:rsidR="00FC3098" w:rsidRPr="00597D8D" w:rsidRDefault="00FC3098" w:rsidP="00FC3098">
      <w:pPr>
        <w:ind w:left="1174" w:hanging="454"/>
        <w:rPr>
          <w:rFonts w:ascii="Arial" w:hAnsi="Arial" w:cs="Arial"/>
          <w:sz w:val="20"/>
          <w:szCs w:val="20"/>
        </w:rPr>
      </w:pPr>
      <w:r w:rsidRPr="00597D8D">
        <w:rPr>
          <w:rFonts w:ascii="Arial" w:hAnsi="Arial" w:cs="Arial"/>
          <w:sz w:val="20"/>
          <w:szCs w:val="20"/>
        </w:rPr>
        <w:t>(ii)</w:t>
      </w:r>
      <w:r w:rsidRPr="00597D8D">
        <w:rPr>
          <w:rFonts w:ascii="Arial" w:hAnsi="Arial" w:cs="Arial"/>
          <w:sz w:val="20"/>
          <w:szCs w:val="20"/>
        </w:rPr>
        <w:tab/>
        <w:t xml:space="preserve">to identify and assist parents and caregivers of </w:t>
      </w:r>
      <w:r w:rsidRPr="00B76C7A">
        <w:rPr>
          <w:rFonts w:ascii="Arial" w:hAnsi="Arial" w:cs="Arial"/>
          <w:b/>
          <w:bCs/>
          <w:color w:val="FFFFFF" w:themeColor="background1"/>
          <w:sz w:val="20"/>
          <w:szCs w:val="20"/>
          <w:shd w:val="clear" w:color="auto" w:fill="7030A0"/>
        </w:rPr>
        <w:t>children and care leavers</w:t>
      </w:r>
      <w:r w:rsidRPr="00597D8D">
        <w:rPr>
          <w:rFonts w:ascii="Arial" w:hAnsi="Arial" w:cs="Arial"/>
          <w:sz w:val="20"/>
          <w:szCs w:val="20"/>
        </w:rPr>
        <w:t xml:space="preserve"> in the </w:t>
      </w:r>
      <w:r w:rsidRPr="00CA756A">
        <w:rPr>
          <w:rFonts w:ascii="Arial" w:hAnsi="Arial" w:cs="Arial"/>
          <w:b/>
          <w:bCs/>
          <w:sz w:val="20"/>
          <w:szCs w:val="20"/>
          <w:shd w:val="clear" w:color="auto" w:fill="FFF2CC" w:themeFill="accent4" w:themeFillTint="33"/>
        </w:rPr>
        <w:t>SSSF group</w:t>
      </w:r>
      <w:r w:rsidRPr="00597D8D">
        <w:rPr>
          <w:rFonts w:ascii="Arial" w:hAnsi="Arial" w:cs="Arial"/>
          <w:sz w:val="20"/>
          <w:szCs w:val="20"/>
        </w:rPr>
        <w:t xml:space="preserve"> at the earliest opportunity to meet the needs of</w:t>
      </w:r>
      <w:r w:rsidRPr="00597D8D">
        <w:rPr>
          <w:rFonts w:ascii="Arial" w:hAnsi="Arial" w:cs="Arial"/>
          <w:i/>
          <w:iCs/>
          <w:sz w:val="20"/>
          <w:szCs w:val="20"/>
        </w:rPr>
        <w:t xml:space="preserve"> </w:t>
      </w:r>
      <w:r w:rsidRPr="00D34093">
        <w:rPr>
          <w:rFonts w:ascii="Arial" w:hAnsi="Arial" w:cs="Arial"/>
          <w:b/>
          <w:bCs/>
          <w:color w:val="FFFFFF" w:themeColor="background1"/>
          <w:sz w:val="20"/>
          <w:szCs w:val="20"/>
          <w:shd w:val="clear" w:color="auto" w:fill="7030A0"/>
        </w:rPr>
        <w:t>children and care leavers</w:t>
      </w:r>
      <w:r w:rsidRPr="00597D8D">
        <w:rPr>
          <w:rFonts w:ascii="Arial" w:hAnsi="Arial" w:cs="Arial"/>
          <w:sz w:val="20"/>
          <w:szCs w:val="20"/>
        </w:rPr>
        <w:t>; and</w:t>
      </w:r>
    </w:p>
    <w:p w14:paraId="742BB3F3" w14:textId="77777777" w:rsidR="00FC3098" w:rsidRPr="00597D8D" w:rsidRDefault="00FC3098" w:rsidP="00FC3098">
      <w:pPr>
        <w:ind w:left="1174" w:hanging="454"/>
        <w:rPr>
          <w:rFonts w:ascii="Arial" w:hAnsi="Arial" w:cs="Arial"/>
          <w:sz w:val="20"/>
          <w:szCs w:val="20"/>
        </w:rPr>
      </w:pPr>
      <w:r w:rsidRPr="00597D8D">
        <w:rPr>
          <w:rFonts w:ascii="Arial" w:hAnsi="Arial" w:cs="Arial"/>
          <w:sz w:val="20"/>
          <w:szCs w:val="20"/>
        </w:rPr>
        <w:t>(iii)</w:t>
      </w:r>
      <w:r w:rsidRPr="00597D8D">
        <w:rPr>
          <w:rFonts w:ascii="Arial" w:hAnsi="Arial" w:cs="Arial"/>
          <w:sz w:val="20"/>
          <w:szCs w:val="20"/>
        </w:rPr>
        <w:tab/>
        <w:t xml:space="preserve">to provide access to health, education, welfare and other services appropriate to the needs of the </w:t>
      </w:r>
      <w:r w:rsidRPr="00CA756A">
        <w:rPr>
          <w:rFonts w:ascii="Arial" w:hAnsi="Arial" w:cs="Arial"/>
          <w:b/>
          <w:bCs/>
          <w:sz w:val="20"/>
          <w:szCs w:val="20"/>
          <w:shd w:val="clear" w:color="auto" w:fill="FFF2CC" w:themeFill="accent4" w:themeFillTint="33"/>
        </w:rPr>
        <w:t>SSSF group</w:t>
      </w:r>
      <w:r w:rsidRPr="00597D8D">
        <w:rPr>
          <w:rFonts w:ascii="Arial" w:hAnsi="Arial" w:cs="Arial"/>
          <w:sz w:val="20"/>
          <w:szCs w:val="20"/>
        </w:rPr>
        <w:t>;</w:t>
      </w:r>
    </w:p>
    <w:p w14:paraId="4BA377B3" w14:textId="77777777" w:rsidR="00FC3098" w:rsidRPr="00597D8D" w:rsidRDefault="00FC3098" w:rsidP="00FC3098">
      <w:pPr>
        <w:ind w:left="714" w:hanging="357"/>
        <w:rPr>
          <w:rFonts w:ascii="Arial" w:hAnsi="Arial" w:cs="Arial"/>
          <w:sz w:val="20"/>
          <w:szCs w:val="20"/>
        </w:rPr>
      </w:pPr>
      <w:r w:rsidRPr="00597D8D">
        <w:rPr>
          <w:rFonts w:ascii="Arial" w:hAnsi="Arial" w:cs="Arial"/>
          <w:sz w:val="20"/>
          <w:szCs w:val="20"/>
        </w:rPr>
        <w:t>(b)</w:t>
      </w:r>
      <w:r w:rsidRPr="00597D8D">
        <w:rPr>
          <w:rFonts w:ascii="Arial" w:hAnsi="Arial" w:cs="Arial"/>
          <w:sz w:val="20"/>
          <w:szCs w:val="20"/>
        </w:rPr>
        <w:tab/>
        <w:t xml:space="preserve">to promote the physical, psychological, emotional, cultural and developmental wellbeing of </w:t>
      </w:r>
      <w:r w:rsidRPr="00D34093">
        <w:rPr>
          <w:rFonts w:ascii="Arial" w:hAnsi="Arial" w:cs="Arial"/>
          <w:b/>
          <w:bCs/>
          <w:color w:val="FFFFFF" w:themeColor="background1"/>
          <w:sz w:val="20"/>
          <w:szCs w:val="20"/>
          <w:shd w:val="clear" w:color="auto" w:fill="7030A0"/>
        </w:rPr>
        <w:t>children and care leavers</w:t>
      </w:r>
      <w:r w:rsidRPr="00597D8D">
        <w:rPr>
          <w:rFonts w:ascii="Arial" w:hAnsi="Arial" w:cs="Arial"/>
          <w:sz w:val="20"/>
          <w:szCs w:val="20"/>
        </w:rPr>
        <w:t xml:space="preserve"> in the </w:t>
      </w:r>
      <w:r w:rsidRPr="00B76C7A">
        <w:rPr>
          <w:rFonts w:ascii="Arial" w:hAnsi="Arial" w:cs="Arial"/>
          <w:b/>
          <w:bCs/>
          <w:sz w:val="20"/>
          <w:szCs w:val="20"/>
          <w:shd w:val="clear" w:color="auto" w:fill="FFF2CC" w:themeFill="accent4" w:themeFillTint="33"/>
        </w:rPr>
        <w:t>SSSF group</w:t>
      </w:r>
      <w:r w:rsidRPr="00597D8D">
        <w:rPr>
          <w:rFonts w:ascii="Arial" w:hAnsi="Arial" w:cs="Arial"/>
          <w:sz w:val="20"/>
          <w:szCs w:val="20"/>
        </w:rPr>
        <w:t xml:space="preserve"> by promoting decisions and actions that will prioritise their best interests;</w:t>
      </w:r>
    </w:p>
    <w:p w14:paraId="5933E2C5" w14:textId="77777777" w:rsidR="00FC3098" w:rsidRPr="00597D8D" w:rsidRDefault="00FC3098" w:rsidP="00FC3098">
      <w:pPr>
        <w:ind w:left="714" w:hanging="357"/>
        <w:rPr>
          <w:rFonts w:ascii="Arial" w:hAnsi="Arial" w:cs="Arial"/>
          <w:sz w:val="20"/>
          <w:szCs w:val="20"/>
        </w:rPr>
      </w:pPr>
      <w:r w:rsidRPr="00597D8D">
        <w:rPr>
          <w:rFonts w:ascii="Arial" w:hAnsi="Arial" w:cs="Arial"/>
          <w:sz w:val="20"/>
          <w:szCs w:val="20"/>
        </w:rPr>
        <w:t>(c)</w:t>
      </w:r>
      <w:r w:rsidRPr="00597D8D">
        <w:rPr>
          <w:rFonts w:ascii="Arial" w:hAnsi="Arial" w:cs="Arial"/>
          <w:sz w:val="20"/>
          <w:szCs w:val="20"/>
        </w:rPr>
        <w:tab/>
        <w:t xml:space="preserve">to promote equality of opportunity for </w:t>
      </w:r>
      <w:r w:rsidRPr="00D34093">
        <w:rPr>
          <w:rFonts w:ascii="Arial" w:hAnsi="Arial" w:cs="Arial"/>
          <w:b/>
          <w:bCs/>
          <w:color w:val="FFFFFF" w:themeColor="background1"/>
          <w:sz w:val="20"/>
          <w:szCs w:val="20"/>
          <w:shd w:val="clear" w:color="auto" w:fill="7030A0"/>
        </w:rPr>
        <w:t>children and care leavers</w:t>
      </w:r>
      <w:r w:rsidRPr="00597D8D">
        <w:rPr>
          <w:rFonts w:ascii="Arial" w:hAnsi="Arial" w:cs="Arial"/>
          <w:sz w:val="20"/>
          <w:szCs w:val="20"/>
        </w:rPr>
        <w:t xml:space="preserve"> in the </w:t>
      </w:r>
      <w:r w:rsidRPr="00CA756A">
        <w:rPr>
          <w:rFonts w:ascii="Arial" w:hAnsi="Arial" w:cs="Arial"/>
          <w:b/>
          <w:bCs/>
          <w:sz w:val="20"/>
          <w:szCs w:val="20"/>
          <w:shd w:val="clear" w:color="auto" w:fill="FFF2CC" w:themeFill="accent4" w:themeFillTint="33"/>
        </w:rPr>
        <w:t>SSSF group</w:t>
      </w:r>
      <w:r w:rsidRPr="00597D8D">
        <w:rPr>
          <w:rFonts w:ascii="Arial" w:hAnsi="Arial" w:cs="Arial"/>
          <w:sz w:val="20"/>
          <w:szCs w:val="20"/>
        </w:rPr>
        <w:t xml:space="preserve"> for whom there are welfare concerns by delivering or facilitating the delivery of services that provide the same opportunities that peers of the children and persons have;</w:t>
      </w:r>
    </w:p>
    <w:p w14:paraId="368F8A1E" w14:textId="77777777" w:rsidR="00FC3098" w:rsidRPr="00597D8D" w:rsidRDefault="00FC3098" w:rsidP="00FC3098">
      <w:pPr>
        <w:ind w:left="714" w:hanging="357"/>
        <w:rPr>
          <w:rFonts w:ascii="Arial" w:hAnsi="Arial" w:cs="Arial"/>
          <w:sz w:val="20"/>
          <w:szCs w:val="20"/>
        </w:rPr>
      </w:pPr>
      <w:r w:rsidRPr="00597D8D">
        <w:rPr>
          <w:rFonts w:ascii="Arial" w:hAnsi="Arial" w:cs="Arial"/>
          <w:sz w:val="20"/>
          <w:szCs w:val="20"/>
        </w:rPr>
        <w:t>(d)</w:t>
      </w:r>
      <w:r w:rsidRPr="00597D8D">
        <w:rPr>
          <w:rFonts w:ascii="Arial" w:hAnsi="Arial" w:cs="Arial"/>
          <w:sz w:val="20"/>
          <w:szCs w:val="20"/>
        </w:rPr>
        <w:tab/>
        <w:t xml:space="preserve">in relation to Aboriginal persons in the </w:t>
      </w:r>
      <w:r w:rsidRPr="00CA756A">
        <w:rPr>
          <w:rFonts w:ascii="Arial" w:hAnsi="Arial" w:cs="Arial"/>
          <w:b/>
          <w:bCs/>
          <w:sz w:val="20"/>
          <w:szCs w:val="20"/>
          <w:shd w:val="clear" w:color="auto" w:fill="D9E2F3" w:themeFill="accent1" w:themeFillTint="33"/>
        </w:rPr>
        <w:t>SSSF group</w:t>
      </w:r>
      <w:r w:rsidRPr="00597D8D">
        <w:rPr>
          <w:rFonts w:ascii="Arial" w:hAnsi="Arial" w:cs="Arial"/>
          <w:sz w:val="20"/>
          <w:szCs w:val="20"/>
        </w:rPr>
        <w:t>—</w:t>
      </w:r>
    </w:p>
    <w:p w14:paraId="3BB25F9D" w14:textId="77777777" w:rsidR="00FC3098" w:rsidRPr="00597D8D" w:rsidRDefault="00FC3098" w:rsidP="00FC3098">
      <w:pPr>
        <w:ind w:left="1174" w:hanging="454"/>
        <w:rPr>
          <w:rFonts w:ascii="Arial" w:hAnsi="Arial" w:cs="Arial"/>
          <w:sz w:val="20"/>
          <w:szCs w:val="20"/>
        </w:rPr>
      </w:pPr>
      <w:r w:rsidRPr="00597D8D">
        <w:rPr>
          <w:rFonts w:ascii="Arial" w:hAnsi="Arial" w:cs="Arial"/>
          <w:sz w:val="20"/>
          <w:szCs w:val="20"/>
        </w:rPr>
        <w:t>(i)</w:t>
      </w:r>
      <w:r w:rsidRPr="00597D8D">
        <w:rPr>
          <w:rFonts w:ascii="Arial" w:hAnsi="Arial" w:cs="Arial"/>
          <w:sz w:val="20"/>
          <w:szCs w:val="20"/>
        </w:rPr>
        <w:tab/>
        <w:t>to have regard to and apply the recognition principles; and</w:t>
      </w:r>
    </w:p>
    <w:p w14:paraId="450AE526" w14:textId="77777777" w:rsidR="00FC3098" w:rsidRPr="00597D8D" w:rsidRDefault="00FC3098" w:rsidP="00FC3098">
      <w:pPr>
        <w:ind w:left="1174" w:hanging="454"/>
        <w:rPr>
          <w:rFonts w:ascii="Arial" w:hAnsi="Arial" w:cs="Arial"/>
          <w:sz w:val="20"/>
          <w:szCs w:val="20"/>
        </w:rPr>
      </w:pPr>
      <w:r w:rsidRPr="00597D8D">
        <w:rPr>
          <w:rFonts w:ascii="Arial" w:hAnsi="Arial" w:cs="Arial"/>
          <w:sz w:val="20"/>
          <w:szCs w:val="20"/>
        </w:rPr>
        <w:t>(ii)</w:t>
      </w:r>
      <w:r w:rsidRPr="00597D8D">
        <w:rPr>
          <w:rFonts w:ascii="Arial" w:hAnsi="Arial" w:cs="Arial"/>
          <w:sz w:val="20"/>
          <w:szCs w:val="20"/>
        </w:rPr>
        <w:tab/>
        <w:t>to recognise and support the cultural identity of those persons;</w:t>
      </w:r>
    </w:p>
    <w:p w14:paraId="4E05B7D9" w14:textId="77777777" w:rsidR="00FC3098" w:rsidRPr="00597D8D" w:rsidRDefault="00FC3098" w:rsidP="00FC3098">
      <w:pPr>
        <w:ind w:left="714" w:hanging="357"/>
        <w:rPr>
          <w:rFonts w:ascii="Arial" w:hAnsi="Arial" w:cs="Arial"/>
          <w:sz w:val="20"/>
          <w:szCs w:val="20"/>
        </w:rPr>
      </w:pPr>
      <w:r w:rsidRPr="00597D8D">
        <w:rPr>
          <w:rFonts w:ascii="Arial" w:hAnsi="Arial" w:cs="Arial"/>
          <w:sz w:val="20"/>
          <w:szCs w:val="20"/>
        </w:rPr>
        <w:t>(e)</w:t>
      </w:r>
      <w:r w:rsidRPr="00597D8D">
        <w:rPr>
          <w:rFonts w:ascii="Arial" w:hAnsi="Arial" w:cs="Arial"/>
          <w:sz w:val="20"/>
          <w:szCs w:val="20"/>
        </w:rPr>
        <w:tab/>
        <w:t xml:space="preserve">to monitor the outcomes, and report on the effectiveness, of services provided to the </w:t>
      </w:r>
      <w:r w:rsidRPr="00CA756A">
        <w:rPr>
          <w:rFonts w:ascii="Arial" w:hAnsi="Arial" w:cs="Arial"/>
          <w:b/>
          <w:bCs/>
          <w:sz w:val="20"/>
          <w:szCs w:val="20"/>
          <w:shd w:val="clear" w:color="auto" w:fill="FFF2CC" w:themeFill="accent4" w:themeFillTint="33"/>
        </w:rPr>
        <w:t>SSSF group</w:t>
      </w:r>
      <w:r w:rsidRPr="00597D8D">
        <w:rPr>
          <w:rFonts w:ascii="Arial" w:hAnsi="Arial" w:cs="Arial"/>
          <w:sz w:val="20"/>
          <w:szCs w:val="20"/>
        </w:rPr>
        <w:t>.</w:t>
      </w:r>
    </w:p>
    <w:p w14:paraId="4C6ADFE4" w14:textId="77777777" w:rsidR="00FC3098" w:rsidRPr="00597D8D" w:rsidRDefault="00FC3098" w:rsidP="00FC3098">
      <w:pPr>
        <w:rPr>
          <w:rFonts w:ascii="Arial" w:hAnsi="Arial" w:cs="Arial"/>
          <w:sz w:val="20"/>
          <w:szCs w:val="20"/>
        </w:rPr>
      </w:pPr>
    </w:p>
    <w:p w14:paraId="3B1C026C" w14:textId="77777777" w:rsidR="00FC3098" w:rsidRPr="00597D8D" w:rsidRDefault="00FC3098">
      <w:pPr>
        <w:pStyle w:val="ListParagraph"/>
        <w:numPr>
          <w:ilvl w:val="0"/>
          <w:numId w:val="115"/>
        </w:numPr>
        <w:ind w:left="357" w:hanging="357"/>
        <w:contextualSpacing/>
        <w:jc w:val="both"/>
        <w:rPr>
          <w:rFonts w:ascii="Arial" w:hAnsi="Arial" w:cs="Arial"/>
          <w:sz w:val="20"/>
        </w:rPr>
      </w:pPr>
      <w:r w:rsidRPr="00597D8D">
        <w:rPr>
          <w:rFonts w:ascii="Arial" w:hAnsi="Arial" w:cs="Arial"/>
          <w:b/>
          <w:bCs/>
          <w:sz w:val="20"/>
          <w:shd w:val="clear" w:color="auto" w:fill="C5E0B3" w:themeFill="accent6" w:themeFillTint="66"/>
        </w:rPr>
        <w:t>Section 20L</w:t>
      </w:r>
      <w:r w:rsidRPr="00597D8D">
        <w:rPr>
          <w:rFonts w:ascii="Arial" w:hAnsi="Arial" w:cs="Arial"/>
          <w:sz w:val="20"/>
        </w:rPr>
        <w:t xml:space="preserve"> CYFA sets out the following requirements of a </w:t>
      </w:r>
      <w:r w:rsidRPr="00597D8D">
        <w:rPr>
          <w:rFonts w:ascii="Arial" w:hAnsi="Arial" w:cs="Arial"/>
          <w:b/>
          <w:bCs/>
          <w:sz w:val="20"/>
          <w:shd w:val="clear" w:color="auto" w:fill="000099"/>
        </w:rPr>
        <w:t>SSSF plan</w:t>
      </w:r>
      <w:r w:rsidRPr="00597D8D">
        <w:rPr>
          <w:rFonts w:ascii="Arial" w:hAnsi="Arial" w:cs="Arial"/>
          <w:sz w:val="20"/>
        </w:rPr>
        <w:t>:</w:t>
      </w:r>
    </w:p>
    <w:p w14:paraId="3C95C5D9" w14:textId="77777777" w:rsidR="00FC3098" w:rsidRDefault="00FC3098">
      <w:pPr>
        <w:pStyle w:val="ListParagraph"/>
        <w:numPr>
          <w:ilvl w:val="0"/>
          <w:numId w:val="123"/>
        </w:numPr>
        <w:contextualSpacing/>
        <w:jc w:val="both"/>
        <w:rPr>
          <w:rFonts w:ascii="Arial" w:hAnsi="Arial" w:cs="Arial"/>
          <w:sz w:val="20"/>
        </w:rPr>
      </w:pPr>
      <w:r>
        <w:rPr>
          <w:rFonts w:ascii="Arial" w:hAnsi="Arial" w:cs="Arial"/>
          <w:sz w:val="20"/>
        </w:rPr>
        <w:t xml:space="preserve">A </w:t>
      </w:r>
      <w:r w:rsidRPr="006F4156">
        <w:rPr>
          <w:rFonts w:ascii="Arial" w:hAnsi="Arial" w:cs="Arial"/>
          <w:b/>
          <w:bCs/>
          <w:sz w:val="20"/>
          <w:shd w:val="clear" w:color="auto" w:fill="000099"/>
        </w:rPr>
        <w:t>SSSF plan</w:t>
      </w:r>
      <w:r>
        <w:rPr>
          <w:rFonts w:ascii="Arial" w:hAnsi="Arial" w:cs="Arial"/>
          <w:sz w:val="20"/>
        </w:rPr>
        <w:t xml:space="preserve"> must set out–</w:t>
      </w:r>
    </w:p>
    <w:p w14:paraId="58D3DCCA" w14:textId="77777777" w:rsidR="00FC3098" w:rsidRPr="006F4156" w:rsidRDefault="00FC3098">
      <w:pPr>
        <w:pStyle w:val="ListParagraph"/>
        <w:numPr>
          <w:ilvl w:val="0"/>
          <w:numId w:val="124"/>
        </w:numPr>
        <w:contextualSpacing/>
        <w:jc w:val="both"/>
        <w:rPr>
          <w:rFonts w:ascii="Arial" w:hAnsi="Arial" w:cs="Arial"/>
          <w:sz w:val="20"/>
        </w:rPr>
      </w:pPr>
      <w:r w:rsidRPr="00597D8D">
        <w:rPr>
          <w:rFonts w:ascii="Arial" w:hAnsi="Arial" w:cs="Arial"/>
          <w:sz w:val="20"/>
          <w:szCs w:val="16"/>
        </w:rPr>
        <w:t xml:space="preserve">a vision statement of the </w:t>
      </w:r>
      <w:r w:rsidRPr="002B6B53">
        <w:rPr>
          <w:rFonts w:ascii="Arial" w:hAnsi="Arial" w:cs="Arial"/>
          <w:b/>
          <w:bCs/>
          <w:sz w:val="20"/>
          <w:szCs w:val="16"/>
          <w:shd w:val="clear" w:color="auto" w:fill="FBE4D5" w:themeFill="accent2" w:themeFillTint="33"/>
        </w:rPr>
        <w:t>SSSF partner</w:t>
      </w:r>
      <w:r w:rsidRPr="00597D8D">
        <w:rPr>
          <w:rFonts w:ascii="Arial" w:hAnsi="Arial" w:cs="Arial"/>
          <w:sz w:val="20"/>
          <w:szCs w:val="16"/>
        </w:rPr>
        <w:t xml:space="preserve"> and measurable objectives that focus on the wellbeing and development of </w:t>
      </w:r>
      <w:r w:rsidRPr="00D34093">
        <w:rPr>
          <w:rFonts w:ascii="Arial" w:hAnsi="Arial" w:cs="Arial"/>
          <w:b/>
          <w:bCs/>
          <w:color w:val="FFFFFF" w:themeColor="background1"/>
          <w:sz w:val="20"/>
          <w:szCs w:val="16"/>
          <w:shd w:val="clear" w:color="auto" w:fill="7030A0"/>
        </w:rPr>
        <w:t>children and care leavers</w:t>
      </w:r>
      <w:r w:rsidRPr="00597D8D">
        <w:rPr>
          <w:rFonts w:ascii="Arial" w:hAnsi="Arial" w:cs="Arial"/>
          <w:sz w:val="20"/>
          <w:szCs w:val="16"/>
        </w:rPr>
        <w:t xml:space="preserve"> in the </w:t>
      </w:r>
      <w:r w:rsidRPr="00CA756A">
        <w:rPr>
          <w:rFonts w:ascii="Arial" w:hAnsi="Arial" w:cs="Arial"/>
          <w:b/>
          <w:bCs/>
          <w:sz w:val="20"/>
          <w:szCs w:val="16"/>
          <w:shd w:val="clear" w:color="auto" w:fill="FFF2CC" w:themeFill="accent4" w:themeFillTint="33"/>
        </w:rPr>
        <w:t>SSSF group</w:t>
      </w:r>
      <w:r w:rsidRPr="00597D8D">
        <w:rPr>
          <w:rFonts w:ascii="Arial" w:hAnsi="Arial" w:cs="Arial"/>
          <w:sz w:val="20"/>
          <w:szCs w:val="16"/>
        </w:rPr>
        <w:t>; and</w:t>
      </w:r>
    </w:p>
    <w:p w14:paraId="52CA0BBF" w14:textId="77777777" w:rsidR="00FC3098" w:rsidRPr="006F4156" w:rsidRDefault="00FC3098">
      <w:pPr>
        <w:pStyle w:val="ListParagraph"/>
        <w:numPr>
          <w:ilvl w:val="0"/>
          <w:numId w:val="124"/>
        </w:numPr>
        <w:contextualSpacing/>
        <w:jc w:val="both"/>
        <w:rPr>
          <w:rFonts w:ascii="Arial" w:hAnsi="Arial" w:cs="Arial"/>
          <w:sz w:val="20"/>
        </w:rPr>
      </w:pPr>
      <w:r w:rsidRPr="00597D8D">
        <w:rPr>
          <w:rFonts w:ascii="Arial" w:hAnsi="Arial" w:cs="Arial"/>
          <w:sz w:val="20"/>
          <w:szCs w:val="16"/>
        </w:rPr>
        <w:t>a detailed plan of actions to be taken, and by whom, to achieve the objectives specified in the plan</w:t>
      </w:r>
      <w:r>
        <w:rPr>
          <w:rFonts w:ascii="Arial" w:hAnsi="Arial" w:cs="Arial"/>
          <w:sz w:val="20"/>
          <w:szCs w:val="16"/>
        </w:rPr>
        <w:t>…; and</w:t>
      </w:r>
    </w:p>
    <w:p w14:paraId="2C317A7A" w14:textId="77777777" w:rsidR="00FC3098" w:rsidRPr="006F4156" w:rsidRDefault="00FC3098">
      <w:pPr>
        <w:pStyle w:val="ListParagraph"/>
        <w:numPr>
          <w:ilvl w:val="0"/>
          <w:numId w:val="124"/>
        </w:numPr>
        <w:contextualSpacing/>
        <w:jc w:val="both"/>
        <w:rPr>
          <w:rFonts w:ascii="Arial" w:hAnsi="Arial" w:cs="Arial"/>
          <w:sz w:val="20"/>
        </w:rPr>
      </w:pPr>
      <w:r w:rsidRPr="00597D8D">
        <w:rPr>
          <w:rFonts w:ascii="Arial" w:hAnsi="Arial" w:cs="Arial"/>
          <w:sz w:val="20"/>
          <w:szCs w:val="16"/>
        </w:rPr>
        <w:t xml:space="preserve">a statement of how regard has been given by the </w:t>
      </w:r>
      <w:r w:rsidRPr="002B6B53">
        <w:rPr>
          <w:rFonts w:ascii="Arial" w:hAnsi="Arial" w:cs="Arial"/>
          <w:b/>
          <w:bCs/>
          <w:sz w:val="20"/>
          <w:szCs w:val="16"/>
          <w:shd w:val="clear" w:color="auto" w:fill="FBE4D5" w:themeFill="accent2" w:themeFillTint="33"/>
        </w:rPr>
        <w:t>SSSF partner</w:t>
      </w:r>
      <w:r w:rsidRPr="00597D8D">
        <w:rPr>
          <w:rFonts w:ascii="Arial" w:hAnsi="Arial" w:cs="Arial"/>
          <w:sz w:val="20"/>
          <w:szCs w:val="16"/>
        </w:rPr>
        <w:t xml:space="preserve"> to outcome measures across outcome areas in determining the plan of actions to be taken; and</w:t>
      </w:r>
    </w:p>
    <w:p w14:paraId="013456DE" w14:textId="77777777" w:rsidR="00FC3098" w:rsidRPr="006F4156" w:rsidRDefault="00FC3098">
      <w:pPr>
        <w:pStyle w:val="ListParagraph"/>
        <w:numPr>
          <w:ilvl w:val="0"/>
          <w:numId w:val="124"/>
        </w:numPr>
        <w:contextualSpacing/>
        <w:jc w:val="both"/>
        <w:rPr>
          <w:rFonts w:ascii="Arial" w:hAnsi="Arial" w:cs="Arial"/>
          <w:sz w:val="20"/>
        </w:rPr>
      </w:pPr>
      <w:r w:rsidRPr="00597D8D">
        <w:rPr>
          <w:rFonts w:ascii="Arial" w:hAnsi="Arial" w:cs="Arial"/>
          <w:sz w:val="20"/>
          <w:szCs w:val="16"/>
        </w:rPr>
        <w:t xml:space="preserve">processes for monitoring the taking of actions specified in the </w:t>
      </w:r>
      <w:r w:rsidRPr="001311D5">
        <w:rPr>
          <w:rFonts w:ascii="Arial" w:hAnsi="Arial" w:cs="Arial"/>
          <w:b/>
          <w:bCs/>
          <w:sz w:val="20"/>
          <w:szCs w:val="16"/>
          <w:shd w:val="clear" w:color="auto" w:fill="000099"/>
        </w:rPr>
        <w:t>SSSF plan</w:t>
      </w:r>
      <w:r>
        <w:rPr>
          <w:rFonts w:ascii="Arial" w:hAnsi="Arial" w:cs="Arial"/>
          <w:sz w:val="20"/>
          <w:szCs w:val="16"/>
        </w:rPr>
        <w:t>…; and</w:t>
      </w:r>
    </w:p>
    <w:p w14:paraId="49A99666" w14:textId="08FB1897" w:rsidR="00FC3098" w:rsidRPr="00FC3098" w:rsidRDefault="00FC3098">
      <w:pPr>
        <w:pStyle w:val="ListParagraph"/>
        <w:numPr>
          <w:ilvl w:val="0"/>
          <w:numId w:val="124"/>
        </w:numPr>
        <w:contextualSpacing/>
        <w:jc w:val="both"/>
        <w:rPr>
          <w:rFonts w:ascii="Arial" w:hAnsi="Arial" w:cs="Arial"/>
          <w:sz w:val="20"/>
        </w:rPr>
      </w:pPr>
      <w:r w:rsidRPr="00597D8D">
        <w:rPr>
          <w:rFonts w:ascii="Arial" w:hAnsi="Arial" w:cs="Arial"/>
          <w:sz w:val="20"/>
          <w:szCs w:val="16"/>
        </w:rPr>
        <w:t xml:space="preserve">if a </w:t>
      </w:r>
      <w:r w:rsidRPr="002B6B53">
        <w:rPr>
          <w:rFonts w:ascii="Arial" w:hAnsi="Arial" w:cs="Arial"/>
          <w:b/>
          <w:bCs/>
          <w:sz w:val="20"/>
          <w:szCs w:val="16"/>
          <w:shd w:val="clear" w:color="auto" w:fill="FBE4D5" w:themeFill="accent2" w:themeFillTint="33"/>
        </w:rPr>
        <w:t>SSSF partner's</w:t>
      </w:r>
      <w:r w:rsidRPr="00597D8D">
        <w:rPr>
          <w:rFonts w:ascii="Arial" w:hAnsi="Arial" w:cs="Arial"/>
          <w:sz w:val="20"/>
          <w:szCs w:val="16"/>
        </w:rPr>
        <w:t xml:space="preserve"> functions under </w:t>
      </w:r>
      <w:r w:rsidRPr="001311D5">
        <w:rPr>
          <w:rFonts w:ascii="Arial" w:hAnsi="Arial" w:cs="Arial"/>
          <w:b/>
          <w:bCs/>
          <w:sz w:val="20"/>
          <w:szCs w:val="16"/>
          <w:shd w:val="clear" w:color="auto" w:fill="C5E0B3" w:themeFill="accent6" w:themeFillTint="66"/>
        </w:rPr>
        <w:t>ss.20H(1) or (2)</w:t>
      </w:r>
      <w:r w:rsidRPr="00597D8D">
        <w:rPr>
          <w:rFonts w:ascii="Arial" w:hAnsi="Arial" w:cs="Arial"/>
          <w:sz w:val="20"/>
          <w:szCs w:val="16"/>
        </w:rPr>
        <w:t xml:space="preserve"> conflict, or are incompatible, with their primary functions, duties and powers or duties at common law or in equity</w:t>
      </w:r>
      <w:r>
        <w:rPr>
          <w:rFonts w:ascii="Arial" w:hAnsi="Arial" w:cs="Arial"/>
          <w:sz w:val="20"/>
          <w:szCs w:val="16"/>
        </w:rPr>
        <w:t>: (i)</w:t>
      </w:r>
      <w:r>
        <w:rPr>
          <w:rFonts w:ascii="Arial" w:hAnsi="Arial" w:cs="Arial"/>
          <w:sz w:val="20"/>
          <w:szCs w:val="16"/>
        </w:rPr>
        <w:tab/>
        <w:t xml:space="preserve">the extent of the </w:t>
      </w:r>
      <w:r w:rsidRPr="00597D8D">
        <w:rPr>
          <w:rFonts w:ascii="Arial" w:hAnsi="Arial" w:cs="Arial"/>
          <w:sz w:val="20"/>
          <w:szCs w:val="16"/>
        </w:rPr>
        <w:t>conflict or incompatibility; and</w:t>
      </w:r>
    </w:p>
    <w:p w14:paraId="4FF52D22" w14:textId="0B6A48DF" w:rsidR="00FC3098" w:rsidRPr="003345A4" w:rsidRDefault="00FC3098" w:rsidP="00FC3098">
      <w:pPr>
        <w:pStyle w:val="ListParagraph"/>
        <w:ind w:left="1434" w:hanging="357"/>
        <w:contextualSpacing/>
        <w:jc w:val="both"/>
        <w:rPr>
          <w:rFonts w:ascii="Arial" w:hAnsi="Arial" w:cs="Arial"/>
          <w:sz w:val="20"/>
        </w:rPr>
      </w:pPr>
      <w:r>
        <w:rPr>
          <w:rFonts w:ascii="Arial" w:hAnsi="Arial" w:cs="Arial"/>
          <w:sz w:val="20"/>
          <w:szCs w:val="16"/>
        </w:rPr>
        <w:lastRenderedPageBreak/>
        <w:t>(ii)</w:t>
      </w:r>
      <w:r>
        <w:rPr>
          <w:rFonts w:ascii="Arial" w:hAnsi="Arial" w:cs="Arial"/>
          <w:sz w:val="20"/>
          <w:szCs w:val="16"/>
        </w:rPr>
        <w:tab/>
      </w:r>
      <w:r w:rsidRPr="00597D8D">
        <w:rPr>
          <w:rFonts w:ascii="Arial" w:hAnsi="Arial" w:cs="Arial"/>
          <w:sz w:val="20"/>
          <w:szCs w:val="16"/>
        </w:rPr>
        <w:t xml:space="preserve">that no actions are to be taken in relation to the functions under </w:t>
      </w:r>
      <w:r w:rsidRPr="001311D5">
        <w:rPr>
          <w:rFonts w:ascii="Arial" w:hAnsi="Arial" w:cs="Arial"/>
          <w:b/>
          <w:bCs/>
          <w:sz w:val="20"/>
          <w:szCs w:val="16"/>
          <w:shd w:val="clear" w:color="auto" w:fill="C5E0B3" w:themeFill="accent6" w:themeFillTint="66"/>
        </w:rPr>
        <w:t>ss.20H(1) or</w:t>
      </w:r>
      <w:r>
        <w:rPr>
          <w:rFonts w:ascii="Arial" w:hAnsi="Arial" w:cs="Arial"/>
          <w:b/>
          <w:bCs/>
          <w:sz w:val="20"/>
          <w:szCs w:val="16"/>
          <w:shd w:val="clear" w:color="auto" w:fill="C5E0B3" w:themeFill="accent6" w:themeFillTint="66"/>
        </w:rPr>
        <w:t> </w:t>
      </w:r>
      <w:r w:rsidRPr="001311D5">
        <w:rPr>
          <w:rFonts w:ascii="Arial" w:hAnsi="Arial" w:cs="Arial"/>
          <w:b/>
          <w:bCs/>
          <w:sz w:val="20"/>
          <w:szCs w:val="16"/>
          <w:shd w:val="clear" w:color="auto" w:fill="C5E0B3" w:themeFill="accent6" w:themeFillTint="66"/>
        </w:rPr>
        <w:t>(2)</w:t>
      </w:r>
      <w:r w:rsidRPr="00597D8D">
        <w:rPr>
          <w:rFonts w:ascii="Arial" w:hAnsi="Arial" w:cs="Arial"/>
          <w:sz w:val="20"/>
          <w:szCs w:val="16"/>
        </w:rPr>
        <w:t xml:space="preserve"> to the extent of the conflict or incompatibility; and</w:t>
      </w:r>
    </w:p>
    <w:p w14:paraId="0BD14AD2" w14:textId="77777777" w:rsidR="00FC3098" w:rsidRPr="003345A4" w:rsidRDefault="00FC3098">
      <w:pPr>
        <w:pStyle w:val="ListParagraph"/>
        <w:numPr>
          <w:ilvl w:val="0"/>
          <w:numId w:val="124"/>
        </w:numPr>
        <w:contextualSpacing/>
        <w:jc w:val="both"/>
        <w:rPr>
          <w:rFonts w:ascii="Arial" w:hAnsi="Arial" w:cs="Arial"/>
          <w:sz w:val="20"/>
        </w:rPr>
      </w:pPr>
      <w:r w:rsidRPr="00597D8D">
        <w:rPr>
          <w:rFonts w:ascii="Arial" w:hAnsi="Arial" w:cs="Arial"/>
          <w:sz w:val="20"/>
          <w:szCs w:val="16"/>
        </w:rPr>
        <w:t xml:space="preserve">how the </w:t>
      </w:r>
      <w:r w:rsidRPr="002B6B53">
        <w:rPr>
          <w:rFonts w:ascii="Arial" w:hAnsi="Arial" w:cs="Arial"/>
          <w:b/>
          <w:bCs/>
          <w:sz w:val="20"/>
          <w:szCs w:val="16"/>
          <w:shd w:val="clear" w:color="auto" w:fill="FBE4D5" w:themeFill="accent2" w:themeFillTint="33"/>
        </w:rPr>
        <w:t>SSSF partner</w:t>
      </w:r>
      <w:r w:rsidRPr="00597D8D">
        <w:rPr>
          <w:rFonts w:ascii="Arial" w:hAnsi="Arial" w:cs="Arial"/>
          <w:sz w:val="20"/>
          <w:szCs w:val="16"/>
        </w:rPr>
        <w:t xml:space="preserve"> has given regard to the matters specified in </w:t>
      </w:r>
      <w:r w:rsidRPr="001311D5">
        <w:rPr>
          <w:rFonts w:ascii="Arial" w:hAnsi="Arial" w:cs="Arial"/>
          <w:b/>
          <w:bCs/>
          <w:sz w:val="20"/>
          <w:szCs w:val="16"/>
          <w:shd w:val="clear" w:color="auto" w:fill="C5E0B3" w:themeFill="accent6" w:themeFillTint="66"/>
        </w:rPr>
        <w:t>s.20K(3)</w:t>
      </w:r>
      <w:r w:rsidRPr="00597D8D">
        <w:rPr>
          <w:rFonts w:ascii="Arial" w:hAnsi="Arial" w:cs="Arial"/>
          <w:sz w:val="20"/>
          <w:szCs w:val="16"/>
        </w:rPr>
        <w:t>; and</w:t>
      </w:r>
    </w:p>
    <w:p w14:paraId="77301495" w14:textId="77777777" w:rsidR="00FC3098" w:rsidRPr="003345A4" w:rsidRDefault="00FC3098">
      <w:pPr>
        <w:pStyle w:val="ListParagraph"/>
        <w:numPr>
          <w:ilvl w:val="0"/>
          <w:numId w:val="124"/>
        </w:numPr>
        <w:ind w:left="1077" w:hanging="357"/>
        <w:contextualSpacing/>
        <w:jc w:val="both"/>
        <w:rPr>
          <w:rFonts w:ascii="Arial" w:hAnsi="Arial" w:cs="Arial"/>
          <w:sz w:val="20"/>
        </w:rPr>
      </w:pPr>
      <w:r>
        <w:rPr>
          <w:rFonts w:ascii="Arial" w:hAnsi="Arial" w:cs="Arial"/>
          <w:sz w:val="20"/>
          <w:szCs w:val="16"/>
        </w:rPr>
        <w:t>any other prescribed matter.</w:t>
      </w:r>
    </w:p>
    <w:p w14:paraId="0A927E1C" w14:textId="77777777" w:rsidR="00FC3098" w:rsidRDefault="00FC3098">
      <w:pPr>
        <w:pStyle w:val="AmendHeading1"/>
        <w:numPr>
          <w:ilvl w:val="0"/>
          <w:numId w:val="123"/>
        </w:numPr>
        <w:tabs>
          <w:tab w:val="right" w:pos="1701"/>
        </w:tabs>
        <w:spacing w:before="60"/>
        <w:ind w:left="714" w:hanging="357"/>
        <w:jc w:val="both"/>
        <w:rPr>
          <w:rFonts w:ascii="Arial" w:hAnsi="Arial" w:cs="Arial"/>
          <w:sz w:val="20"/>
          <w:szCs w:val="16"/>
        </w:rPr>
      </w:pPr>
      <w:r w:rsidRPr="003345A4">
        <w:rPr>
          <w:rFonts w:ascii="Arial" w:hAnsi="Arial" w:cs="Arial"/>
          <w:sz w:val="20"/>
          <w:szCs w:val="16"/>
        </w:rPr>
        <w:t xml:space="preserve">In determining a plan of actions in a </w:t>
      </w:r>
      <w:r w:rsidRPr="003345A4">
        <w:rPr>
          <w:rFonts w:ascii="Arial" w:hAnsi="Arial" w:cs="Arial"/>
          <w:b/>
          <w:bCs/>
          <w:sz w:val="20"/>
          <w:szCs w:val="16"/>
          <w:shd w:val="clear" w:color="auto" w:fill="000099"/>
        </w:rPr>
        <w:t>SSSF plan</w:t>
      </w:r>
      <w:r w:rsidRPr="003345A4">
        <w:rPr>
          <w:rFonts w:ascii="Arial" w:hAnsi="Arial" w:cs="Arial"/>
          <w:sz w:val="20"/>
          <w:szCs w:val="16"/>
        </w:rPr>
        <w:t xml:space="preserve"> under subsection</w:t>
      </w:r>
      <w:r>
        <w:rPr>
          <w:rFonts w:ascii="Arial" w:hAnsi="Arial" w:cs="Arial"/>
          <w:sz w:val="20"/>
          <w:szCs w:val="16"/>
        </w:rPr>
        <w:t xml:space="preserve"> </w:t>
      </w:r>
      <w:r w:rsidRPr="003345A4">
        <w:rPr>
          <w:rFonts w:ascii="Arial" w:hAnsi="Arial" w:cs="Arial"/>
          <w:sz w:val="20"/>
          <w:szCs w:val="16"/>
        </w:rPr>
        <w:t xml:space="preserve">(1), a </w:t>
      </w:r>
      <w:r w:rsidRPr="002B6B53">
        <w:rPr>
          <w:rFonts w:ascii="Arial" w:hAnsi="Arial" w:cs="Arial"/>
          <w:b/>
          <w:bCs/>
          <w:sz w:val="20"/>
          <w:szCs w:val="16"/>
          <w:shd w:val="clear" w:color="auto" w:fill="FBE4D5" w:themeFill="accent2" w:themeFillTint="33"/>
        </w:rPr>
        <w:t>SSSF partner</w:t>
      </w:r>
      <w:r w:rsidRPr="003345A4">
        <w:rPr>
          <w:rFonts w:ascii="Arial" w:hAnsi="Arial" w:cs="Arial"/>
          <w:sz w:val="20"/>
          <w:szCs w:val="16"/>
        </w:rPr>
        <w:t xml:space="preserve"> must have regard to—</w:t>
      </w:r>
    </w:p>
    <w:p w14:paraId="30FCB3E4" w14:textId="77777777" w:rsidR="00FC3098" w:rsidRPr="006F4156" w:rsidRDefault="00FC3098">
      <w:pPr>
        <w:pStyle w:val="ListParagraph"/>
        <w:numPr>
          <w:ilvl w:val="0"/>
          <w:numId w:val="125"/>
        </w:numPr>
        <w:contextualSpacing/>
        <w:jc w:val="both"/>
        <w:rPr>
          <w:rFonts w:ascii="Arial" w:hAnsi="Arial" w:cs="Arial"/>
          <w:sz w:val="20"/>
        </w:rPr>
      </w:pPr>
      <w:r w:rsidRPr="003345A4">
        <w:rPr>
          <w:rFonts w:ascii="Arial" w:hAnsi="Arial" w:cs="Arial"/>
          <w:sz w:val="20"/>
          <w:szCs w:val="16"/>
        </w:rPr>
        <w:t xml:space="preserve">the </w:t>
      </w:r>
      <w:r w:rsidRPr="002B6B53">
        <w:rPr>
          <w:rFonts w:ascii="Arial" w:hAnsi="Arial" w:cs="Arial"/>
          <w:b/>
          <w:bCs/>
          <w:sz w:val="20"/>
          <w:szCs w:val="16"/>
          <w:shd w:val="clear" w:color="auto" w:fill="FBE4D5" w:themeFill="accent2" w:themeFillTint="33"/>
        </w:rPr>
        <w:t>SSSF partner's</w:t>
      </w:r>
      <w:r w:rsidRPr="003345A4">
        <w:rPr>
          <w:rFonts w:ascii="Arial" w:hAnsi="Arial" w:cs="Arial"/>
          <w:sz w:val="20"/>
          <w:szCs w:val="16"/>
        </w:rPr>
        <w:t xml:space="preserve"> </w:t>
      </w:r>
      <w:r w:rsidRPr="007E2468">
        <w:rPr>
          <w:rFonts w:ascii="Arial" w:hAnsi="Arial" w:cs="Arial"/>
          <w:b/>
          <w:bCs/>
          <w:sz w:val="20"/>
          <w:szCs w:val="16"/>
          <w:shd w:val="clear" w:color="auto" w:fill="CCFFFF"/>
        </w:rPr>
        <w:t>SSSF responsibilities</w:t>
      </w:r>
      <w:r w:rsidRPr="003345A4">
        <w:rPr>
          <w:rFonts w:ascii="Arial" w:hAnsi="Arial" w:cs="Arial"/>
          <w:sz w:val="20"/>
          <w:szCs w:val="16"/>
        </w:rPr>
        <w:t xml:space="preserve"> in relation to one or more, or all the, classes of persons in the </w:t>
      </w:r>
      <w:r w:rsidRPr="00CA756A">
        <w:rPr>
          <w:rFonts w:ascii="Arial" w:hAnsi="Arial" w:cs="Arial"/>
          <w:b/>
          <w:bCs/>
          <w:sz w:val="20"/>
          <w:szCs w:val="16"/>
          <w:shd w:val="clear" w:color="auto" w:fill="FFF2CC" w:themeFill="accent4" w:themeFillTint="33"/>
        </w:rPr>
        <w:t>SSSF group</w:t>
      </w:r>
      <w:r w:rsidRPr="003345A4">
        <w:rPr>
          <w:rFonts w:ascii="Arial" w:hAnsi="Arial" w:cs="Arial"/>
          <w:sz w:val="20"/>
          <w:szCs w:val="16"/>
        </w:rPr>
        <w:t>; and</w:t>
      </w:r>
    </w:p>
    <w:p w14:paraId="698E02C0" w14:textId="77777777" w:rsidR="00FC3098" w:rsidRPr="006F4156" w:rsidRDefault="00FC3098">
      <w:pPr>
        <w:pStyle w:val="ListParagraph"/>
        <w:numPr>
          <w:ilvl w:val="0"/>
          <w:numId w:val="125"/>
        </w:numPr>
        <w:spacing w:after="20"/>
        <w:ind w:left="1077" w:hanging="357"/>
        <w:jc w:val="both"/>
        <w:rPr>
          <w:rFonts w:ascii="Arial" w:hAnsi="Arial" w:cs="Arial"/>
          <w:sz w:val="20"/>
        </w:rPr>
      </w:pPr>
      <w:r w:rsidRPr="003345A4">
        <w:rPr>
          <w:rFonts w:ascii="Arial" w:hAnsi="Arial" w:cs="Arial"/>
          <w:sz w:val="20"/>
          <w:szCs w:val="16"/>
        </w:rPr>
        <w:t xml:space="preserve">prescribed outcome measures across </w:t>
      </w:r>
      <w:r w:rsidRPr="001311D5">
        <w:rPr>
          <w:rFonts w:ascii="Arial" w:hAnsi="Arial" w:cs="Arial"/>
          <w:b/>
          <w:bCs/>
          <w:sz w:val="20"/>
          <w:szCs w:val="16"/>
          <w:shd w:val="clear" w:color="auto" w:fill="000000" w:themeFill="text1"/>
        </w:rPr>
        <w:t>outcome areas</w:t>
      </w:r>
      <w:r>
        <w:rPr>
          <w:rFonts w:ascii="Arial" w:hAnsi="Arial" w:cs="Arial"/>
          <w:sz w:val="20"/>
          <w:szCs w:val="16"/>
        </w:rPr>
        <w:t xml:space="preserve">, defined in </w:t>
      </w:r>
      <w:r w:rsidRPr="004375FB">
        <w:rPr>
          <w:rFonts w:ascii="Arial" w:hAnsi="Arial" w:cs="Arial"/>
          <w:b/>
          <w:bCs/>
          <w:sz w:val="20"/>
          <w:szCs w:val="16"/>
          <w:shd w:val="clear" w:color="auto" w:fill="C5E0B3" w:themeFill="accent6" w:themeFillTint="66"/>
        </w:rPr>
        <w:t>s.3(1)</w:t>
      </w:r>
      <w:r>
        <w:rPr>
          <w:rFonts w:ascii="Arial" w:hAnsi="Arial" w:cs="Arial"/>
          <w:sz w:val="20"/>
          <w:szCs w:val="16"/>
        </w:rPr>
        <w:t xml:space="preserve"> CYFA as: (a) health; (b) education; (c) justice; (d) housing; (e) Aboriginal self-determination; (f) employment; (g)</w:t>
      </w:r>
      <w:r w:rsidRPr="000038E6">
        <w:rPr>
          <w:rFonts w:ascii="Arial" w:hAnsi="Arial" w:cs="Arial"/>
          <w:sz w:val="20"/>
        </w:rPr>
        <w:t> </w:t>
      </w:r>
      <w:r>
        <w:rPr>
          <w:rFonts w:ascii="Arial" w:hAnsi="Arial" w:cs="Arial"/>
          <w:sz w:val="20"/>
          <w:szCs w:val="16"/>
        </w:rPr>
        <w:t xml:space="preserve">any other outcome area referred to in </w:t>
      </w:r>
      <w:r w:rsidRPr="008A5F18">
        <w:rPr>
          <w:rFonts w:ascii="Arial" w:hAnsi="Arial" w:cs="Arial"/>
          <w:b/>
          <w:bCs/>
          <w:sz w:val="20"/>
          <w:szCs w:val="16"/>
          <w:shd w:val="clear" w:color="auto" w:fill="C5E0B3" w:themeFill="accent6" w:themeFillTint="66"/>
        </w:rPr>
        <w:t>s.20L(2)(b)</w:t>
      </w:r>
      <w:r>
        <w:rPr>
          <w:rFonts w:ascii="Arial" w:hAnsi="Arial" w:cs="Arial"/>
          <w:sz w:val="20"/>
          <w:szCs w:val="16"/>
        </w:rPr>
        <w:t xml:space="preserve"> or </w:t>
      </w:r>
      <w:r w:rsidRPr="008A5F18">
        <w:rPr>
          <w:rFonts w:ascii="Arial" w:hAnsi="Arial" w:cs="Arial"/>
          <w:b/>
          <w:bCs/>
          <w:sz w:val="20"/>
          <w:szCs w:val="16"/>
          <w:shd w:val="clear" w:color="auto" w:fill="C5E0B3" w:themeFill="accent6" w:themeFillTint="66"/>
        </w:rPr>
        <w:t>s.20O(2)(b)</w:t>
      </w:r>
      <w:r>
        <w:rPr>
          <w:rFonts w:ascii="Arial" w:hAnsi="Arial" w:cs="Arial"/>
          <w:sz w:val="20"/>
          <w:szCs w:val="16"/>
        </w:rPr>
        <w:t>.</w:t>
      </w:r>
    </w:p>
    <w:p w14:paraId="080C6030" w14:textId="77777777" w:rsidR="00FC3098" w:rsidRDefault="00FC3098">
      <w:pPr>
        <w:pStyle w:val="ListParagraph"/>
        <w:numPr>
          <w:ilvl w:val="0"/>
          <w:numId w:val="123"/>
        </w:numPr>
        <w:spacing w:before="60" w:after="60"/>
        <w:ind w:left="714" w:hanging="357"/>
        <w:jc w:val="both"/>
        <w:rPr>
          <w:rFonts w:ascii="Arial" w:hAnsi="Arial" w:cs="Arial"/>
          <w:sz w:val="20"/>
        </w:rPr>
      </w:pPr>
      <w:r w:rsidRPr="003345A4">
        <w:rPr>
          <w:rFonts w:ascii="Arial" w:hAnsi="Arial" w:cs="Arial"/>
          <w:sz w:val="20"/>
          <w:szCs w:val="16"/>
        </w:rPr>
        <w:t xml:space="preserve">A </w:t>
      </w:r>
      <w:r w:rsidRPr="003345A4">
        <w:rPr>
          <w:rFonts w:ascii="Arial" w:hAnsi="Arial" w:cs="Arial"/>
          <w:b/>
          <w:bCs/>
          <w:sz w:val="20"/>
          <w:szCs w:val="16"/>
          <w:shd w:val="clear" w:color="auto" w:fill="000099"/>
        </w:rPr>
        <w:t>SSSF plan</w:t>
      </w:r>
      <w:r w:rsidRPr="003345A4">
        <w:rPr>
          <w:rFonts w:ascii="Arial" w:hAnsi="Arial" w:cs="Arial"/>
          <w:sz w:val="20"/>
          <w:szCs w:val="16"/>
        </w:rPr>
        <w:t xml:space="preserve"> meets the requirements of subsection</w:t>
      </w:r>
      <w:r>
        <w:rPr>
          <w:rFonts w:ascii="Arial" w:hAnsi="Arial" w:cs="Arial"/>
          <w:sz w:val="20"/>
          <w:szCs w:val="16"/>
        </w:rPr>
        <w:t xml:space="preserve"> </w:t>
      </w:r>
      <w:r w:rsidRPr="003345A4">
        <w:rPr>
          <w:rFonts w:ascii="Arial" w:hAnsi="Arial" w:cs="Arial"/>
          <w:sz w:val="20"/>
          <w:szCs w:val="16"/>
        </w:rPr>
        <w:t xml:space="preserve">(1) if </w:t>
      </w:r>
      <w:r>
        <w:rPr>
          <w:rFonts w:ascii="Arial" w:hAnsi="Arial" w:cs="Arial"/>
          <w:sz w:val="20"/>
          <w:szCs w:val="16"/>
        </w:rPr>
        <w:t>it</w:t>
      </w:r>
      <w:r w:rsidRPr="003345A4">
        <w:rPr>
          <w:rFonts w:ascii="Arial" w:hAnsi="Arial" w:cs="Arial"/>
          <w:sz w:val="20"/>
          <w:szCs w:val="16"/>
        </w:rPr>
        <w:t xml:space="preserve"> sets out a vision statement and detailed plan of actions in relation to</w:t>
      </w:r>
      <w:r>
        <w:rPr>
          <w:rFonts w:ascii="Arial" w:hAnsi="Arial" w:cs="Arial"/>
          <w:sz w:val="20"/>
          <w:szCs w:val="16"/>
        </w:rPr>
        <w:t xml:space="preserve"> any or all of the classes of persons in the </w:t>
      </w:r>
      <w:r w:rsidRPr="00CA756A">
        <w:rPr>
          <w:rFonts w:ascii="Arial" w:hAnsi="Arial" w:cs="Arial"/>
          <w:b/>
          <w:bCs/>
          <w:sz w:val="20"/>
          <w:szCs w:val="16"/>
          <w:shd w:val="clear" w:color="auto" w:fill="FFF2CC" w:themeFill="accent4" w:themeFillTint="33"/>
        </w:rPr>
        <w:t>SSSF group</w:t>
      </w:r>
      <w:r>
        <w:rPr>
          <w:rFonts w:ascii="Arial" w:hAnsi="Arial" w:cs="Arial"/>
          <w:sz w:val="20"/>
          <w:szCs w:val="16"/>
        </w:rPr>
        <w:t>.</w:t>
      </w:r>
    </w:p>
    <w:p w14:paraId="75C7DFC0" w14:textId="77777777" w:rsidR="00FC3098" w:rsidRDefault="00FC3098" w:rsidP="006911B0">
      <w:pPr>
        <w:pStyle w:val="NormalWeb"/>
        <w:spacing w:before="0" w:beforeAutospacing="0" w:after="0" w:afterAutospacing="0"/>
        <w:jc w:val="both"/>
        <w:rPr>
          <w:rFonts w:ascii="Arial" w:hAnsi="Arial" w:cs="Arial"/>
          <w:sz w:val="20"/>
          <w:szCs w:val="20"/>
        </w:rPr>
      </w:pPr>
    </w:p>
    <w:p w14:paraId="30E40E8D" w14:textId="77777777" w:rsidR="00A82435" w:rsidRDefault="00A82435" w:rsidP="00FC3098">
      <w:pPr>
        <w:pStyle w:val="Heading3"/>
        <w:spacing w:line="240" w:lineRule="auto"/>
        <w:rPr>
          <w:rFonts w:ascii="Arial" w:hAnsi="Arial" w:cs="Arial"/>
          <w:b/>
          <w:bCs/>
          <w:sz w:val="20"/>
        </w:rPr>
      </w:pPr>
      <w:bookmarkStart w:id="138" w:name="_4.1.2_Duty_of"/>
      <w:bookmarkStart w:id="139" w:name="B41x2"/>
      <w:bookmarkEnd w:id="138"/>
      <w:bookmarkEnd w:id="139"/>
      <w:r>
        <w:rPr>
          <w:rFonts w:ascii="Arial" w:hAnsi="Arial" w:cs="Arial"/>
          <w:b/>
          <w:bCs/>
          <w:sz w:val="20"/>
        </w:rPr>
        <w:t>4.1.2</w:t>
      </w:r>
      <w:r>
        <w:rPr>
          <w:rFonts w:ascii="Arial" w:hAnsi="Arial" w:cs="Arial"/>
          <w:b/>
          <w:bCs/>
          <w:sz w:val="20"/>
        </w:rPr>
        <w:tab/>
        <w:t>Duty of care of the Child Protection Service</w:t>
      </w:r>
    </w:p>
    <w:p w14:paraId="380EF69D" w14:textId="77777777" w:rsidR="00A82435" w:rsidRPr="00543872" w:rsidRDefault="00A82435" w:rsidP="00FC3098">
      <w:pPr>
        <w:pStyle w:val="Heading3"/>
        <w:spacing w:line="240" w:lineRule="auto"/>
        <w:rPr>
          <w:rFonts w:ascii="Arial" w:hAnsi="Arial" w:cs="Arial"/>
          <w:sz w:val="20"/>
        </w:rPr>
      </w:pPr>
    </w:p>
    <w:p w14:paraId="3117BDA4" w14:textId="77777777" w:rsidR="00693223" w:rsidRDefault="00693223" w:rsidP="00FC3098">
      <w:pPr>
        <w:pStyle w:val="NormalWeb"/>
        <w:spacing w:before="0" w:beforeAutospacing="0" w:after="0" w:afterAutospacing="0"/>
        <w:jc w:val="both"/>
        <w:rPr>
          <w:rFonts w:ascii="Arial" w:hAnsi="Arial" w:cs="Arial"/>
          <w:sz w:val="20"/>
        </w:rPr>
      </w:pPr>
      <w:r>
        <w:rPr>
          <w:rFonts w:ascii="Arial" w:hAnsi="Arial" w:cs="Arial"/>
          <w:sz w:val="20"/>
        </w:rPr>
        <w:t xml:space="preserve">In </w:t>
      </w:r>
      <w:r>
        <w:rPr>
          <w:rFonts w:ascii="Arial" w:hAnsi="Arial" w:cs="Arial"/>
          <w:i/>
          <w:iCs/>
          <w:sz w:val="20"/>
        </w:rPr>
        <w:t>Sullivan v Moody</w:t>
      </w:r>
      <w:r>
        <w:rPr>
          <w:rFonts w:ascii="Arial" w:hAnsi="Arial" w:cs="Arial"/>
          <w:sz w:val="20"/>
        </w:rPr>
        <w:t xml:space="preserve"> (2001) 207 CLR 562 and two associated cases the High Court emphasised that the primary duty of care of the South Australian equivalent of the Department was to the child.  Hence it did not owe any duty of care to a parent insofar as such duty would put it in the position of having incompatible duties to more than one person.  At p.582 the Court said:</w:t>
      </w:r>
    </w:p>
    <w:p w14:paraId="76D2FB37" w14:textId="77777777" w:rsidR="00693223" w:rsidRDefault="00693223" w:rsidP="00FA1A78">
      <w:pPr>
        <w:ind w:left="454" w:right="454"/>
        <w:jc w:val="both"/>
        <w:rPr>
          <w:rFonts w:ascii="Arial" w:hAnsi="Arial" w:cs="Arial"/>
          <w:sz w:val="20"/>
        </w:rPr>
      </w:pPr>
      <w:r>
        <w:rPr>
          <w:rFonts w:ascii="Arial" w:hAnsi="Arial" w:cs="Arial"/>
          <w:sz w:val="20"/>
        </w:rPr>
        <w:t>"[W]hen public authorities, or their officers are charged with the responsibility of conducting investigations, or exercising powers, in the public interest, or in the interests of a specified class of persons, the law would not ordinarily subject them to a duty to have regard to the interests of another class of persons where that would impose upon them conflicting claims or obligations.”</w:t>
      </w:r>
    </w:p>
    <w:p w14:paraId="16FC677E" w14:textId="77777777" w:rsidR="005B4417" w:rsidRDefault="005B4417" w:rsidP="005B4417">
      <w:pPr>
        <w:jc w:val="both"/>
        <w:rPr>
          <w:rFonts w:ascii="Arial" w:hAnsi="Arial" w:cs="Arial"/>
          <w:sz w:val="20"/>
        </w:rPr>
      </w:pPr>
    </w:p>
    <w:p w14:paraId="6C1AFFA6" w14:textId="77777777" w:rsidR="00693223" w:rsidRDefault="00693223" w:rsidP="00A56DB8">
      <w:pPr>
        <w:pStyle w:val="NormalWeb"/>
        <w:spacing w:before="0" w:beforeAutospacing="0" w:after="0" w:afterAutospacing="0"/>
        <w:jc w:val="both"/>
        <w:rPr>
          <w:rFonts w:ascii="Arial" w:hAnsi="Arial" w:cs="Arial"/>
          <w:sz w:val="16"/>
        </w:rPr>
      </w:pPr>
      <w:r>
        <w:rPr>
          <w:rFonts w:ascii="Arial" w:hAnsi="Arial" w:cs="Arial"/>
          <w:sz w:val="20"/>
        </w:rPr>
        <w:t xml:space="preserve">The High Court concluded </w:t>
      </w:r>
      <w:r>
        <w:rPr>
          <w:rFonts w:ascii="Arial" w:hAnsi="Arial" w:cs="Arial"/>
          <w:i/>
          <w:sz w:val="20"/>
        </w:rPr>
        <w:t>Sullivan v Moody</w:t>
      </w:r>
      <w:r>
        <w:rPr>
          <w:rFonts w:ascii="Arial" w:hAnsi="Arial" w:cs="Arial"/>
          <w:sz w:val="20"/>
        </w:rPr>
        <w:t xml:space="preserve"> by saying that inconsistency would arise if, in the proper discharge of its responsibilities a Government department was under a legal duty to protect person who were suspected or might be suspected of being the sources of the harm being investigated.  The principle in </w:t>
      </w:r>
      <w:r>
        <w:rPr>
          <w:rFonts w:ascii="Arial" w:hAnsi="Arial" w:cs="Arial"/>
          <w:i/>
          <w:iCs/>
          <w:sz w:val="20"/>
        </w:rPr>
        <w:t>Sullivan v Moody</w:t>
      </w:r>
      <w:r>
        <w:rPr>
          <w:rFonts w:ascii="Arial" w:hAnsi="Arial" w:cs="Arial"/>
          <w:sz w:val="20"/>
        </w:rPr>
        <w:t xml:space="preserve"> was followed in relation to the Victorian child protection authority in </w:t>
      </w:r>
      <w:r>
        <w:rPr>
          <w:rFonts w:ascii="Arial" w:hAnsi="Arial" w:cs="Arial"/>
          <w:i/>
          <w:iCs/>
          <w:sz w:val="20"/>
        </w:rPr>
        <w:t>Zunica v State of Victoria</w:t>
      </w:r>
      <w:r>
        <w:rPr>
          <w:rFonts w:ascii="Arial" w:hAnsi="Arial" w:cs="Arial"/>
          <w:sz w:val="20"/>
        </w:rPr>
        <w:t xml:space="preserve"> [2004] VSC 80 where Bongiorno J struck out a claim in negligence, malicious prosecution, abuse of process and misfeasance brought by a mother against the Department arising out of a family dispute and a subsequent Children's Court action.  See also </w:t>
      </w:r>
      <w:r>
        <w:rPr>
          <w:rFonts w:ascii="Arial" w:hAnsi="Arial" w:cs="Arial"/>
          <w:i/>
          <w:sz w:val="20"/>
        </w:rPr>
        <w:t xml:space="preserve">Cannon v </w:t>
      </w:r>
      <w:proofErr w:type="spellStart"/>
      <w:r>
        <w:rPr>
          <w:rFonts w:ascii="Arial" w:hAnsi="Arial" w:cs="Arial"/>
          <w:i/>
          <w:sz w:val="20"/>
        </w:rPr>
        <w:t>Tahche</w:t>
      </w:r>
      <w:proofErr w:type="spellEnd"/>
      <w:r>
        <w:rPr>
          <w:rFonts w:ascii="Arial" w:hAnsi="Arial" w:cs="Arial"/>
          <w:i/>
          <w:sz w:val="20"/>
        </w:rPr>
        <w:t xml:space="preserve"> </w:t>
      </w:r>
      <w:r>
        <w:rPr>
          <w:rFonts w:ascii="Arial" w:hAnsi="Arial" w:cs="Arial"/>
          <w:sz w:val="20"/>
        </w:rPr>
        <w:t>(2002) 5 VR 317.</w:t>
      </w:r>
    </w:p>
    <w:p w14:paraId="62CE69F4" w14:textId="77777777" w:rsidR="00693223" w:rsidRDefault="00693223">
      <w:pPr>
        <w:pStyle w:val="NormalWeb"/>
        <w:spacing w:before="0" w:beforeAutospacing="0" w:after="0" w:afterAutospacing="0"/>
        <w:jc w:val="both"/>
        <w:rPr>
          <w:rFonts w:ascii="Arial" w:hAnsi="Arial" w:cs="Arial"/>
          <w:sz w:val="20"/>
          <w:szCs w:val="20"/>
        </w:rPr>
      </w:pPr>
    </w:p>
    <w:p w14:paraId="23C3B027" w14:textId="77777777" w:rsidR="00007F00" w:rsidRDefault="00007F00">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By contrast, in </w:t>
      </w:r>
      <w:r w:rsidRPr="00397BB2">
        <w:rPr>
          <w:rFonts w:ascii="Arial" w:hAnsi="Arial" w:cs="Arial"/>
          <w:i/>
          <w:sz w:val="20"/>
          <w:szCs w:val="20"/>
        </w:rPr>
        <w:t>SB v State of N</w:t>
      </w:r>
      <w:r w:rsidR="00397BB2">
        <w:rPr>
          <w:rFonts w:ascii="Arial" w:hAnsi="Arial" w:cs="Arial"/>
          <w:i/>
          <w:sz w:val="20"/>
          <w:szCs w:val="20"/>
        </w:rPr>
        <w:t>SW</w:t>
      </w:r>
      <w:r>
        <w:rPr>
          <w:rFonts w:ascii="Arial" w:hAnsi="Arial" w:cs="Arial"/>
          <w:sz w:val="20"/>
          <w:szCs w:val="20"/>
        </w:rPr>
        <w:t xml:space="preserve"> [2004] VSC 514 Redlich J </w:t>
      </w:r>
      <w:r w:rsidR="00512A88">
        <w:rPr>
          <w:rFonts w:ascii="Arial" w:hAnsi="Arial" w:cs="Arial"/>
          <w:sz w:val="20"/>
          <w:szCs w:val="20"/>
        </w:rPr>
        <w:t>held that the NSW child protection authority owed and was in breach of a duty of care to a ward who had been sexually abused by a foster parent and then restored to her natural father who, for the balance of the wardship, pursued an incestuous relationship from which resulted two children.</w:t>
      </w:r>
      <w:r w:rsidR="0082133C">
        <w:rPr>
          <w:rFonts w:ascii="Arial" w:hAnsi="Arial" w:cs="Arial"/>
          <w:sz w:val="20"/>
          <w:szCs w:val="20"/>
        </w:rPr>
        <w:t xml:space="preserve">  In an exhaustive judgment his Honour analysed a large number of cases in which the common law and statutory duties of child protection authorities were discussed and in so doing distinguished the English line of authority epitomized by </w:t>
      </w:r>
      <w:r w:rsidR="0082133C" w:rsidRPr="00D34610">
        <w:rPr>
          <w:rFonts w:ascii="Arial" w:hAnsi="Arial" w:cs="Arial"/>
          <w:i/>
          <w:sz w:val="20"/>
          <w:szCs w:val="20"/>
        </w:rPr>
        <w:t>X (Minors) v Bedfordshire County Council</w:t>
      </w:r>
      <w:r w:rsidR="0082133C">
        <w:rPr>
          <w:rFonts w:ascii="Arial" w:hAnsi="Arial" w:cs="Arial"/>
          <w:sz w:val="20"/>
          <w:szCs w:val="20"/>
        </w:rPr>
        <w:t xml:space="preserve"> </w:t>
      </w:r>
      <w:r w:rsidR="00F95054" w:rsidRPr="00F95054">
        <w:rPr>
          <w:rFonts w:ascii="Arial" w:hAnsi="Arial" w:cs="Arial"/>
          <w:sz w:val="20"/>
          <w:szCs w:val="20"/>
        </w:rPr>
        <w:t>[1995] 2 AC 633</w:t>
      </w:r>
      <w:r w:rsidR="0082133C" w:rsidRPr="00F95054">
        <w:rPr>
          <w:rFonts w:ascii="Arial" w:hAnsi="Arial" w:cs="Arial"/>
          <w:sz w:val="20"/>
          <w:szCs w:val="20"/>
        </w:rPr>
        <w:t xml:space="preserve">.  </w:t>
      </w:r>
      <w:r w:rsidR="0082133C">
        <w:rPr>
          <w:rFonts w:ascii="Arial" w:hAnsi="Arial" w:cs="Arial"/>
          <w:sz w:val="20"/>
          <w:szCs w:val="20"/>
        </w:rPr>
        <w:t>At [</w:t>
      </w:r>
      <w:r w:rsidR="00D45DD9">
        <w:rPr>
          <w:rFonts w:ascii="Arial" w:hAnsi="Arial" w:cs="Arial"/>
          <w:sz w:val="20"/>
          <w:szCs w:val="20"/>
        </w:rPr>
        <w:t>298</w:t>
      </w:r>
      <w:r w:rsidR="0082133C">
        <w:rPr>
          <w:rFonts w:ascii="Arial" w:hAnsi="Arial" w:cs="Arial"/>
          <w:sz w:val="20"/>
          <w:szCs w:val="20"/>
        </w:rPr>
        <w:t>]-[</w:t>
      </w:r>
      <w:r w:rsidR="00D45DD9">
        <w:rPr>
          <w:rFonts w:ascii="Arial" w:hAnsi="Arial" w:cs="Arial"/>
          <w:sz w:val="20"/>
          <w:szCs w:val="20"/>
        </w:rPr>
        <w:t>300</w:t>
      </w:r>
      <w:r w:rsidR="0082133C">
        <w:rPr>
          <w:rFonts w:ascii="Arial" w:hAnsi="Arial" w:cs="Arial"/>
          <w:sz w:val="20"/>
          <w:szCs w:val="20"/>
        </w:rPr>
        <w:t>] his Honour held:</w:t>
      </w:r>
    </w:p>
    <w:p w14:paraId="25497AF9" w14:textId="77777777" w:rsidR="00397BB2" w:rsidRDefault="008B516B" w:rsidP="00D34610">
      <w:pPr>
        <w:pStyle w:val="NormalWeb"/>
        <w:spacing w:before="60" w:beforeAutospacing="0" w:after="0" w:afterAutospacing="0"/>
        <w:ind w:left="567" w:right="567"/>
        <w:jc w:val="both"/>
        <w:rPr>
          <w:rFonts w:ascii="Arial" w:hAnsi="Arial" w:cs="Arial"/>
          <w:sz w:val="20"/>
          <w:szCs w:val="20"/>
        </w:rPr>
      </w:pPr>
      <w:r>
        <w:rPr>
          <w:rFonts w:ascii="Arial" w:hAnsi="Arial" w:cs="Arial"/>
          <w:sz w:val="20"/>
          <w:szCs w:val="20"/>
        </w:rPr>
        <w:t xml:space="preserve">[298] </w:t>
      </w:r>
      <w:r w:rsidR="00D34610" w:rsidRPr="00D34610">
        <w:rPr>
          <w:rFonts w:ascii="Arial" w:hAnsi="Arial" w:cs="Arial"/>
          <w:sz w:val="20"/>
          <w:szCs w:val="20"/>
        </w:rPr>
        <w:t xml:space="preserve">“The failure to intervene to protect the Plaintiff was not a policy matter for the Defendant.  The present case, unlike </w:t>
      </w:r>
      <w:r w:rsidR="00D34610" w:rsidRPr="00D34610">
        <w:rPr>
          <w:rFonts w:ascii="Arial" w:hAnsi="Arial" w:cs="Arial"/>
          <w:i/>
          <w:sz w:val="20"/>
          <w:szCs w:val="20"/>
        </w:rPr>
        <w:t>Brodie v Singleton Shire Council</w:t>
      </w:r>
      <w:r w:rsidR="00D34610" w:rsidRPr="00D34610">
        <w:rPr>
          <w:rFonts w:ascii="Arial" w:hAnsi="Arial" w:cs="Arial"/>
          <w:sz w:val="20"/>
          <w:szCs w:val="20"/>
        </w:rPr>
        <w:t xml:space="preserve"> </w:t>
      </w:r>
      <w:r w:rsidR="00D45DD9" w:rsidRPr="00D45DD9">
        <w:rPr>
          <w:rFonts w:ascii="Arial" w:hAnsi="Arial" w:cs="Arial"/>
          <w:sz w:val="20"/>
          <w:szCs w:val="20"/>
        </w:rPr>
        <w:t xml:space="preserve">(2001) 206 CLR 512 </w:t>
      </w:r>
      <w:r w:rsidR="00D34610" w:rsidRPr="00D34610">
        <w:rPr>
          <w:rFonts w:ascii="Arial" w:hAnsi="Arial" w:cs="Arial"/>
          <w:sz w:val="20"/>
          <w:szCs w:val="20"/>
        </w:rPr>
        <w:t xml:space="preserve">or </w:t>
      </w:r>
      <w:r w:rsidR="00D34610" w:rsidRPr="00D34610">
        <w:rPr>
          <w:rFonts w:ascii="Arial" w:hAnsi="Arial" w:cs="Arial"/>
          <w:i/>
          <w:sz w:val="20"/>
          <w:szCs w:val="20"/>
        </w:rPr>
        <w:t>Graham Barclay Oysters</w:t>
      </w:r>
      <w:r w:rsidR="00D45DD9">
        <w:rPr>
          <w:rFonts w:ascii="Arial" w:hAnsi="Arial" w:cs="Arial"/>
          <w:i/>
          <w:sz w:val="20"/>
          <w:szCs w:val="20"/>
        </w:rPr>
        <w:t xml:space="preserve"> v Ryan </w:t>
      </w:r>
      <w:r w:rsidR="00D45DD9" w:rsidRPr="00D45DD9">
        <w:rPr>
          <w:rFonts w:ascii="Arial" w:hAnsi="Arial" w:cs="Arial"/>
          <w:sz w:val="20"/>
          <w:szCs w:val="20"/>
        </w:rPr>
        <w:t>(2002) 211 CLR 540</w:t>
      </w:r>
      <w:r w:rsidR="00D45DD9">
        <w:rPr>
          <w:rFonts w:ascii="Arial" w:hAnsi="Arial" w:cs="Arial"/>
          <w:sz w:val="20"/>
          <w:szCs w:val="20"/>
        </w:rPr>
        <w:t xml:space="preserve">, </w:t>
      </w:r>
      <w:r w:rsidR="00D34610" w:rsidRPr="00D34610">
        <w:rPr>
          <w:rFonts w:ascii="Arial" w:hAnsi="Arial" w:cs="Arial"/>
          <w:sz w:val="20"/>
          <w:szCs w:val="20"/>
        </w:rPr>
        <w:t xml:space="preserve">does not involve an examination of the spending priorities of a statutory authority, or of the spending discretions of the Minister or the Department, even though, as </w:t>
      </w:r>
      <w:r w:rsidR="00D34610" w:rsidRPr="00D34610">
        <w:rPr>
          <w:rFonts w:ascii="Arial" w:hAnsi="Arial" w:cs="Arial"/>
          <w:i/>
          <w:sz w:val="20"/>
          <w:szCs w:val="20"/>
        </w:rPr>
        <w:t>Brodie</w:t>
      </w:r>
      <w:r w:rsidR="00D34610" w:rsidRPr="00D34610">
        <w:rPr>
          <w:rFonts w:ascii="Arial" w:hAnsi="Arial" w:cs="Arial"/>
          <w:sz w:val="20"/>
          <w:szCs w:val="20"/>
        </w:rPr>
        <w:t xml:space="preserve"> illustrates, it may be proper and necessary for a court to engage in such an examination in certain cases.  This case is not one concerning the conduct of the legislature or the executive in raising revenue or allocating resources and as such is not immune from judicial review on the ground that it is a political matter</w:t>
      </w:r>
      <w:r w:rsidR="00D45DD9">
        <w:rPr>
          <w:rFonts w:ascii="Arial" w:hAnsi="Arial" w:cs="Arial"/>
          <w:sz w:val="20"/>
          <w:szCs w:val="20"/>
        </w:rPr>
        <w:t xml:space="preserve">: </w:t>
      </w:r>
      <w:r w:rsidR="00D45DD9" w:rsidRPr="00D45DD9">
        <w:rPr>
          <w:rFonts w:ascii="Arial" w:hAnsi="Arial" w:cs="Arial"/>
          <w:sz w:val="20"/>
          <w:szCs w:val="20"/>
        </w:rPr>
        <w:t>see</w:t>
      </w:r>
      <w:r w:rsidR="00D45DD9">
        <w:rPr>
          <w:rFonts w:ascii="Arial" w:hAnsi="Arial" w:cs="Arial"/>
          <w:sz w:val="20"/>
          <w:szCs w:val="20"/>
        </w:rPr>
        <w:t xml:space="preserve"> </w:t>
      </w:r>
      <w:r w:rsidR="00D45DD9" w:rsidRPr="00D45DD9">
        <w:rPr>
          <w:rFonts w:ascii="Arial" w:hAnsi="Arial" w:cs="Arial"/>
          <w:i/>
          <w:sz w:val="20"/>
          <w:szCs w:val="20"/>
        </w:rPr>
        <w:t>Graham Barclay Oysters</w:t>
      </w:r>
      <w:r w:rsidR="00D45DD9" w:rsidRPr="00D45DD9">
        <w:rPr>
          <w:rFonts w:ascii="Arial" w:hAnsi="Arial" w:cs="Arial"/>
          <w:sz w:val="20"/>
          <w:szCs w:val="20"/>
        </w:rPr>
        <w:t xml:space="preserve"> per Gleeson CJ at 554-555 [7]-[9]</w:t>
      </w:r>
      <w:r w:rsidR="00D45DD9">
        <w:rPr>
          <w:rFonts w:ascii="Arial" w:hAnsi="Arial" w:cs="Arial"/>
          <w:sz w:val="20"/>
          <w:szCs w:val="20"/>
        </w:rPr>
        <w:t xml:space="preserve">. </w:t>
      </w:r>
      <w:r w:rsidR="00D34610" w:rsidRPr="00D34610">
        <w:rPr>
          <w:rFonts w:ascii="Arial" w:hAnsi="Arial" w:cs="Arial"/>
          <w:sz w:val="20"/>
          <w:szCs w:val="20"/>
        </w:rPr>
        <w:t>The Defendant’s decision not to exercise its powers to protect the Plaintiff is therefore justiciable.  Further, the Defendant’s failure to exercise of its powers to protect the Plaintiff was an operational matter, rather than one of policy, which was theoretically based upon expert or professional opinion and upon general standards of reasonableness.  As such, it is subject to a duty of care.</w:t>
      </w:r>
    </w:p>
    <w:p w14:paraId="0EFF5BC8" w14:textId="77777777" w:rsidR="00D34610" w:rsidRDefault="008B516B" w:rsidP="00FA1A78">
      <w:pPr>
        <w:pStyle w:val="NormalWeb"/>
        <w:spacing w:before="60" w:beforeAutospacing="0" w:after="0" w:afterAutospacing="0"/>
        <w:ind w:left="567" w:right="567"/>
        <w:jc w:val="both"/>
        <w:rPr>
          <w:rFonts w:ascii="Arial" w:hAnsi="Arial" w:cs="Arial"/>
          <w:sz w:val="20"/>
          <w:szCs w:val="20"/>
        </w:rPr>
      </w:pPr>
      <w:r>
        <w:rPr>
          <w:rFonts w:ascii="Arial" w:hAnsi="Arial" w:cs="Arial"/>
          <w:sz w:val="20"/>
          <w:szCs w:val="20"/>
        </w:rPr>
        <w:lastRenderedPageBreak/>
        <w:t xml:space="preserve">[299] </w:t>
      </w:r>
      <w:r w:rsidR="00D34610" w:rsidRPr="00D34610">
        <w:rPr>
          <w:rFonts w:ascii="Arial" w:hAnsi="Arial" w:cs="Arial"/>
          <w:sz w:val="20"/>
          <w:szCs w:val="20"/>
        </w:rPr>
        <w:t xml:space="preserve">There is no incompatibility between the existence of such a duty and the Department’s statutory responsibilities.  The duty would serve to enhance the standards observed by the Department and its officers and will further the principal objectives of the legislation.  The imposition of a duty of care on the Defendant does not cut across the legislative intent of the Act, as was the case in </w:t>
      </w:r>
      <w:r w:rsidR="00D34610" w:rsidRPr="00D34610">
        <w:rPr>
          <w:rFonts w:ascii="Arial" w:hAnsi="Arial" w:cs="Arial"/>
          <w:i/>
          <w:sz w:val="20"/>
          <w:szCs w:val="20"/>
        </w:rPr>
        <w:t>Sullivan v Moody</w:t>
      </w:r>
      <w:r w:rsidR="00D34610" w:rsidRPr="00D34610">
        <w:rPr>
          <w:rFonts w:ascii="Arial" w:hAnsi="Arial" w:cs="Arial"/>
          <w:sz w:val="20"/>
          <w:szCs w:val="20"/>
        </w:rPr>
        <w:t>.  As the name of the Act indicates, the general legislative intent of the Act is the protection of child welfare.  The duty of care toward children injured by reason of the exercise or failure to exercise powers granted under the Act may clearly co-exist with, and be consistent with, the purposes of the Act.  Recognition of a duty would serve to emphasise the primary responsibility of the Department and its officers to promote the welfare of chi</w:t>
      </w:r>
      <w:r w:rsidR="00D34610">
        <w:rPr>
          <w:rFonts w:ascii="Arial" w:hAnsi="Arial" w:cs="Arial"/>
          <w:sz w:val="20"/>
          <w:szCs w:val="20"/>
        </w:rPr>
        <w:t>ldren generally and its wards.</w:t>
      </w:r>
    </w:p>
    <w:p w14:paraId="7570B968" w14:textId="77777777" w:rsidR="00D34610" w:rsidRPr="00D34610" w:rsidRDefault="008B516B" w:rsidP="00A56DB8">
      <w:pPr>
        <w:pStyle w:val="NormalWeb"/>
        <w:spacing w:before="60" w:beforeAutospacing="0" w:after="0" w:afterAutospacing="0"/>
        <w:ind w:left="567" w:right="567"/>
        <w:jc w:val="both"/>
        <w:rPr>
          <w:rFonts w:ascii="Arial" w:hAnsi="Arial" w:cs="Arial"/>
          <w:sz w:val="20"/>
          <w:szCs w:val="20"/>
        </w:rPr>
      </w:pPr>
      <w:r>
        <w:rPr>
          <w:rFonts w:ascii="Arial" w:hAnsi="Arial" w:cs="Arial"/>
          <w:sz w:val="20"/>
          <w:szCs w:val="20"/>
        </w:rPr>
        <w:t xml:space="preserve">[300] </w:t>
      </w:r>
      <w:r w:rsidR="00D34610" w:rsidRPr="00D34610">
        <w:rPr>
          <w:rFonts w:ascii="Arial" w:hAnsi="Arial" w:cs="Arial"/>
          <w:sz w:val="20"/>
          <w:szCs w:val="20"/>
        </w:rPr>
        <w:t xml:space="preserve">There is no policy reason to protect authorities exercising statutory powers in circumstances where the child is already a ward of the authority.  </w:t>
      </w:r>
      <w:r w:rsidR="00D34610" w:rsidRPr="00D34610">
        <w:rPr>
          <w:rFonts w:ascii="Arial" w:hAnsi="Arial" w:cs="Arial"/>
          <w:i/>
          <w:sz w:val="20"/>
          <w:szCs w:val="20"/>
        </w:rPr>
        <w:t>X v Bedfordshire C</w:t>
      </w:r>
      <w:r w:rsidR="00D34610">
        <w:rPr>
          <w:rFonts w:ascii="Arial" w:hAnsi="Arial" w:cs="Arial"/>
          <w:i/>
          <w:sz w:val="20"/>
          <w:szCs w:val="20"/>
        </w:rPr>
        <w:t xml:space="preserve">ounty </w:t>
      </w:r>
      <w:r w:rsidR="00D34610" w:rsidRPr="00D34610">
        <w:rPr>
          <w:rFonts w:ascii="Arial" w:hAnsi="Arial" w:cs="Arial"/>
          <w:i/>
          <w:sz w:val="20"/>
          <w:szCs w:val="20"/>
        </w:rPr>
        <w:t>C</w:t>
      </w:r>
      <w:r w:rsidR="00D34610">
        <w:rPr>
          <w:rFonts w:ascii="Arial" w:hAnsi="Arial" w:cs="Arial"/>
          <w:i/>
          <w:sz w:val="20"/>
          <w:szCs w:val="20"/>
        </w:rPr>
        <w:t>ouncil</w:t>
      </w:r>
      <w:r w:rsidR="00D34610" w:rsidRPr="00D34610">
        <w:rPr>
          <w:rFonts w:ascii="Arial" w:hAnsi="Arial" w:cs="Arial"/>
          <w:sz w:val="20"/>
          <w:szCs w:val="20"/>
        </w:rPr>
        <w:t xml:space="preserve"> is distinguishable as being concerned with an authority that refrains from removing a child from his or her parents in the first place. </w:t>
      </w:r>
      <w:r w:rsidR="00D45DD9">
        <w:rPr>
          <w:rFonts w:ascii="Arial" w:hAnsi="Arial" w:cs="Arial"/>
          <w:sz w:val="20"/>
          <w:szCs w:val="20"/>
        </w:rPr>
        <w:t xml:space="preserve">[Contrast the facts in </w:t>
      </w:r>
      <w:r w:rsidR="00D45DD9" w:rsidRPr="00D45DD9">
        <w:rPr>
          <w:rFonts w:ascii="Arial" w:hAnsi="Arial" w:cs="Arial"/>
          <w:i/>
          <w:sz w:val="20"/>
          <w:szCs w:val="20"/>
        </w:rPr>
        <w:t xml:space="preserve">Barrett v </w:t>
      </w:r>
      <w:smartTag w:uri="urn:schemas-microsoft-com:office:smarttags" w:element="City">
        <w:r w:rsidR="00D45DD9" w:rsidRPr="00D45DD9">
          <w:rPr>
            <w:rFonts w:ascii="Arial" w:hAnsi="Arial" w:cs="Arial"/>
            <w:i/>
            <w:sz w:val="20"/>
            <w:szCs w:val="20"/>
          </w:rPr>
          <w:t>Enfield</w:t>
        </w:r>
      </w:smartTag>
      <w:r w:rsidR="00D45DD9" w:rsidRPr="00D45DD9">
        <w:rPr>
          <w:rFonts w:ascii="Arial" w:hAnsi="Arial" w:cs="Arial"/>
          <w:i/>
          <w:sz w:val="20"/>
          <w:szCs w:val="20"/>
        </w:rPr>
        <w:t xml:space="preserve"> </w:t>
      </w:r>
      <w:smartTag w:uri="urn:schemas-microsoft-com:office:smarttags" w:element="place">
        <w:smartTag w:uri="urn:schemas-microsoft-com:office:smarttags" w:element="City">
          <w:r w:rsidR="00D45DD9" w:rsidRPr="00D45DD9">
            <w:rPr>
              <w:rFonts w:ascii="Arial" w:hAnsi="Arial" w:cs="Arial"/>
              <w:i/>
              <w:sz w:val="20"/>
              <w:szCs w:val="20"/>
            </w:rPr>
            <w:t>London</w:t>
          </w:r>
        </w:smartTag>
      </w:smartTag>
      <w:r w:rsidR="00D45DD9" w:rsidRPr="00D45DD9">
        <w:rPr>
          <w:rFonts w:ascii="Arial" w:hAnsi="Arial" w:cs="Arial"/>
          <w:i/>
          <w:sz w:val="20"/>
          <w:szCs w:val="20"/>
        </w:rPr>
        <w:t xml:space="preserve"> Borough</w:t>
      </w:r>
      <w:r w:rsidR="00D45DD9" w:rsidRPr="00D45DD9">
        <w:rPr>
          <w:rFonts w:ascii="Arial" w:hAnsi="Arial" w:cs="Arial"/>
          <w:sz w:val="20"/>
          <w:szCs w:val="20"/>
        </w:rPr>
        <w:t xml:space="preserve"> [2001] 2 AC 550</w:t>
      </w:r>
      <w:r w:rsidR="00D45DD9">
        <w:rPr>
          <w:rFonts w:ascii="Arial" w:hAnsi="Arial" w:cs="Arial"/>
          <w:sz w:val="20"/>
          <w:szCs w:val="20"/>
        </w:rPr>
        <w:t>.</w:t>
      </w:r>
      <w:r w:rsidR="00D45DD9" w:rsidRPr="00D45DD9">
        <w:rPr>
          <w:rFonts w:ascii="Arial" w:hAnsi="Arial" w:cs="Arial"/>
          <w:sz w:val="20"/>
          <w:szCs w:val="20"/>
        </w:rPr>
        <w:t>]</w:t>
      </w:r>
      <w:r w:rsidR="00D34610" w:rsidRPr="00D34610">
        <w:rPr>
          <w:rFonts w:ascii="Arial" w:hAnsi="Arial" w:cs="Arial"/>
          <w:sz w:val="20"/>
          <w:szCs w:val="20"/>
        </w:rPr>
        <w:t xml:space="preserve"> The policy considerations which explain that case have been called into question.  The concept that social workers will become defensive in the making of delicate or urgent decisions should not be accepted as valid.  Even if it were so, it should not constitute a sufficient reason to deny a duty which is imposed upon other professions making equally demanding judgments.  For the reasons expressed in the recent decisions to which I have referred, a duty is not to be denied on this ground.  The existence of a concurrent common law duty, is likely to encourage the maintenance of higher standards in pursuing the paramount objective of the welfare of the child.</w:t>
      </w:r>
      <w:r w:rsidR="00D34610">
        <w:rPr>
          <w:rFonts w:ascii="Arial" w:hAnsi="Arial" w:cs="Arial"/>
          <w:sz w:val="20"/>
          <w:szCs w:val="20"/>
        </w:rPr>
        <w:t>”</w:t>
      </w:r>
    </w:p>
    <w:p w14:paraId="0085BC01" w14:textId="77777777" w:rsidR="00397BB2" w:rsidRDefault="00397BB2">
      <w:pPr>
        <w:pStyle w:val="NormalWeb"/>
        <w:spacing w:before="0" w:beforeAutospacing="0" w:after="0" w:afterAutospacing="0"/>
        <w:jc w:val="both"/>
        <w:rPr>
          <w:rFonts w:ascii="Arial" w:hAnsi="Arial" w:cs="Arial"/>
          <w:sz w:val="20"/>
          <w:szCs w:val="20"/>
        </w:rPr>
      </w:pPr>
    </w:p>
    <w:p w14:paraId="258A1129" w14:textId="77777777" w:rsidR="00A24F8C" w:rsidRDefault="00066867" w:rsidP="00A24F8C">
      <w:pPr>
        <w:pStyle w:val="Heading3"/>
        <w:keepNext/>
        <w:keepLines/>
        <w:spacing w:line="240" w:lineRule="auto"/>
        <w:rPr>
          <w:rFonts w:ascii="Arial" w:hAnsi="Arial" w:cs="Arial"/>
          <w:b/>
          <w:bCs/>
          <w:sz w:val="20"/>
        </w:rPr>
      </w:pPr>
      <w:bookmarkStart w:id="140" w:name="_4.1.3_Principles_governing"/>
      <w:bookmarkStart w:id="141" w:name="B41x3"/>
      <w:bookmarkEnd w:id="140"/>
      <w:bookmarkEnd w:id="141"/>
      <w:r>
        <w:rPr>
          <w:rFonts w:ascii="Arial" w:hAnsi="Arial" w:cs="Arial"/>
          <w:b/>
          <w:bCs/>
          <w:sz w:val="20"/>
        </w:rPr>
        <w:t>4.1.3</w:t>
      </w:r>
      <w:r>
        <w:rPr>
          <w:rFonts w:ascii="Arial" w:hAnsi="Arial" w:cs="Arial"/>
          <w:b/>
          <w:bCs/>
          <w:sz w:val="20"/>
        </w:rPr>
        <w:tab/>
      </w:r>
      <w:r w:rsidR="006D081C">
        <w:rPr>
          <w:rFonts w:ascii="Arial" w:hAnsi="Arial" w:cs="Arial"/>
          <w:b/>
          <w:bCs/>
          <w:sz w:val="20"/>
        </w:rPr>
        <w:t>Principles governing d</w:t>
      </w:r>
      <w:r>
        <w:rPr>
          <w:rFonts w:ascii="Arial" w:hAnsi="Arial" w:cs="Arial"/>
          <w:b/>
          <w:bCs/>
          <w:sz w:val="20"/>
        </w:rPr>
        <w:t xml:space="preserve">ecision-making </w:t>
      </w:r>
      <w:r w:rsidR="006D081C">
        <w:rPr>
          <w:rFonts w:ascii="Arial" w:hAnsi="Arial" w:cs="Arial"/>
          <w:b/>
          <w:bCs/>
          <w:sz w:val="20"/>
        </w:rPr>
        <w:t xml:space="preserve">by the </w:t>
      </w:r>
      <w:r>
        <w:rPr>
          <w:rFonts w:ascii="Arial" w:hAnsi="Arial" w:cs="Arial"/>
          <w:b/>
          <w:bCs/>
          <w:sz w:val="20"/>
        </w:rPr>
        <w:t>Child Protection Service</w:t>
      </w:r>
    </w:p>
    <w:p w14:paraId="3CC11E79" w14:textId="77777777" w:rsidR="006D081C" w:rsidRDefault="006D081C" w:rsidP="006D081C">
      <w:pPr>
        <w:spacing w:before="120"/>
        <w:jc w:val="both"/>
        <w:rPr>
          <w:rFonts w:ascii="Arial" w:hAnsi="Arial" w:cs="Arial"/>
          <w:sz w:val="20"/>
        </w:rPr>
      </w:pPr>
      <w:r>
        <w:rPr>
          <w:rFonts w:ascii="Arial" w:hAnsi="Arial" w:cs="Arial"/>
          <w:sz w:val="20"/>
        </w:rPr>
        <w:t xml:space="preserve">Sections 8(2) of the CYFA requires the Secretary of </w:t>
      </w:r>
      <w:r w:rsidR="00785D2D">
        <w:rPr>
          <w:rFonts w:ascii="Arial" w:hAnsi="Arial" w:cs="Arial"/>
          <w:sz w:val="20"/>
        </w:rPr>
        <w:t>DFFH</w:t>
      </w:r>
      <w:r>
        <w:rPr>
          <w:rFonts w:ascii="Arial" w:hAnsi="Arial" w:cs="Arial"/>
          <w:sz w:val="20"/>
        </w:rPr>
        <w:t xml:space="preserve">, where relevant, to have regard to the principles set out in </w:t>
      </w:r>
    </w:p>
    <w:p w14:paraId="57BADF5C" w14:textId="77777777" w:rsidR="006D081C" w:rsidRDefault="006D081C" w:rsidP="00BA6FBE">
      <w:pPr>
        <w:numPr>
          <w:ilvl w:val="0"/>
          <w:numId w:val="11"/>
        </w:numPr>
        <w:jc w:val="both"/>
        <w:rPr>
          <w:rFonts w:ascii="Arial" w:hAnsi="Arial" w:cs="Arial"/>
          <w:sz w:val="20"/>
        </w:rPr>
      </w:pPr>
      <w:r>
        <w:rPr>
          <w:rFonts w:ascii="Arial" w:hAnsi="Arial" w:cs="Arial"/>
          <w:sz w:val="20"/>
        </w:rPr>
        <w:t>s.10 – the “best interests” principle; and</w:t>
      </w:r>
    </w:p>
    <w:p w14:paraId="3717B506" w14:textId="77777777" w:rsidR="006D081C" w:rsidRDefault="006D081C" w:rsidP="00BA6FBE">
      <w:pPr>
        <w:numPr>
          <w:ilvl w:val="0"/>
          <w:numId w:val="11"/>
        </w:numPr>
        <w:jc w:val="both"/>
        <w:rPr>
          <w:rFonts w:ascii="Arial" w:hAnsi="Arial" w:cs="Arial"/>
          <w:sz w:val="20"/>
        </w:rPr>
      </w:pPr>
      <w:r>
        <w:rPr>
          <w:rFonts w:ascii="Arial" w:hAnsi="Arial" w:cs="Arial"/>
          <w:sz w:val="20"/>
        </w:rPr>
        <w:t>s.11 – additional general decision-making principles; and</w:t>
      </w:r>
    </w:p>
    <w:p w14:paraId="23887089" w14:textId="77777777" w:rsidR="006D081C" w:rsidRDefault="006D081C" w:rsidP="00BA6FBE">
      <w:pPr>
        <w:numPr>
          <w:ilvl w:val="0"/>
          <w:numId w:val="11"/>
        </w:numPr>
        <w:jc w:val="both"/>
        <w:rPr>
          <w:rFonts w:ascii="Arial" w:hAnsi="Arial" w:cs="Arial"/>
          <w:sz w:val="20"/>
        </w:rPr>
      </w:pPr>
      <w:r>
        <w:rPr>
          <w:rFonts w:ascii="Arial" w:hAnsi="Arial" w:cs="Arial"/>
          <w:sz w:val="20"/>
        </w:rPr>
        <w:t>ss.12-14 – additional decision-making principles for Aboriginal children-</w:t>
      </w:r>
    </w:p>
    <w:p w14:paraId="44520AF1" w14:textId="77777777" w:rsidR="006D081C" w:rsidRDefault="006D081C" w:rsidP="006D081C">
      <w:pPr>
        <w:jc w:val="both"/>
        <w:rPr>
          <w:rFonts w:ascii="Arial" w:hAnsi="Arial" w:cs="Arial"/>
          <w:sz w:val="20"/>
        </w:rPr>
      </w:pPr>
      <w:r>
        <w:rPr>
          <w:rFonts w:ascii="Arial" w:hAnsi="Arial" w:cs="Arial"/>
          <w:sz w:val="20"/>
        </w:rPr>
        <w:t>in making any decision or taking any action under the CYFA or in providing any service under the CYFA to children and families.  However, s.8(2) does not apply in relation to any decision or action under Chapter 5 [Children and the Criminal Law] or Chapter 7 [The Children’s Court of Victoria] in relation to any matter under Chapter 5.</w:t>
      </w:r>
    </w:p>
    <w:p w14:paraId="1A7A8ADB" w14:textId="77777777" w:rsidR="006D081C" w:rsidRDefault="006D081C" w:rsidP="006D081C">
      <w:pPr>
        <w:jc w:val="both"/>
        <w:rPr>
          <w:rFonts w:ascii="Arial" w:hAnsi="Arial" w:cs="Arial"/>
          <w:sz w:val="20"/>
        </w:rPr>
      </w:pPr>
    </w:p>
    <w:p w14:paraId="6A2DBC16" w14:textId="77777777" w:rsidR="006D081C" w:rsidRDefault="006D081C" w:rsidP="006D081C">
      <w:pPr>
        <w:jc w:val="both"/>
        <w:rPr>
          <w:rFonts w:ascii="Arial" w:hAnsi="Arial" w:cs="Arial"/>
          <w:sz w:val="20"/>
        </w:rPr>
      </w:pPr>
      <w:r>
        <w:rPr>
          <w:rFonts w:ascii="Arial" w:hAnsi="Arial" w:cs="Arial"/>
          <w:sz w:val="20"/>
        </w:rPr>
        <w:t>Section 8(3) imposes a similar obligation on a community service established under s.44 or registered under s.46 of the CYFA.</w:t>
      </w:r>
    </w:p>
    <w:p w14:paraId="77959199" w14:textId="77777777" w:rsidR="006D081C" w:rsidRDefault="006D081C" w:rsidP="006D081C">
      <w:pPr>
        <w:jc w:val="both"/>
        <w:rPr>
          <w:rFonts w:ascii="Arial" w:hAnsi="Arial" w:cs="Arial"/>
          <w:sz w:val="20"/>
        </w:rPr>
      </w:pPr>
    </w:p>
    <w:p w14:paraId="3FFF9338" w14:textId="77777777" w:rsidR="006D081C" w:rsidRDefault="006D081C" w:rsidP="006D081C">
      <w:pPr>
        <w:jc w:val="both"/>
        <w:rPr>
          <w:rFonts w:ascii="Arial" w:hAnsi="Arial" w:cs="Arial"/>
          <w:sz w:val="20"/>
        </w:rPr>
      </w:pPr>
      <w:r>
        <w:rPr>
          <w:rFonts w:ascii="Arial" w:hAnsi="Arial" w:cs="Arial"/>
          <w:sz w:val="20"/>
        </w:rPr>
        <w:t>Section 10(1) of the CYFA provides that for the purposes of the CYFA the best interests of the child must always be paramount.</w:t>
      </w:r>
    </w:p>
    <w:p w14:paraId="4ABF8FE7" w14:textId="77777777" w:rsidR="006D081C" w:rsidRDefault="006D081C" w:rsidP="006D081C">
      <w:pPr>
        <w:jc w:val="both"/>
        <w:rPr>
          <w:rFonts w:ascii="Arial" w:hAnsi="Arial" w:cs="Arial"/>
          <w:sz w:val="20"/>
        </w:rPr>
      </w:pPr>
    </w:p>
    <w:p w14:paraId="3200727A" w14:textId="77777777" w:rsidR="006D081C" w:rsidRDefault="006D081C" w:rsidP="006D081C">
      <w:pPr>
        <w:jc w:val="both"/>
        <w:rPr>
          <w:rFonts w:ascii="Arial" w:hAnsi="Arial" w:cs="Arial"/>
          <w:sz w:val="20"/>
        </w:rPr>
      </w:pPr>
      <w:r>
        <w:rPr>
          <w:rFonts w:ascii="Arial" w:hAnsi="Arial" w:cs="Arial"/>
          <w:sz w:val="20"/>
        </w:rPr>
        <w:t>Section 10(2) requires a decision-maker, in determining whether a decision or action is in the best interests of a child, to consider always the need to protect the child from harm, to protect his or her rights and to promote his or her development (taking into account his or her age and stage of development).</w:t>
      </w:r>
    </w:p>
    <w:p w14:paraId="563478D4" w14:textId="77777777" w:rsidR="006D081C" w:rsidRDefault="006D081C" w:rsidP="006D081C">
      <w:pPr>
        <w:jc w:val="both"/>
        <w:rPr>
          <w:rFonts w:ascii="Arial" w:hAnsi="Arial" w:cs="Arial"/>
          <w:sz w:val="20"/>
        </w:rPr>
      </w:pPr>
    </w:p>
    <w:p w14:paraId="360C33EF" w14:textId="77777777" w:rsidR="006D081C" w:rsidRDefault="006D081C" w:rsidP="006D081C">
      <w:pPr>
        <w:jc w:val="both"/>
        <w:rPr>
          <w:rFonts w:ascii="Arial" w:hAnsi="Arial" w:cs="Arial"/>
          <w:sz w:val="20"/>
        </w:rPr>
      </w:pPr>
      <w:r>
        <w:rPr>
          <w:rFonts w:ascii="Arial" w:hAnsi="Arial" w:cs="Arial"/>
          <w:sz w:val="20"/>
        </w:rPr>
        <w:t xml:space="preserve">Section 10(3) lists 18 other matters to which consideration must also be given, where relevant, in determining what decision to make or action to take in </w:t>
      </w:r>
      <w:r w:rsidR="00D21449">
        <w:rPr>
          <w:rFonts w:ascii="Arial" w:hAnsi="Arial" w:cs="Arial"/>
          <w:sz w:val="20"/>
        </w:rPr>
        <w:t>the best interests of a child.</w:t>
      </w:r>
    </w:p>
    <w:p w14:paraId="0D312647" w14:textId="77777777" w:rsidR="006D081C" w:rsidRPr="001A3C5B" w:rsidRDefault="006D081C">
      <w:pPr>
        <w:pStyle w:val="NormalWeb"/>
        <w:spacing w:before="0" w:beforeAutospacing="0" w:after="0" w:afterAutospacing="0"/>
        <w:jc w:val="both"/>
        <w:rPr>
          <w:rFonts w:ascii="Arial" w:hAnsi="Arial" w:cs="Arial"/>
          <w:sz w:val="18"/>
          <w:szCs w:val="18"/>
        </w:rPr>
      </w:pPr>
    </w:p>
    <w:p w14:paraId="31962C17" w14:textId="77777777" w:rsidR="006D081C" w:rsidRDefault="006D081C" w:rsidP="006D081C">
      <w:pPr>
        <w:jc w:val="both"/>
        <w:rPr>
          <w:rFonts w:ascii="Arial" w:hAnsi="Arial" w:cs="Arial"/>
          <w:b/>
          <w:bCs/>
          <w:sz w:val="20"/>
        </w:rPr>
      </w:pPr>
      <w:r>
        <w:rPr>
          <w:rFonts w:ascii="Arial" w:hAnsi="Arial" w:cs="Arial"/>
          <w:sz w:val="20"/>
        </w:rPr>
        <w:t>Sections 11 &amp; 12 of the CYFA list 12 other principles to which consideration must also be given by the Secretary or a community service – expressly not by the Court - in making a decision or taking an action in relation to a child.</w:t>
      </w:r>
    </w:p>
    <w:p w14:paraId="69262DF8" w14:textId="77777777" w:rsidR="006D081C" w:rsidRPr="001A3C5B" w:rsidRDefault="006D081C" w:rsidP="006D081C">
      <w:pPr>
        <w:rPr>
          <w:rFonts w:ascii="Arial" w:hAnsi="Arial" w:cs="Arial"/>
          <w:b/>
          <w:bCs/>
          <w:sz w:val="18"/>
          <w:szCs w:val="22"/>
        </w:rPr>
      </w:pPr>
    </w:p>
    <w:p w14:paraId="78BE6519" w14:textId="77777777" w:rsidR="006D081C" w:rsidRPr="00D96BB7" w:rsidRDefault="006D081C" w:rsidP="006D081C">
      <w:pPr>
        <w:jc w:val="both"/>
        <w:rPr>
          <w:rFonts w:ascii="Arial" w:hAnsi="Arial" w:cs="Arial"/>
          <w:bCs/>
          <w:sz w:val="20"/>
        </w:rPr>
      </w:pPr>
      <w:r w:rsidRPr="00D96BB7">
        <w:rPr>
          <w:rFonts w:ascii="Arial" w:hAnsi="Arial" w:cs="Arial"/>
          <w:bCs/>
          <w:sz w:val="20"/>
        </w:rPr>
        <w:t xml:space="preserve">Section </w:t>
      </w:r>
      <w:r>
        <w:rPr>
          <w:rFonts w:ascii="Arial" w:hAnsi="Arial" w:cs="Arial"/>
          <w:bCs/>
          <w:sz w:val="20"/>
        </w:rPr>
        <w:t>13(1) of the CYFA provides that if it is in best interests of an Aboriginal child to be placed in out of home care, in making that placement regard must be had to-</w:t>
      </w:r>
    </w:p>
    <w:p w14:paraId="3B396066" w14:textId="77777777" w:rsidR="006D081C" w:rsidRDefault="006D081C" w:rsidP="006D081C">
      <w:pPr>
        <w:tabs>
          <w:tab w:val="left" w:pos="363"/>
        </w:tabs>
        <w:jc w:val="both"/>
        <w:rPr>
          <w:rFonts w:ascii="Arial" w:hAnsi="Arial" w:cs="Arial"/>
          <w:sz w:val="20"/>
        </w:rPr>
      </w:pPr>
      <w:r w:rsidRPr="00D96BB7">
        <w:rPr>
          <w:rFonts w:ascii="Arial" w:hAnsi="Arial" w:cs="Arial"/>
          <w:sz w:val="20"/>
        </w:rPr>
        <w:t>(a</w:t>
      </w:r>
      <w:r>
        <w:rPr>
          <w:rFonts w:ascii="Arial" w:hAnsi="Arial" w:cs="Arial"/>
          <w:sz w:val="20"/>
        </w:rPr>
        <w:t>)</w:t>
      </w:r>
      <w:r>
        <w:rPr>
          <w:rFonts w:ascii="Arial" w:hAnsi="Arial" w:cs="Arial"/>
          <w:sz w:val="20"/>
        </w:rPr>
        <w:tab/>
        <w:t>the advice of the relevant Aboriginal agency; and</w:t>
      </w:r>
    </w:p>
    <w:p w14:paraId="23340DAF" w14:textId="77777777" w:rsidR="006D081C" w:rsidRDefault="006D081C" w:rsidP="006D081C">
      <w:pPr>
        <w:tabs>
          <w:tab w:val="left" w:pos="363"/>
        </w:tabs>
        <w:jc w:val="both"/>
        <w:rPr>
          <w:rFonts w:ascii="Arial" w:hAnsi="Arial" w:cs="Arial"/>
          <w:sz w:val="20"/>
        </w:rPr>
      </w:pPr>
      <w:r>
        <w:rPr>
          <w:rFonts w:ascii="Arial" w:hAnsi="Arial" w:cs="Arial"/>
          <w:sz w:val="20"/>
        </w:rPr>
        <w:t>(b)</w:t>
      </w:r>
      <w:r>
        <w:rPr>
          <w:rFonts w:ascii="Arial" w:hAnsi="Arial" w:cs="Arial"/>
          <w:sz w:val="20"/>
        </w:rPr>
        <w:tab/>
        <w:t>the criteria in s.13(2); and</w:t>
      </w:r>
    </w:p>
    <w:p w14:paraId="1EFDCA3E" w14:textId="77777777" w:rsidR="006D081C" w:rsidRDefault="006D081C" w:rsidP="006D081C">
      <w:pPr>
        <w:tabs>
          <w:tab w:val="left" w:pos="363"/>
        </w:tabs>
        <w:jc w:val="both"/>
        <w:rPr>
          <w:rFonts w:ascii="Arial" w:hAnsi="Arial" w:cs="Arial"/>
          <w:sz w:val="20"/>
        </w:rPr>
      </w:pPr>
      <w:r>
        <w:rPr>
          <w:rFonts w:ascii="Arial" w:hAnsi="Arial" w:cs="Arial"/>
          <w:sz w:val="20"/>
        </w:rPr>
        <w:t>(c)</w:t>
      </w:r>
      <w:r>
        <w:rPr>
          <w:rFonts w:ascii="Arial" w:hAnsi="Arial" w:cs="Arial"/>
          <w:sz w:val="20"/>
        </w:rPr>
        <w:tab/>
        <w:t>the principles in s.14.</w:t>
      </w:r>
    </w:p>
    <w:p w14:paraId="094473EF" w14:textId="77777777" w:rsidR="006D081C" w:rsidRPr="001A3C5B" w:rsidRDefault="006D081C" w:rsidP="006D081C">
      <w:pPr>
        <w:rPr>
          <w:rFonts w:ascii="Arial" w:hAnsi="Arial" w:cs="Arial"/>
          <w:b/>
          <w:bCs/>
          <w:sz w:val="18"/>
          <w:szCs w:val="22"/>
        </w:rPr>
      </w:pPr>
    </w:p>
    <w:p w14:paraId="22204F46" w14:textId="7976A1A3" w:rsidR="007A7B63" w:rsidRDefault="006D081C">
      <w:pPr>
        <w:pStyle w:val="NormalWeb"/>
        <w:spacing w:before="0" w:beforeAutospacing="0" w:after="0" w:afterAutospacing="0"/>
        <w:jc w:val="both"/>
        <w:rPr>
          <w:rFonts w:ascii="Arial" w:hAnsi="Arial" w:cs="Arial"/>
          <w:sz w:val="20"/>
          <w:szCs w:val="20"/>
        </w:rPr>
      </w:pPr>
      <w:r>
        <w:rPr>
          <w:rFonts w:ascii="Arial" w:hAnsi="Arial" w:cs="Arial"/>
          <w:sz w:val="20"/>
          <w:szCs w:val="20"/>
        </w:rPr>
        <w:lastRenderedPageBreak/>
        <w:t>All of these principles are discussed in much greater d</w:t>
      </w:r>
      <w:r w:rsidR="00B05EC7">
        <w:rPr>
          <w:rFonts w:ascii="Arial" w:hAnsi="Arial" w:cs="Arial"/>
          <w:sz w:val="20"/>
          <w:szCs w:val="20"/>
        </w:rPr>
        <w:t xml:space="preserve">etail in these materials in </w:t>
      </w:r>
      <w:r w:rsidR="008E4A97">
        <w:rPr>
          <w:rFonts w:ascii="Arial" w:hAnsi="Arial" w:cs="Arial"/>
          <w:b/>
          <w:bCs/>
          <w:sz w:val="20"/>
          <w:szCs w:val="20"/>
          <w:shd w:val="clear" w:color="auto" w:fill="C5E0B3"/>
        </w:rPr>
        <w:t>P</w:t>
      </w:r>
      <w:r w:rsidR="005A4756" w:rsidRPr="00A40A28">
        <w:rPr>
          <w:rFonts w:ascii="Arial" w:hAnsi="Arial" w:cs="Arial"/>
          <w:b/>
          <w:bCs/>
          <w:sz w:val="20"/>
          <w:szCs w:val="20"/>
          <w:shd w:val="clear" w:color="auto" w:fill="C5E0B3"/>
        </w:rPr>
        <w:t>art</w:t>
      </w:r>
      <w:r w:rsidRPr="00A40A28">
        <w:rPr>
          <w:rFonts w:ascii="Arial" w:hAnsi="Arial" w:cs="Arial"/>
          <w:b/>
          <w:bCs/>
          <w:sz w:val="20"/>
          <w:szCs w:val="20"/>
          <w:shd w:val="clear" w:color="auto" w:fill="C5E0B3"/>
        </w:rPr>
        <w:t xml:space="preserve"> </w:t>
      </w:r>
      <w:r w:rsidR="00B05EC7" w:rsidRPr="00A40A28">
        <w:rPr>
          <w:rFonts w:ascii="Arial" w:hAnsi="Arial" w:cs="Arial"/>
          <w:b/>
          <w:bCs/>
          <w:sz w:val="20"/>
          <w:szCs w:val="20"/>
          <w:shd w:val="clear" w:color="auto" w:fill="C5E0B3"/>
        </w:rPr>
        <w:t>5.10</w:t>
      </w:r>
      <w:r w:rsidR="00B05EC7">
        <w:rPr>
          <w:rFonts w:ascii="Arial" w:hAnsi="Arial" w:cs="Arial"/>
          <w:sz w:val="20"/>
          <w:szCs w:val="20"/>
        </w:rPr>
        <w:t xml:space="preserve"> </w:t>
      </w:r>
      <w:r>
        <w:rPr>
          <w:rFonts w:ascii="Arial" w:hAnsi="Arial" w:cs="Arial"/>
          <w:sz w:val="20"/>
          <w:szCs w:val="20"/>
        </w:rPr>
        <w:t xml:space="preserve">entitled “Decision-making Principles for </w:t>
      </w:r>
      <w:r w:rsidR="00B05EC7">
        <w:rPr>
          <w:rFonts w:ascii="Arial" w:hAnsi="Arial" w:cs="Arial"/>
          <w:sz w:val="20"/>
          <w:szCs w:val="20"/>
        </w:rPr>
        <w:t xml:space="preserve">Family Division matters” in </w:t>
      </w:r>
      <w:r w:rsidR="008E4A97">
        <w:rPr>
          <w:rFonts w:ascii="Arial" w:hAnsi="Arial" w:cs="Arial"/>
          <w:b/>
          <w:bCs/>
          <w:sz w:val="20"/>
          <w:szCs w:val="20"/>
          <w:shd w:val="clear" w:color="auto" w:fill="C5E0B3"/>
        </w:rPr>
        <w:t>C</w:t>
      </w:r>
      <w:r w:rsidRPr="00A40A28">
        <w:rPr>
          <w:rFonts w:ascii="Arial" w:hAnsi="Arial" w:cs="Arial"/>
          <w:b/>
          <w:bCs/>
          <w:sz w:val="20"/>
          <w:szCs w:val="20"/>
          <w:shd w:val="clear" w:color="auto" w:fill="C5E0B3"/>
        </w:rPr>
        <w:t xml:space="preserve">hapter </w:t>
      </w:r>
      <w:r w:rsidR="00B05EC7" w:rsidRPr="00A40A28">
        <w:rPr>
          <w:rFonts w:ascii="Arial" w:hAnsi="Arial" w:cs="Arial"/>
          <w:b/>
          <w:bCs/>
          <w:sz w:val="20"/>
          <w:szCs w:val="20"/>
          <w:shd w:val="clear" w:color="auto" w:fill="C5E0B3"/>
        </w:rPr>
        <w:t>5</w:t>
      </w:r>
      <w:r w:rsidR="00B05EC7">
        <w:rPr>
          <w:rFonts w:ascii="Arial" w:hAnsi="Arial" w:cs="Arial"/>
          <w:sz w:val="20"/>
          <w:szCs w:val="20"/>
        </w:rPr>
        <w:t>:</w:t>
      </w:r>
      <w:r>
        <w:rPr>
          <w:rFonts w:ascii="Arial" w:hAnsi="Arial" w:cs="Arial"/>
          <w:sz w:val="20"/>
          <w:szCs w:val="20"/>
        </w:rPr>
        <w:t xml:space="preserve"> “Family Division – Child Protection”.</w:t>
      </w:r>
    </w:p>
    <w:p w14:paraId="4C8DF3CA" w14:textId="77777777" w:rsidR="00066867" w:rsidRPr="009371CA" w:rsidRDefault="00066867">
      <w:pPr>
        <w:pStyle w:val="NormalWeb"/>
        <w:spacing w:before="0" w:beforeAutospacing="0" w:after="0" w:afterAutospacing="0"/>
        <w:jc w:val="both"/>
        <w:rPr>
          <w:rFonts w:ascii="Arial" w:hAnsi="Arial" w:cs="Arial"/>
          <w:sz w:val="18"/>
          <w:szCs w:val="18"/>
        </w:rPr>
      </w:pPr>
    </w:p>
    <w:p w14:paraId="7CCE7188" w14:textId="77777777" w:rsidR="00693223" w:rsidRDefault="00693223">
      <w:pPr>
        <w:pStyle w:val="Heading3"/>
        <w:keepNext/>
        <w:keepLines/>
        <w:spacing w:line="240" w:lineRule="auto"/>
        <w:rPr>
          <w:rFonts w:ascii="Arial" w:hAnsi="Arial" w:cs="Arial"/>
          <w:b/>
          <w:bCs/>
          <w:sz w:val="20"/>
        </w:rPr>
      </w:pPr>
      <w:bookmarkStart w:id="142" w:name="_4.1.4_Voluntary_intervention"/>
      <w:bookmarkStart w:id="143" w:name="B41x4"/>
      <w:bookmarkStart w:id="144" w:name="_Toc30644236"/>
      <w:bookmarkStart w:id="145" w:name="_Toc30644639"/>
      <w:bookmarkStart w:id="146" w:name="_Toc30645189"/>
      <w:bookmarkStart w:id="147" w:name="_Toc30646400"/>
      <w:bookmarkStart w:id="148" w:name="_Toc30646695"/>
      <w:bookmarkStart w:id="149" w:name="_Toc30646806"/>
      <w:bookmarkStart w:id="150" w:name="_Toc30648163"/>
      <w:bookmarkStart w:id="151" w:name="_Toc30649061"/>
      <w:bookmarkStart w:id="152" w:name="_Toc30649137"/>
      <w:bookmarkStart w:id="153" w:name="_Toc30649398"/>
      <w:bookmarkStart w:id="154" w:name="_Toc30649723"/>
      <w:bookmarkStart w:id="155" w:name="_Toc30651663"/>
      <w:bookmarkStart w:id="156" w:name="_Toc30652653"/>
      <w:bookmarkStart w:id="157" w:name="_Toc30652749"/>
      <w:bookmarkStart w:id="158" w:name="_Toc30654094"/>
      <w:bookmarkStart w:id="159" w:name="_Toc30654445"/>
      <w:bookmarkStart w:id="160" w:name="_Toc30655064"/>
      <w:bookmarkStart w:id="161" w:name="_Toc30655321"/>
      <w:bookmarkStart w:id="162" w:name="_Toc30656999"/>
      <w:bookmarkStart w:id="163" w:name="_Toc30661748"/>
      <w:bookmarkStart w:id="164" w:name="_Toc30666436"/>
      <w:bookmarkStart w:id="165" w:name="_Toc30666666"/>
      <w:bookmarkStart w:id="166" w:name="_Toc30667841"/>
      <w:bookmarkStart w:id="167" w:name="_Toc30669219"/>
      <w:bookmarkStart w:id="168" w:name="_Toc30671435"/>
      <w:bookmarkStart w:id="169" w:name="_Toc30673962"/>
      <w:bookmarkStart w:id="170" w:name="_Toc30691184"/>
      <w:bookmarkStart w:id="171" w:name="_Toc30691557"/>
      <w:bookmarkStart w:id="172" w:name="_Toc30691937"/>
      <w:bookmarkStart w:id="173" w:name="_Toc30692696"/>
      <w:bookmarkStart w:id="174" w:name="_Toc30693075"/>
      <w:bookmarkStart w:id="175" w:name="_Toc30693453"/>
      <w:bookmarkStart w:id="176" w:name="_Toc30693831"/>
      <w:bookmarkStart w:id="177" w:name="_Toc30694212"/>
      <w:bookmarkStart w:id="178" w:name="_Toc30698801"/>
      <w:bookmarkStart w:id="179" w:name="_Toc30699179"/>
      <w:bookmarkStart w:id="180" w:name="_Toc30699564"/>
      <w:bookmarkStart w:id="181" w:name="_Toc30700719"/>
      <w:bookmarkStart w:id="182" w:name="_Toc30701106"/>
      <w:bookmarkStart w:id="183" w:name="_Toc30743715"/>
      <w:bookmarkStart w:id="184" w:name="_Toc30754538"/>
      <w:bookmarkStart w:id="185" w:name="_Toc30756978"/>
      <w:bookmarkStart w:id="186" w:name="_Toc30757527"/>
      <w:bookmarkStart w:id="187" w:name="_Toc30757927"/>
      <w:bookmarkStart w:id="188" w:name="_Toc30762688"/>
      <w:bookmarkStart w:id="189" w:name="_Toc30767342"/>
      <w:bookmarkStart w:id="190" w:name="_Toc34823358"/>
      <w:bookmarkEnd w:id="142"/>
      <w:bookmarkEnd w:id="143"/>
      <w:r>
        <w:rPr>
          <w:rFonts w:ascii="Arial" w:hAnsi="Arial" w:cs="Arial"/>
          <w:b/>
          <w:bCs/>
          <w:sz w:val="20"/>
        </w:rPr>
        <w:t>4.1.</w:t>
      </w:r>
      <w:r w:rsidR="00066867">
        <w:rPr>
          <w:rFonts w:ascii="Arial" w:hAnsi="Arial" w:cs="Arial"/>
          <w:b/>
          <w:bCs/>
          <w:sz w:val="20"/>
        </w:rPr>
        <w:t>4</w:t>
      </w:r>
      <w:r>
        <w:rPr>
          <w:rFonts w:ascii="Arial" w:hAnsi="Arial" w:cs="Arial"/>
          <w:b/>
          <w:bCs/>
          <w:sz w:val="20"/>
        </w:rPr>
        <w:tab/>
        <w:t>Voluntary intervention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16E676DA" w14:textId="77777777" w:rsidR="00693223" w:rsidRPr="009371CA" w:rsidRDefault="00693223">
      <w:pPr>
        <w:pStyle w:val="Heading3"/>
        <w:keepNext/>
        <w:keepLines/>
        <w:spacing w:line="240" w:lineRule="auto"/>
        <w:rPr>
          <w:rFonts w:ascii="Arial" w:hAnsi="Arial" w:cs="Arial"/>
          <w:b/>
          <w:bCs/>
          <w:sz w:val="18"/>
          <w:szCs w:val="18"/>
        </w:rPr>
      </w:pPr>
    </w:p>
    <w:p w14:paraId="226A5A32" w14:textId="77777777" w:rsidR="00693223" w:rsidRDefault="00693223" w:rsidP="006D5863">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Frequently the Department will intervene with the consent of all family members and work voluntarily with the family to provide appropriate protection for a child.  In 1997-98 the Department substantiated 7,412 </w:t>
      </w:r>
      <w:r w:rsidR="006D5863">
        <w:rPr>
          <w:rFonts w:ascii="Arial" w:hAnsi="Arial" w:cs="Arial"/>
          <w:sz w:val="20"/>
          <w:szCs w:val="20"/>
        </w:rPr>
        <w:t>report</w:t>
      </w:r>
      <w:r>
        <w:rPr>
          <w:rFonts w:ascii="Arial" w:hAnsi="Arial" w:cs="Arial"/>
          <w:sz w:val="20"/>
          <w:szCs w:val="20"/>
        </w:rPr>
        <w:t xml:space="preserve">s but issued only 2,135 protection applications.  </w:t>
      </w:r>
      <w:r w:rsidR="006D5863">
        <w:rPr>
          <w:rFonts w:ascii="Arial" w:hAnsi="Arial" w:cs="Arial"/>
          <w:sz w:val="20"/>
          <w:szCs w:val="20"/>
        </w:rPr>
        <w:t xml:space="preserve">In </w:t>
      </w:r>
      <w:r w:rsidR="006D5863" w:rsidRPr="00B310F4">
        <w:rPr>
          <w:rFonts w:ascii="Arial" w:hAnsi="Arial" w:cs="Arial"/>
          <w:sz w:val="20"/>
          <w:szCs w:val="20"/>
        </w:rPr>
        <w:t xml:space="preserve">2006-07 </w:t>
      </w:r>
      <w:r w:rsidR="00231CCE" w:rsidRPr="00B310F4">
        <w:rPr>
          <w:rFonts w:ascii="Arial" w:hAnsi="Arial" w:cs="Arial"/>
          <w:sz w:val="20"/>
          <w:szCs w:val="20"/>
        </w:rPr>
        <w:t xml:space="preserve">it issued </w:t>
      </w:r>
      <w:r w:rsidR="006D5863" w:rsidRPr="00B310F4">
        <w:rPr>
          <w:rFonts w:ascii="Arial" w:hAnsi="Arial" w:cs="Arial"/>
          <w:sz w:val="20"/>
          <w:szCs w:val="20"/>
        </w:rPr>
        <w:t xml:space="preserve">a greater proportion of protection applications: </w:t>
      </w:r>
      <w:r w:rsidR="00231CCE" w:rsidRPr="00B310F4">
        <w:rPr>
          <w:rFonts w:ascii="Arial" w:hAnsi="Arial" w:cs="Arial"/>
          <w:sz w:val="20"/>
          <w:szCs w:val="20"/>
        </w:rPr>
        <w:t xml:space="preserve">3,077 out of 6,828 substantiations.  </w:t>
      </w:r>
      <w:r w:rsidR="00120B81" w:rsidRPr="00B310F4">
        <w:rPr>
          <w:rFonts w:ascii="Arial" w:hAnsi="Arial" w:cs="Arial"/>
          <w:sz w:val="20"/>
          <w:szCs w:val="20"/>
        </w:rPr>
        <w:t>The proportion fell slightly in</w:t>
      </w:r>
      <w:r w:rsidR="00B05EC7" w:rsidRPr="00B310F4">
        <w:rPr>
          <w:rFonts w:ascii="Arial" w:hAnsi="Arial" w:cs="Arial"/>
          <w:sz w:val="20"/>
          <w:szCs w:val="20"/>
        </w:rPr>
        <w:t xml:space="preserve"> 201</w:t>
      </w:r>
      <w:r w:rsidR="00377430">
        <w:rPr>
          <w:rFonts w:ascii="Arial" w:hAnsi="Arial" w:cs="Arial"/>
          <w:sz w:val="20"/>
          <w:szCs w:val="20"/>
        </w:rPr>
        <w:t>1</w:t>
      </w:r>
      <w:r w:rsidR="00B05EC7" w:rsidRPr="00B310F4">
        <w:rPr>
          <w:rFonts w:ascii="Arial" w:hAnsi="Arial" w:cs="Arial"/>
          <w:sz w:val="20"/>
          <w:szCs w:val="20"/>
        </w:rPr>
        <w:t>-1</w:t>
      </w:r>
      <w:r w:rsidR="00377430">
        <w:rPr>
          <w:rFonts w:ascii="Arial" w:hAnsi="Arial" w:cs="Arial"/>
          <w:sz w:val="20"/>
          <w:szCs w:val="20"/>
        </w:rPr>
        <w:t>2</w:t>
      </w:r>
      <w:r w:rsidR="00B05EC7" w:rsidRPr="00B310F4">
        <w:rPr>
          <w:rFonts w:ascii="Arial" w:hAnsi="Arial" w:cs="Arial"/>
          <w:sz w:val="20"/>
          <w:szCs w:val="20"/>
        </w:rPr>
        <w:t xml:space="preserve"> </w:t>
      </w:r>
      <w:r w:rsidR="00120B81" w:rsidRPr="00B310F4">
        <w:rPr>
          <w:rFonts w:ascii="Arial" w:hAnsi="Arial" w:cs="Arial"/>
          <w:sz w:val="20"/>
          <w:szCs w:val="20"/>
        </w:rPr>
        <w:t xml:space="preserve">when </w:t>
      </w:r>
      <w:r w:rsidR="00B05EC7" w:rsidRPr="00B310F4">
        <w:rPr>
          <w:rFonts w:ascii="Arial" w:hAnsi="Arial" w:cs="Arial"/>
          <w:sz w:val="20"/>
          <w:szCs w:val="20"/>
        </w:rPr>
        <w:t xml:space="preserve">it issued </w:t>
      </w:r>
      <w:r w:rsidR="00217229" w:rsidRPr="00B310F4">
        <w:rPr>
          <w:rFonts w:ascii="Arial" w:hAnsi="Arial" w:cs="Arial"/>
          <w:sz w:val="20"/>
          <w:szCs w:val="20"/>
        </w:rPr>
        <w:t>3,</w:t>
      </w:r>
      <w:r w:rsidR="00377430">
        <w:rPr>
          <w:rFonts w:ascii="Arial" w:hAnsi="Arial" w:cs="Arial"/>
          <w:sz w:val="20"/>
          <w:szCs w:val="20"/>
        </w:rPr>
        <w:t>920</w:t>
      </w:r>
      <w:r w:rsidR="00B05EC7" w:rsidRPr="00B310F4">
        <w:rPr>
          <w:rFonts w:ascii="Arial" w:hAnsi="Arial" w:cs="Arial"/>
          <w:sz w:val="20"/>
          <w:szCs w:val="20"/>
        </w:rPr>
        <w:t xml:space="preserve"> </w:t>
      </w:r>
      <w:r w:rsidR="00217229" w:rsidRPr="00B310F4">
        <w:rPr>
          <w:rFonts w:ascii="Arial" w:hAnsi="Arial" w:cs="Arial"/>
          <w:sz w:val="20"/>
          <w:szCs w:val="20"/>
        </w:rPr>
        <w:t xml:space="preserve">protection applications </w:t>
      </w:r>
      <w:r w:rsidR="00B05EC7" w:rsidRPr="00B310F4">
        <w:rPr>
          <w:rFonts w:ascii="Arial" w:hAnsi="Arial" w:cs="Arial"/>
          <w:sz w:val="20"/>
          <w:szCs w:val="20"/>
        </w:rPr>
        <w:t xml:space="preserve">out of </w:t>
      </w:r>
      <w:r w:rsidR="00217229" w:rsidRPr="00B310F4">
        <w:rPr>
          <w:rFonts w:ascii="Arial" w:hAnsi="Arial" w:cs="Arial"/>
          <w:sz w:val="20"/>
          <w:szCs w:val="20"/>
        </w:rPr>
        <w:t>9,075</w:t>
      </w:r>
      <w:r w:rsidR="00B05EC7" w:rsidRPr="00B310F4">
        <w:rPr>
          <w:rFonts w:ascii="Arial" w:hAnsi="Arial" w:cs="Arial"/>
          <w:sz w:val="20"/>
          <w:szCs w:val="20"/>
        </w:rPr>
        <w:t xml:space="preserve"> substantiations</w:t>
      </w:r>
      <w:r w:rsidR="00787E9B">
        <w:rPr>
          <w:rFonts w:ascii="Arial" w:hAnsi="Arial" w:cs="Arial"/>
          <w:sz w:val="20"/>
          <w:szCs w:val="20"/>
        </w:rPr>
        <w:t xml:space="preserve"> and fell again in 2012-13 when it issued 3,804 protection applications out of 10</w:t>
      </w:r>
      <w:r w:rsidR="00D533E2">
        <w:rPr>
          <w:rFonts w:ascii="Arial" w:hAnsi="Arial" w:cs="Arial"/>
          <w:sz w:val="20"/>
          <w:szCs w:val="20"/>
        </w:rPr>
        <w:t>,</w:t>
      </w:r>
      <w:r w:rsidR="00787E9B">
        <w:rPr>
          <w:rFonts w:ascii="Arial" w:hAnsi="Arial" w:cs="Arial"/>
          <w:sz w:val="20"/>
          <w:szCs w:val="20"/>
        </w:rPr>
        <w:t>489</w:t>
      </w:r>
      <w:r w:rsidR="00D533E2">
        <w:rPr>
          <w:rFonts w:ascii="Arial" w:hAnsi="Arial" w:cs="Arial"/>
          <w:sz w:val="20"/>
          <w:szCs w:val="20"/>
        </w:rPr>
        <w:t xml:space="preserve"> substantiations</w:t>
      </w:r>
      <w:r w:rsidR="00E30DD8">
        <w:rPr>
          <w:rFonts w:ascii="Arial" w:hAnsi="Arial" w:cs="Arial"/>
          <w:sz w:val="20"/>
          <w:szCs w:val="20"/>
        </w:rPr>
        <w:t xml:space="preserve"> but increased in 2013-2014</w:t>
      </w:r>
      <w:r w:rsidR="00D533E2">
        <w:rPr>
          <w:rFonts w:ascii="Arial" w:hAnsi="Arial" w:cs="Arial"/>
          <w:sz w:val="20"/>
          <w:szCs w:val="20"/>
        </w:rPr>
        <w:t xml:space="preserve">.  </w:t>
      </w:r>
      <w:r w:rsidRPr="00B310F4">
        <w:rPr>
          <w:rFonts w:ascii="Arial" w:hAnsi="Arial" w:cs="Arial"/>
          <w:sz w:val="20"/>
          <w:szCs w:val="20"/>
        </w:rPr>
        <w:t xml:space="preserve">One can infer that </w:t>
      </w:r>
      <w:r w:rsidR="00231CCE" w:rsidRPr="00B310F4">
        <w:rPr>
          <w:rFonts w:ascii="Arial" w:hAnsi="Arial" w:cs="Arial"/>
          <w:sz w:val="20"/>
          <w:szCs w:val="20"/>
        </w:rPr>
        <w:t>it</w:t>
      </w:r>
      <w:r w:rsidRPr="00B310F4">
        <w:rPr>
          <w:rFonts w:ascii="Arial" w:hAnsi="Arial" w:cs="Arial"/>
          <w:sz w:val="20"/>
          <w:szCs w:val="20"/>
        </w:rPr>
        <w:t xml:space="preserve"> dealt </w:t>
      </w:r>
      <w:r w:rsidR="001152F2" w:rsidRPr="00B310F4">
        <w:rPr>
          <w:rFonts w:ascii="Arial" w:hAnsi="Arial" w:cs="Arial"/>
          <w:sz w:val="20"/>
          <w:szCs w:val="20"/>
        </w:rPr>
        <w:t xml:space="preserve">on a voluntary basis </w:t>
      </w:r>
      <w:r w:rsidRPr="00B310F4">
        <w:rPr>
          <w:rFonts w:ascii="Arial" w:hAnsi="Arial" w:cs="Arial"/>
          <w:sz w:val="20"/>
          <w:szCs w:val="20"/>
        </w:rPr>
        <w:t>with</w:t>
      </w:r>
      <w:r>
        <w:rPr>
          <w:rFonts w:ascii="Arial" w:hAnsi="Arial" w:cs="Arial"/>
          <w:sz w:val="20"/>
          <w:szCs w:val="20"/>
        </w:rPr>
        <w:t xml:space="preserve"> </w:t>
      </w:r>
      <w:r w:rsidR="00F4004D">
        <w:rPr>
          <w:rFonts w:ascii="Arial" w:hAnsi="Arial" w:cs="Arial"/>
          <w:sz w:val="20"/>
          <w:szCs w:val="20"/>
        </w:rPr>
        <w:t xml:space="preserve">at least some of </w:t>
      </w:r>
      <w:r>
        <w:rPr>
          <w:rFonts w:ascii="Arial" w:hAnsi="Arial" w:cs="Arial"/>
          <w:sz w:val="20"/>
          <w:szCs w:val="20"/>
        </w:rPr>
        <w:t>th</w:t>
      </w:r>
      <w:r w:rsidR="001152F2">
        <w:rPr>
          <w:rFonts w:ascii="Arial" w:hAnsi="Arial" w:cs="Arial"/>
          <w:sz w:val="20"/>
          <w:szCs w:val="20"/>
        </w:rPr>
        <w:t>ose substantiations which were not breaches of existing orders.</w:t>
      </w:r>
    </w:p>
    <w:p w14:paraId="6512F133" w14:textId="77777777" w:rsidR="00787E9B" w:rsidRPr="009371CA" w:rsidRDefault="00787E9B">
      <w:pPr>
        <w:pStyle w:val="NormalWeb"/>
        <w:spacing w:before="0" w:beforeAutospacing="0" w:after="0" w:afterAutospacing="0"/>
        <w:jc w:val="both"/>
        <w:rPr>
          <w:rFonts w:ascii="Arial" w:hAnsi="Arial" w:cs="Arial"/>
          <w:sz w:val="18"/>
          <w:szCs w:val="18"/>
        </w:rPr>
      </w:pPr>
    </w:p>
    <w:p w14:paraId="22BC24D8" w14:textId="77777777" w:rsidR="00693223" w:rsidRDefault="00066867" w:rsidP="007A44A4">
      <w:pPr>
        <w:pStyle w:val="Heading3"/>
        <w:keepNext/>
        <w:keepLines/>
        <w:widowControl/>
        <w:spacing w:line="240" w:lineRule="auto"/>
        <w:rPr>
          <w:rFonts w:ascii="Arial" w:hAnsi="Arial" w:cs="Arial"/>
          <w:b/>
          <w:bCs/>
          <w:sz w:val="20"/>
        </w:rPr>
      </w:pPr>
      <w:bookmarkStart w:id="191" w:name="_4.1.5_Statutory_intervention"/>
      <w:bookmarkStart w:id="192" w:name="B41x5"/>
      <w:bookmarkStart w:id="193" w:name="_Toc30644237"/>
      <w:bookmarkStart w:id="194" w:name="_Toc30644640"/>
      <w:bookmarkStart w:id="195" w:name="_Toc30645190"/>
      <w:bookmarkStart w:id="196" w:name="_Toc30646401"/>
      <w:bookmarkStart w:id="197" w:name="_Toc30646696"/>
      <w:bookmarkStart w:id="198" w:name="_Toc30646807"/>
      <w:bookmarkStart w:id="199" w:name="_Toc30648164"/>
      <w:bookmarkStart w:id="200" w:name="_Toc30649062"/>
      <w:bookmarkStart w:id="201" w:name="_Toc30649138"/>
      <w:bookmarkStart w:id="202" w:name="_Toc30649399"/>
      <w:bookmarkStart w:id="203" w:name="_Toc30649724"/>
      <w:bookmarkStart w:id="204" w:name="_Toc30651664"/>
      <w:bookmarkStart w:id="205" w:name="_Toc30652654"/>
      <w:bookmarkStart w:id="206" w:name="_Toc30652750"/>
      <w:bookmarkStart w:id="207" w:name="_Toc30654095"/>
      <w:bookmarkStart w:id="208" w:name="_Toc30654446"/>
      <w:bookmarkStart w:id="209" w:name="_Toc30655065"/>
      <w:bookmarkStart w:id="210" w:name="_Toc30655322"/>
      <w:bookmarkStart w:id="211" w:name="_Toc30657000"/>
      <w:bookmarkStart w:id="212" w:name="_Toc30661749"/>
      <w:bookmarkStart w:id="213" w:name="_Toc30666437"/>
      <w:bookmarkStart w:id="214" w:name="_Toc30666667"/>
      <w:bookmarkStart w:id="215" w:name="_Toc30667842"/>
      <w:bookmarkStart w:id="216" w:name="_Toc30669220"/>
      <w:bookmarkStart w:id="217" w:name="_Toc30671436"/>
      <w:bookmarkStart w:id="218" w:name="_Toc30673963"/>
      <w:bookmarkStart w:id="219" w:name="_Toc30691185"/>
      <w:bookmarkStart w:id="220" w:name="_Toc30691558"/>
      <w:bookmarkStart w:id="221" w:name="_Toc30691938"/>
      <w:bookmarkStart w:id="222" w:name="_Toc30692697"/>
      <w:bookmarkStart w:id="223" w:name="_Toc30693076"/>
      <w:bookmarkStart w:id="224" w:name="_Toc30693454"/>
      <w:bookmarkStart w:id="225" w:name="_Toc30693832"/>
      <w:bookmarkStart w:id="226" w:name="_Toc30694213"/>
      <w:bookmarkStart w:id="227" w:name="_Toc30698802"/>
      <w:bookmarkStart w:id="228" w:name="_Toc30699180"/>
      <w:bookmarkStart w:id="229" w:name="_Toc30699565"/>
      <w:bookmarkStart w:id="230" w:name="_Toc30700720"/>
      <w:bookmarkStart w:id="231" w:name="_Toc30701107"/>
      <w:bookmarkStart w:id="232" w:name="_Toc30743716"/>
      <w:bookmarkStart w:id="233" w:name="_Toc30754539"/>
      <w:bookmarkStart w:id="234" w:name="_Toc30756979"/>
      <w:bookmarkStart w:id="235" w:name="_Toc30757528"/>
      <w:bookmarkStart w:id="236" w:name="_Toc30757928"/>
      <w:bookmarkStart w:id="237" w:name="_Toc30762689"/>
      <w:bookmarkStart w:id="238" w:name="_Toc30767343"/>
      <w:bookmarkStart w:id="239" w:name="_Toc34823359"/>
      <w:bookmarkEnd w:id="191"/>
      <w:bookmarkEnd w:id="192"/>
      <w:r>
        <w:rPr>
          <w:rFonts w:ascii="Arial" w:hAnsi="Arial" w:cs="Arial"/>
          <w:b/>
          <w:bCs/>
          <w:sz w:val="20"/>
        </w:rPr>
        <w:t>4.1.5</w:t>
      </w:r>
      <w:r w:rsidR="00693223">
        <w:rPr>
          <w:rFonts w:ascii="Arial" w:hAnsi="Arial" w:cs="Arial"/>
          <w:b/>
          <w:bCs/>
          <w:sz w:val="20"/>
        </w:rPr>
        <w:tab/>
        <w:t>Statutory intervention</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6DE3ADA" w14:textId="77777777" w:rsidR="00693223" w:rsidRDefault="00693223" w:rsidP="007A44A4">
      <w:pPr>
        <w:pStyle w:val="Heading3"/>
        <w:keepNext/>
        <w:keepLines/>
        <w:widowControl/>
        <w:spacing w:line="240" w:lineRule="auto"/>
        <w:rPr>
          <w:rFonts w:ascii="Arial" w:hAnsi="Arial" w:cs="Arial"/>
          <w:b/>
          <w:bCs/>
          <w:sz w:val="20"/>
        </w:rPr>
      </w:pPr>
    </w:p>
    <w:p w14:paraId="36848281" w14:textId="77777777" w:rsidR="00693223" w:rsidRDefault="00693223" w:rsidP="007A44A4">
      <w:pPr>
        <w:keepNext/>
        <w:keepLines/>
        <w:jc w:val="both"/>
        <w:rPr>
          <w:rFonts w:ascii="Arial" w:hAnsi="Arial" w:cs="Arial"/>
          <w:sz w:val="20"/>
        </w:rPr>
      </w:pPr>
      <w:r>
        <w:rPr>
          <w:rFonts w:ascii="Arial" w:hAnsi="Arial" w:cs="Arial"/>
          <w:sz w:val="20"/>
        </w:rPr>
        <w:t xml:space="preserve">However, in </w:t>
      </w:r>
      <w:r w:rsidR="000D35D1">
        <w:rPr>
          <w:rFonts w:ascii="Arial" w:hAnsi="Arial" w:cs="Arial"/>
          <w:sz w:val="20"/>
        </w:rPr>
        <w:t>the</w:t>
      </w:r>
      <w:r>
        <w:rPr>
          <w:rFonts w:ascii="Arial" w:hAnsi="Arial" w:cs="Arial"/>
          <w:sz w:val="20"/>
        </w:rPr>
        <w:t xml:space="preserve"> smaller proportion of cases in which the risk to the child is regarded as serious and/or chronic, the Department will intervene by exercising its statutory powers under the </w:t>
      </w:r>
      <w:r>
        <w:rPr>
          <w:rFonts w:ascii="Arial" w:hAnsi="Arial" w:cs="Arial"/>
          <w:color w:val="000000"/>
          <w:sz w:val="20"/>
        </w:rPr>
        <w:t>CY</w:t>
      </w:r>
      <w:r w:rsidR="00EE46E4">
        <w:rPr>
          <w:rFonts w:ascii="Arial" w:hAnsi="Arial" w:cs="Arial"/>
          <w:color w:val="000000"/>
          <w:sz w:val="20"/>
        </w:rPr>
        <w:t>F</w:t>
      </w:r>
      <w:r>
        <w:rPr>
          <w:rFonts w:ascii="Arial" w:hAnsi="Arial" w:cs="Arial"/>
          <w:color w:val="000000"/>
          <w:sz w:val="20"/>
        </w:rPr>
        <w:t xml:space="preserve">A, powers described by Nathan J in </w:t>
      </w:r>
      <w:r>
        <w:rPr>
          <w:rFonts w:ascii="Arial" w:hAnsi="Arial" w:cs="Arial"/>
          <w:i/>
          <w:iCs/>
          <w:color w:val="000000"/>
          <w:sz w:val="20"/>
        </w:rPr>
        <w:t>BS v CGB &amp; DOHS</w:t>
      </w:r>
      <w:r>
        <w:rPr>
          <w:rFonts w:ascii="Arial" w:hAnsi="Arial" w:cs="Arial"/>
          <w:color w:val="000000"/>
          <w:sz w:val="20"/>
        </w:rPr>
        <w:t xml:space="preserve"> [2000] VSC 566 as "awesome".  </w:t>
      </w:r>
      <w:r>
        <w:rPr>
          <w:rFonts w:ascii="Arial" w:hAnsi="Arial" w:cs="Arial"/>
          <w:sz w:val="20"/>
        </w:rPr>
        <w:t>It is only in cases where a delegate of the Secretary has decided that parents or caregivers cannot care for a child safely that the Department causes the Children's Court to become involved.</w:t>
      </w:r>
    </w:p>
    <w:p w14:paraId="148F6961" w14:textId="77777777" w:rsidR="00CF2DFD" w:rsidRPr="00E14F02" w:rsidRDefault="00CF2DFD" w:rsidP="00CF2DFD">
      <w:pPr>
        <w:pStyle w:val="NormalWeb"/>
        <w:spacing w:before="0" w:beforeAutospacing="0" w:after="0" w:afterAutospacing="0"/>
        <w:jc w:val="both"/>
        <w:rPr>
          <w:rFonts w:ascii="Arial" w:hAnsi="Arial" w:cs="Arial"/>
          <w:sz w:val="18"/>
          <w:szCs w:val="20"/>
        </w:rPr>
      </w:pPr>
    </w:p>
    <w:p w14:paraId="5CCA71E6" w14:textId="77777777" w:rsidR="00CF2DFD" w:rsidRDefault="00CF2DFD" w:rsidP="00CF2DFD">
      <w:pPr>
        <w:pStyle w:val="Heading3"/>
        <w:spacing w:line="240" w:lineRule="auto"/>
        <w:rPr>
          <w:rFonts w:ascii="Arial" w:hAnsi="Arial" w:cs="Arial"/>
          <w:b/>
          <w:bCs/>
          <w:sz w:val="20"/>
        </w:rPr>
      </w:pPr>
      <w:bookmarkStart w:id="240" w:name="_4.1.6_The_Child"/>
      <w:bookmarkStart w:id="241" w:name="B41x6"/>
      <w:bookmarkEnd w:id="240"/>
      <w:bookmarkEnd w:id="241"/>
      <w:r>
        <w:rPr>
          <w:rFonts w:ascii="Arial" w:hAnsi="Arial" w:cs="Arial"/>
          <w:b/>
          <w:bCs/>
          <w:sz w:val="20"/>
        </w:rPr>
        <w:t>4.1.6</w:t>
      </w:r>
      <w:r>
        <w:rPr>
          <w:rFonts w:ascii="Arial" w:hAnsi="Arial" w:cs="Arial"/>
          <w:b/>
          <w:bCs/>
          <w:sz w:val="20"/>
        </w:rPr>
        <w:tab/>
        <w:t>The Child Protection Service as a model litigant</w:t>
      </w:r>
    </w:p>
    <w:p w14:paraId="5D805F37" w14:textId="77777777" w:rsidR="00CF2DFD" w:rsidRPr="00E14F02" w:rsidRDefault="00CF2DFD" w:rsidP="00CF2DFD">
      <w:pPr>
        <w:pStyle w:val="Heading3"/>
        <w:spacing w:line="240" w:lineRule="auto"/>
        <w:rPr>
          <w:rFonts w:ascii="Arial" w:hAnsi="Arial" w:cs="Arial"/>
          <w:b/>
          <w:bCs/>
          <w:sz w:val="18"/>
        </w:rPr>
      </w:pPr>
    </w:p>
    <w:p w14:paraId="20D1B8F1" w14:textId="77777777" w:rsidR="00CF2DFD" w:rsidRDefault="006C4934" w:rsidP="006C4934">
      <w:pPr>
        <w:jc w:val="both"/>
        <w:rPr>
          <w:rFonts w:ascii="Arial" w:hAnsi="Arial" w:cs="Arial"/>
          <w:sz w:val="20"/>
        </w:rPr>
      </w:pPr>
      <w:r>
        <w:rPr>
          <w:rFonts w:ascii="Arial" w:hAnsi="Arial" w:cs="Arial"/>
          <w:sz w:val="20"/>
        </w:rPr>
        <w:t xml:space="preserve">The Department of </w:t>
      </w:r>
      <w:r w:rsidR="002E0E92">
        <w:rPr>
          <w:rFonts w:ascii="Arial" w:hAnsi="Arial" w:cs="Arial"/>
          <w:sz w:val="20"/>
          <w:szCs w:val="20"/>
        </w:rPr>
        <w:t>Families, Fairness and Housing</w:t>
      </w:r>
      <w:r>
        <w:rPr>
          <w:rFonts w:ascii="Arial" w:hAnsi="Arial" w:cs="Arial"/>
          <w:sz w:val="20"/>
        </w:rPr>
        <w:t xml:space="preserve"> is a Victorian Government Department.  So far as is relevant to litigation in the Children’s Court, the “Guidelines on the State of </w:t>
      </w:r>
      <w:smartTag w:uri="urn:schemas-microsoft-com:office:smarttags" w:element="place">
        <w:smartTag w:uri="urn:schemas-microsoft-com:office:smarttags" w:element="State">
          <w:r>
            <w:rPr>
              <w:rFonts w:ascii="Arial" w:hAnsi="Arial" w:cs="Arial"/>
              <w:sz w:val="20"/>
            </w:rPr>
            <w:t>Victoria</w:t>
          </w:r>
        </w:smartTag>
      </w:smartTag>
      <w:r>
        <w:rPr>
          <w:rFonts w:ascii="Arial" w:hAnsi="Arial" w:cs="Arial"/>
          <w:sz w:val="20"/>
        </w:rPr>
        <w:t>’s Obligation to Act as a Model Litigant”, set out in Schedule 4 of the Legal Services to Government Panel contract, ha</w:t>
      </w:r>
      <w:r w:rsidR="00823729">
        <w:rPr>
          <w:rFonts w:ascii="Arial" w:hAnsi="Arial" w:cs="Arial"/>
          <w:sz w:val="20"/>
        </w:rPr>
        <w:t>ve</w:t>
      </w:r>
      <w:r>
        <w:rPr>
          <w:rFonts w:ascii="Arial" w:hAnsi="Arial" w:cs="Arial"/>
          <w:sz w:val="20"/>
        </w:rPr>
        <w:t xml:space="preserve"> provided since 2005</w:t>
      </w:r>
      <w:r w:rsidR="00531EA8">
        <w:rPr>
          <w:rFonts w:ascii="Arial" w:hAnsi="Arial" w:cs="Arial"/>
          <w:sz w:val="20"/>
        </w:rPr>
        <w:t>:</w:t>
      </w:r>
    </w:p>
    <w:p w14:paraId="28B0C7F9" w14:textId="77777777" w:rsidR="00CF2DFD" w:rsidRDefault="006C4934" w:rsidP="006C4934">
      <w:pPr>
        <w:spacing w:before="60"/>
        <w:ind w:left="284" w:hanging="284"/>
        <w:jc w:val="both"/>
        <w:rPr>
          <w:rFonts w:ascii="Arial" w:hAnsi="Arial" w:cs="Arial"/>
          <w:sz w:val="20"/>
        </w:rPr>
      </w:pPr>
      <w:r w:rsidRPr="006C4934">
        <w:rPr>
          <w:rFonts w:ascii="Arial" w:hAnsi="Arial" w:cs="Arial"/>
          <w:sz w:val="20"/>
        </w:rPr>
        <w:t>1.</w:t>
      </w:r>
      <w:r>
        <w:rPr>
          <w:rFonts w:ascii="Arial" w:hAnsi="Arial" w:cs="Arial"/>
          <w:sz w:val="20"/>
        </w:rPr>
        <w:tab/>
        <w:t xml:space="preserve">In order to maintain proper standards in litigation, the State of </w:t>
      </w:r>
      <w:smartTag w:uri="urn:schemas-microsoft-com:office:smarttags" w:element="place">
        <w:smartTag w:uri="urn:schemas-microsoft-com:office:smarttags" w:element="State">
          <w:r>
            <w:rPr>
              <w:rFonts w:ascii="Arial" w:hAnsi="Arial" w:cs="Arial"/>
              <w:sz w:val="20"/>
            </w:rPr>
            <w:t>Victoria</w:t>
          </w:r>
        </w:smartTag>
      </w:smartTag>
      <w:r>
        <w:rPr>
          <w:rFonts w:ascii="Arial" w:hAnsi="Arial" w:cs="Arial"/>
          <w:sz w:val="20"/>
        </w:rPr>
        <w:t>, its Departments and agencies behave as a model litigant in the conduct of litigation.</w:t>
      </w:r>
    </w:p>
    <w:p w14:paraId="20F46DCE" w14:textId="77777777" w:rsidR="006C4934" w:rsidRDefault="006C4934" w:rsidP="006C4934">
      <w:pPr>
        <w:spacing w:before="60"/>
        <w:ind w:left="284" w:hanging="284"/>
        <w:jc w:val="both"/>
        <w:rPr>
          <w:rFonts w:ascii="Arial" w:hAnsi="Arial" w:cs="Arial"/>
          <w:sz w:val="20"/>
        </w:rPr>
      </w:pPr>
      <w:r>
        <w:rPr>
          <w:rFonts w:ascii="Arial" w:hAnsi="Arial" w:cs="Arial"/>
          <w:sz w:val="20"/>
        </w:rPr>
        <w:t>2.</w:t>
      </w:r>
      <w:r>
        <w:rPr>
          <w:rFonts w:ascii="Arial" w:hAnsi="Arial" w:cs="Arial"/>
          <w:sz w:val="20"/>
        </w:rPr>
        <w:tab/>
        <w:t xml:space="preserve">That obligation requires that the State of </w:t>
      </w:r>
      <w:smartTag w:uri="urn:schemas-microsoft-com:office:smarttags" w:element="place">
        <w:smartTag w:uri="urn:schemas-microsoft-com:office:smarttags" w:element="State">
          <w:r>
            <w:rPr>
              <w:rFonts w:ascii="Arial" w:hAnsi="Arial" w:cs="Arial"/>
              <w:sz w:val="20"/>
            </w:rPr>
            <w:t>Victoria</w:t>
          </w:r>
        </w:smartTag>
      </w:smartTag>
      <w:r>
        <w:rPr>
          <w:rFonts w:ascii="Arial" w:hAnsi="Arial" w:cs="Arial"/>
          <w:sz w:val="20"/>
        </w:rPr>
        <w:t>, its Departments and agencies:</w:t>
      </w:r>
    </w:p>
    <w:p w14:paraId="5C254336"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act fairly in handling litigation brought by or against the State or an agency;</w:t>
      </w:r>
    </w:p>
    <w:p w14:paraId="1C90647B"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act consistently in the handling of litigation;</w:t>
      </w:r>
    </w:p>
    <w:p w14:paraId="6A6B91CE"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avoid litigation, wherever possible;</w:t>
      </w:r>
    </w:p>
    <w:p w14:paraId="3BC584D9"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keep the costs of litigation to a minimum, including by not requiring the other party to prove a matter which the State or the agency knows to be true;</w:t>
      </w:r>
    </w:p>
    <w:p w14:paraId="238639B9"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not rely on technical defences unless the State’s or the agency’s interests would be prejudiced by the failure to comply with a particular requirement;</w:t>
      </w:r>
    </w:p>
    <w:p w14:paraId="6F612D38"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not take advantage of a person who lacks the resources to litigate a legitimate claim;</w:t>
      </w:r>
    </w:p>
    <w:p w14:paraId="7E10B454" w14:textId="77777777" w:rsidR="00403196" w:rsidRDefault="00403196" w:rsidP="002239D1">
      <w:pPr>
        <w:numPr>
          <w:ilvl w:val="0"/>
          <w:numId w:val="1"/>
        </w:numPr>
        <w:tabs>
          <w:tab w:val="clear" w:pos="363"/>
          <w:tab w:val="num" w:pos="567"/>
        </w:tabs>
        <w:ind w:left="568" w:hanging="284"/>
        <w:jc w:val="both"/>
        <w:rPr>
          <w:rFonts w:ascii="Arial" w:hAnsi="Arial" w:cs="Arial"/>
          <w:sz w:val="20"/>
        </w:rPr>
      </w:pPr>
      <w:r>
        <w:rPr>
          <w:rFonts w:ascii="Arial" w:hAnsi="Arial" w:cs="Arial"/>
          <w:sz w:val="20"/>
        </w:rPr>
        <w:t>not pursue appeals unless the State or agency believes it has reasonable prospects of success or the appeal is otherwise justified in the public interest.</w:t>
      </w:r>
    </w:p>
    <w:p w14:paraId="61E2E570" w14:textId="77777777" w:rsidR="00823729" w:rsidRDefault="00823729" w:rsidP="00823729">
      <w:pPr>
        <w:spacing w:before="60"/>
        <w:ind w:left="284" w:hanging="284"/>
        <w:jc w:val="both"/>
        <w:rPr>
          <w:rFonts w:ascii="Arial" w:hAnsi="Arial" w:cs="Arial"/>
          <w:sz w:val="20"/>
        </w:rPr>
      </w:pPr>
      <w:r>
        <w:rPr>
          <w:rFonts w:ascii="Arial" w:hAnsi="Arial" w:cs="Arial"/>
          <w:sz w:val="20"/>
        </w:rPr>
        <w:t>3.</w:t>
      </w:r>
      <w:r>
        <w:rPr>
          <w:rFonts w:ascii="Arial" w:hAnsi="Arial" w:cs="Arial"/>
          <w:sz w:val="20"/>
        </w:rPr>
        <w:tab/>
        <w:t>In essence, being a model litigant requires that the State and its agencies, as parties to litigation, act with complete propriety, fairly and in accordance with the highest professional standards.  The expectation that the State will act as a model litigant has been recognized by the Courts</w:t>
      </w:r>
      <w:r w:rsidR="00531EA8">
        <w:rPr>
          <w:rFonts w:ascii="Arial" w:hAnsi="Arial" w:cs="Arial"/>
          <w:sz w:val="20"/>
        </w:rPr>
        <w:t>: s</w:t>
      </w:r>
      <w:r>
        <w:rPr>
          <w:rFonts w:ascii="Arial" w:hAnsi="Arial" w:cs="Arial"/>
          <w:sz w:val="20"/>
        </w:rPr>
        <w:t xml:space="preserve">ee, for example, </w:t>
      </w:r>
      <w:r w:rsidRPr="00823729">
        <w:rPr>
          <w:rFonts w:ascii="Arial" w:hAnsi="Arial" w:cs="Arial"/>
          <w:i/>
          <w:sz w:val="20"/>
        </w:rPr>
        <w:t xml:space="preserve">Melbourne Steamship Limited v Moorhead </w:t>
      </w:r>
      <w:r>
        <w:rPr>
          <w:rFonts w:ascii="Arial" w:hAnsi="Arial" w:cs="Arial"/>
          <w:sz w:val="20"/>
        </w:rPr>
        <w:t xml:space="preserve">(1912) 15 CLR 133 at 142; Kenny v State of South Australia (1987) 46 SASR 268 at 273; </w:t>
      </w:r>
      <w:r w:rsidRPr="00823729">
        <w:rPr>
          <w:rFonts w:ascii="Arial" w:hAnsi="Arial" w:cs="Arial"/>
          <w:i/>
          <w:sz w:val="20"/>
        </w:rPr>
        <w:t>Yong Jun Qin v The Minister for Immigration and Ethnic Affairs</w:t>
      </w:r>
      <w:r>
        <w:rPr>
          <w:rFonts w:ascii="Arial" w:hAnsi="Arial" w:cs="Arial"/>
          <w:sz w:val="20"/>
        </w:rPr>
        <w:t xml:space="preserve"> (1977) 75 FCR 155.</w:t>
      </w:r>
    </w:p>
    <w:p w14:paraId="5888DB51" w14:textId="77777777" w:rsidR="00823729" w:rsidRDefault="00823729" w:rsidP="00823729">
      <w:pPr>
        <w:spacing w:before="60"/>
        <w:ind w:left="284" w:hanging="284"/>
        <w:jc w:val="both"/>
        <w:rPr>
          <w:rFonts w:ascii="Arial" w:hAnsi="Arial" w:cs="Arial"/>
          <w:sz w:val="20"/>
        </w:rPr>
      </w:pPr>
      <w:r>
        <w:rPr>
          <w:rFonts w:ascii="Arial" w:hAnsi="Arial" w:cs="Arial"/>
          <w:sz w:val="20"/>
        </w:rPr>
        <w:t>4</w:t>
      </w:r>
      <w:r w:rsidRPr="00823729">
        <w:rPr>
          <w:rFonts w:ascii="Arial" w:hAnsi="Arial" w:cs="Arial"/>
          <w:sz w:val="20"/>
        </w:rPr>
        <w:t>.</w:t>
      </w:r>
      <w:r>
        <w:rPr>
          <w:rFonts w:ascii="Arial" w:hAnsi="Arial" w:cs="Arial"/>
          <w:sz w:val="20"/>
        </w:rPr>
        <w:tab/>
        <w:t>The obligation to act as a model litigant may require more than merely acting honestly and in accordance with the law and court rules.  It also goes beyond the requirement for lawyers to act in accordance with their ethical obligations.</w:t>
      </w:r>
    </w:p>
    <w:p w14:paraId="1552A645" w14:textId="77777777" w:rsidR="00823729" w:rsidRDefault="00823729" w:rsidP="00823729">
      <w:pPr>
        <w:spacing w:before="60"/>
        <w:ind w:left="284" w:hanging="284"/>
        <w:jc w:val="both"/>
        <w:rPr>
          <w:rFonts w:ascii="Arial" w:hAnsi="Arial" w:cs="Arial"/>
          <w:sz w:val="20"/>
        </w:rPr>
      </w:pPr>
      <w:r>
        <w:rPr>
          <w:rFonts w:ascii="Arial" w:hAnsi="Arial" w:cs="Arial"/>
          <w:sz w:val="20"/>
        </w:rPr>
        <w:t>5.</w:t>
      </w:r>
      <w:r>
        <w:rPr>
          <w:rFonts w:ascii="Arial" w:hAnsi="Arial" w:cs="Arial"/>
          <w:sz w:val="20"/>
        </w:rPr>
        <w:tab/>
        <w:t>The obligation does not prevent the State and its agencies from acting firmly and properly to protect their interests [including the interests of the children the subject of litigation].</w:t>
      </w:r>
    </w:p>
    <w:p w14:paraId="1EC15180" w14:textId="77777777" w:rsidR="00C30866" w:rsidRDefault="00C30866" w:rsidP="00823729">
      <w:pPr>
        <w:spacing w:before="60"/>
        <w:ind w:left="284" w:hanging="284"/>
        <w:jc w:val="both"/>
        <w:rPr>
          <w:rFonts w:ascii="Arial" w:hAnsi="Arial" w:cs="Arial"/>
          <w:sz w:val="20"/>
        </w:rPr>
      </w:pPr>
      <w:r>
        <w:rPr>
          <w:rFonts w:ascii="Arial" w:hAnsi="Arial" w:cs="Arial"/>
          <w:sz w:val="20"/>
        </w:rPr>
        <w:t>6.</w:t>
      </w:r>
      <w:r>
        <w:rPr>
          <w:rFonts w:ascii="Arial" w:hAnsi="Arial" w:cs="Arial"/>
          <w:sz w:val="20"/>
        </w:rPr>
        <w:tab/>
        <w:t>The obligation does not prevent the State from enforcing costs orders or seeking to recover its costs.</w:t>
      </w:r>
    </w:p>
    <w:p w14:paraId="29254CDB" w14:textId="77777777" w:rsidR="005A4756" w:rsidRDefault="005A4756">
      <w:pPr>
        <w:rPr>
          <w:rFonts w:ascii="Arial" w:hAnsi="Arial" w:cs="Arial"/>
          <w:sz w:val="20"/>
        </w:rPr>
      </w:pPr>
    </w:p>
    <w:p w14:paraId="79606A52" w14:textId="2D3C222A" w:rsidR="00823729" w:rsidRDefault="005A4756">
      <w:pPr>
        <w:rPr>
          <w:rFonts w:ascii="Arial" w:hAnsi="Arial" w:cs="Arial"/>
          <w:sz w:val="20"/>
        </w:rPr>
      </w:pPr>
      <w:r>
        <w:rPr>
          <w:rFonts w:ascii="Arial" w:hAnsi="Arial" w:cs="Arial"/>
          <w:sz w:val="20"/>
        </w:rPr>
        <w:t>Similar obligations are contained in the Victorian Public Service Code of Conduct.</w:t>
      </w:r>
    </w:p>
    <w:p w14:paraId="76F76CD0" w14:textId="77777777" w:rsidR="005A4756" w:rsidRDefault="005A4756">
      <w:pPr>
        <w:rPr>
          <w:rFonts w:ascii="Arial" w:hAnsi="Arial" w:cs="Arial"/>
          <w:sz w:val="20"/>
        </w:rPr>
      </w:pPr>
    </w:p>
    <w:p w14:paraId="454AA18E" w14:textId="4E981247" w:rsidR="00A12C55" w:rsidRDefault="00A12C55" w:rsidP="00390E49">
      <w:pPr>
        <w:keepNext/>
        <w:keepLines/>
        <w:jc w:val="both"/>
        <w:rPr>
          <w:rFonts w:ascii="Arial" w:hAnsi="Arial" w:cs="Arial"/>
          <w:sz w:val="20"/>
        </w:rPr>
      </w:pPr>
      <w:r>
        <w:rPr>
          <w:rFonts w:ascii="Arial" w:hAnsi="Arial" w:cs="Arial"/>
          <w:sz w:val="20"/>
        </w:rPr>
        <w:lastRenderedPageBreak/>
        <w:t xml:space="preserve">The special obligations of a model litigant are in addition to the general obligations of an advocate </w:t>
      </w:r>
      <w:r w:rsidR="004126CA">
        <w:rPr>
          <w:rFonts w:ascii="Arial" w:hAnsi="Arial" w:cs="Arial"/>
          <w:sz w:val="20"/>
        </w:rPr>
        <w:t xml:space="preserve">set out in the Legal Profession Uniform Conduct (Barristers) Rules 2015 (Vic) which in turn expand on the common law obligations </w:t>
      </w:r>
      <w:r>
        <w:rPr>
          <w:rFonts w:ascii="Arial" w:hAnsi="Arial" w:cs="Arial"/>
          <w:sz w:val="20"/>
        </w:rPr>
        <w:t xml:space="preserve">summarised by Lord Reid in </w:t>
      </w:r>
      <w:r w:rsidRPr="00FA6F7C">
        <w:rPr>
          <w:rFonts w:ascii="Arial" w:hAnsi="Arial" w:cs="Arial"/>
          <w:i/>
          <w:iCs/>
          <w:sz w:val="20"/>
        </w:rPr>
        <w:t>Rondel v Worsley</w:t>
      </w:r>
      <w:r>
        <w:rPr>
          <w:rFonts w:ascii="Arial" w:hAnsi="Arial" w:cs="Arial"/>
          <w:sz w:val="20"/>
        </w:rPr>
        <w:t xml:space="preserve"> [196</w:t>
      </w:r>
      <w:r w:rsidR="00FA6F7C">
        <w:rPr>
          <w:rFonts w:ascii="Arial" w:hAnsi="Arial" w:cs="Arial"/>
          <w:sz w:val="20"/>
        </w:rPr>
        <w:t>9] 1 AC 191 at 227:</w:t>
      </w:r>
    </w:p>
    <w:p w14:paraId="572FE325" w14:textId="50CDB831" w:rsidR="00FA6F7C" w:rsidRDefault="00FA6F7C" w:rsidP="00FA6F7C">
      <w:pPr>
        <w:pStyle w:val="NormalWeb"/>
        <w:spacing w:before="60" w:beforeAutospacing="0" w:after="0" w:afterAutospacing="0"/>
        <w:ind w:left="567" w:right="567"/>
        <w:jc w:val="both"/>
        <w:rPr>
          <w:rFonts w:ascii="Arial" w:hAnsi="Arial" w:cs="Arial"/>
          <w:sz w:val="20"/>
          <w:szCs w:val="20"/>
        </w:rPr>
      </w:pPr>
      <w:r>
        <w:rPr>
          <w:rFonts w:ascii="Arial" w:hAnsi="Arial" w:cs="Arial"/>
          <w:sz w:val="20"/>
          <w:szCs w:val="20"/>
        </w:rPr>
        <w:t>“Every counsel has a duty to his client fearlessly to raise every issue, advance every argument, and ask every question, however distasteful, which he thinks will help his client’s case.  But, as an officer of the court concerned in the administration of justice, he has an overriding duty to the court</w:t>
      </w:r>
      <w:r w:rsidR="002317B1">
        <w:rPr>
          <w:rFonts w:ascii="Arial" w:hAnsi="Arial" w:cs="Arial"/>
          <w:sz w:val="20"/>
          <w:szCs w:val="20"/>
        </w:rPr>
        <w:t>, to the standards of his profession, and to the public, which may and often does lead to a conflict with his client’s wishes or with what his client thinks are his personal interests.  Counsel must not mislead the court, he must not lend himself to casting aspersions on the other party or witnesses for which there is no sufficient basis in the information in his possession, he must not withhold authorities or documents which may tell against his clients but which the law or the standards of his profession require him to produce.”</w:t>
      </w:r>
    </w:p>
    <w:p w14:paraId="69807BBA" w14:textId="77777777" w:rsidR="00A12C55" w:rsidRDefault="00A12C55" w:rsidP="00A12C55">
      <w:pPr>
        <w:jc w:val="both"/>
        <w:rPr>
          <w:rFonts w:ascii="Arial" w:hAnsi="Arial" w:cs="Arial"/>
          <w:sz w:val="20"/>
        </w:rPr>
      </w:pPr>
    </w:p>
    <w:p w14:paraId="7FFC9773" w14:textId="42DE6975" w:rsidR="00D97C66" w:rsidRDefault="00D97C66" w:rsidP="007A44A4">
      <w:pPr>
        <w:keepNext/>
        <w:keepLines/>
        <w:jc w:val="both"/>
        <w:rPr>
          <w:rFonts w:ascii="Arial" w:hAnsi="Arial" w:cs="Arial"/>
          <w:sz w:val="20"/>
        </w:rPr>
      </w:pPr>
      <w:r>
        <w:rPr>
          <w:rFonts w:ascii="Arial" w:hAnsi="Arial" w:cs="Arial"/>
          <w:sz w:val="20"/>
        </w:rPr>
        <w:t>The special obligations of a model litigant-</w:t>
      </w:r>
    </w:p>
    <w:p w14:paraId="10C0CF56" w14:textId="4D402AD7" w:rsidR="00D97C66" w:rsidRDefault="00D97C66">
      <w:pPr>
        <w:numPr>
          <w:ilvl w:val="0"/>
          <w:numId w:val="51"/>
        </w:numPr>
        <w:ind w:left="357" w:hanging="357"/>
        <w:jc w:val="both"/>
        <w:rPr>
          <w:rFonts w:ascii="Arial" w:hAnsi="Arial" w:cs="Arial"/>
          <w:sz w:val="20"/>
        </w:rPr>
      </w:pPr>
      <w:r>
        <w:rPr>
          <w:rFonts w:ascii="Arial" w:hAnsi="Arial" w:cs="Arial"/>
          <w:sz w:val="20"/>
        </w:rPr>
        <w:t>are designed to address the substantial imbalance of power that is often present in litigation between the state and the individual citizen;</w:t>
      </w:r>
    </w:p>
    <w:p w14:paraId="31B86062" w14:textId="5889ED32" w:rsidR="00D97C66" w:rsidRDefault="00D97C66">
      <w:pPr>
        <w:numPr>
          <w:ilvl w:val="0"/>
          <w:numId w:val="51"/>
        </w:numPr>
        <w:ind w:left="357" w:hanging="357"/>
        <w:jc w:val="both"/>
        <w:rPr>
          <w:rFonts w:ascii="Arial" w:hAnsi="Arial" w:cs="Arial"/>
          <w:sz w:val="20"/>
        </w:rPr>
      </w:pPr>
      <w:r>
        <w:rPr>
          <w:rFonts w:ascii="Arial" w:hAnsi="Arial" w:cs="Arial"/>
          <w:sz w:val="20"/>
        </w:rPr>
        <w:t>are intended to provide the community with confidence that laws will be administered fairly and equitably;</w:t>
      </w:r>
    </w:p>
    <w:p w14:paraId="5D209718" w14:textId="77777777" w:rsidR="00FA6A60" w:rsidRDefault="00FA6A60">
      <w:pPr>
        <w:numPr>
          <w:ilvl w:val="0"/>
          <w:numId w:val="51"/>
        </w:numPr>
        <w:ind w:left="357" w:hanging="357"/>
        <w:jc w:val="both"/>
        <w:rPr>
          <w:rFonts w:ascii="Arial" w:hAnsi="Arial" w:cs="Arial"/>
          <w:sz w:val="20"/>
        </w:rPr>
      </w:pPr>
      <w:r>
        <w:rPr>
          <w:rFonts w:ascii="Arial" w:hAnsi="Arial" w:cs="Arial"/>
          <w:sz w:val="20"/>
        </w:rPr>
        <w:t>are based on an expectation that the State maintains the highest possible standards of probity and professionalism; and</w:t>
      </w:r>
    </w:p>
    <w:p w14:paraId="3E5D77BF" w14:textId="4651616A" w:rsidR="00D97C66" w:rsidRDefault="00FA6A60">
      <w:pPr>
        <w:numPr>
          <w:ilvl w:val="0"/>
          <w:numId w:val="51"/>
        </w:numPr>
        <w:ind w:left="357" w:hanging="357"/>
        <w:jc w:val="both"/>
        <w:rPr>
          <w:rFonts w:ascii="Arial" w:hAnsi="Arial" w:cs="Arial"/>
          <w:sz w:val="20"/>
        </w:rPr>
      </w:pPr>
      <w:r>
        <w:rPr>
          <w:rFonts w:ascii="Arial" w:hAnsi="Arial" w:cs="Arial"/>
          <w:sz w:val="20"/>
        </w:rPr>
        <w:t>reflect the common law view that a government official exercising a statutory function shares a common interest with the Court in cooperating to achieve the right result.</w:t>
      </w:r>
    </w:p>
    <w:p w14:paraId="25B9E1A2" w14:textId="6D877DA9" w:rsidR="00D97C66" w:rsidRPr="001A3C5B" w:rsidRDefault="00D97C66" w:rsidP="00BE7653">
      <w:pPr>
        <w:jc w:val="both"/>
        <w:rPr>
          <w:rFonts w:ascii="Arial" w:hAnsi="Arial" w:cs="Arial"/>
          <w:sz w:val="18"/>
          <w:szCs w:val="22"/>
        </w:rPr>
      </w:pPr>
    </w:p>
    <w:p w14:paraId="01EC9DE1" w14:textId="239E0A6B" w:rsidR="00510086" w:rsidRDefault="00510086" w:rsidP="00BE7653">
      <w:pPr>
        <w:jc w:val="both"/>
        <w:rPr>
          <w:rFonts w:ascii="Arial" w:hAnsi="Arial" w:cs="Arial"/>
          <w:sz w:val="20"/>
        </w:rPr>
      </w:pPr>
      <w:r>
        <w:rPr>
          <w:rFonts w:ascii="Arial" w:hAnsi="Arial" w:cs="Arial"/>
          <w:sz w:val="20"/>
        </w:rPr>
        <w:t xml:space="preserve">The </w:t>
      </w:r>
      <w:r w:rsidR="002237AE">
        <w:rPr>
          <w:rFonts w:ascii="Arial" w:hAnsi="Arial" w:cs="Arial"/>
          <w:sz w:val="20"/>
        </w:rPr>
        <w:t xml:space="preserve">special </w:t>
      </w:r>
      <w:r>
        <w:rPr>
          <w:rFonts w:ascii="Arial" w:hAnsi="Arial" w:cs="Arial"/>
          <w:sz w:val="20"/>
        </w:rPr>
        <w:t>obligation to act fairly</w:t>
      </w:r>
      <w:r w:rsidR="002237AE">
        <w:rPr>
          <w:rFonts w:ascii="Arial" w:hAnsi="Arial" w:cs="Arial"/>
          <w:sz w:val="20"/>
        </w:rPr>
        <w:t xml:space="preserve"> and consistently and to avoid litigation wherever possible</w:t>
      </w:r>
      <w:r>
        <w:rPr>
          <w:rFonts w:ascii="Arial" w:hAnsi="Arial" w:cs="Arial"/>
          <w:sz w:val="20"/>
        </w:rPr>
        <w:t xml:space="preserve"> means that a model litigant</w:t>
      </w:r>
      <w:r w:rsidR="002237AE">
        <w:rPr>
          <w:rFonts w:ascii="Arial" w:hAnsi="Arial" w:cs="Arial"/>
          <w:sz w:val="20"/>
        </w:rPr>
        <w:t xml:space="preserve"> and a legal practitioner conducting a case on behalf of a model litigant</w:t>
      </w:r>
      <w:r>
        <w:rPr>
          <w:rFonts w:ascii="Arial" w:hAnsi="Arial" w:cs="Arial"/>
          <w:sz w:val="20"/>
        </w:rPr>
        <w:t>-</w:t>
      </w:r>
    </w:p>
    <w:p w14:paraId="363B5639" w14:textId="4A769969" w:rsidR="00390E49" w:rsidRDefault="00390E49">
      <w:pPr>
        <w:numPr>
          <w:ilvl w:val="0"/>
          <w:numId w:val="51"/>
        </w:numPr>
        <w:ind w:left="357" w:hanging="357"/>
        <w:jc w:val="both"/>
        <w:rPr>
          <w:rFonts w:ascii="Arial" w:hAnsi="Arial" w:cs="Arial"/>
          <w:sz w:val="20"/>
        </w:rPr>
      </w:pPr>
      <w:r>
        <w:rPr>
          <w:rFonts w:ascii="Arial" w:hAnsi="Arial" w:cs="Arial"/>
          <w:sz w:val="20"/>
        </w:rPr>
        <w:t>must comply with time limits</w:t>
      </w:r>
      <w:r w:rsidR="00A25145">
        <w:rPr>
          <w:rFonts w:ascii="Arial" w:hAnsi="Arial" w:cs="Arial"/>
          <w:sz w:val="20"/>
        </w:rPr>
        <w:t>, including those relating to service of documents and provision of reports</w:t>
      </w:r>
      <w:r>
        <w:rPr>
          <w:rFonts w:ascii="Arial" w:hAnsi="Arial" w:cs="Arial"/>
          <w:sz w:val="20"/>
        </w:rPr>
        <w:t>;</w:t>
      </w:r>
    </w:p>
    <w:p w14:paraId="2D64A304" w14:textId="32113627" w:rsidR="00510086" w:rsidRDefault="002237AE">
      <w:pPr>
        <w:numPr>
          <w:ilvl w:val="0"/>
          <w:numId w:val="51"/>
        </w:numPr>
        <w:ind w:left="357" w:hanging="357"/>
        <w:jc w:val="both"/>
        <w:rPr>
          <w:rFonts w:ascii="Arial" w:hAnsi="Arial" w:cs="Arial"/>
          <w:sz w:val="20"/>
        </w:rPr>
      </w:pPr>
      <w:r>
        <w:rPr>
          <w:rFonts w:ascii="Arial" w:hAnsi="Arial" w:cs="Arial"/>
          <w:sz w:val="20"/>
        </w:rPr>
        <w:t>must be properly prepared, know and understand the case that is being run, make any appropriate concessions and ensure that the Court and the other parties have all relevant information;</w:t>
      </w:r>
    </w:p>
    <w:p w14:paraId="7B8AFF8D" w14:textId="401BCF15" w:rsidR="002237AE" w:rsidRDefault="002237AE">
      <w:pPr>
        <w:numPr>
          <w:ilvl w:val="0"/>
          <w:numId w:val="51"/>
        </w:numPr>
        <w:ind w:left="357" w:hanging="357"/>
        <w:jc w:val="both"/>
        <w:rPr>
          <w:rFonts w:ascii="Arial" w:hAnsi="Arial" w:cs="Arial"/>
          <w:sz w:val="20"/>
        </w:rPr>
      </w:pPr>
      <w:r>
        <w:rPr>
          <w:rFonts w:ascii="Arial" w:hAnsi="Arial" w:cs="Arial"/>
          <w:sz w:val="20"/>
        </w:rPr>
        <w:t>should bring to the Court’s attention facts or submissions that would assist another party’s case where it appears the Court may have overlooked them;</w:t>
      </w:r>
    </w:p>
    <w:p w14:paraId="7CFD12F2" w14:textId="77777777" w:rsidR="00A25145" w:rsidRDefault="006C0DC2">
      <w:pPr>
        <w:numPr>
          <w:ilvl w:val="0"/>
          <w:numId w:val="51"/>
        </w:numPr>
        <w:ind w:left="357" w:hanging="357"/>
        <w:jc w:val="both"/>
        <w:rPr>
          <w:rFonts w:ascii="Arial" w:hAnsi="Arial" w:cs="Arial"/>
          <w:sz w:val="20"/>
        </w:rPr>
      </w:pPr>
      <w:r>
        <w:rPr>
          <w:rFonts w:ascii="Arial" w:hAnsi="Arial" w:cs="Arial"/>
          <w:sz w:val="20"/>
        </w:rPr>
        <w:t>must not blindly pursue a particular outcome but rather assist the Court to arrive at the most informed outcome;</w:t>
      </w:r>
    </w:p>
    <w:p w14:paraId="05E4407C" w14:textId="7E542A06" w:rsidR="002237AE" w:rsidRDefault="00A25145">
      <w:pPr>
        <w:numPr>
          <w:ilvl w:val="0"/>
          <w:numId w:val="51"/>
        </w:numPr>
        <w:ind w:left="357" w:hanging="357"/>
        <w:jc w:val="both"/>
        <w:rPr>
          <w:rFonts w:ascii="Arial" w:hAnsi="Arial" w:cs="Arial"/>
          <w:sz w:val="20"/>
        </w:rPr>
      </w:pPr>
      <w:r>
        <w:rPr>
          <w:rFonts w:ascii="Arial" w:hAnsi="Arial" w:cs="Arial"/>
          <w:sz w:val="20"/>
        </w:rPr>
        <w:t>must respect and promote the Charter of Human Rights and Responsibilities Act</w:t>
      </w:r>
      <w:r w:rsidR="005A4756">
        <w:rPr>
          <w:rFonts w:ascii="Arial" w:hAnsi="Arial" w:cs="Arial"/>
          <w:sz w:val="20"/>
        </w:rPr>
        <w:t xml:space="preserve"> 2006</w:t>
      </w:r>
      <w:r>
        <w:rPr>
          <w:rFonts w:ascii="Arial" w:hAnsi="Arial" w:cs="Arial"/>
          <w:sz w:val="20"/>
        </w:rPr>
        <w:t>;</w:t>
      </w:r>
      <w:r w:rsidR="002237AE">
        <w:rPr>
          <w:rFonts w:ascii="Arial" w:hAnsi="Arial" w:cs="Arial"/>
          <w:sz w:val="20"/>
        </w:rPr>
        <w:t xml:space="preserve"> and</w:t>
      </w:r>
    </w:p>
    <w:p w14:paraId="073600C4" w14:textId="30AE07FF" w:rsidR="002237AE" w:rsidRDefault="00A25145">
      <w:pPr>
        <w:numPr>
          <w:ilvl w:val="0"/>
          <w:numId w:val="51"/>
        </w:numPr>
        <w:ind w:left="357" w:hanging="357"/>
        <w:jc w:val="both"/>
        <w:rPr>
          <w:rFonts w:ascii="Arial" w:hAnsi="Arial" w:cs="Arial"/>
          <w:sz w:val="20"/>
        </w:rPr>
      </w:pPr>
      <w:r>
        <w:rPr>
          <w:rFonts w:ascii="Arial" w:hAnsi="Arial" w:cs="Arial"/>
          <w:sz w:val="20"/>
        </w:rPr>
        <w:t xml:space="preserve">must </w:t>
      </w:r>
      <w:r w:rsidR="002237AE">
        <w:rPr>
          <w:rFonts w:ascii="Arial" w:hAnsi="Arial" w:cs="Arial"/>
          <w:sz w:val="20"/>
        </w:rPr>
        <w:t>be willing to resolve matters where reasonable.</w:t>
      </w:r>
    </w:p>
    <w:p w14:paraId="3655DEB4" w14:textId="77777777" w:rsidR="00510086" w:rsidRPr="001A3C5B" w:rsidRDefault="00510086" w:rsidP="00BE7653">
      <w:pPr>
        <w:jc w:val="both"/>
        <w:rPr>
          <w:rFonts w:ascii="Arial" w:hAnsi="Arial" w:cs="Arial"/>
          <w:sz w:val="18"/>
          <w:szCs w:val="22"/>
        </w:rPr>
      </w:pPr>
    </w:p>
    <w:p w14:paraId="02DBCF4B" w14:textId="30ED96AB" w:rsidR="00B51860" w:rsidRPr="00785E1A" w:rsidRDefault="00403196" w:rsidP="00BE7653">
      <w:pPr>
        <w:jc w:val="both"/>
        <w:rPr>
          <w:rFonts w:ascii="Arial" w:hAnsi="Arial" w:cs="Arial"/>
          <w:color w:val="000000"/>
          <w:sz w:val="20"/>
        </w:rPr>
      </w:pPr>
      <w:r>
        <w:rPr>
          <w:rFonts w:ascii="Arial" w:hAnsi="Arial" w:cs="Arial"/>
          <w:sz w:val="20"/>
        </w:rPr>
        <w:t xml:space="preserve">It is the writer’s view that these guidelines </w:t>
      </w:r>
      <w:r w:rsidR="00FF4FA5">
        <w:rPr>
          <w:rFonts w:ascii="Arial" w:hAnsi="Arial" w:cs="Arial"/>
          <w:sz w:val="20"/>
        </w:rPr>
        <w:t xml:space="preserve">apply both to </w:t>
      </w:r>
      <w:r w:rsidR="00785D2D">
        <w:rPr>
          <w:rFonts w:ascii="Arial" w:hAnsi="Arial" w:cs="Arial"/>
          <w:sz w:val="20"/>
        </w:rPr>
        <w:t>DFFH</w:t>
      </w:r>
      <w:r w:rsidR="00FF4FA5">
        <w:rPr>
          <w:rFonts w:ascii="Arial" w:hAnsi="Arial" w:cs="Arial"/>
          <w:sz w:val="20"/>
        </w:rPr>
        <w:t xml:space="preserve"> and to legal practitioners conducting cases on behalf of </w:t>
      </w:r>
      <w:r w:rsidR="00785D2D">
        <w:rPr>
          <w:rFonts w:ascii="Arial" w:hAnsi="Arial" w:cs="Arial"/>
          <w:sz w:val="20"/>
        </w:rPr>
        <w:t>DFFH</w:t>
      </w:r>
      <w:r w:rsidR="00FF4FA5">
        <w:rPr>
          <w:rFonts w:ascii="Arial" w:hAnsi="Arial" w:cs="Arial"/>
          <w:sz w:val="20"/>
        </w:rPr>
        <w:t xml:space="preserve"> but must of course be read subject to the CYFA or any other relevant legislation.</w:t>
      </w:r>
      <w:r w:rsidR="009D0675">
        <w:rPr>
          <w:rFonts w:ascii="Arial" w:hAnsi="Arial" w:cs="Arial"/>
          <w:sz w:val="20"/>
        </w:rPr>
        <w:t xml:space="preserve">  See e.g.</w:t>
      </w:r>
      <w:r w:rsidR="009D0675" w:rsidRPr="009D0675">
        <w:rPr>
          <w:rFonts w:ascii="Arial" w:hAnsi="Arial" w:cs="Arial"/>
          <w:i/>
          <w:sz w:val="20"/>
        </w:rPr>
        <w:t xml:space="preserve"> DOHS v Ms T &amp; Mr M</w:t>
      </w:r>
      <w:r w:rsidR="009D0675">
        <w:rPr>
          <w:rFonts w:ascii="Arial" w:hAnsi="Arial" w:cs="Arial"/>
          <w:sz w:val="20"/>
        </w:rPr>
        <w:t xml:space="preserve"> [</w:t>
      </w:r>
      <w:r w:rsidR="00F7789A">
        <w:rPr>
          <w:rFonts w:ascii="Arial" w:hAnsi="Arial" w:cs="Arial"/>
          <w:sz w:val="20"/>
        </w:rPr>
        <w:t>Children’s Court of Victoria-Power M, 12/10/2009] at p.</w:t>
      </w:r>
      <w:r w:rsidR="00880795">
        <w:rPr>
          <w:rFonts w:ascii="Arial" w:hAnsi="Arial" w:cs="Arial"/>
          <w:sz w:val="20"/>
        </w:rPr>
        <w:t>116</w:t>
      </w:r>
      <w:r w:rsidR="00F7789A">
        <w:rPr>
          <w:rFonts w:ascii="Arial" w:hAnsi="Arial" w:cs="Arial"/>
          <w:sz w:val="20"/>
        </w:rPr>
        <w:t xml:space="preserve">; </w:t>
      </w:r>
      <w:r w:rsidR="00F7789A" w:rsidRPr="00F7789A">
        <w:rPr>
          <w:rFonts w:ascii="Arial" w:hAnsi="Arial" w:cs="Arial"/>
          <w:i/>
          <w:sz w:val="20"/>
        </w:rPr>
        <w:t xml:space="preserve">DOHS v Ms </w:t>
      </w:r>
      <w:r w:rsidR="008306D1">
        <w:rPr>
          <w:rFonts w:ascii="Arial" w:hAnsi="Arial" w:cs="Arial"/>
          <w:i/>
          <w:sz w:val="20"/>
        </w:rPr>
        <w:t xml:space="preserve">D </w:t>
      </w:r>
      <w:r w:rsidR="00F7789A" w:rsidRPr="00F7789A">
        <w:rPr>
          <w:rFonts w:ascii="Arial" w:hAnsi="Arial" w:cs="Arial"/>
          <w:i/>
          <w:sz w:val="20"/>
        </w:rPr>
        <w:t>&amp; Mr</w:t>
      </w:r>
      <w:r w:rsidR="00F7789A">
        <w:rPr>
          <w:rFonts w:ascii="Arial" w:hAnsi="Arial" w:cs="Arial"/>
          <w:sz w:val="20"/>
        </w:rPr>
        <w:t xml:space="preserve"> </w:t>
      </w:r>
      <w:r w:rsidR="008306D1" w:rsidRPr="008306D1">
        <w:rPr>
          <w:rFonts w:ascii="Arial" w:hAnsi="Arial" w:cs="Arial"/>
          <w:i/>
          <w:sz w:val="20"/>
        </w:rPr>
        <w:t xml:space="preserve">K </w:t>
      </w:r>
      <w:r w:rsidR="00F7789A">
        <w:rPr>
          <w:rFonts w:ascii="Arial" w:hAnsi="Arial" w:cs="Arial"/>
          <w:sz w:val="20"/>
        </w:rPr>
        <w:t>[Children’s Court of Victoria-Power M, 1</w:t>
      </w:r>
      <w:r w:rsidR="008306D1">
        <w:rPr>
          <w:rFonts w:ascii="Arial" w:hAnsi="Arial" w:cs="Arial"/>
          <w:sz w:val="20"/>
        </w:rPr>
        <w:t>5</w:t>
      </w:r>
      <w:r w:rsidR="00F7789A">
        <w:rPr>
          <w:rFonts w:ascii="Arial" w:hAnsi="Arial" w:cs="Arial"/>
          <w:sz w:val="20"/>
        </w:rPr>
        <w:t>/</w:t>
      </w:r>
      <w:r w:rsidR="008306D1">
        <w:rPr>
          <w:rFonts w:ascii="Arial" w:hAnsi="Arial" w:cs="Arial"/>
          <w:sz w:val="20"/>
        </w:rPr>
        <w:t>06</w:t>
      </w:r>
      <w:r w:rsidR="00F7789A">
        <w:rPr>
          <w:rFonts w:ascii="Arial" w:hAnsi="Arial" w:cs="Arial"/>
          <w:sz w:val="20"/>
        </w:rPr>
        <w:t>/2009] at p</w:t>
      </w:r>
      <w:r w:rsidR="008306D1">
        <w:rPr>
          <w:rFonts w:ascii="Arial" w:hAnsi="Arial" w:cs="Arial"/>
          <w:sz w:val="20"/>
        </w:rPr>
        <w:t>p</w:t>
      </w:r>
      <w:r w:rsidR="00F7789A">
        <w:rPr>
          <w:rFonts w:ascii="Arial" w:hAnsi="Arial" w:cs="Arial"/>
          <w:sz w:val="20"/>
        </w:rPr>
        <w:t>.</w:t>
      </w:r>
      <w:r w:rsidR="008306D1">
        <w:rPr>
          <w:rFonts w:ascii="Arial" w:hAnsi="Arial" w:cs="Arial"/>
          <w:sz w:val="20"/>
        </w:rPr>
        <w:t xml:space="preserve">33-34; </w:t>
      </w:r>
      <w:r w:rsidR="008306D1" w:rsidRPr="008306D1">
        <w:rPr>
          <w:rFonts w:ascii="Arial" w:hAnsi="Arial" w:cs="Arial"/>
          <w:i/>
          <w:sz w:val="20"/>
        </w:rPr>
        <w:t>DOHS v Mr M &amp; Ms H</w:t>
      </w:r>
      <w:r w:rsidR="008306D1">
        <w:rPr>
          <w:rFonts w:ascii="Arial" w:hAnsi="Arial" w:cs="Arial"/>
          <w:sz w:val="20"/>
        </w:rPr>
        <w:t xml:space="preserve"> [Children’s Court of Victoria-Power M, </w:t>
      </w:r>
      <w:r w:rsidR="008306D1" w:rsidRPr="00785E1A">
        <w:rPr>
          <w:rFonts w:ascii="Arial" w:hAnsi="Arial" w:cs="Arial"/>
          <w:color w:val="000000"/>
          <w:sz w:val="20"/>
        </w:rPr>
        <w:t>11/05/2009] at p.30.</w:t>
      </w:r>
      <w:r w:rsidR="00733EAB" w:rsidRPr="00785E1A">
        <w:rPr>
          <w:rFonts w:ascii="Arial" w:hAnsi="Arial" w:cs="Arial"/>
          <w:color w:val="000000"/>
          <w:sz w:val="20"/>
        </w:rPr>
        <w:t xml:space="preserve">  See also the final report of the Victorian Law Reform Commission on “Protection Applications in the Children’s Court” [No.19, 30 June 2010] at pp.395-397.</w:t>
      </w:r>
    </w:p>
    <w:p w14:paraId="45AC1B54" w14:textId="77777777" w:rsidR="00B51860" w:rsidRPr="00377641" w:rsidRDefault="00B51860" w:rsidP="00BE7653">
      <w:pPr>
        <w:jc w:val="both"/>
        <w:rPr>
          <w:rFonts w:ascii="Arial" w:hAnsi="Arial" w:cs="Arial"/>
          <w:color w:val="000000"/>
          <w:sz w:val="18"/>
          <w:szCs w:val="22"/>
        </w:rPr>
      </w:pPr>
    </w:p>
    <w:p w14:paraId="76A1505D" w14:textId="77777777" w:rsidR="002D7628" w:rsidRPr="00785E1A" w:rsidRDefault="002D7628" w:rsidP="00A56DB8">
      <w:pPr>
        <w:jc w:val="both"/>
        <w:rPr>
          <w:rFonts w:ascii="Arial" w:hAnsi="Arial" w:cs="Arial"/>
          <w:color w:val="000000"/>
          <w:sz w:val="20"/>
        </w:rPr>
      </w:pPr>
      <w:r w:rsidRPr="00785E1A">
        <w:rPr>
          <w:rFonts w:ascii="Arial" w:hAnsi="Arial" w:cs="Arial"/>
          <w:color w:val="000000"/>
          <w:sz w:val="20"/>
        </w:rPr>
        <w:t xml:space="preserve">In </w:t>
      </w:r>
      <w:r w:rsidRPr="00785E1A">
        <w:rPr>
          <w:rFonts w:ascii="Arial" w:hAnsi="Arial" w:cs="Arial"/>
          <w:i/>
          <w:color w:val="000000"/>
          <w:sz w:val="20"/>
        </w:rPr>
        <w:t>Noone</w:t>
      </w:r>
      <w:r w:rsidRPr="00785E1A">
        <w:rPr>
          <w:rFonts w:ascii="Arial" w:hAnsi="Arial" w:cs="Arial"/>
          <w:color w:val="000000"/>
          <w:sz w:val="20"/>
        </w:rPr>
        <w:t xml:space="preserve">, </w:t>
      </w:r>
      <w:r w:rsidRPr="00785E1A">
        <w:rPr>
          <w:rFonts w:ascii="Arial" w:hAnsi="Arial" w:cs="Arial"/>
          <w:i/>
          <w:color w:val="000000"/>
          <w:sz w:val="20"/>
        </w:rPr>
        <w:t>Director of Consumer Affairs Victoria v Operation Smile (Australia) Inc &amp; Ors (No 2)</w:t>
      </w:r>
      <w:r w:rsidRPr="00785E1A">
        <w:rPr>
          <w:rFonts w:ascii="Arial" w:hAnsi="Arial" w:cs="Arial"/>
          <w:color w:val="000000"/>
          <w:sz w:val="16"/>
        </w:rPr>
        <w:t xml:space="preserve"> </w:t>
      </w:r>
      <w:r w:rsidRPr="00785E1A">
        <w:rPr>
          <w:rFonts w:ascii="Arial" w:hAnsi="Arial" w:cs="Arial"/>
          <w:color w:val="000000"/>
          <w:sz w:val="20"/>
        </w:rPr>
        <w:t>[2011] VSC 153 at [12] Pagone J referred to “the obligation of a public official to act as a model litigant” and added: “A government official exercising a statutory function or duty shares a common interest with the Court in co-operating to achieve the correct result.”  His</w:t>
      </w:r>
      <w:r w:rsidR="00BF7A03" w:rsidRPr="00785E1A">
        <w:rPr>
          <w:rFonts w:ascii="Arial" w:hAnsi="Arial" w:cs="Arial"/>
          <w:color w:val="000000"/>
          <w:sz w:val="20"/>
        </w:rPr>
        <w:t> </w:t>
      </w:r>
      <w:r w:rsidRPr="00785E1A">
        <w:rPr>
          <w:rFonts w:ascii="Arial" w:hAnsi="Arial" w:cs="Arial"/>
          <w:color w:val="000000"/>
          <w:sz w:val="20"/>
        </w:rPr>
        <w:t>Honour based this dicta on a large number of cases to which he referred in footnote 2</w:t>
      </w:r>
      <w:r w:rsidR="00926EE1" w:rsidRPr="00785E1A">
        <w:rPr>
          <w:rFonts w:ascii="Arial" w:hAnsi="Arial" w:cs="Arial"/>
          <w:color w:val="000000"/>
          <w:sz w:val="20"/>
        </w:rPr>
        <w:t>0</w:t>
      </w:r>
      <w:r w:rsidRPr="00785E1A">
        <w:rPr>
          <w:rFonts w:ascii="Arial" w:hAnsi="Arial" w:cs="Arial"/>
          <w:color w:val="000000"/>
          <w:sz w:val="20"/>
        </w:rPr>
        <w:t xml:space="preserve"> as well as the cases of </w:t>
      </w:r>
      <w:r w:rsidRPr="00785E1A">
        <w:rPr>
          <w:rFonts w:ascii="Arial" w:hAnsi="Arial" w:cs="Arial"/>
          <w:i/>
          <w:color w:val="000000"/>
          <w:sz w:val="20"/>
        </w:rPr>
        <w:t xml:space="preserve">E v Secretary of State for the Home Department </w:t>
      </w:r>
      <w:r w:rsidRPr="00785E1A">
        <w:rPr>
          <w:rFonts w:ascii="Arial" w:hAnsi="Arial" w:cs="Arial"/>
          <w:color w:val="000000"/>
          <w:sz w:val="20"/>
        </w:rPr>
        <w:t xml:space="preserve">[2004] QB 1044, 1070 and </w:t>
      </w:r>
      <w:r w:rsidRPr="00785E1A">
        <w:rPr>
          <w:rFonts w:ascii="Arial" w:hAnsi="Arial" w:cs="Arial"/>
          <w:i/>
          <w:color w:val="000000"/>
          <w:sz w:val="20"/>
        </w:rPr>
        <w:t xml:space="preserve">SH (Afghanistan) v Secretary of State for the Home Department </w:t>
      </w:r>
      <w:r w:rsidRPr="00785E1A">
        <w:rPr>
          <w:rFonts w:ascii="Arial" w:hAnsi="Arial" w:cs="Arial"/>
          <w:color w:val="000000"/>
          <w:sz w:val="20"/>
        </w:rPr>
        <w:t>[2007] EWCA Civ 1197.</w:t>
      </w:r>
      <w:r w:rsidR="00915A9E" w:rsidRPr="00785E1A">
        <w:rPr>
          <w:rFonts w:ascii="Arial" w:hAnsi="Arial" w:cs="Arial"/>
          <w:color w:val="000000"/>
          <w:sz w:val="20"/>
        </w:rPr>
        <w:t xml:space="preserve">  </w:t>
      </w:r>
      <w:r w:rsidR="00BF7A03" w:rsidRPr="00785E1A">
        <w:rPr>
          <w:rFonts w:ascii="Arial" w:hAnsi="Arial" w:cs="Arial"/>
          <w:color w:val="000000"/>
          <w:sz w:val="20"/>
        </w:rPr>
        <w:t>His Honour’s</w:t>
      </w:r>
      <w:r w:rsidR="00915A9E" w:rsidRPr="00785E1A">
        <w:rPr>
          <w:rFonts w:ascii="Arial" w:hAnsi="Arial" w:cs="Arial"/>
          <w:color w:val="000000"/>
          <w:sz w:val="20"/>
        </w:rPr>
        <w:t xml:space="preserve"> dicta applies equally to the Child Protection Service.</w:t>
      </w:r>
    </w:p>
    <w:p w14:paraId="2594F161" w14:textId="17756DD3" w:rsidR="002D7628" w:rsidRPr="00377641" w:rsidRDefault="002D7628" w:rsidP="00BE7653">
      <w:pPr>
        <w:jc w:val="both"/>
        <w:rPr>
          <w:rFonts w:ascii="Arial" w:hAnsi="Arial" w:cs="Arial"/>
          <w:color w:val="000000"/>
          <w:sz w:val="18"/>
          <w:szCs w:val="22"/>
        </w:rPr>
      </w:pPr>
    </w:p>
    <w:p w14:paraId="0F02F339" w14:textId="3408FED8" w:rsidR="001521E7" w:rsidRDefault="001521E7" w:rsidP="00BE7653">
      <w:pPr>
        <w:jc w:val="both"/>
        <w:rPr>
          <w:rFonts w:ascii="Arial" w:hAnsi="Arial" w:cs="Arial"/>
          <w:color w:val="000000"/>
          <w:sz w:val="20"/>
        </w:rPr>
      </w:pPr>
      <w:r>
        <w:rPr>
          <w:rFonts w:ascii="Arial" w:hAnsi="Arial" w:cs="Arial"/>
          <w:color w:val="000000"/>
          <w:sz w:val="20"/>
        </w:rPr>
        <w:t xml:space="preserve">In </w:t>
      </w:r>
      <w:r w:rsidRPr="00E50DB0">
        <w:rPr>
          <w:rFonts w:ascii="Arial" w:hAnsi="Arial" w:cs="Arial"/>
          <w:i/>
          <w:sz w:val="20"/>
          <w:szCs w:val="20"/>
        </w:rPr>
        <w:t>DOHS v Mr M &amp; Ms H</w:t>
      </w:r>
      <w:r w:rsidRPr="00E50DB0">
        <w:rPr>
          <w:rFonts w:ascii="Arial" w:hAnsi="Arial" w:cs="Arial"/>
          <w:sz w:val="20"/>
          <w:szCs w:val="20"/>
        </w:rPr>
        <w:t xml:space="preserve"> [Children’s Court of Victoria, 11/05/2009]</w:t>
      </w:r>
      <w:r>
        <w:rPr>
          <w:rFonts w:ascii="Arial" w:hAnsi="Arial" w:cs="Arial"/>
          <w:sz w:val="20"/>
          <w:szCs w:val="20"/>
        </w:rPr>
        <w:t xml:space="preserve"> at p.</w:t>
      </w:r>
      <w:r w:rsidR="009371CA">
        <w:rPr>
          <w:rFonts w:ascii="Arial" w:hAnsi="Arial" w:cs="Arial"/>
          <w:sz w:val="20"/>
          <w:szCs w:val="20"/>
        </w:rPr>
        <w:t>30</w:t>
      </w:r>
      <w:r>
        <w:rPr>
          <w:rFonts w:ascii="Arial" w:hAnsi="Arial" w:cs="Arial"/>
          <w:sz w:val="20"/>
          <w:szCs w:val="20"/>
        </w:rPr>
        <w:t>, Magistrate Power said of the barrister who had represented the Department in the 13-day contested hearing:</w:t>
      </w:r>
    </w:p>
    <w:p w14:paraId="389B7440" w14:textId="636B26E4" w:rsidR="001521E7" w:rsidRDefault="001521E7" w:rsidP="001521E7">
      <w:pPr>
        <w:pStyle w:val="NormalWeb"/>
        <w:spacing w:before="60" w:beforeAutospacing="0" w:after="0" w:afterAutospacing="0"/>
        <w:ind w:left="567" w:right="567"/>
        <w:jc w:val="both"/>
        <w:rPr>
          <w:rFonts w:ascii="Arial" w:hAnsi="Arial" w:cs="Arial"/>
          <w:sz w:val="20"/>
          <w:szCs w:val="20"/>
        </w:rPr>
      </w:pPr>
      <w:r>
        <w:rPr>
          <w:rFonts w:ascii="Arial" w:hAnsi="Arial" w:cs="Arial"/>
          <w:sz w:val="20"/>
          <w:szCs w:val="20"/>
        </w:rPr>
        <w:lastRenderedPageBreak/>
        <w:t>“</w:t>
      </w:r>
      <w:r w:rsidR="009371CA" w:rsidRPr="009371CA">
        <w:rPr>
          <w:rFonts w:ascii="Arial" w:hAnsi="Arial" w:cs="Arial"/>
          <w:bCs/>
          <w:sz w:val="20"/>
          <w:szCs w:val="20"/>
        </w:rPr>
        <w:t xml:space="preserve">If I may say so, the way in which </w:t>
      </w:r>
      <w:r w:rsidR="009371CA">
        <w:rPr>
          <w:rFonts w:ascii="Arial" w:hAnsi="Arial" w:cs="Arial"/>
          <w:bCs/>
          <w:sz w:val="20"/>
          <w:szCs w:val="20"/>
        </w:rPr>
        <w:t>[counsel]</w:t>
      </w:r>
      <w:r w:rsidR="009371CA" w:rsidRPr="009371CA">
        <w:rPr>
          <w:rFonts w:ascii="Arial" w:hAnsi="Arial" w:cs="Arial"/>
          <w:bCs/>
          <w:sz w:val="20"/>
          <w:szCs w:val="20"/>
        </w:rPr>
        <w:t xml:space="preserve"> prosecuted this case on behalf of the Department was exactly how a legal representative for a model litigant – as the Department is required to be – should behave, namely </w:t>
      </w:r>
      <w:r w:rsidR="009371CA">
        <w:rPr>
          <w:rFonts w:ascii="Arial" w:hAnsi="Arial" w:cs="Arial"/>
          <w:bCs/>
          <w:sz w:val="20"/>
          <w:szCs w:val="20"/>
        </w:rPr>
        <w:t>‘</w:t>
      </w:r>
      <w:r w:rsidR="009371CA" w:rsidRPr="009371CA">
        <w:rPr>
          <w:rFonts w:ascii="Arial" w:hAnsi="Arial" w:cs="Arial"/>
          <w:bCs/>
          <w:sz w:val="20"/>
          <w:szCs w:val="20"/>
        </w:rPr>
        <w:t>with complete propriety, fairly and in accordance with the highest professional standards</w:t>
      </w:r>
      <w:r w:rsidR="00464182">
        <w:rPr>
          <w:rFonts w:ascii="Arial" w:hAnsi="Arial" w:cs="Arial"/>
          <w:bCs/>
          <w:sz w:val="20"/>
          <w:szCs w:val="20"/>
        </w:rPr>
        <w:t>’</w:t>
      </w:r>
      <w:r w:rsidR="009371CA">
        <w:rPr>
          <w:rFonts w:ascii="Arial" w:hAnsi="Arial" w:cs="Arial"/>
          <w:bCs/>
          <w:sz w:val="20"/>
          <w:szCs w:val="20"/>
        </w:rPr>
        <w:t>.</w:t>
      </w:r>
      <w:r w:rsidR="009371CA" w:rsidRPr="009371CA">
        <w:rPr>
          <w:rFonts w:ascii="Arial" w:hAnsi="Arial" w:cs="Arial"/>
          <w:bCs/>
          <w:sz w:val="20"/>
          <w:szCs w:val="20"/>
        </w:rPr>
        <w:t>”</w:t>
      </w:r>
    </w:p>
    <w:p w14:paraId="5F0A32F9" w14:textId="15F11068" w:rsidR="001521E7" w:rsidRPr="00377641" w:rsidRDefault="001521E7" w:rsidP="00BE7653">
      <w:pPr>
        <w:jc w:val="both"/>
        <w:rPr>
          <w:rFonts w:ascii="Arial" w:hAnsi="Arial" w:cs="Arial"/>
          <w:color w:val="000000"/>
          <w:sz w:val="18"/>
          <w:szCs w:val="22"/>
        </w:rPr>
      </w:pPr>
    </w:p>
    <w:p w14:paraId="5DFCD7CD" w14:textId="77777777" w:rsidR="00BE7653" w:rsidRPr="00BE7653" w:rsidRDefault="00BE7653" w:rsidP="00BE7653">
      <w:pPr>
        <w:jc w:val="both"/>
        <w:rPr>
          <w:rFonts w:ascii="Arial" w:hAnsi="Arial" w:cs="Arial"/>
          <w:sz w:val="20"/>
        </w:rPr>
      </w:pPr>
      <w:r>
        <w:rPr>
          <w:rFonts w:ascii="Arial" w:hAnsi="Arial" w:cs="Arial"/>
          <w:sz w:val="20"/>
        </w:rPr>
        <w:t xml:space="preserve">For a related discussion of the Commonwealth’s obligation to act as a model litigant see </w:t>
      </w:r>
      <w:r w:rsidRPr="00BE7653">
        <w:rPr>
          <w:rFonts w:ascii="Arial" w:hAnsi="Arial" w:cs="Arial"/>
          <w:i/>
          <w:sz w:val="20"/>
        </w:rPr>
        <w:t>Law Institute of Victoria Ltd v Deputy Commissioner of Taxation</w:t>
      </w:r>
      <w:r>
        <w:rPr>
          <w:rFonts w:ascii="Arial" w:hAnsi="Arial" w:cs="Arial"/>
          <w:sz w:val="20"/>
        </w:rPr>
        <w:t xml:space="preserve"> [2009] VSC 55 at [19] and the cases cited in footnote 41 thereto.</w:t>
      </w:r>
    </w:p>
    <w:p w14:paraId="07C26531" w14:textId="77777777" w:rsidR="00540381" w:rsidRPr="00E14F02" w:rsidRDefault="00540381" w:rsidP="00540381">
      <w:pPr>
        <w:pStyle w:val="NormalWeb"/>
        <w:spacing w:before="0" w:beforeAutospacing="0" w:after="0" w:afterAutospacing="0"/>
        <w:jc w:val="both"/>
        <w:rPr>
          <w:rFonts w:ascii="Arial" w:hAnsi="Arial" w:cs="Arial"/>
          <w:sz w:val="18"/>
          <w:szCs w:val="20"/>
        </w:rPr>
      </w:pPr>
    </w:p>
    <w:p w14:paraId="47B0ABA4" w14:textId="50DE01E0" w:rsidR="00540381" w:rsidRDefault="00540381" w:rsidP="00540381">
      <w:pPr>
        <w:pStyle w:val="Heading3"/>
        <w:spacing w:line="240" w:lineRule="auto"/>
        <w:rPr>
          <w:rFonts w:ascii="Arial" w:hAnsi="Arial" w:cs="Arial"/>
          <w:b/>
          <w:bCs/>
          <w:sz w:val="20"/>
        </w:rPr>
      </w:pPr>
      <w:bookmarkStart w:id="242" w:name="_4.1.7_Authorisation_of"/>
      <w:bookmarkStart w:id="243" w:name="_4.1.7_Secretary_DFFH"/>
      <w:bookmarkStart w:id="244" w:name="_Hlk136932544"/>
      <w:bookmarkEnd w:id="242"/>
      <w:bookmarkEnd w:id="243"/>
      <w:r>
        <w:rPr>
          <w:rFonts w:ascii="Arial" w:hAnsi="Arial" w:cs="Arial"/>
          <w:b/>
          <w:bCs/>
          <w:sz w:val="20"/>
        </w:rPr>
        <w:t>4.1.7</w:t>
      </w:r>
      <w:r>
        <w:rPr>
          <w:rFonts w:ascii="Arial" w:hAnsi="Arial" w:cs="Arial"/>
          <w:b/>
          <w:bCs/>
          <w:sz w:val="20"/>
        </w:rPr>
        <w:tab/>
      </w:r>
      <w:r w:rsidR="0004455B">
        <w:rPr>
          <w:rStyle w:val="Hyperlink"/>
          <w:rFonts w:ascii="Arial" w:hAnsi="Arial" w:cs="Arial"/>
          <w:b/>
          <w:bCs/>
          <w:color w:val="000000" w:themeColor="text1"/>
          <w:sz w:val="20"/>
          <w:u w:val="none"/>
        </w:rPr>
        <w:t>DFFH may a</w:t>
      </w:r>
      <w:r w:rsidRPr="00540381">
        <w:rPr>
          <w:rStyle w:val="Hyperlink"/>
          <w:rFonts w:ascii="Arial" w:hAnsi="Arial" w:cs="Arial"/>
          <w:b/>
          <w:bCs/>
          <w:color w:val="000000" w:themeColor="text1"/>
          <w:sz w:val="20"/>
          <w:u w:val="none"/>
        </w:rPr>
        <w:t>uthoris</w:t>
      </w:r>
      <w:r w:rsidR="0004455B">
        <w:rPr>
          <w:rStyle w:val="Hyperlink"/>
          <w:rFonts w:ascii="Arial" w:hAnsi="Arial" w:cs="Arial"/>
          <w:b/>
          <w:bCs/>
          <w:color w:val="000000" w:themeColor="text1"/>
          <w:sz w:val="20"/>
          <w:u w:val="none"/>
        </w:rPr>
        <w:t>e</w:t>
      </w:r>
      <w:r w:rsidRPr="00540381">
        <w:rPr>
          <w:rStyle w:val="Hyperlink"/>
          <w:rFonts w:ascii="Arial" w:hAnsi="Arial" w:cs="Arial"/>
          <w:b/>
          <w:bCs/>
          <w:color w:val="000000" w:themeColor="text1"/>
          <w:sz w:val="20"/>
          <w:u w:val="none"/>
        </w:rPr>
        <w:t xml:space="preserve"> Aboriginal agency to carry out </w:t>
      </w:r>
      <w:r w:rsidR="0004455B">
        <w:rPr>
          <w:rStyle w:val="Hyperlink"/>
          <w:rFonts w:ascii="Arial" w:hAnsi="Arial" w:cs="Arial"/>
          <w:b/>
          <w:bCs/>
          <w:color w:val="000000" w:themeColor="text1"/>
          <w:sz w:val="20"/>
          <w:u w:val="none"/>
        </w:rPr>
        <w:t xml:space="preserve">DFFH </w:t>
      </w:r>
      <w:r w:rsidRPr="00540381">
        <w:rPr>
          <w:rStyle w:val="Hyperlink"/>
          <w:rFonts w:ascii="Arial" w:hAnsi="Arial" w:cs="Arial"/>
          <w:b/>
          <w:bCs/>
          <w:color w:val="000000" w:themeColor="text1"/>
          <w:sz w:val="20"/>
          <w:u w:val="none"/>
        </w:rPr>
        <w:t>functions</w:t>
      </w:r>
    </w:p>
    <w:p w14:paraId="5FB59E2C" w14:textId="78678090" w:rsidR="00540381" w:rsidRDefault="00540381" w:rsidP="00540381">
      <w:pPr>
        <w:pStyle w:val="Heading3"/>
        <w:spacing w:line="240" w:lineRule="auto"/>
        <w:rPr>
          <w:rFonts w:ascii="Arial" w:hAnsi="Arial" w:cs="Arial"/>
          <w:sz w:val="18"/>
        </w:rPr>
      </w:pPr>
    </w:p>
    <w:p w14:paraId="0AB8C765" w14:textId="79790BB0" w:rsidR="000B2E56" w:rsidRDefault="000A7BD0" w:rsidP="00B71853">
      <w:pPr>
        <w:pStyle w:val="Heading3"/>
        <w:spacing w:line="240" w:lineRule="auto"/>
        <w:rPr>
          <w:rFonts w:ascii="Arial" w:hAnsi="Arial" w:cs="Arial"/>
          <w:sz w:val="20"/>
          <w:szCs w:val="22"/>
        </w:rPr>
      </w:pPr>
      <w:r>
        <w:rPr>
          <w:rFonts w:ascii="Arial" w:hAnsi="Arial" w:cs="Arial"/>
          <w:sz w:val="20"/>
          <w:szCs w:val="22"/>
        </w:rPr>
        <w:t>There is – and has long been – a</w:t>
      </w:r>
      <w:r w:rsidR="0069705D">
        <w:rPr>
          <w:rFonts w:ascii="Arial" w:hAnsi="Arial" w:cs="Arial"/>
          <w:sz w:val="20"/>
          <w:szCs w:val="22"/>
        </w:rPr>
        <w:t xml:space="preserve">n </w:t>
      </w:r>
      <w:r>
        <w:rPr>
          <w:rFonts w:ascii="Arial" w:hAnsi="Arial" w:cs="Arial"/>
          <w:sz w:val="20"/>
          <w:szCs w:val="22"/>
        </w:rPr>
        <w:t>over-representation of Aboriginal and Torres Strait Islander children in the child protection system</w:t>
      </w:r>
      <w:r w:rsidR="00B71853">
        <w:rPr>
          <w:rFonts w:ascii="Arial" w:hAnsi="Arial" w:cs="Arial"/>
          <w:sz w:val="20"/>
          <w:szCs w:val="22"/>
        </w:rPr>
        <w:t xml:space="preserve"> both in Victoria and throughout Australia.  </w:t>
      </w:r>
      <w:r w:rsidR="000B2E56">
        <w:rPr>
          <w:rFonts w:ascii="Arial" w:hAnsi="Arial" w:cs="Arial"/>
          <w:sz w:val="20"/>
          <w:szCs w:val="22"/>
        </w:rPr>
        <w:t xml:space="preserve">Table 16A.9 in Part F, section 16 of the Australian Government’s Report on Government Services 2023 shows that the </w:t>
      </w:r>
      <w:r w:rsidR="00086A15">
        <w:rPr>
          <w:rFonts w:ascii="Arial" w:hAnsi="Arial" w:cs="Arial"/>
          <w:sz w:val="20"/>
          <w:szCs w:val="22"/>
        </w:rPr>
        <w:t>‘</w:t>
      </w:r>
      <w:r w:rsidR="000B2E56">
        <w:rPr>
          <w:rFonts w:ascii="Arial" w:hAnsi="Arial" w:cs="Arial"/>
          <w:sz w:val="20"/>
          <w:szCs w:val="22"/>
        </w:rPr>
        <w:t>disproportionality ratios</w:t>
      </w:r>
      <w:r w:rsidR="00086A15">
        <w:rPr>
          <w:rFonts w:ascii="Arial" w:hAnsi="Arial" w:cs="Arial"/>
          <w:sz w:val="20"/>
          <w:szCs w:val="22"/>
        </w:rPr>
        <w:t>’</w:t>
      </w:r>
      <w:r w:rsidR="000B2E56">
        <w:rPr>
          <w:rFonts w:ascii="Arial" w:hAnsi="Arial" w:cs="Arial"/>
          <w:sz w:val="20"/>
          <w:szCs w:val="22"/>
        </w:rPr>
        <w:t xml:space="preserve"> for Aboriginal and Torres Strait Islander children aged 0-17 years in </w:t>
      </w:r>
      <w:r w:rsidR="00295010">
        <w:rPr>
          <w:rFonts w:ascii="Arial" w:hAnsi="Arial" w:cs="Arial"/>
          <w:sz w:val="20"/>
          <w:szCs w:val="22"/>
        </w:rPr>
        <w:t xml:space="preserve">Victoria in </w:t>
      </w:r>
      <w:r w:rsidR="000B2E56">
        <w:rPr>
          <w:rFonts w:ascii="Arial" w:hAnsi="Arial" w:cs="Arial"/>
          <w:sz w:val="20"/>
          <w:szCs w:val="22"/>
        </w:rPr>
        <w:t>2021-22 were as follows:</w:t>
      </w:r>
    </w:p>
    <w:p w14:paraId="250091A8" w14:textId="14B26E0B" w:rsidR="000B2E56" w:rsidRDefault="00C40B73" w:rsidP="009A6707">
      <w:pPr>
        <w:pStyle w:val="Heading3"/>
        <w:pBdr>
          <w:top w:val="single" w:sz="4" w:space="1" w:color="auto"/>
          <w:left w:val="single" w:sz="4" w:space="4" w:color="auto"/>
          <w:bottom w:val="single" w:sz="4" w:space="1" w:color="auto"/>
          <w:right w:val="single" w:sz="4" w:space="4" w:color="auto"/>
        </w:pBdr>
        <w:shd w:val="clear" w:color="auto" w:fill="DDDDDD"/>
        <w:spacing w:before="60" w:line="240" w:lineRule="auto"/>
        <w:rPr>
          <w:rFonts w:ascii="Arial" w:hAnsi="Arial" w:cs="Arial"/>
          <w:sz w:val="20"/>
          <w:szCs w:val="22"/>
        </w:rPr>
      </w:pPr>
      <w:r>
        <w:rPr>
          <w:rFonts w:ascii="Arial" w:hAnsi="Arial" w:cs="Arial"/>
          <w:sz w:val="20"/>
          <w:szCs w:val="22"/>
        </w:rPr>
        <w:t>Notifications: 4.92</w:t>
      </w:r>
      <w:r w:rsidR="00295010">
        <w:rPr>
          <w:rFonts w:ascii="Arial" w:hAnsi="Arial" w:cs="Arial"/>
          <w:sz w:val="20"/>
          <w:szCs w:val="22"/>
        </w:rPr>
        <w:t xml:space="preserve"> – Substantiations 7.52 – Protection orders 13.66 – Out of home care 15.98.</w:t>
      </w:r>
    </w:p>
    <w:p w14:paraId="40A543FE" w14:textId="77777777" w:rsidR="00C40B73" w:rsidRPr="00655B9A" w:rsidRDefault="00C40B73" w:rsidP="00B71853">
      <w:pPr>
        <w:pStyle w:val="Heading3"/>
        <w:spacing w:line="240" w:lineRule="auto"/>
        <w:rPr>
          <w:rFonts w:ascii="Arial" w:hAnsi="Arial" w:cs="Arial"/>
          <w:sz w:val="20"/>
          <w:szCs w:val="22"/>
        </w:rPr>
      </w:pPr>
    </w:p>
    <w:p w14:paraId="62D49544" w14:textId="6BD12070" w:rsidR="000A7BD0" w:rsidRDefault="000A7BD0" w:rsidP="00540381">
      <w:pPr>
        <w:pStyle w:val="Heading3"/>
        <w:spacing w:line="240" w:lineRule="auto"/>
        <w:rPr>
          <w:rFonts w:ascii="Arial" w:hAnsi="Arial" w:cs="Arial"/>
          <w:color w:val="45494B"/>
          <w:sz w:val="20"/>
        </w:rPr>
      </w:pPr>
      <w:r w:rsidRPr="000A7BD0">
        <w:rPr>
          <w:rFonts w:ascii="Arial" w:hAnsi="Arial" w:cs="Arial"/>
          <w:sz w:val="20"/>
          <w:szCs w:val="22"/>
        </w:rPr>
        <w:t xml:space="preserve">The Australian Institute of Health and Welfare reported </w:t>
      </w:r>
      <w:r>
        <w:rPr>
          <w:rFonts w:ascii="Arial" w:hAnsi="Arial" w:cs="Arial"/>
          <w:sz w:val="20"/>
          <w:szCs w:val="22"/>
        </w:rPr>
        <w:t xml:space="preserve">that </w:t>
      </w:r>
      <w:r w:rsidRPr="000A7BD0">
        <w:rPr>
          <w:rFonts w:ascii="Arial" w:hAnsi="Arial" w:cs="Arial"/>
          <w:color w:val="45494B"/>
          <w:sz w:val="20"/>
        </w:rPr>
        <w:t>58,000 Aboriginal</w:t>
      </w:r>
      <w:r>
        <w:rPr>
          <w:rFonts w:ascii="Arial" w:hAnsi="Arial" w:cs="Arial"/>
          <w:color w:val="45494B"/>
          <w:sz w:val="20"/>
        </w:rPr>
        <w:t xml:space="preserve"> </w:t>
      </w:r>
      <w:r w:rsidRPr="000A7BD0">
        <w:rPr>
          <w:rFonts w:ascii="Arial" w:hAnsi="Arial" w:cs="Arial"/>
          <w:color w:val="45494B"/>
          <w:sz w:val="20"/>
        </w:rPr>
        <w:t>and Torres Strait Islander children received child protection services</w:t>
      </w:r>
      <w:r w:rsidR="009A6707">
        <w:rPr>
          <w:rFonts w:ascii="Arial" w:hAnsi="Arial" w:cs="Arial"/>
          <w:color w:val="45494B"/>
          <w:sz w:val="20"/>
        </w:rPr>
        <w:t xml:space="preserve"> </w:t>
      </w:r>
      <w:r w:rsidR="009A6707">
        <w:rPr>
          <w:rFonts w:ascii="Arial" w:hAnsi="Arial" w:cs="Arial"/>
          <w:sz w:val="20"/>
          <w:szCs w:val="22"/>
        </w:rPr>
        <w:t>i</w:t>
      </w:r>
      <w:r w:rsidR="009A6707" w:rsidRPr="000A7BD0">
        <w:rPr>
          <w:rFonts w:ascii="Arial" w:hAnsi="Arial" w:cs="Arial"/>
          <w:color w:val="45494B"/>
          <w:sz w:val="20"/>
        </w:rPr>
        <w:t>n 2020–21,</w:t>
      </w:r>
      <w:r w:rsidRPr="000A7BD0">
        <w:rPr>
          <w:rFonts w:ascii="Arial" w:hAnsi="Arial" w:cs="Arial"/>
          <w:color w:val="45494B"/>
          <w:sz w:val="20"/>
        </w:rPr>
        <w:t xml:space="preserve"> a rate of 172</w:t>
      </w:r>
      <w:r w:rsidR="00B71853">
        <w:rPr>
          <w:rFonts w:ascii="Arial" w:hAnsi="Arial" w:cs="Arial"/>
          <w:color w:val="45494B"/>
          <w:sz w:val="20"/>
        </w:rPr>
        <w:t xml:space="preserve"> </w:t>
      </w:r>
      <w:r w:rsidRPr="000A7BD0">
        <w:rPr>
          <w:rFonts w:ascii="Arial" w:hAnsi="Arial" w:cs="Arial"/>
          <w:color w:val="45494B"/>
          <w:sz w:val="20"/>
        </w:rPr>
        <w:t>per 1,000 children. In the same period, 112,400 non-</w:t>
      </w:r>
      <w:r w:rsidR="0097276A">
        <w:rPr>
          <w:rFonts w:ascii="Arial" w:hAnsi="Arial" w:cs="Arial"/>
          <w:color w:val="45494B"/>
          <w:sz w:val="20"/>
        </w:rPr>
        <w:t>First Peoples</w:t>
      </w:r>
      <w:r w:rsidRPr="000A7BD0">
        <w:rPr>
          <w:rFonts w:ascii="Arial" w:hAnsi="Arial" w:cs="Arial"/>
          <w:color w:val="45494B"/>
          <w:sz w:val="20"/>
        </w:rPr>
        <w:t xml:space="preserve"> children received child protection services, a rate of 21</w:t>
      </w:r>
      <w:r w:rsidR="009A6707">
        <w:rPr>
          <w:rFonts w:ascii="Arial" w:hAnsi="Arial" w:cs="Arial"/>
          <w:color w:val="45494B"/>
          <w:sz w:val="20"/>
        </w:rPr>
        <w:t xml:space="preserve"> </w:t>
      </w:r>
      <w:r w:rsidRPr="000A7BD0">
        <w:rPr>
          <w:rFonts w:ascii="Arial" w:hAnsi="Arial" w:cs="Arial"/>
          <w:color w:val="45494B"/>
          <w:sz w:val="20"/>
        </w:rPr>
        <w:t>per</w:t>
      </w:r>
      <w:r w:rsidR="009A6707">
        <w:rPr>
          <w:rFonts w:ascii="Arial" w:hAnsi="Arial" w:cs="Arial"/>
          <w:color w:val="45494B"/>
          <w:sz w:val="20"/>
        </w:rPr>
        <w:t xml:space="preserve"> </w:t>
      </w:r>
      <w:r w:rsidRPr="000A7BD0">
        <w:rPr>
          <w:rFonts w:ascii="Arial" w:hAnsi="Arial" w:cs="Arial"/>
          <w:color w:val="45494B"/>
          <w:sz w:val="20"/>
        </w:rPr>
        <w:t>1,000 children</w:t>
      </w:r>
      <w:r w:rsidR="00B71853">
        <w:rPr>
          <w:rFonts w:ascii="Arial" w:hAnsi="Arial" w:cs="Arial"/>
          <w:color w:val="45494B"/>
          <w:sz w:val="20"/>
        </w:rPr>
        <w:t xml:space="preserve">.  The chart below shows that Victoria has the highest rate of </w:t>
      </w:r>
      <w:r w:rsidR="0044288C">
        <w:rPr>
          <w:rFonts w:ascii="Arial" w:hAnsi="Arial" w:cs="Arial"/>
          <w:color w:val="45494B"/>
          <w:sz w:val="20"/>
        </w:rPr>
        <w:t xml:space="preserve">First </w:t>
      </w:r>
      <w:r w:rsidR="0097276A">
        <w:rPr>
          <w:rFonts w:ascii="Arial" w:hAnsi="Arial" w:cs="Arial"/>
          <w:color w:val="45494B"/>
          <w:sz w:val="20"/>
        </w:rPr>
        <w:t>Peoples</w:t>
      </w:r>
      <w:r w:rsidR="00B71853">
        <w:rPr>
          <w:rFonts w:ascii="Arial" w:hAnsi="Arial" w:cs="Arial"/>
          <w:color w:val="45494B"/>
          <w:sz w:val="20"/>
        </w:rPr>
        <w:t xml:space="preserve"> children receiving child protection services.</w:t>
      </w:r>
    </w:p>
    <w:p w14:paraId="0AEA2089" w14:textId="0EE7FC84" w:rsidR="00295010" w:rsidRPr="000A7BD0" w:rsidRDefault="00295010" w:rsidP="00540381">
      <w:pPr>
        <w:pStyle w:val="Heading3"/>
        <w:spacing w:line="240" w:lineRule="auto"/>
        <w:rPr>
          <w:rFonts w:ascii="Arial" w:hAnsi="Arial" w:cs="Arial"/>
          <w:sz w:val="20"/>
          <w:szCs w:val="22"/>
        </w:rPr>
      </w:pPr>
    </w:p>
    <w:bookmarkEnd w:id="244"/>
    <w:p w14:paraId="45D093C5" w14:textId="54A3F25D" w:rsidR="000A7BD0" w:rsidRPr="00B71853" w:rsidRDefault="000A7BD0" w:rsidP="004A5217">
      <w:pPr>
        <w:pStyle w:val="Heading4"/>
        <w:keepNext w:val="0"/>
        <w:keepLines w:val="0"/>
        <w:spacing w:before="0" w:after="120"/>
        <w:jc w:val="center"/>
        <w:rPr>
          <w:rFonts w:ascii="Arial" w:hAnsi="Arial" w:cs="Arial"/>
          <w:b/>
          <w:bCs/>
          <w:i w:val="0"/>
          <w:iCs w:val="0"/>
          <w:color w:val="45494B"/>
          <w:sz w:val="20"/>
          <w:szCs w:val="20"/>
        </w:rPr>
      </w:pPr>
      <w:r w:rsidRPr="00B71853">
        <w:rPr>
          <w:rFonts w:ascii="Arial" w:hAnsi="Arial" w:cs="Arial"/>
          <w:b/>
          <w:bCs/>
          <w:i w:val="0"/>
          <w:iCs w:val="0"/>
          <w:color w:val="45494B"/>
          <w:sz w:val="20"/>
          <w:szCs w:val="20"/>
        </w:rPr>
        <w:t xml:space="preserve">Children receiving child protection services, by </w:t>
      </w:r>
      <w:r w:rsidR="0097276A">
        <w:rPr>
          <w:rFonts w:ascii="Arial" w:hAnsi="Arial" w:cs="Arial"/>
          <w:b/>
          <w:bCs/>
          <w:i w:val="0"/>
          <w:iCs w:val="0"/>
          <w:color w:val="45494B"/>
          <w:sz w:val="20"/>
          <w:szCs w:val="20"/>
        </w:rPr>
        <w:t>First Peoples</w:t>
      </w:r>
      <w:r w:rsidRPr="00B71853">
        <w:rPr>
          <w:rFonts w:ascii="Arial" w:hAnsi="Arial" w:cs="Arial"/>
          <w:b/>
          <w:bCs/>
          <w:i w:val="0"/>
          <w:iCs w:val="0"/>
          <w:color w:val="45494B"/>
          <w:sz w:val="20"/>
          <w:szCs w:val="20"/>
        </w:rPr>
        <w:t xml:space="preserve"> status and state or territory, 2020–21</w:t>
      </w:r>
      <w:r w:rsidR="003D126A">
        <w:rPr>
          <w:rFonts w:ascii="Arial" w:hAnsi="Arial" w:cs="Arial"/>
          <w:b/>
          <w:bCs/>
          <w:i w:val="0"/>
          <w:iCs w:val="0"/>
          <w:color w:val="45494B"/>
          <w:sz w:val="20"/>
          <w:szCs w:val="20"/>
        </w:rPr>
        <w:t xml:space="preserve"> (rate)</w:t>
      </w:r>
    </w:p>
    <w:p w14:paraId="6DC1BCF6" w14:textId="36BA0522" w:rsidR="000A7BD0" w:rsidRDefault="003178FE" w:rsidP="00B71853">
      <w:pPr>
        <w:pStyle w:val="NormalWeb"/>
        <w:spacing w:before="0" w:beforeAutospacing="0" w:after="0" w:afterAutospacing="0"/>
        <w:rPr>
          <w:rFonts w:ascii="Open Sans" w:hAnsi="Open Sans" w:cs="Open Sans"/>
          <w:color w:val="45494B"/>
          <w:sz w:val="15"/>
          <w:szCs w:val="15"/>
        </w:rPr>
      </w:pPr>
      <w:r>
        <w:rPr>
          <w:noProof/>
        </w:rPr>
        <mc:AlternateContent>
          <mc:Choice Requires="wps">
            <w:drawing>
              <wp:anchor distT="45720" distB="45720" distL="114300" distR="114300" simplePos="0" relativeHeight="251715584" behindDoc="0" locked="0" layoutInCell="1" allowOverlap="1" wp14:anchorId="03C0882F" wp14:editId="3F86F035">
                <wp:simplePos x="0" y="0"/>
                <wp:positionH relativeFrom="column">
                  <wp:posOffset>2707005</wp:posOffset>
                </wp:positionH>
                <wp:positionV relativeFrom="paragraph">
                  <wp:posOffset>56515</wp:posOffset>
                </wp:positionV>
                <wp:extent cx="1227455" cy="198120"/>
                <wp:effectExtent l="9525" t="13970" r="10795" b="6985"/>
                <wp:wrapNone/>
                <wp:docPr id="57341896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198120"/>
                        </a:xfrm>
                        <a:prstGeom prst="rect">
                          <a:avLst/>
                        </a:prstGeom>
                        <a:solidFill>
                          <a:srgbClr val="FFFFFF"/>
                        </a:solidFill>
                        <a:ln w="9525">
                          <a:solidFill>
                            <a:srgbClr val="FFFFFF"/>
                          </a:solidFill>
                          <a:miter lim="800000"/>
                          <a:headEnd/>
                          <a:tailEnd/>
                        </a:ln>
                      </wps:spPr>
                      <wps:txbx>
                        <w:txbxContent>
                          <w:p w14:paraId="18DF5560" w14:textId="3EFE24CA" w:rsidR="00CC2A85" w:rsidRPr="00CC2A85" w:rsidRDefault="00CC2A85" w:rsidP="00CC2A85">
                            <w:pPr>
                              <w:rPr>
                                <w:rFonts w:ascii="Arial" w:hAnsi="Arial" w:cs="Arial"/>
                                <w:b/>
                                <w:bCs/>
                                <w:sz w:val="12"/>
                                <w:szCs w:val="12"/>
                              </w:rPr>
                            </w:pPr>
                            <w:r w:rsidRPr="00CC2A85">
                              <w:rPr>
                                <w:rFonts w:ascii="Arial" w:hAnsi="Arial" w:cs="Arial"/>
                                <w:b/>
                                <w:bCs/>
                                <w:sz w:val="12"/>
                                <w:szCs w:val="12"/>
                              </w:rPr>
                              <w:t>Non-</w:t>
                            </w:r>
                            <w:r w:rsidR="0097276A">
                              <w:rPr>
                                <w:rFonts w:ascii="Arial" w:hAnsi="Arial" w:cs="Arial"/>
                                <w:b/>
                                <w:bCs/>
                                <w:sz w:val="12"/>
                                <w:szCs w:val="12"/>
                              </w:rPr>
                              <w:t>First Peoples</w:t>
                            </w:r>
                            <w:r w:rsidRPr="00CC2A85">
                              <w:rPr>
                                <w:rFonts w:ascii="Arial" w:hAnsi="Arial" w:cs="Arial"/>
                                <w:b/>
                                <w:bCs/>
                                <w:sz w:val="12"/>
                                <w:szCs w:val="12"/>
                              </w:rPr>
                              <w:t xml:space="preserve"> children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C0882F" id="_x0000_t202" coordsize="21600,21600" o:spt="202" path="m,l,21600r21600,l21600,xe">
                <v:stroke joinstyle="miter"/>
                <v:path gradientshapeok="t" o:connecttype="rect"/>
              </v:shapetype>
              <v:shape id="Text Box 97" o:spid="_x0000_s1026" type="#_x0000_t202" style="position:absolute;margin-left:213.15pt;margin-top:4.45pt;width:96.65pt;height:15.6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" strokecolor="white">
                <v:textbox>
                  <w:txbxContent>
                    <w:p w14:paraId="18DF5560" w14:textId="3EFE24CA" w:rsidR="00CC2A85" w:rsidRPr="00CC2A85" w:rsidRDefault="00CC2A85" w:rsidP="00CC2A85">
                      <w:pPr>
                        <w:rPr>
                          <w:rFonts w:ascii="Arial" w:hAnsi="Arial" w:cs="Arial"/>
                          <w:b/>
                          <w:bCs/>
                          <w:sz w:val="12"/>
                          <w:szCs w:val="12"/>
                        </w:rPr>
                      </w:pPr>
                      <w:r w:rsidRPr="00CC2A85">
                        <w:rPr>
                          <w:rFonts w:ascii="Arial" w:hAnsi="Arial" w:cs="Arial"/>
                          <w:b/>
                          <w:bCs/>
                          <w:sz w:val="12"/>
                          <w:szCs w:val="12"/>
                        </w:rPr>
                        <w:t>Non-</w:t>
                      </w:r>
                      <w:r w:rsidR="0097276A">
                        <w:rPr>
                          <w:rFonts w:ascii="Arial" w:hAnsi="Arial" w:cs="Arial"/>
                          <w:b/>
                          <w:bCs/>
                          <w:sz w:val="12"/>
                          <w:szCs w:val="12"/>
                        </w:rPr>
                        <w:t>First Peoples</w:t>
                      </w:r>
                      <w:r w:rsidRPr="00CC2A85">
                        <w:rPr>
                          <w:rFonts w:ascii="Arial" w:hAnsi="Arial" w:cs="Arial"/>
                          <w:b/>
                          <w:bCs/>
                          <w:sz w:val="12"/>
                          <w:szCs w:val="12"/>
                        </w:rPr>
                        <w:t xml:space="preserve"> children</w:t>
                      </w:r>
                    </w:p>
                  </w:txbxContent>
                </v:textbox>
              </v:shape>
            </w:pict>
          </mc:Fallback>
        </mc:AlternateContent>
      </w:r>
      <w:r>
        <w:rPr>
          <w:noProof/>
        </w:rPr>
        <mc:AlternateContent>
          <mc:Choice Requires="wps">
            <w:drawing>
              <wp:anchor distT="45720" distB="45720" distL="114300" distR="114300" simplePos="0" relativeHeight="251714560" behindDoc="0" locked="0" layoutInCell="1" allowOverlap="1" wp14:anchorId="03C0882F" wp14:editId="1E4D5996">
                <wp:simplePos x="0" y="0"/>
                <wp:positionH relativeFrom="column">
                  <wp:posOffset>1602105</wp:posOffset>
                </wp:positionH>
                <wp:positionV relativeFrom="paragraph">
                  <wp:posOffset>58420</wp:posOffset>
                </wp:positionV>
                <wp:extent cx="1007745" cy="198120"/>
                <wp:effectExtent l="9525" t="6350" r="11430" b="5080"/>
                <wp:wrapNone/>
                <wp:docPr id="16641232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198120"/>
                        </a:xfrm>
                        <a:prstGeom prst="rect">
                          <a:avLst/>
                        </a:prstGeom>
                        <a:solidFill>
                          <a:srgbClr val="FFFFFF"/>
                        </a:solidFill>
                        <a:ln w="9525">
                          <a:solidFill>
                            <a:srgbClr val="FFFFFF"/>
                          </a:solidFill>
                          <a:miter lim="800000"/>
                          <a:headEnd/>
                          <a:tailEnd/>
                        </a:ln>
                      </wps:spPr>
                      <wps:txbx>
                        <w:txbxContent>
                          <w:p w14:paraId="0738CBFA" w14:textId="7B5DA42E" w:rsidR="00CC2A85" w:rsidRPr="00CC2A85" w:rsidRDefault="0097276A">
                            <w:pPr>
                              <w:rPr>
                                <w:rFonts w:ascii="Arial" w:hAnsi="Arial" w:cs="Arial"/>
                                <w:b/>
                                <w:bCs/>
                                <w:sz w:val="12"/>
                                <w:szCs w:val="12"/>
                              </w:rPr>
                            </w:pPr>
                            <w:r>
                              <w:rPr>
                                <w:rFonts w:ascii="Arial" w:hAnsi="Arial" w:cs="Arial"/>
                                <w:b/>
                                <w:bCs/>
                                <w:sz w:val="12"/>
                                <w:szCs w:val="12"/>
                              </w:rPr>
                              <w:t>First Peoples</w:t>
                            </w:r>
                            <w:r w:rsidR="00CC2A85" w:rsidRPr="00CC2A85">
                              <w:rPr>
                                <w:rFonts w:ascii="Arial" w:hAnsi="Arial" w:cs="Arial"/>
                                <w:b/>
                                <w:bCs/>
                                <w:sz w:val="12"/>
                                <w:szCs w:val="12"/>
                              </w:rPr>
                              <w:t xml:space="preserve"> children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C0882F" id="Text Box 96" o:spid="_x0000_s1027" type="#_x0000_t202" style="position:absolute;margin-left:126.15pt;margin-top:4.6pt;width:79.35pt;height:15.6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" strokecolor="white">
                <v:textbox>
                  <w:txbxContent>
                    <w:p w14:paraId="0738CBFA" w14:textId="7B5DA42E" w:rsidR="00CC2A85" w:rsidRPr="00CC2A85" w:rsidRDefault="0097276A">
                      <w:pPr>
                        <w:rPr>
                          <w:rFonts w:ascii="Arial" w:hAnsi="Arial" w:cs="Arial"/>
                          <w:b/>
                          <w:bCs/>
                          <w:sz w:val="12"/>
                          <w:szCs w:val="12"/>
                        </w:rPr>
                      </w:pPr>
                      <w:r>
                        <w:rPr>
                          <w:rFonts w:ascii="Arial" w:hAnsi="Arial" w:cs="Arial"/>
                          <w:b/>
                          <w:bCs/>
                          <w:sz w:val="12"/>
                          <w:szCs w:val="12"/>
                        </w:rPr>
                        <w:t>First Peoples</w:t>
                      </w:r>
                      <w:r w:rsidR="00CC2A85" w:rsidRPr="00CC2A85">
                        <w:rPr>
                          <w:rFonts w:ascii="Arial" w:hAnsi="Arial" w:cs="Arial"/>
                          <w:b/>
                          <w:bCs/>
                          <w:sz w:val="12"/>
                          <w:szCs w:val="12"/>
                        </w:rPr>
                        <w:t xml:space="preserve"> children</w:t>
                      </w:r>
                    </w:p>
                  </w:txbxContent>
                </v:textbox>
              </v:shape>
            </w:pict>
          </mc:Fallback>
        </mc:AlternateContent>
      </w:r>
      <w:r w:rsidR="000A7BD0">
        <w:rPr>
          <w:rFonts w:ascii="Open Sans" w:hAnsi="Open Sans" w:cs="Open Sans"/>
          <w:noProof/>
          <w:color w:val="45494B"/>
          <w:sz w:val="15"/>
          <w:szCs w:val="15"/>
        </w:rPr>
        <w:drawing>
          <wp:inline distT="0" distB="0" distL="0" distR="0" wp14:anchorId="4BE57D44" wp14:editId="43480EB2">
            <wp:extent cx="5278120" cy="2742565"/>
            <wp:effectExtent l="0" t="0" r="0" b="0"/>
            <wp:docPr id="1" name="Picture 1" descr="This bar chart shows the rate of children receiving child protection services by Indigenous status. Indigenous children received child protection services at a rate of 172 per 1,000 children in 2020–21. During the same period, non-Indigenous children received child protection services at a rate of 21 per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bar chart shows the rate of children receiving child protection services by Indigenous status. Indigenous children received child protection services at a rate of 172 per 1,000 children in 2020–21. During the same period, non-Indigenous children received child protection services at a rate of 21 per 1,0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8120" cy="2742565"/>
                    </a:xfrm>
                    <a:prstGeom prst="rect">
                      <a:avLst/>
                    </a:prstGeom>
                    <a:noFill/>
                    <a:ln>
                      <a:noFill/>
                    </a:ln>
                  </pic:spPr>
                </pic:pic>
              </a:graphicData>
            </a:graphic>
          </wp:inline>
        </w:drawing>
      </w:r>
    </w:p>
    <w:p w14:paraId="46A369F7" w14:textId="37D2B2B1" w:rsidR="00226C41" w:rsidRDefault="00226C41" w:rsidP="00540381">
      <w:pPr>
        <w:pStyle w:val="Heading3"/>
        <w:spacing w:line="240" w:lineRule="auto"/>
        <w:rPr>
          <w:rFonts w:ascii="Arial" w:hAnsi="Arial" w:cs="Arial"/>
          <w:sz w:val="18"/>
        </w:rPr>
      </w:pPr>
    </w:p>
    <w:p w14:paraId="291DFA1B" w14:textId="59B89E18" w:rsidR="00655B9A" w:rsidRPr="003E7A92" w:rsidRDefault="00655B9A" w:rsidP="00540381">
      <w:pPr>
        <w:pStyle w:val="Heading3"/>
        <w:spacing w:line="240" w:lineRule="auto"/>
        <w:rPr>
          <w:rFonts w:ascii="Arial" w:hAnsi="Arial" w:cs="Arial"/>
          <w:sz w:val="20"/>
        </w:rPr>
      </w:pPr>
      <w:r w:rsidRPr="003E7A92">
        <w:rPr>
          <w:rFonts w:ascii="Arial" w:hAnsi="Arial" w:cs="Arial"/>
          <w:sz w:val="20"/>
        </w:rPr>
        <w:t>The following chart in the Yoorrook Justice Commission second interim report</w:t>
      </w:r>
      <w:r w:rsidR="00B13FDB">
        <w:rPr>
          <w:rFonts w:ascii="Arial" w:hAnsi="Arial" w:cs="Arial"/>
          <w:sz w:val="20"/>
        </w:rPr>
        <w:t xml:space="preserve"> tabled on 04/09/2023</w:t>
      </w:r>
      <w:r w:rsidRPr="003E7A92">
        <w:rPr>
          <w:rFonts w:ascii="Arial" w:hAnsi="Arial" w:cs="Arial"/>
          <w:sz w:val="20"/>
        </w:rPr>
        <w:t xml:space="preserve"> – </w:t>
      </w:r>
      <w:hyperlink r:id="rId9" w:history="1">
        <w:r w:rsidRPr="003E7A92">
          <w:rPr>
            <w:rStyle w:val="Hyperlink"/>
            <w:rFonts w:ascii="Arial" w:hAnsi="Arial" w:cs="Arial"/>
            <w:sz w:val="20"/>
          </w:rPr>
          <w:t>Report into Victoria’s Child Protection and Criminal Justice Systems</w:t>
        </w:r>
      </w:hyperlink>
      <w:r w:rsidRPr="003E7A92">
        <w:rPr>
          <w:rFonts w:ascii="Arial" w:hAnsi="Arial" w:cs="Arial"/>
          <w:sz w:val="20"/>
        </w:rPr>
        <w:t xml:space="preserve"> – </w:t>
      </w:r>
      <w:r w:rsidR="00E7713E" w:rsidRPr="003E7A92">
        <w:rPr>
          <w:rFonts w:ascii="Arial" w:hAnsi="Arial" w:cs="Arial"/>
          <w:sz w:val="20"/>
        </w:rPr>
        <w:t>detail</w:t>
      </w:r>
      <w:r w:rsidRPr="003E7A92">
        <w:rPr>
          <w:rFonts w:ascii="Arial" w:hAnsi="Arial" w:cs="Arial"/>
          <w:sz w:val="20"/>
        </w:rPr>
        <w:t xml:space="preserve">s </w:t>
      </w:r>
      <w:r w:rsidR="00E7713E" w:rsidRPr="003E7A92">
        <w:rPr>
          <w:rFonts w:ascii="Arial" w:hAnsi="Arial" w:cs="Arial"/>
          <w:sz w:val="20"/>
        </w:rPr>
        <w:t>some</w:t>
      </w:r>
      <w:r w:rsidRPr="003E7A92">
        <w:rPr>
          <w:rFonts w:ascii="Arial" w:hAnsi="Arial" w:cs="Arial"/>
          <w:sz w:val="20"/>
        </w:rPr>
        <w:t xml:space="preserve"> </w:t>
      </w:r>
      <w:r w:rsidR="00131949" w:rsidRPr="003E7A92">
        <w:rPr>
          <w:rFonts w:ascii="Arial" w:hAnsi="Arial" w:cs="Arial"/>
          <w:sz w:val="20"/>
        </w:rPr>
        <w:t xml:space="preserve">comparative </w:t>
      </w:r>
      <w:r w:rsidR="00E7713E" w:rsidRPr="003E7A92">
        <w:rPr>
          <w:rFonts w:ascii="Arial" w:hAnsi="Arial" w:cs="Arial"/>
          <w:sz w:val="20"/>
        </w:rPr>
        <w:t>statistics</w:t>
      </w:r>
      <w:r w:rsidRPr="003E7A92">
        <w:rPr>
          <w:rFonts w:ascii="Arial" w:hAnsi="Arial" w:cs="Arial"/>
          <w:sz w:val="20"/>
        </w:rPr>
        <w:t xml:space="preserve"> </w:t>
      </w:r>
      <w:r w:rsidR="00E7713E" w:rsidRPr="003E7A92">
        <w:rPr>
          <w:rFonts w:ascii="Arial" w:hAnsi="Arial" w:cs="Arial"/>
          <w:sz w:val="20"/>
        </w:rPr>
        <w:t xml:space="preserve">in relation to </w:t>
      </w:r>
      <w:r w:rsidR="00131949" w:rsidRPr="003E7A92">
        <w:rPr>
          <w:rFonts w:ascii="Arial" w:hAnsi="Arial" w:cs="Arial"/>
          <w:sz w:val="20"/>
        </w:rPr>
        <w:t>First Peoples</w:t>
      </w:r>
      <w:r w:rsidR="00E7713E" w:rsidRPr="003E7A92">
        <w:rPr>
          <w:rFonts w:ascii="Arial" w:hAnsi="Arial" w:cs="Arial"/>
          <w:sz w:val="20"/>
        </w:rPr>
        <w:t xml:space="preserve"> children in the Victorian child protection system</w:t>
      </w:r>
      <w:r w:rsidRPr="003E7A92">
        <w:rPr>
          <w:rFonts w:ascii="Arial" w:hAnsi="Arial" w:cs="Arial"/>
          <w:sz w:val="20"/>
        </w:rPr>
        <w:t>.</w:t>
      </w:r>
    </w:p>
    <w:p w14:paraId="61E69289" w14:textId="77777777" w:rsidR="00655B9A" w:rsidRDefault="00655B9A" w:rsidP="00540381">
      <w:pPr>
        <w:pStyle w:val="Heading3"/>
        <w:spacing w:line="240" w:lineRule="auto"/>
        <w:rPr>
          <w:rFonts w:ascii="Arial" w:hAnsi="Arial" w:cs="Arial"/>
          <w:sz w:val="18"/>
        </w:rPr>
      </w:pPr>
    </w:p>
    <w:p w14:paraId="2D1A5A69" w14:textId="425A627F" w:rsidR="00655B9A" w:rsidRDefault="00655B9A" w:rsidP="00655B9A">
      <w:pPr>
        <w:pStyle w:val="Heading3"/>
        <w:spacing w:line="240" w:lineRule="auto"/>
        <w:jc w:val="center"/>
        <w:rPr>
          <w:rFonts w:ascii="Arial" w:hAnsi="Arial" w:cs="Arial"/>
          <w:sz w:val="18"/>
        </w:rPr>
      </w:pPr>
      <w:r w:rsidRPr="00E7713E">
        <w:rPr>
          <w:rFonts w:ascii="Arial" w:hAnsi="Arial" w:cs="Arial"/>
          <w:noProof/>
          <w:sz w:val="18"/>
          <w:bdr w:val="single" w:sz="8" w:space="0" w:color="auto"/>
          <w:lang w:val="en-AU"/>
        </w:rPr>
        <w:lastRenderedPageBreak/>
        <w:drawing>
          <wp:inline distT="0" distB="0" distL="0" distR="0" wp14:anchorId="2081789B" wp14:editId="4D194017">
            <wp:extent cx="3492000" cy="3747600"/>
            <wp:effectExtent l="0" t="0" r="0" b="0"/>
            <wp:docPr id="152579" name="Picture 1">
              <a:extLst xmlns:a="http://schemas.openxmlformats.org/drawingml/2006/main">
                <a:ext uri="{FF2B5EF4-FFF2-40B4-BE49-F238E27FC236}">
                  <a16:creationId xmlns:a16="http://schemas.microsoft.com/office/drawing/2014/main" id="{EDB04624-EAD2-8CA8-DA1C-A7B546B12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9" name="Picture 1">
                      <a:extLst>
                        <a:ext uri="{FF2B5EF4-FFF2-40B4-BE49-F238E27FC236}">
                          <a16:creationId xmlns:a16="http://schemas.microsoft.com/office/drawing/2014/main" id="{EDB04624-EAD2-8CA8-DA1C-A7B546B12F4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2000" cy="3747600"/>
                    </a:xfrm>
                    <a:prstGeom prst="rect">
                      <a:avLst/>
                    </a:prstGeom>
                    <a:noFill/>
                    <a:ln>
                      <a:noFill/>
                    </a:ln>
                  </pic:spPr>
                </pic:pic>
              </a:graphicData>
            </a:graphic>
          </wp:inline>
        </w:drawing>
      </w:r>
    </w:p>
    <w:p w14:paraId="565ACC68" w14:textId="77777777" w:rsidR="00655B9A" w:rsidRDefault="00655B9A" w:rsidP="00540381">
      <w:pPr>
        <w:pStyle w:val="Heading3"/>
        <w:spacing w:line="240" w:lineRule="auto"/>
        <w:rPr>
          <w:rFonts w:ascii="Arial" w:hAnsi="Arial" w:cs="Arial"/>
          <w:sz w:val="18"/>
        </w:rPr>
      </w:pPr>
    </w:p>
    <w:p w14:paraId="6656E317" w14:textId="674C5420" w:rsidR="00611CF6" w:rsidRPr="00611CF6" w:rsidRDefault="00611CF6" w:rsidP="00540381">
      <w:pPr>
        <w:pStyle w:val="Heading3"/>
        <w:spacing w:line="240" w:lineRule="auto"/>
        <w:rPr>
          <w:rFonts w:ascii="Arial" w:hAnsi="Arial" w:cs="Arial"/>
          <w:sz w:val="20"/>
          <w:szCs w:val="22"/>
        </w:rPr>
      </w:pPr>
      <w:r w:rsidRPr="00611CF6">
        <w:rPr>
          <w:rFonts w:ascii="Arial" w:hAnsi="Arial" w:cs="Arial"/>
          <w:sz w:val="20"/>
          <w:szCs w:val="22"/>
        </w:rPr>
        <w:t xml:space="preserve">See also the over-representation statistics detailed in </w:t>
      </w:r>
      <w:r w:rsidRPr="003B600E">
        <w:rPr>
          <w:rFonts w:ascii="Arial" w:hAnsi="Arial" w:cs="Arial"/>
          <w:b/>
          <w:bCs/>
          <w:sz w:val="20"/>
          <w:szCs w:val="22"/>
          <w:shd w:val="clear" w:color="auto" w:fill="C5E0B3"/>
        </w:rPr>
        <w:t>section 4.9.8</w:t>
      </w:r>
      <w:r w:rsidRPr="00611CF6">
        <w:rPr>
          <w:rFonts w:ascii="Arial" w:hAnsi="Arial" w:cs="Arial"/>
          <w:sz w:val="20"/>
          <w:szCs w:val="22"/>
        </w:rPr>
        <w:t xml:space="preserve"> below.</w:t>
      </w:r>
    </w:p>
    <w:p w14:paraId="5CF2F661" w14:textId="77777777" w:rsidR="00611CF6" w:rsidRDefault="00611CF6" w:rsidP="00540381">
      <w:pPr>
        <w:pStyle w:val="Heading3"/>
        <w:spacing w:line="240" w:lineRule="auto"/>
        <w:rPr>
          <w:rFonts w:ascii="Arial" w:hAnsi="Arial" w:cs="Arial"/>
          <w:sz w:val="18"/>
        </w:rPr>
      </w:pPr>
    </w:p>
    <w:p w14:paraId="3B2885A8" w14:textId="498626FA" w:rsidR="00CA50CF" w:rsidRDefault="00E915DB" w:rsidP="00E91FD2">
      <w:pPr>
        <w:jc w:val="both"/>
        <w:rPr>
          <w:rFonts w:ascii="Arial" w:hAnsi="Arial" w:cs="Arial"/>
          <w:color w:val="000000"/>
          <w:sz w:val="20"/>
        </w:rPr>
      </w:pPr>
      <w:r>
        <w:rPr>
          <w:rFonts w:ascii="Arial" w:hAnsi="Arial" w:cs="Arial"/>
          <w:color w:val="000000"/>
          <w:sz w:val="20"/>
          <w:szCs w:val="20"/>
        </w:rPr>
        <w:t>Assented to on 27/06/</w:t>
      </w:r>
      <w:r w:rsidR="00B800A0">
        <w:rPr>
          <w:rFonts w:ascii="Arial" w:hAnsi="Arial" w:cs="Arial"/>
          <w:color w:val="000000"/>
          <w:sz w:val="20"/>
          <w:szCs w:val="20"/>
        </w:rPr>
        <w:t>2023,</w:t>
      </w:r>
      <w:r w:rsidR="00CA50CF">
        <w:rPr>
          <w:rFonts w:ascii="Arial" w:hAnsi="Arial" w:cs="Arial"/>
          <w:color w:val="000000"/>
          <w:sz w:val="20"/>
          <w:szCs w:val="20"/>
        </w:rPr>
        <w:t xml:space="preserve"> the </w:t>
      </w:r>
      <w:r w:rsidR="00CA50CF" w:rsidRPr="0059077F">
        <w:rPr>
          <w:rFonts w:ascii="Arial" w:hAnsi="Arial" w:cs="Arial"/>
          <w:i/>
          <w:iCs/>
          <w:color w:val="000000"/>
          <w:sz w:val="20"/>
        </w:rPr>
        <w:t>Children</w:t>
      </w:r>
      <w:r w:rsidR="00CA50CF">
        <w:rPr>
          <w:rFonts w:ascii="Arial" w:hAnsi="Arial" w:cs="Arial"/>
          <w:i/>
          <w:iCs/>
          <w:color w:val="000000"/>
          <w:sz w:val="20"/>
        </w:rPr>
        <w:t xml:space="preserve"> and Health Legislation Amendment (Statement of Recognition, Aboriginal Self-determination and Other Matters) </w:t>
      </w:r>
      <w:r w:rsidR="00572906">
        <w:rPr>
          <w:rFonts w:ascii="Arial" w:hAnsi="Arial" w:cs="Arial"/>
          <w:i/>
          <w:iCs/>
          <w:color w:val="000000"/>
          <w:sz w:val="20"/>
        </w:rPr>
        <w:t>Act</w:t>
      </w:r>
      <w:r w:rsidR="00CA50CF">
        <w:rPr>
          <w:rFonts w:ascii="Arial" w:hAnsi="Arial" w:cs="Arial"/>
          <w:i/>
          <w:iCs/>
          <w:color w:val="000000"/>
          <w:sz w:val="20"/>
        </w:rPr>
        <w:t xml:space="preserve"> 2023</w:t>
      </w:r>
      <w:r w:rsidR="00CA50CF" w:rsidRPr="00032A18">
        <w:rPr>
          <w:rFonts w:ascii="Arial" w:hAnsi="Arial" w:cs="Arial"/>
          <w:color w:val="000000"/>
          <w:sz w:val="20"/>
        </w:rPr>
        <w:t xml:space="preserve"> </w:t>
      </w:r>
      <w:r w:rsidR="00CA50CF">
        <w:rPr>
          <w:rFonts w:ascii="Arial" w:hAnsi="Arial" w:cs="Arial"/>
          <w:color w:val="000000"/>
          <w:sz w:val="20"/>
        </w:rPr>
        <w:t>make</w:t>
      </w:r>
      <w:r w:rsidR="00572906">
        <w:rPr>
          <w:rFonts w:ascii="Arial" w:hAnsi="Arial" w:cs="Arial"/>
          <w:color w:val="000000"/>
          <w:sz w:val="20"/>
        </w:rPr>
        <w:t>s</w:t>
      </w:r>
      <w:r w:rsidR="00CA50CF">
        <w:rPr>
          <w:rFonts w:ascii="Arial" w:hAnsi="Arial" w:cs="Arial"/>
          <w:color w:val="000000"/>
          <w:sz w:val="20"/>
        </w:rPr>
        <w:t xml:space="preserve"> amendments to </w:t>
      </w:r>
      <w:r w:rsidR="00903B42">
        <w:rPr>
          <w:rFonts w:ascii="Arial" w:hAnsi="Arial" w:cs="Arial"/>
          <w:color w:val="000000"/>
          <w:sz w:val="20"/>
        </w:rPr>
        <w:t>multiple</w:t>
      </w:r>
      <w:r w:rsidR="00CA50CF">
        <w:rPr>
          <w:rFonts w:ascii="Arial" w:hAnsi="Arial" w:cs="Arial"/>
          <w:color w:val="000000"/>
          <w:sz w:val="20"/>
        </w:rPr>
        <w:t xml:space="preserve"> Acts, including the replacement detailed below for </w:t>
      </w:r>
      <w:r>
        <w:rPr>
          <w:rFonts w:ascii="Arial" w:hAnsi="Arial" w:cs="Arial"/>
          <w:color w:val="000000"/>
          <w:sz w:val="20"/>
        </w:rPr>
        <w:t>previous</w:t>
      </w:r>
      <w:r w:rsidR="00627859">
        <w:rPr>
          <w:rFonts w:ascii="Arial" w:hAnsi="Arial" w:cs="Arial"/>
          <w:color w:val="000000"/>
          <w:sz w:val="20"/>
        </w:rPr>
        <w:t xml:space="preserve"> </w:t>
      </w:r>
      <w:r w:rsidR="00CA50CF">
        <w:rPr>
          <w:rFonts w:ascii="Arial" w:hAnsi="Arial" w:cs="Arial"/>
          <w:color w:val="000000"/>
          <w:sz w:val="20"/>
        </w:rPr>
        <w:t>s.18 CYFA.</w:t>
      </w:r>
      <w:r w:rsidR="004F636A">
        <w:rPr>
          <w:rFonts w:ascii="Arial" w:hAnsi="Arial" w:cs="Arial"/>
          <w:color w:val="000000"/>
          <w:sz w:val="20"/>
        </w:rPr>
        <w:t xml:space="preserve">  </w:t>
      </w:r>
      <w:r w:rsidR="000B0333">
        <w:rPr>
          <w:rFonts w:ascii="Arial" w:hAnsi="Arial" w:cs="Arial"/>
          <w:color w:val="000000"/>
          <w:sz w:val="20"/>
        </w:rPr>
        <w:t xml:space="preserve">Commencement dates for various </w:t>
      </w:r>
      <w:r w:rsidR="00A3018B">
        <w:rPr>
          <w:rFonts w:ascii="Arial" w:hAnsi="Arial" w:cs="Arial"/>
          <w:color w:val="000000"/>
          <w:sz w:val="20"/>
        </w:rPr>
        <w:t>sections</w:t>
      </w:r>
      <w:r w:rsidR="000B0333">
        <w:rPr>
          <w:rFonts w:ascii="Arial" w:hAnsi="Arial" w:cs="Arial"/>
          <w:color w:val="000000"/>
          <w:sz w:val="20"/>
        </w:rPr>
        <w:t xml:space="preserve"> of th</w:t>
      </w:r>
      <w:r w:rsidR="00903B42">
        <w:rPr>
          <w:rFonts w:ascii="Arial" w:hAnsi="Arial" w:cs="Arial"/>
          <w:color w:val="000000"/>
          <w:sz w:val="20"/>
        </w:rPr>
        <w:t>e amending</w:t>
      </w:r>
      <w:r w:rsidR="00A3018B">
        <w:rPr>
          <w:rFonts w:ascii="Arial" w:hAnsi="Arial" w:cs="Arial"/>
          <w:color w:val="000000"/>
          <w:sz w:val="20"/>
        </w:rPr>
        <w:t xml:space="preserve"> Act are set out in s.2.</w:t>
      </w:r>
      <w:r>
        <w:rPr>
          <w:rFonts w:ascii="Arial" w:hAnsi="Arial" w:cs="Arial"/>
          <w:color w:val="000000"/>
          <w:sz w:val="20"/>
        </w:rPr>
        <w:t xml:space="preserve">  The</w:t>
      </w:r>
      <w:r w:rsidR="009A6707">
        <w:rPr>
          <w:rFonts w:ascii="Arial" w:hAnsi="Arial" w:cs="Arial"/>
          <w:color w:val="000000"/>
          <w:sz w:val="20"/>
        </w:rPr>
        <w:t xml:space="preserve"> </w:t>
      </w:r>
      <w:r w:rsidR="00A225C6">
        <w:rPr>
          <w:rFonts w:ascii="Arial" w:hAnsi="Arial" w:cs="Arial"/>
          <w:color w:val="000000"/>
          <w:sz w:val="20"/>
        </w:rPr>
        <w:t xml:space="preserve">new </w:t>
      </w:r>
      <w:r>
        <w:rPr>
          <w:rFonts w:ascii="Arial" w:hAnsi="Arial" w:cs="Arial"/>
          <w:color w:val="000000"/>
          <w:sz w:val="20"/>
        </w:rPr>
        <w:t>sections detailed below came into operation on 28/06/2023.</w:t>
      </w:r>
    </w:p>
    <w:p w14:paraId="0B63D3B0" w14:textId="77777777" w:rsidR="00CA50CF" w:rsidRPr="006F28D4" w:rsidRDefault="00CA50CF" w:rsidP="00572906">
      <w:pPr>
        <w:pStyle w:val="Heading3"/>
        <w:spacing w:line="240" w:lineRule="auto"/>
        <w:rPr>
          <w:rFonts w:ascii="Arial" w:hAnsi="Arial" w:cs="Arial"/>
          <w:sz w:val="18"/>
        </w:rPr>
      </w:pPr>
    </w:p>
    <w:p w14:paraId="586AB87D" w14:textId="64F4E280" w:rsidR="0004455B" w:rsidRDefault="00D3176A" w:rsidP="00572906">
      <w:pPr>
        <w:jc w:val="both"/>
        <w:rPr>
          <w:rFonts w:ascii="Arial" w:hAnsi="Arial" w:cs="Arial"/>
          <w:sz w:val="20"/>
          <w:szCs w:val="20"/>
        </w:rPr>
      </w:pPr>
      <w:r w:rsidRPr="00676E2A">
        <w:rPr>
          <w:rFonts w:ascii="Arial" w:hAnsi="Arial" w:cs="Arial"/>
          <w:b/>
          <w:bCs/>
          <w:sz w:val="20"/>
          <w:szCs w:val="20"/>
        </w:rPr>
        <w:t>Section 18</w:t>
      </w:r>
      <w:r w:rsidRPr="0004455B">
        <w:rPr>
          <w:rFonts w:ascii="Arial" w:hAnsi="Arial" w:cs="Arial"/>
          <w:sz w:val="20"/>
          <w:szCs w:val="20"/>
        </w:rPr>
        <w:t xml:space="preserve"> CYFA – in a form substituted by the </w:t>
      </w:r>
      <w:r w:rsidRPr="00623268">
        <w:rPr>
          <w:rFonts w:ascii="Arial" w:hAnsi="Arial" w:cs="Arial"/>
          <w:i/>
          <w:iCs/>
          <w:sz w:val="20"/>
          <w:szCs w:val="20"/>
        </w:rPr>
        <w:t>Children and Health Legislation Amendment (Statement of Recognition. Aboriginal Self-determination and Other Matters) Act 2023</w:t>
      </w:r>
      <w:r w:rsidRPr="0004455B">
        <w:rPr>
          <w:rFonts w:ascii="Arial" w:hAnsi="Arial" w:cs="Arial"/>
          <w:sz w:val="20"/>
          <w:szCs w:val="20"/>
        </w:rPr>
        <w:t xml:space="preserve"> – </w:t>
      </w:r>
      <w:r w:rsidR="008435FC">
        <w:rPr>
          <w:rFonts w:ascii="Arial" w:hAnsi="Arial" w:cs="Arial"/>
          <w:sz w:val="20"/>
          <w:szCs w:val="20"/>
        </w:rPr>
        <w:t>reflects</w:t>
      </w:r>
      <w:r w:rsidR="0004455B" w:rsidRPr="0004455B">
        <w:rPr>
          <w:rFonts w:ascii="Arial" w:hAnsi="Arial" w:cs="Arial"/>
          <w:sz w:val="20"/>
          <w:szCs w:val="20"/>
        </w:rPr>
        <w:t xml:space="preserve"> the self-determination provision of the </w:t>
      </w:r>
      <w:r w:rsidR="00376E25">
        <w:rPr>
          <w:rFonts w:ascii="Arial" w:hAnsi="Arial" w:cs="Arial"/>
          <w:sz w:val="20"/>
          <w:szCs w:val="20"/>
        </w:rPr>
        <w:t>T</w:t>
      </w:r>
      <w:r w:rsidR="0004455B" w:rsidRPr="0004455B">
        <w:rPr>
          <w:rFonts w:ascii="Arial" w:hAnsi="Arial" w:cs="Arial"/>
          <w:sz w:val="20"/>
          <w:szCs w:val="20"/>
        </w:rPr>
        <w:t>reaty process referred to in new s.7B(1)</w:t>
      </w:r>
      <w:r w:rsidR="0004455B">
        <w:rPr>
          <w:rFonts w:ascii="Arial" w:hAnsi="Arial" w:cs="Arial"/>
          <w:sz w:val="20"/>
          <w:szCs w:val="20"/>
        </w:rPr>
        <w:t xml:space="preserve"> </w:t>
      </w:r>
      <w:r w:rsidR="00623268">
        <w:rPr>
          <w:rFonts w:ascii="Arial" w:hAnsi="Arial" w:cs="Arial"/>
          <w:sz w:val="20"/>
          <w:szCs w:val="20"/>
        </w:rPr>
        <w:t xml:space="preserve">CYFA </w:t>
      </w:r>
      <w:r w:rsidR="0004455B">
        <w:rPr>
          <w:rFonts w:ascii="Arial" w:hAnsi="Arial" w:cs="Arial"/>
          <w:sz w:val="20"/>
          <w:szCs w:val="20"/>
        </w:rPr>
        <w:t xml:space="preserve">which is </w:t>
      </w:r>
      <w:r w:rsidR="009E47CF">
        <w:rPr>
          <w:rFonts w:ascii="Arial" w:hAnsi="Arial" w:cs="Arial"/>
          <w:sz w:val="20"/>
          <w:szCs w:val="20"/>
        </w:rPr>
        <w:t>referred to</w:t>
      </w:r>
      <w:r w:rsidR="0004455B">
        <w:rPr>
          <w:rFonts w:ascii="Arial" w:hAnsi="Arial" w:cs="Arial"/>
          <w:sz w:val="20"/>
          <w:szCs w:val="20"/>
        </w:rPr>
        <w:t xml:space="preserve"> in </w:t>
      </w:r>
      <w:r w:rsidR="008E4A97">
        <w:rPr>
          <w:rFonts w:ascii="Arial" w:hAnsi="Arial" w:cs="Arial"/>
          <w:b/>
          <w:bCs/>
          <w:sz w:val="20"/>
          <w:szCs w:val="20"/>
          <w:shd w:val="clear" w:color="auto" w:fill="C5E0B3"/>
        </w:rPr>
        <w:t>Part</w:t>
      </w:r>
      <w:r w:rsidR="0004455B" w:rsidRPr="003B600E">
        <w:rPr>
          <w:rFonts w:ascii="Arial" w:hAnsi="Arial" w:cs="Arial"/>
          <w:b/>
          <w:bCs/>
          <w:sz w:val="20"/>
          <w:szCs w:val="20"/>
          <w:shd w:val="clear" w:color="auto" w:fill="C5E0B3"/>
        </w:rPr>
        <w:t xml:space="preserve"> 5.3</w:t>
      </w:r>
      <w:r w:rsidR="009E47CF" w:rsidRPr="003B600E">
        <w:rPr>
          <w:rFonts w:ascii="Arial" w:hAnsi="Arial" w:cs="Arial"/>
          <w:b/>
          <w:bCs/>
          <w:sz w:val="20"/>
          <w:szCs w:val="20"/>
          <w:shd w:val="clear" w:color="auto" w:fill="C5E0B3"/>
        </w:rPr>
        <w:t>1</w:t>
      </w:r>
      <w:r w:rsidR="008E4A97">
        <w:rPr>
          <w:rFonts w:ascii="Arial" w:hAnsi="Arial" w:cs="Arial"/>
          <w:sz w:val="20"/>
          <w:szCs w:val="20"/>
        </w:rPr>
        <w:t xml:space="preserve"> of the Research Materials.</w:t>
      </w:r>
    </w:p>
    <w:p w14:paraId="2732952D" w14:textId="122CDA8F" w:rsidR="0004455B" w:rsidRDefault="0004455B" w:rsidP="00572906">
      <w:pPr>
        <w:jc w:val="both"/>
        <w:rPr>
          <w:rFonts w:ascii="Arial" w:hAnsi="Arial" w:cs="Arial"/>
          <w:sz w:val="20"/>
          <w:szCs w:val="20"/>
        </w:rPr>
      </w:pPr>
    </w:p>
    <w:p w14:paraId="5DC95466" w14:textId="4774868D" w:rsidR="00CE0DFA" w:rsidRDefault="00CE0DFA" w:rsidP="00572906">
      <w:pPr>
        <w:jc w:val="both"/>
        <w:rPr>
          <w:rFonts w:ascii="Arial" w:hAnsi="Arial" w:cs="Arial"/>
          <w:sz w:val="20"/>
          <w:szCs w:val="20"/>
        </w:rPr>
      </w:pPr>
      <w:r>
        <w:rPr>
          <w:rFonts w:ascii="Arial" w:hAnsi="Arial" w:cs="Arial"/>
          <w:sz w:val="20"/>
          <w:szCs w:val="20"/>
        </w:rPr>
        <w:t xml:space="preserve">In the Second Reading Speech in the Legislative Council on 09/03/2023 Minister </w:t>
      </w:r>
      <w:proofErr w:type="spellStart"/>
      <w:r>
        <w:rPr>
          <w:rFonts w:ascii="Arial" w:hAnsi="Arial" w:cs="Arial"/>
          <w:sz w:val="20"/>
          <w:szCs w:val="20"/>
        </w:rPr>
        <w:t>Blandthorn</w:t>
      </w:r>
      <w:proofErr w:type="spellEnd"/>
      <w:r>
        <w:rPr>
          <w:rFonts w:ascii="Arial" w:hAnsi="Arial" w:cs="Arial"/>
          <w:sz w:val="20"/>
          <w:szCs w:val="20"/>
        </w:rPr>
        <w:t xml:space="preserve"> explained the rationale for the Aboriginal </w:t>
      </w:r>
      <w:r w:rsidR="00D32E68">
        <w:rPr>
          <w:rFonts w:ascii="Arial" w:hAnsi="Arial" w:cs="Arial"/>
          <w:sz w:val="20"/>
          <w:szCs w:val="20"/>
        </w:rPr>
        <w:t>S</w:t>
      </w:r>
      <w:r>
        <w:rPr>
          <w:rFonts w:ascii="Arial" w:hAnsi="Arial" w:cs="Arial"/>
          <w:sz w:val="20"/>
          <w:szCs w:val="20"/>
        </w:rPr>
        <w:t xml:space="preserve">elf-determination </w:t>
      </w:r>
      <w:r w:rsidR="00D32E68">
        <w:rPr>
          <w:rFonts w:ascii="Arial" w:hAnsi="Arial" w:cs="Arial"/>
          <w:sz w:val="20"/>
          <w:szCs w:val="20"/>
        </w:rPr>
        <w:t xml:space="preserve">child protection </w:t>
      </w:r>
      <w:r>
        <w:rPr>
          <w:rFonts w:ascii="Arial" w:hAnsi="Arial" w:cs="Arial"/>
          <w:sz w:val="20"/>
          <w:szCs w:val="20"/>
        </w:rPr>
        <w:t>amendments as follows:</w:t>
      </w:r>
    </w:p>
    <w:p w14:paraId="3A8A4DAD" w14:textId="0F1330E4" w:rsidR="00CE0DFA" w:rsidRPr="00FC3098" w:rsidRDefault="00CE0DFA" w:rsidP="00BA7CE5">
      <w:pPr>
        <w:spacing w:before="120"/>
        <w:ind w:left="454" w:right="454"/>
        <w:jc w:val="both"/>
        <w:rPr>
          <w:rFonts w:ascii="Arial" w:hAnsi="Arial" w:cs="Arial"/>
          <w:color w:val="000000"/>
          <w:sz w:val="20"/>
          <w:szCs w:val="20"/>
          <w:lang w:eastAsia="en-AU"/>
        </w:rPr>
      </w:pPr>
      <w:r w:rsidRPr="00FC3098">
        <w:rPr>
          <w:rFonts w:ascii="Arial" w:hAnsi="Arial" w:cs="Arial"/>
          <w:sz w:val="20"/>
          <w:szCs w:val="20"/>
        </w:rPr>
        <w:t>“</w:t>
      </w:r>
      <w:r w:rsidRPr="00FC3098">
        <w:rPr>
          <w:rFonts w:ascii="Arial" w:hAnsi="Arial" w:cs="Arial"/>
          <w:color w:val="000000"/>
          <w:sz w:val="20"/>
          <w:szCs w:val="20"/>
          <w:lang w:eastAsia="en-AU"/>
        </w:rPr>
        <w:t>Evidence given to the Yoorrook Justice Commission hearing in December 2022 brought into sharp focus the community’s concerns about the over-representation of Aboriginal children in the child protection system and the extent of children being removed from the care of their family. In an immediate response to this evidence, the Premier made a public commitment to work with the Minister and First Nations communities to devise a new child protection system to address these issues.</w:t>
      </w:r>
    </w:p>
    <w:p w14:paraId="6E475A4A" w14:textId="511FAF89" w:rsidR="00CE0DFA" w:rsidRPr="00FC3098" w:rsidRDefault="00CE0DFA" w:rsidP="00BA7CE5">
      <w:pPr>
        <w:spacing w:before="120"/>
        <w:ind w:left="454" w:right="454"/>
        <w:jc w:val="both"/>
        <w:rPr>
          <w:rFonts w:ascii="Arial" w:hAnsi="Arial" w:cs="Arial"/>
          <w:color w:val="000000"/>
          <w:sz w:val="20"/>
          <w:szCs w:val="20"/>
          <w:lang w:eastAsia="en-AU"/>
        </w:rPr>
      </w:pPr>
      <w:r w:rsidRPr="00FC3098">
        <w:rPr>
          <w:rFonts w:ascii="Arial" w:hAnsi="Arial" w:cs="Arial"/>
          <w:color w:val="000000"/>
          <w:sz w:val="20"/>
          <w:szCs w:val="20"/>
          <w:lang w:eastAsia="en-AU"/>
        </w:rPr>
        <w:t>This Bill includes proposals that represent very significant steps in progressing self-determination for Aboriginal communities. Steps that we can take now to improve the system as part of first stages of an overhaul to allow greater Aboriginal-led service delivery and improve outcomes for Aboriginal children, young people and communities, as we progress towards treaty.</w:t>
      </w:r>
    </w:p>
    <w:p w14:paraId="772DA493" w14:textId="00CC8B55" w:rsidR="00CE0DFA" w:rsidRPr="00FC3098" w:rsidRDefault="00CE0DFA" w:rsidP="00BA7CE5">
      <w:pPr>
        <w:spacing w:before="120"/>
        <w:ind w:left="454" w:right="454"/>
        <w:jc w:val="both"/>
        <w:rPr>
          <w:rFonts w:ascii="Arial" w:hAnsi="Arial" w:cs="Arial"/>
          <w:color w:val="000000"/>
          <w:sz w:val="20"/>
          <w:szCs w:val="20"/>
          <w:lang w:eastAsia="en-AU"/>
        </w:rPr>
      </w:pPr>
      <w:r w:rsidRPr="00FC3098">
        <w:rPr>
          <w:rFonts w:ascii="Arial" w:hAnsi="Arial" w:cs="Arial"/>
          <w:color w:val="000000"/>
          <w:sz w:val="20"/>
          <w:szCs w:val="20"/>
          <w:lang w:eastAsia="en-AU"/>
        </w:rPr>
        <w:t>Victoria is committed to meeting the National Agreement on Closing the Gap target to reduce the rate of over</w:t>
      </w:r>
      <w:r w:rsidRPr="00FC3098">
        <w:rPr>
          <w:rFonts w:ascii="Cambria Math" w:hAnsi="Cambria Math" w:cs="Cambria Math"/>
          <w:color w:val="000000"/>
          <w:sz w:val="20"/>
          <w:szCs w:val="20"/>
          <w:lang w:eastAsia="en-AU"/>
        </w:rPr>
        <w:t>‐</w:t>
      </w:r>
      <w:r w:rsidRPr="00FC3098">
        <w:rPr>
          <w:rFonts w:ascii="Arial" w:hAnsi="Arial" w:cs="Arial"/>
          <w:color w:val="000000"/>
          <w:sz w:val="20"/>
          <w:szCs w:val="20"/>
          <w:lang w:eastAsia="en-AU"/>
        </w:rPr>
        <w:t xml:space="preserve">representation of Aboriginal children in care by 45% by 2031. This commitment is underpinned by the 2018 </w:t>
      </w:r>
      <w:proofErr w:type="spellStart"/>
      <w:r w:rsidRPr="00FC3098">
        <w:rPr>
          <w:rFonts w:ascii="Arial" w:hAnsi="Arial" w:cs="Arial"/>
          <w:color w:val="000000"/>
          <w:sz w:val="20"/>
          <w:szCs w:val="20"/>
          <w:lang w:eastAsia="en-AU"/>
        </w:rPr>
        <w:t>Wungurilwil</w:t>
      </w:r>
      <w:proofErr w:type="spellEnd"/>
      <w:r w:rsidRPr="00FC3098">
        <w:rPr>
          <w:rFonts w:ascii="Arial" w:hAnsi="Arial" w:cs="Arial"/>
          <w:color w:val="000000"/>
          <w:sz w:val="20"/>
          <w:szCs w:val="20"/>
          <w:lang w:eastAsia="en-AU"/>
        </w:rPr>
        <w:t xml:space="preserve"> </w:t>
      </w:r>
      <w:proofErr w:type="spellStart"/>
      <w:r w:rsidRPr="00FC3098">
        <w:rPr>
          <w:rFonts w:ascii="Arial" w:hAnsi="Arial" w:cs="Arial"/>
          <w:color w:val="000000"/>
          <w:sz w:val="20"/>
          <w:szCs w:val="20"/>
          <w:lang w:eastAsia="en-AU"/>
        </w:rPr>
        <w:t>Gapgapduir</w:t>
      </w:r>
      <w:proofErr w:type="spellEnd"/>
      <w:r w:rsidRPr="00FC3098">
        <w:rPr>
          <w:rFonts w:ascii="Arial" w:hAnsi="Arial" w:cs="Arial"/>
          <w:color w:val="000000"/>
          <w:sz w:val="20"/>
          <w:szCs w:val="20"/>
          <w:lang w:eastAsia="en-AU"/>
        </w:rPr>
        <w:t>: Aboriginal Children and Families Agreement that established a landmark partnership between the Aboriginal community, government and the child and family services sector to achieve better outcomes for Aboriginal children and young people. At the</w:t>
      </w:r>
      <w:r w:rsidRPr="00CE0DFA">
        <w:rPr>
          <w:rFonts w:ascii="Arial" w:hAnsi="Arial" w:cs="Arial"/>
          <w:color w:val="000000"/>
          <w:sz w:val="20"/>
          <w:szCs w:val="20"/>
          <w:lang w:eastAsia="en-AU"/>
        </w:rPr>
        <w:t xml:space="preserve"> </w:t>
      </w:r>
      <w:r w:rsidRPr="00FC3098">
        <w:rPr>
          <w:rFonts w:ascii="Arial" w:hAnsi="Arial" w:cs="Arial"/>
          <w:color w:val="000000"/>
          <w:sz w:val="20"/>
          <w:szCs w:val="20"/>
          <w:lang w:eastAsia="en-AU"/>
        </w:rPr>
        <w:lastRenderedPageBreak/>
        <w:t xml:space="preserve">heart of </w:t>
      </w:r>
      <w:proofErr w:type="spellStart"/>
      <w:r w:rsidRPr="00FC3098">
        <w:rPr>
          <w:rFonts w:ascii="Arial" w:hAnsi="Arial" w:cs="Arial"/>
          <w:color w:val="000000"/>
          <w:sz w:val="20"/>
          <w:szCs w:val="20"/>
          <w:lang w:eastAsia="en-AU"/>
        </w:rPr>
        <w:t>Wungurilwil</w:t>
      </w:r>
      <w:proofErr w:type="spellEnd"/>
      <w:r w:rsidRPr="00FC3098">
        <w:rPr>
          <w:rFonts w:ascii="Arial" w:hAnsi="Arial" w:cs="Arial"/>
          <w:color w:val="000000"/>
          <w:sz w:val="20"/>
          <w:szCs w:val="20"/>
          <w:lang w:eastAsia="en-AU"/>
        </w:rPr>
        <w:t xml:space="preserve"> </w:t>
      </w:r>
      <w:proofErr w:type="spellStart"/>
      <w:r w:rsidRPr="00FC3098">
        <w:rPr>
          <w:rFonts w:ascii="Arial" w:hAnsi="Arial" w:cs="Arial"/>
          <w:color w:val="000000"/>
          <w:sz w:val="20"/>
          <w:szCs w:val="20"/>
          <w:lang w:eastAsia="en-AU"/>
        </w:rPr>
        <w:t>Gapgapduir</w:t>
      </w:r>
      <w:proofErr w:type="spellEnd"/>
      <w:r w:rsidRPr="00FC3098">
        <w:rPr>
          <w:rFonts w:ascii="Arial" w:hAnsi="Arial" w:cs="Arial"/>
          <w:color w:val="000000"/>
          <w:sz w:val="20"/>
          <w:szCs w:val="20"/>
          <w:lang w:eastAsia="en-AU"/>
        </w:rPr>
        <w:t xml:space="preserve"> is a commitment to the reduction of the over</w:t>
      </w:r>
      <w:r w:rsidRPr="00FC3098">
        <w:rPr>
          <w:rFonts w:ascii="Cambria Math" w:hAnsi="Cambria Math" w:cs="Cambria Math"/>
          <w:color w:val="000000"/>
          <w:sz w:val="20"/>
          <w:szCs w:val="20"/>
          <w:lang w:eastAsia="en-AU"/>
        </w:rPr>
        <w:t>‐</w:t>
      </w:r>
      <w:r w:rsidRPr="00FC3098">
        <w:rPr>
          <w:rFonts w:ascii="Arial" w:hAnsi="Arial" w:cs="Arial"/>
          <w:color w:val="000000"/>
          <w:sz w:val="20"/>
          <w:szCs w:val="20"/>
          <w:lang w:eastAsia="en-AU"/>
        </w:rPr>
        <w:t>representation of Aboriginal children in child protection and alternative care. This will be achieved by enabling the advancement of Aboriginal models of care and transferring decision making for Aboriginal children to Aboriginal community-controlled organisations. This Bill is an essential part of achieving that vision.</w:t>
      </w:r>
    </w:p>
    <w:p w14:paraId="3C4E40D4" w14:textId="1848FC0B" w:rsidR="00CE0DFA" w:rsidRPr="00FC3098" w:rsidRDefault="00CE0DFA" w:rsidP="00BA7CE5">
      <w:pPr>
        <w:spacing w:before="120"/>
        <w:ind w:left="454" w:right="454"/>
        <w:jc w:val="both"/>
        <w:rPr>
          <w:rFonts w:ascii="Arial" w:hAnsi="Arial" w:cs="Arial"/>
          <w:color w:val="000000"/>
          <w:sz w:val="20"/>
          <w:szCs w:val="20"/>
          <w:lang w:eastAsia="en-AU"/>
        </w:rPr>
      </w:pPr>
      <w:r w:rsidRPr="00FC3098">
        <w:rPr>
          <w:rFonts w:ascii="Arial" w:hAnsi="Arial" w:cs="Arial"/>
          <w:color w:val="000000"/>
          <w:sz w:val="20"/>
          <w:szCs w:val="20"/>
          <w:lang w:eastAsia="en-AU"/>
        </w:rPr>
        <w:t>This Bill also supports the Victorian Aboriginal Affairs Framework, through the Government working in partnership with Aboriginal people to meet the goal that Aboriginal children are raised by Aboriginal families. In particular, the Bill advances the objectives of:</w:t>
      </w:r>
    </w:p>
    <w:p w14:paraId="42F9F9A1" w14:textId="78A2DAFE" w:rsidR="00CE0DFA" w:rsidRPr="00FC3098" w:rsidRDefault="00CE0DFA">
      <w:pPr>
        <w:pStyle w:val="ListParagraph"/>
        <w:numPr>
          <w:ilvl w:val="0"/>
          <w:numId w:val="85"/>
        </w:numPr>
        <w:spacing w:before="20"/>
        <w:ind w:left="811" w:right="454" w:hanging="357"/>
        <w:jc w:val="both"/>
        <w:rPr>
          <w:rFonts w:ascii="Arial" w:hAnsi="Arial" w:cs="Arial"/>
          <w:sz w:val="20"/>
        </w:rPr>
      </w:pPr>
      <w:r w:rsidRPr="00FC3098">
        <w:rPr>
          <w:rFonts w:ascii="Arial" w:hAnsi="Arial" w:cs="Arial"/>
          <w:color w:val="000000"/>
          <w:sz w:val="20"/>
          <w:lang w:eastAsia="en-AU"/>
        </w:rPr>
        <w:t>Eliminating the over</w:t>
      </w:r>
      <w:r w:rsidRPr="00FC3098">
        <w:rPr>
          <w:rFonts w:ascii="Cambria Math" w:hAnsi="Cambria Math" w:cs="Cambria Math"/>
          <w:color w:val="000000"/>
          <w:sz w:val="20"/>
          <w:lang w:eastAsia="en-AU"/>
        </w:rPr>
        <w:t>‐</w:t>
      </w:r>
      <w:r w:rsidRPr="00FC3098">
        <w:rPr>
          <w:rFonts w:ascii="Arial" w:hAnsi="Arial" w:cs="Arial"/>
          <w:color w:val="000000"/>
          <w:sz w:val="20"/>
          <w:lang w:eastAsia="en-AU"/>
        </w:rPr>
        <w:t>representation of Aboriginal children and young people in care,</w:t>
      </w:r>
    </w:p>
    <w:p w14:paraId="1AB8367D" w14:textId="5448E83A" w:rsidR="00CE0DFA" w:rsidRPr="00FC3098" w:rsidRDefault="00CE0DFA">
      <w:pPr>
        <w:pStyle w:val="ListParagraph"/>
        <w:numPr>
          <w:ilvl w:val="0"/>
          <w:numId w:val="85"/>
        </w:numPr>
        <w:spacing w:before="20"/>
        <w:ind w:left="811" w:right="454" w:hanging="357"/>
        <w:jc w:val="both"/>
        <w:rPr>
          <w:rFonts w:ascii="Arial" w:hAnsi="Arial" w:cs="Arial"/>
          <w:sz w:val="20"/>
        </w:rPr>
      </w:pPr>
      <w:r w:rsidRPr="00FC3098">
        <w:rPr>
          <w:rFonts w:ascii="Arial" w:hAnsi="Arial" w:cs="Arial"/>
          <w:color w:val="000000"/>
          <w:sz w:val="20"/>
          <w:lang w:eastAsia="en-AU"/>
        </w:rPr>
        <w:t>Increasing Aboriginal care, guardianship and management of Aboriginal children and young people in care, and</w:t>
      </w:r>
    </w:p>
    <w:p w14:paraId="0C01D9A8" w14:textId="486F407A" w:rsidR="00CE0DFA" w:rsidRPr="00FC3098" w:rsidRDefault="00CE0DFA">
      <w:pPr>
        <w:pStyle w:val="ListParagraph"/>
        <w:numPr>
          <w:ilvl w:val="0"/>
          <w:numId w:val="85"/>
        </w:numPr>
        <w:spacing w:before="20"/>
        <w:ind w:left="811" w:right="454" w:hanging="357"/>
        <w:jc w:val="both"/>
        <w:rPr>
          <w:rFonts w:ascii="Arial" w:hAnsi="Arial" w:cs="Arial"/>
          <w:sz w:val="20"/>
        </w:rPr>
      </w:pPr>
      <w:r w:rsidRPr="00FC3098">
        <w:rPr>
          <w:rFonts w:ascii="Arial" w:hAnsi="Arial" w:cs="Arial"/>
          <w:color w:val="000000"/>
          <w:sz w:val="20"/>
          <w:lang w:eastAsia="en-AU"/>
        </w:rPr>
        <w:t>Increasing family reunification for Aboriginal children and young people in care.”</w:t>
      </w:r>
    </w:p>
    <w:p w14:paraId="1BC103D5" w14:textId="77777777" w:rsidR="00AD2CF9" w:rsidRPr="008732E5" w:rsidRDefault="00AD2CF9" w:rsidP="00AD2CF9">
      <w:pPr>
        <w:jc w:val="both"/>
        <w:rPr>
          <w:rFonts w:ascii="Arial" w:hAnsi="Arial" w:cs="Arial"/>
          <w:sz w:val="18"/>
          <w:szCs w:val="18"/>
        </w:rPr>
      </w:pPr>
    </w:p>
    <w:p w14:paraId="56BCCC8F" w14:textId="77777777" w:rsidR="00AD2CF9" w:rsidRDefault="00AD2CF9" w:rsidP="00AD2CF9">
      <w:pPr>
        <w:jc w:val="both"/>
        <w:rPr>
          <w:rFonts w:ascii="Arial" w:hAnsi="Arial" w:cs="Arial"/>
          <w:sz w:val="20"/>
          <w:szCs w:val="20"/>
        </w:rPr>
      </w:pPr>
      <w:r>
        <w:rPr>
          <w:rFonts w:ascii="Arial" w:hAnsi="Arial" w:cs="Arial"/>
          <w:sz w:val="20"/>
          <w:szCs w:val="20"/>
        </w:rPr>
        <w:t xml:space="preserve">The purpose of </w:t>
      </w:r>
      <w:r w:rsidRPr="004941FA">
        <w:rPr>
          <w:rFonts w:ascii="Arial" w:hAnsi="Arial" w:cs="Arial"/>
          <w:b/>
          <w:bCs/>
          <w:sz w:val="20"/>
          <w:szCs w:val="20"/>
        </w:rPr>
        <w:t>new s.18</w:t>
      </w:r>
      <w:r>
        <w:rPr>
          <w:rFonts w:ascii="Arial" w:hAnsi="Arial" w:cs="Arial"/>
          <w:sz w:val="20"/>
          <w:szCs w:val="20"/>
        </w:rPr>
        <w:t xml:space="preserve"> is described in the Explanatory Memorandum at p.9 as follows:</w:t>
      </w:r>
    </w:p>
    <w:p w14:paraId="24005D0C" w14:textId="77777777" w:rsidR="00AD2CF9" w:rsidRDefault="00AD2CF9" w:rsidP="00AD2CF9">
      <w:pPr>
        <w:spacing w:before="60"/>
        <w:ind w:left="454" w:right="454"/>
        <w:jc w:val="both"/>
        <w:rPr>
          <w:rFonts w:ascii="Arial" w:hAnsi="Arial" w:cs="Arial"/>
          <w:sz w:val="20"/>
          <w:szCs w:val="20"/>
        </w:rPr>
      </w:pPr>
      <w:r>
        <w:rPr>
          <w:rFonts w:ascii="Arial" w:hAnsi="Arial" w:cs="Arial"/>
          <w:sz w:val="20"/>
          <w:szCs w:val="20"/>
        </w:rPr>
        <w:t xml:space="preserve">“New s.18 provides for seamless authorisation of the functions and powers of the Secretary from protective intervention through to protection orders and other relevant orders to provide for consistency of </w:t>
      </w:r>
      <w:r w:rsidRPr="00256A35">
        <w:rPr>
          <w:rFonts w:ascii="Arial" w:hAnsi="Arial" w:cs="Arial"/>
          <w:sz w:val="20"/>
          <w:szCs w:val="20"/>
        </w:rPr>
        <w:t>culturally appropriate service delivery</w:t>
      </w:r>
      <w:r>
        <w:rPr>
          <w:rFonts w:ascii="Arial" w:hAnsi="Arial" w:cs="Arial"/>
          <w:sz w:val="20"/>
          <w:szCs w:val="20"/>
        </w:rPr>
        <w:t xml:space="preserve"> to Aboriginal children and their families.  This will also be an expansion of the Secretary’s existing authorisation power as it enables an Aboriginal agency to be </w:t>
      </w:r>
      <w:r w:rsidRPr="00256A35">
        <w:rPr>
          <w:rFonts w:ascii="Arial" w:hAnsi="Arial" w:cs="Arial"/>
          <w:sz w:val="20"/>
          <w:szCs w:val="20"/>
        </w:rPr>
        <w:t>authorised to manage a child</w:t>
      </w:r>
      <w:r>
        <w:rPr>
          <w:rFonts w:ascii="Arial" w:hAnsi="Arial" w:cs="Arial"/>
          <w:sz w:val="20"/>
          <w:szCs w:val="20"/>
        </w:rPr>
        <w:t xml:space="preserve"> who is subject to relevant orders, in addition to protection orders.  Further it enables an authorisation to be made with respect to classes of Aboriginal children and their siblings, in addition to a specific Aboriginal child and their sibling.”</w:t>
      </w:r>
    </w:p>
    <w:p w14:paraId="3A8858BC" w14:textId="77777777" w:rsidR="00AD2CF9" w:rsidRPr="008732E5" w:rsidRDefault="00AD2CF9" w:rsidP="004F636A">
      <w:pPr>
        <w:jc w:val="both"/>
        <w:rPr>
          <w:rFonts w:ascii="Arial" w:hAnsi="Arial" w:cs="Arial"/>
          <w:sz w:val="18"/>
          <w:szCs w:val="22"/>
        </w:rPr>
      </w:pPr>
    </w:p>
    <w:p w14:paraId="132C8AF4" w14:textId="6E15B9A1" w:rsidR="0040471F" w:rsidRPr="0040471F" w:rsidRDefault="0040471F" w:rsidP="004F636A">
      <w:pPr>
        <w:jc w:val="both"/>
        <w:rPr>
          <w:rFonts w:ascii="Arial" w:hAnsi="Arial" w:cs="Arial"/>
          <w:sz w:val="22"/>
          <w:szCs w:val="28"/>
        </w:rPr>
      </w:pPr>
      <w:r w:rsidRPr="0040471F">
        <w:rPr>
          <w:rFonts w:ascii="Arial" w:hAnsi="Arial" w:cs="Arial"/>
          <w:b/>
          <w:bCs/>
          <w:sz w:val="20"/>
          <w:szCs w:val="20"/>
        </w:rPr>
        <w:t>New s.18(1)</w:t>
      </w:r>
      <w:r w:rsidRPr="0040471F">
        <w:rPr>
          <w:rFonts w:ascii="Arial" w:hAnsi="Arial" w:cs="Arial"/>
          <w:sz w:val="20"/>
          <w:szCs w:val="20"/>
        </w:rPr>
        <w:t xml:space="preserve"> empower</w:t>
      </w:r>
      <w:r w:rsidR="00BA7CE5">
        <w:rPr>
          <w:rFonts w:ascii="Arial" w:hAnsi="Arial" w:cs="Arial"/>
          <w:sz w:val="20"/>
          <w:szCs w:val="20"/>
        </w:rPr>
        <w:t>s</w:t>
      </w:r>
      <w:r w:rsidRPr="0040471F">
        <w:rPr>
          <w:rFonts w:ascii="Arial" w:hAnsi="Arial" w:cs="Arial"/>
          <w:sz w:val="20"/>
          <w:szCs w:val="20"/>
        </w:rPr>
        <w:t xml:space="preserve"> the Secretary DFFH to authorise the principal officer of an Aboriginal agency – who must be an Aboriginal person [see </w:t>
      </w:r>
      <w:r w:rsidRPr="0040471F">
        <w:rPr>
          <w:rFonts w:ascii="Arial" w:hAnsi="Arial" w:cs="Arial"/>
          <w:b/>
          <w:bCs/>
          <w:sz w:val="20"/>
          <w:szCs w:val="20"/>
        </w:rPr>
        <w:t>s.18(5)</w:t>
      </w:r>
      <w:r w:rsidRPr="0040471F">
        <w:rPr>
          <w:rFonts w:ascii="Arial" w:hAnsi="Arial" w:cs="Arial"/>
          <w:sz w:val="20"/>
          <w:szCs w:val="20"/>
        </w:rPr>
        <w:t xml:space="preserve">] – to perform the specific functions and exercise the specific powers detailed in </w:t>
      </w:r>
      <w:r w:rsidRPr="00CE0DFA">
        <w:rPr>
          <w:rFonts w:ascii="Arial" w:hAnsi="Arial" w:cs="Arial"/>
          <w:b/>
          <w:bCs/>
          <w:sz w:val="20"/>
          <w:szCs w:val="20"/>
        </w:rPr>
        <w:t>s.18(2)</w:t>
      </w:r>
      <w:r w:rsidRPr="0040471F">
        <w:rPr>
          <w:rFonts w:ascii="Arial" w:hAnsi="Arial" w:cs="Arial"/>
          <w:sz w:val="20"/>
          <w:szCs w:val="20"/>
        </w:rPr>
        <w:t xml:space="preserve"> in respect of the protection of-</w:t>
      </w:r>
    </w:p>
    <w:p w14:paraId="719D218E" w14:textId="77777777" w:rsidR="0040471F" w:rsidRPr="0040471F" w:rsidRDefault="0040471F">
      <w:pPr>
        <w:pStyle w:val="ListParagraph"/>
        <w:numPr>
          <w:ilvl w:val="0"/>
          <w:numId w:val="81"/>
        </w:numPr>
        <w:ind w:left="357" w:hanging="357"/>
        <w:contextualSpacing/>
        <w:jc w:val="both"/>
        <w:rPr>
          <w:rFonts w:ascii="Arial" w:hAnsi="Arial" w:cs="Arial"/>
          <w:sz w:val="20"/>
        </w:rPr>
      </w:pPr>
      <w:r w:rsidRPr="0040471F">
        <w:rPr>
          <w:rFonts w:ascii="Arial" w:hAnsi="Arial" w:cs="Arial"/>
          <w:sz w:val="20"/>
        </w:rPr>
        <w:t>an Aboriginal child;</w:t>
      </w:r>
    </w:p>
    <w:p w14:paraId="341D373A" w14:textId="77777777" w:rsidR="0040471F" w:rsidRPr="0040471F" w:rsidRDefault="0040471F">
      <w:pPr>
        <w:pStyle w:val="ListParagraph"/>
        <w:numPr>
          <w:ilvl w:val="0"/>
          <w:numId w:val="82"/>
        </w:numPr>
        <w:ind w:left="357" w:hanging="357"/>
        <w:contextualSpacing/>
        <w:jc w:val="both"/>
        <w:rPr>
          <w:rFonts w:ascii="Arial" w:hAnsi="Arial" w:cs="Arial"/>
          <w:sz w:val="20"/>
        </w:rPr>
      </w:pPr>
      <w:r w:rsidRPr="0040471F">
        <w:rPr>
          <w:rFonts w:ascii="Arial" w:hAnsi="Arial" w:cs="Arial"/>
          <w:sz w:val="20"/>
        </w:rPr>
        <w:t>any non-Aboriginal sibling of an Aboriginal child for whom an authorisation has been made;</w:t>
      </w:r>
    </w:p>
    <w:p w14:paraId="5FDC829C" w14:textId="77777777" w:rsidR="0040471F" w:rsidRPr="0040471F" w:rsidRDefault="0040471F">
      <w:pPr>
        <w:pStyle w:val="ListParagraph"/>
        <w:numPr>
          <w:ilvl w:val="0"/>
          <w:numId w:val="83"/>
        </w:numPr>
        <w:ind w:left="357" w:hanging="357"/>
        <w:contextualSpacing/>
        <w:jc w:val="both"/>
        <w:rPr>
          <w:rFonts w:ascii="Arial" w:hAnsi="Arial" w:cs="Arial"/>
          <w:sz w:val="20"/>
        </w:rPr>
      </w:pPr>
      <w:r w:rsidRPr="0040471F">
        <w:rPr>
          <w:rFonts w:ascii="Arial" w:hAnsi="Arial" w:cs="Arial"/>
          <w:sz w:val="20"/>
        </w:rPr>
        <w:t>a child or class of children whom the Secretary believes to be Aboriginal;</w:t>
      </w:r>
    </w:p>
    <w:p w14:paraId="298B9302" w14:textId="77777777" w:rsidR="0040471F" w:rsidRPr="0040471F" w:rsidRDefault="0040471F">
      <w:pPr>
        <w:pStyle w:val="ListParagraph"/>
        <w:numPr>
          <w:ilvl w:val="0"/>
          <w:numId w:val="84"/>
        </w:numPr>
        <w:ind w:left="357" w:hanging="357"/>
        <w:contextualSpacing/>
        <w:jc w:val="both"/>
        <w:rPr>
          <w:rFonts w:ascii="Arial" w:hAnsi="Arial" w:cs="Arial"/>
          <w:sz w:val="20"/>
        </w:rPr>
      </w:pPr>
      <w:r w:rsidRPr="0040471F">
        <w:rPr>
          <w:rFonts w:ascii="Arial" w:hAnsi="Arial" w:cs="Arial"/>
          <w:sz w:val="20"/>
        </w:rPr>
        <w:t>any non-Aboriginal sibling of an Aboriginal child or class of children for whom an authorisation has been made.</w:t>
      </w:r>
    </w:p>
    <w:p w14:paraId="3DA95F51" w14:textId="77777777" w:rsidR="00903B42" w:rsidRPr="008732E5" w:rsidRDefault="00903B42" w:rsidP="00903B42">
      <w:pPr>
        <w:jc w:val="both"/>
        <w:rPr>
          <w:rFonts w:ascii="Arial" w:hAnsi="Arial" w:cs="Arial"/>
          <w:sz w:val="18"/>
          <w:szCs w:val="18"/>
        </w:rPr>
      </w:pPr>
    </w:p>
    <w:p w14:paraId="25BA6A8A" w14:textId="77777777" w:rsidR="00903B42" w:rsidRPr="0040471F" w:rsidRDefault="00903B42" w:rsidP="00903B42">
      <w:pPr>
        <w:spacing w:before="20"/>
        <w:jc w:val="both"/>
        <w:rPr>
          <w:rFonts w:ascii="Arial" w:hAnsi="Arial" w:cs="Arial"/>
          <w:sz w:val="20"/>
          <w:szCs w:val="20"/>
        </w:rPr>
      </w:pPr>
      <w:r w:rsidRPr="0040471F">
        <w:rPr>
          <w:rFonts w:ascii="Arial" w:hAnsi="Arial" w:cs="Arial"/>
          <w:b/>
          <w:bCs/>
          <w:sz w:val="20"/>
          <w:szCs w:val="20"/>
        </w:rPr>
        <w:t>New s.18(2)</w:t>
      </w:r>
      <w:r w:rsidRPr="0040471F">
        <w:rPr>
          <w:rFonts w:ascii="Arial" w:hAnsi="Arial" w:cs="Arial"/>
          <w:sz w:val="20"/>
          <w:szCs w:val="20"/>
        </w:rPr>
        <w:t xml:space="preserve"> provide</w:t>
      </w:r>
      <w:r>
        <w:rPr>
          <w:rFonts w:ascii="Arial" w:hAnsi="Arial" w:cs="Arial"/>
          <w:sz w:val="20"/>
          <w:szCs w:val="20"/>
        </w:rPr>
        <w:t>s</w:t>
      </w:r>
      <w:r w:rsidRPr="0040471F">
        <w:rPr>
          <w:rFonts w:ascii="Arial" w:hAnsi="Arial" w:cs="Arial"/>
          <w:sz w:val="20"/>
          <w:szCs w:val="20"/>
        </w:rPr>
        <w:t xml:space="preserve"> that the functions and powers that may be specified are those conferred by or under the CYFA on the Secretary DFFH-</w:t>
      </w:r>
    </w:p>
    <w:p w14:paraId="7B95E7E0" w14:textId="77777777" w:rsidR="00903B42" w:rsidRPr="0040471F" w:rsidRDefault="00903B42">
      <w:pPr>
        <w:pStyle w:val="ListParagraph"/>
        <w:numPr>
          <w:ilvl w:val="0"/>
          <w:numId w:val="80"/>
        </w:numPr>
        <w:ind w:left="357" w:hanging="357"/>
        <w:contextualSpacing/>
        <w:jc w:val="both"/>
        <w:rPr>
          <w:rFonts w:ascii="Arial" w:hAnsi="Arial" w:cs="Arial"/>
          <w:sz w:val="20"/>
        </w:rPr>
      </w:pPr>
      <w:r w:rsidRPr="0040471F">
        <w:rPr>
          <w:rFonts w:ascii="Arial" w:hAnsi="Arial" w:cs="Arial"/>
          <w:sz w:val="20"/>
        </w:rPr>
        <w:t>as a protective intervener; and</w:t>
      </w:r>
    </w:p>
    <w:p w14:paraId="40ED81F9" w14:textId="77777777" w:rsidR="00903B42" w:rsidRPr="0040471F" w:rsidRDefault="00903B42">
      <w:pPr>
        <w:pStyle w:val="ListParagraph"/>
        <w:numPr>
          <w:ilvl w:val="0"/>
          <w:numId w:val="80"/>
        </w:numPr>
        <w:ind w:left="357" w:hanging="357"/>
        <w:contextualSpacing/>
        <w:jc w:val="both"/>
        <w:rPr>
          <w:rFonts w:ascii="Arial" w:hAnsi="Arial" w:cs="Arial"/>
          <w:sz w:val="20"/>
        </w:rPr>
      </w:pPr>
      <w:r w:rsidRPr="0040471F">
        <w:rPr>
          <w:rFonts w:ascii="Arial" w:hAnsi="Arial" w:cs="Arial"/>
          <w:sz w:val="20"/>
        </w:rPr>
        <w:t>to receive reports under s.185 and to investigate those reports; and</w:t>
      </w:r>
    </w:p>
    <w:p w14:paraId="72A00233" w14:textId="77777777" w:rsidR="00903B42" w:rsidRPr="0040471F" w:rsidRDefault="00903B42">
      <w:pPr>
        <w:pStyle w:val="ListParagraph"/>
        <w:numPr>
          <w:ilvl w:val="0"/>
          <w:numId w:val="80"/>
        </w:numPr>
        <w:ind w:left="357" w:hanging="357"/>
        <w:contextualSpacing/>
        <w:jc w:val="both"/>
        <w:rPr>
          <w:rFonts w:ascii="Arial" w:hAnsi="Arial" w:cs="Arial"/>
          <w:sz w:val="20"/>
        </w:rPr>
      </w:pPr>
      <w:r w:rsidRPr="0040471F">
        <w:rPr>
          <w:rFonts w:ascii="Arial" w:hAnsi="Arial" w:cs="Arial"/>
          <w:sz w:val="20"/>
        </w:rPr>
        <w:t xml:space="preserve">in relation to a protection order, a temporary assessment order, an interim accommodation order, a therapeutic treatment order, a therapeutic treatment (placement) order </w:t>
      </w:r>
      <w:r>
        <w:rPr>
          <w:rFonts w:ascii="Arial" w:hAnsi="Arial" w:cs="Arial"/>
          <w:sz w:val="20"/>
        </w:rPr>
        <w:t>and</w:t>
      </w:r>
      <w:r w:rsidRPr="0040471F">
        <w:rPr>
          <w:rFonts w:ascii="Arial" w:hAnsi="Arial" w:cs="Arial"/>
          <w:sz w:val="20"/>
        </w:rPr>
        <w:t xml:space="preserve"> a permanent care order.</w:t>
      </w:r>
    </w:p>
    <w:p w14:paraId="640ADDF9" w14:textId="40347D13" w:rsidR="00903B42" w:rsidRDefault="00903B42" w:rsidP="004F636A">
      <w:pPr>
        <w:jc w:val="both"/>
        <w:rPr>
          <w:rFonts w:ascii="Arial" w:hAnsi="Arial" w:cs="Arial"/>
          <w:sz w:val="20"/>
          <w:szCs w:val="20"/>
        </w:rPr>
      </w:pPr>
    </w:p>
    <w:p w14:paraId="38AF100E" w14:textId="1B260A3E" w:rsidR="00903B42" w:rsidRDefault="00903B42" w:rsidP="004F636A">
      <w:pPr>
        <w:jc w:val="both"/>
        <w:rPr>
          <w:rFonts w:ascii="Arial" w:hAnsi="Arial" w:cs="Arial"/>
          <w:sz w:val="20"/>
          <w:szCs w:val="20"/>
        </w:rPr>
      </w:pPr>
      <w:r w:rsidRPr="0040471F">
        <w:rPr>
          <w:rFonts w:ascii="Arial" w:hAnsi="Arial" w:cs="Arial"/>
          <w:b/>
          <w:bCs/>
          <w:sz w:val="20"/>
          <w:szCs w:val="20"/>
        </w:rPr>
        <w:t>New s.18(</w:t>
      </w:r>
      <w:r>
        <w:rPr>
          <w:rFonts w:ascii="Arial" w:hAnsi="Arial" w:cs="Arial"/>
          <w:b/>
          <w:bCs/>
          <w:sz w:val="20"/>
          <w:szCs w:val="20"/>
        </w:rPr>
        <w:t>3</w:t>
      </w:r>
      <w:r w:rsidRPr="0040471F">
        <w:rPr>
          <w:rFonts w:ascii="Arial" w:hAnsi="Arial" w:cs="Arial"/>
          <w:b/>
          <w:bCs/>
          <w:sz w:val="20"/>
          <w:szCs w:val="20"/>
        </w:rPr>
        <w:t>)</w:t>
      </w:r>
      <w:r>
        <w:rPr>
          <w:rFonts w:ascii="Arial" w:hAnsi="Arial" w:cs="Arial"/>
          <w:b/>
          <w:bCs/>
          <w:sz w:val="20"/>
          <w:szCs w:val="20"/>
        </w:rPr>
        <w:t xml:space="preserve"> </w:t>
      </w:r>
      <w:r w:rsidRPr="0040471F">
        <w:rPr>
          <w:rFonts w:ascii="Arial" w:hAnsi="Arial" w:cs="Arial"/>
          <w:sz w:val="20"/>
          <w:szCs w:val="20"/>
        </w:rPr>
        <w:t>provide</w:t>
      </w:r>
      <w:r>
        <w:rPr>
          <w:rFonts w:ascii="Arial" w:hAnsi="Arial" w:cs="Arial"/>
          <w:sz w:val="20"/>
          <w:szCs w:val="20"/>
        </w:rPr>
        <w:t>s</w:t>
      </w:r>
      <w:r w:rsidRPr="0040471F">
        <w:rPr>
          <w:rFonts w:ascii="Arial" w:hAnsi="Arial" w:cs="Arial"/>
          <w:sz w:val="20"/>
          <w:szCs w:val="20"/>
        </w:rPr>
        <w:t xml:space="preserve"> that</w:t>
      </w:r>
      <w:r>
        <w:rPr>
          <w:rFonts w:ascii="Arial" w:hAnsi="Arial" w:cs="Arial"/>
          <w:sz w:val="20"/>
          <w:szCs w:val="20"/>
        </w:rPr>
        <w:t xml:space="preserve"> such authorisation may only be made with the agreement of the Aboriginal agency and the principal officer.  </w:t>
      </w:r>
      <w:r w:rsidRPr="00903B42">
        <w:rPr>
          <w:rFonts w:ascii="Arial" w:hAnsi="Arial" w:cs="Arial"/>
          <w:b/>
          <w:bCs/>
          <w:sz w:val="20"/>
          <w:szCs w:val="20"/>
        </w:rPr>
        <w:t>New s.18(4)</w:t>
      </w:r>
      <w:r>
        <w:rPr>
          <w:rFonts w:ascii="Arial" w:hAnsi="Arial" w:cs="Arial"/>
          <w:sz w:val="20"/>
          <w:szCs w:val="20"/>
        </w:rPr>
        <w:t xml:space="preserve"> requires the Secretary DFFH, before giving an authorisation, to provide the Aboriginal agency and the principal officer with all the information that is known to the Secretary and that is reasonably necessary to assist the agency and the principal officer to make an informed decision as to whether or not to agree to the authorisation.</w:t>
      </w:r>
    </w:p>
    <w:p w14:paraId="025E56AF" w14:textId="77777777" w:rsidR="00903B42" w:rsidRPr="00903B42" w:rsidRDefault="00903B42" w:rsidP="004F636A">
      <w:pPr>
        <w:jc w:val="both"/>
        <w:rPr>
          <w:rFonts w:ascii="Arial" w:hAnsi="Arial" w:cs="Arial"/>
          <w:sz w:val="20"/>
          <w:szCs w:val="20"/>
        </w:rPr>
      </w:pPr>
    </w:p>
    <w:p w14:paraId="6F506C65" w14:textId="1539C36D" w:rsidR="0004455B" w:rsidRDefault="0040471F" w:rsidP="004F636A">
      <w:pPr>
        <w:jc w:val="both"/>
        <w:rPr>
          <w:rFonts w:ascii="Arial" w:hAnsi="Arial" w:cs="Arial"/>
          <w:sz w:val="20"/>
          <w:szCs w:val="20"/>
        </w:rPr>
      </w:pPr>
      <w:r w:rsidRPr="0040471F">
        <w:rPr>
          <w:rFonts w:ascii="Arial" w:hAnsi="Arial" w:cs="Arial"/>
          <w:b/>
          <w:bCs/>
          <w:sz w:val="20"/>
          <w:szCs w:val="20"/>
        </w:rPr>
        <w:t>New s.18(6)</w:t>
      </w:r>
      <w:r w:rsidRPr="0040471F">
        <w:rPr>
          <w:rFonts w:ascii="Arial" w:hAnsi="Arial" w:cs="Arial"/>
          <w:sz w:val="20"/>
          <w:szCs w:val="20"/>
        </w:rPr>
        <w:t xml:space="preserve"> provid</w:t>
      </w:r>
      <w:r w:rsidR="00E91FD2">
        <w:rPr>
          <w:rFonts w:ascii="Arial" w:hAnsi="Arial" w:cs="Arial"/>
          <w:sz w:val="20"/>
          <w:szCs w:val="20"/>
        </w:rPr>
        <w:t>es</w:t>
      </w:r>
      <w:r w:rsidRPr="0040471F">
        <w:rPr>
          <w:rFonts w:ascii="Arial" w:hAnsi="Arial" w:cs="Arial"/>
          <w:sz w:val="20"/>
          <w:szCs w:val="20"/>
        </w:rPr>
        <w:t xml:space="preserve"> that before giving an authorisation under paragraphs (a) or (c), the Secretary DFFH must have regard to any view expressed by the child and the parent of the child if those views can be reasonably obtained.</w:t>
      </w:r>
    </w:p>
    <w:p w14:paraId="5C1C606A" w14:textId="77777777" w:rsidR="00CE0DFA" w:rsidRPr="008732E5" w:rsidRDefault="00CE0DFA" w:rsidP="004F636A">
      <w:pPr>
        <w:jc w:val="both"/>
        <w:rPr>
          <w:rFonts w:ascii="Arial" w:hAnsi="Arial" w:cs="Arial"/>
          <w:sz w:val="18"/>
          <w:szCs w:val="18"/>
        </w:rPr>
      </w:pPr>
    </w:p>
    <w:p w14:paraId="1F7F9E26" w14:textId="188B0E8B" w:rsidR="00CE0DFA" w:rsidRPr="0004455B" w:rsidRDefault="00CE0DFA" w:rsidP="002B288C">
      <w:pPr>
        <w:jc w:val="both"/>
        <w:rPr>
          <w:rFonts w:ascii="Arial" w:hAnsi="Arial" w:cs="Arial"/>
          <w:sz w:val="20"/>
        </w:rPr>
      </w:pPr>
      <w:r w:rsidRPr="0004455B">
        <w:rPr>
          <w:rFonts w:ascii="Arial" w:hAnsi="Arial" w:cs="Arial"/>
          <w:b/>
          <w:bCs/>
          <w:sz w:val="20"/>
          <w:szCs w:val="20"/>
        </w:rPr>
        <w:t>New s.18(7)</w:t>
      </w:r>
      <w:r w:rsidRPr="0004455B">
        <w:rPr>
          <w:rFonts w:ascii="Arial" w:hAnsi="Arial" w:cs="Arial"/>
          <w:sz w:val="20"/>
          <w:szCs w:val="20"/>
        </w:rPr>
        <w:t xml:space="preserve"> provide</w:t>
      </w:r>
      <w:r w:rsidR="00E91FD2">
        <w:rPr>
          <w:rFonts w:ascii="Arial" w:hAnsi="Arial" w:cs="Arial"/>
          <w:sz w:val="20"/>
          <w:szCs w:val="20"/>
        </w:rPr>
        <w:t>s</w:t>
      </w:r>
      <w:r w:rsidRPr="0004455B">
        <w:rPr>
          <w:rFonts w:ascii="Arial" w:hAnsi="Arial" w:cs="Arial"/>
          <w:sz w:val="20"/>
          <w:szCs w:val="20"/>
        </w:rPr>
        <w:t xml:space="preserve"> that on an authorisation being given, the CYFA applies in relation to the </w:t>
      </w:r>
      <w:r w:rsidRPr="00DC652B">
        <w:rPr>
          <w:rFonts w:ascii="Arial" w:hAnsi="Arial" w:cs="Arial"/>
          <w:sz w:val="20"/>
          <w:szCs w:val="20"/>
        </w:rPr>
        <w:t>performance</w:t>
      </w:r>
      <w:r w:rsidRPr="0004455B">
        <w:rPr>
          <w:rFonts w:ascii="Arial" w:hAnsi="Arial" w:cs="Arial"/>
          <w:sz w:val="20"/>
          <w:szCs w:val="20"/>
        </w:rPr>
        <w:t xml:space="preserve"> of the specified functions or the exercise of the specified powers referred to in </w:t>
      </w:r>
      <w:r w:rsidRPr="0004455B">
        <w:rPr>
          <w:rFonts w:ascii="Arial" w:hAnsi="Arial" w:cs="Arial"/>
          <w:b/>
          <w:bCs/>
          <w:sz w:val="20"/>
          <w:szCs w:val="20"/>
        </w:rPr>
        <w:t>s.18(2)</w:t>
      </w:r>
      <w:r w:rsidRPr="0004455B">
        <w:rPr>
          <w:rFonts w:ascii="Arial" w:hAnsi="Arial" w:cs="Arial"/>
          <w:sz w:val="20"/>
          <w:szCs w:val="20"/>
        </w:rPr>
        <w:t xml:space="preserve"> for the specified child(ren) as if the authorised principal officer were the Secretary.</w:t>
      </w:r>
    </w:p>
    <w:p w14:paraId="59DB156C" w14:textId="77777777" w:rsidR="00F025A7" w:rsidRPr="008732E5" w:rsidRDefault="00F025A7" w:rsidP="00F025A7">
      <w:pPr>
        <w:jc w:val="both"/>
        <w:rPr>
          <w:rFonts w:ascii="Arial" w:hAnsi="Arial" w:cs="Arial"/>
          <w:sz w:val="18"/>
          <w:szCs w:val="18"/>
        </w:rPr>
      </w:pPr>
    </w:p>
    <w:p w14:paraId="2E2FB184" w14:textId="77777777" w:rsidR="00504AD4" w:rsidRPr="00504AD4" w:rsidRDefault="00504AD4" w:rsidP="00504AD4">
      <w:pPr>
        <w:jc w:val="both"/>
        <w:rPr>
          <w:rFonts w:ascii="Arial" w:hAnsi="Arial" w:cs="Arial"/>
          <w:sz w:val="20"/>
          <w:szCs w:val="20"/>
        </w:rPr>
      </w:pPr>
      <w:r w:rsidRPr="00504AD4">
        <w:rPr>
          <w:rFonts w:ascii="Arial" w:hAnsi="Arial" w:cs="Arial"/>
          <w:b/>
          <w:bCs/>
          <w:sz w:val="20"/>
          <w:szCs w:val="20"/>
        </w:rPr>
        <w:t>Existing ss.181(a) &amp; (b)</w:t>
      </w:r>
      <w:r w:rsidRPr="00504AD4">
        <w:rPr>
          <w:rFonts w:ascii="Arial" w:hAnsi="Arial" w:cs="Arial"/>
          <w:sz w:val="20"/>
          <w:szCs w:val="20"/>
        </w:rPr>
        <w:t xml:space="preserve"> provide that for the purposes of the CYFA the following persons are protective interveners:</w:t>
      </w:r>
    </w:p>
    <w:p w14:paraId="76B9E8B8" w14:textId="77777777" w:rsidR="00504AD4" w:rsidRPr="00504AD4" w:rsidRDefault="00504AD4">
      <w:pPr>
        <w:pStyle w:val="ListParagraph"/>
        <w:keepNext/>
        <w:keepLines/>
        <w:numPr>
          <w:ilvl w:val="0"/>
          <w:numId w:val="87"/>
        </w:numPr>
        <w:ind w:left="357" w:hanging="357"/>
        <w:contextualSpacing/>
        <w:jc w:val="both"/>
        <w:rPr>
          <w:rFonts w:ascii="Arial" w:hAnsi="Arial" w:cs="Arial"/>
          <w:sz w:val="20"/>
        </w:rPr>
      </w:pPr>
      <w:r w:rsidRPr="00504AD4">
        <w:rPr>
          <w:rFonts w:ascii="Arial" w:hAnsi="Arial" w:cs="Arial"/>
          <w:sz w:val="20"/>
        </w:rPr>
        <w:lastRenderedPageBreak/>
        <w:t>the Secretary DFFH; and</w:t>
      </w:r>
    </w:p>
    <w:p w14:paraId="5521DDE4" w14:textId="2241D81D" w:rsidR="00504AD4" w:rsidRPr="00504AD4" w:rsidRDefault="00504AD4">
      <w:pPr>
        <w:pStyle w:val="ListParagraph"/>
        <w:numPr>
          <w:ilvl w:val="0"/>
          <w:numId w:val="87"/>
        </w:numPr>
        <w:ind w:left="357" w:hanging="357"/>
        <w:contextualSpacing/>
        <w:jc w:val="both"/>
        <w:rPr>
          <w:rFonts w:ascii="Arial" w:hAnsi="Arial" w:cs="Arial"/>
          <w:sz w:val="20"/>
        </w:rPr>
      </w:pPr>
      <w:r w:rsidRPr="00504AD4">
        <w:rPr>
          <w:rFonts w:ascii="Arial" w:hAnsi="Arial" w:cs="Arial"/>
          <w:sz w:val="20"/>
        </w:rPr>
        <w:t>all police officers.</w:t>
      </w:r>
    </w:p>
    <w:p w14:paraId="0F4A6832" w14:textId="77777777" w:rsidR="00504AD4" w:rsidRPr="00504AD4" w:rsidRDefault="00504AD4" w:rsidP="00377641">
      <w:pPr>
        <w:spacing w:before="20"/>
        <w:jc w:val="both"/>
        <w:rPr>
          <w:rFonts w:ascii="Arial" w:hAnsi="Arial" w:cs="Arial"/>
          <w:sz w:val="20"/>
          <w:szCs w:val="20"/>
        </w:rPr>
      </w:pPr>
      <w:r w:rsidRPr="00504AD4">
        <w:rPr>
          <w:rFonts w:ascii="Arial" w:hAnsi="Arial" w:cs="Arial"/>
          <w:b/>
          <w:bCs/>
          <w:sz w:val="20"/>
          <w:szCs w:val="20"/>
        </w:rPr>
        <w:t>New s.181(c)</w:t>
      </w:r>
      <w:r w:rsidRPr="00504AD4">
        <w:rPr>
          <w:rFonts w:ascii="Arial" w:hAnsi="Arial" w:cs="Arial"/>
          <w:sz w:val="20"/>
          <w:szCs w:val="20"/>
        </w:rPr>
        <w:t xml:space="preserve"> complements new s.18 by adding to s.181:</w:t>
      </w:r>
    </w:p>
    <w:p w14:paraId="44A31E82" w14:textId="77777777" w:rsidR="00504AD4" w:rsidRPr="00504AD4" w:rsidRDefault="00504AD4">
      <w:pPr>
        <w:pStyle w:val="ListParagraph"/>
        <w:numPr>
          <w:ilvl w:val="0"/>
          <w:numId w:val="87"/>
        </w:numPr>
        <w:ind w:left="357" w:hanging="357"/>
        <w:contextualSpacing/>
        <w:jc w:val="both"/>
        <w:rPr>
          <w:rFonts w:ascii="Arial" w:hAnsi="Arial" w:cs="Arial"/>
          <w:sz w:val="20"/>
        </w:rPr>
      </w:pPr>
      <w:r w:rsidRPr="00504AD4">
        <w:rPr>
          <w:rFonts w:ascii="Arial" w:hAnsi="Arial" w:cs="Arial"/>
          <w:sz w:val="20"/>
        </w:rPr>
        <w:t>the principal officer of an Aboriginal agency authorised under s.18 to perform functions and exercise powers of a protective intervener, to the extent that the principal officer performs those functions and exercises those powers in relation to a child who is the subject of the authorisation.</w:t>
      </w:r>
    </w:p>
    <w:p w14:paraId="632C1BB4" w14:textId="77777777" w:rsidR="00504AD4" w:rsidRPr="00BC4471" w:rsidRDefault="00504AD4" w:rsidP="004F636A">
      <w:pPr>
        <w:jc w:val="both"/>
        <w:rPr>
          <w:rFonts w:ascii="Arial" w:hAnsi="Arial" w:cs="Arial"/>
          <w:sz w:val="20"/>
          <w:szCs w:val="20"/>
        </w:rPr>
      </w:pPr>
    </w:p>
    <w:p w14:paraId="603D1076" w14:textId="21C9E984" w:rsidR="00D153F6" w:rsidRPr="00122549" w:rsidRDefault="00D153F6" w:rsidP="004F636A">
      <w:pPr>
        <w:spacing w:before="20"/>
        <w:jc w:val="both"/>
        <w:rPr>
          <w:rFonts w:ascii="Arial" w:hAnsi="Arial" w:cs="Arial"/>
          <w:sz w:val="20"/>
          <w:szCs w:val="20"/>
        </w:rPr>
      </w:pPr>
      <w:r w:rsidRPr="00BC5A01">
        <w:rPr>
          <w:rFonts w:ascii="Arial" w:hAnsi="Arial" w:cs="Arial"/>
          <w:b/>
          <w:bCs/>
          <w:sz w:val="20"/>
          <w:szCs w:val="20"/>
        </w:rPr>
        <w:t xml:space="preserve">New </w:t>
      </w:r>
      <w:r w:rsidRPr="00122549">
        <w:rPr>
          <w:rFonts w:ascii="Arial" w:hAnsi="Arial" w:cs="Arial"/>
          <w:b/>
          <w:bCs/>
          <w:sz w:val="20"/>
          <w:szCs w:val="20"/>
        </w:rPr>
        <w:t>s.18AAA</w:t>
      </w:r>
      <w:r w:rsidRPr="00122549">
        <w:rPr>
          <w:rFonts w:ascii="Arial" w:hAnsi="Arial" w:cs="Arial"/>
          <w:sz w:val="20"/>
          <w:szCs w:val="20"/>
        </w:rPr>
        <w:t xml:space="preserve"> empower</w:t>
      </w:r>
      <w:r w:rsidR="00E127DD">
        <w:rPr>
          <w:rFonts w:ascii="Arial" w:hAnsi="Arial" w:cs="Arial"/>
          <w:sz w:val="20"/>
          <w:szCs w:val="20"/>
        </w:rPr>
        <w:t>s</w:t>
      </w:r>
      <w:r w:rsidRPr="00122549">
        <w:rPr>
          <w:rFonts w:ascii="Arial" w:hAnsi="Arial" w:cs="Arial"/>
          <w:sz w:val="20"/>
          <w:szCs w:val="20"/>
        </w:rPr>
        <w:t xml:space="preserve"> the Secretary DFFH to revoke an authorisation under s.18(1) </w:t>
      </w:r>
      <w:r w:rsidR="00887AA4">
        <w:rPr>
          <w:rFonts w:ascii="Arial" w:hAnsi="Arial" w:cs="Arial"/>
          <w:sz w:val="20"/>
          <w:szCs w:val="20"/>
        </w:rPr>
        <w:t xml:space="preserve">in writing </w:t>
      </w:r>
      <w:r w:rsidRPr="00122549">
        <w:rPr>
          <w:rFonts w:ascii="Arial" w:hAnsi="Arial" w:cs="Arial"/>
          <w:sz w:val="20"/>
          <w:szCs w:val="20"/>
        </w:rPr>
        <w:t>at any time and requires the principal officer upon such revocation to provide the Secretary DFFH with all records created by or on behalf of or provided to the Aboriginal agency in respect of the child as a result of the authorisation.</w:t>
      </w:r>
      <w:r>
        <w:rPr>
          <w:rFonts w:ascii="Arial" w:hAnsi="Arial" w:cs="Arial"/>
          <w:sz w:val="20"/>
          <w:szCs w:val="20"/>
        </w:rPr>
        <w:t xml:space="preserve">  </w:t>
      </w:r>
      <w:r w:rsidRPr="00887AA4">
        <w:rPr>
          <w:rFonts w:ascii="Arial" w:hAnsi="Arial" w:cs="Arial"/>
          <w:b/>
          <w:bCs/>
          <w:sz w:val="20"/>
          <w:szCs w:val="20"/>
        </w:rPr>
        <w:t>S</w:t>
      </w:r>
      <w:r w:rsidR="00927530" w:rsidRPr="00887AA4">
        <w:rPr>
          <w:rFonts w:ascii="Arial" w:hAnsi="Arial" w:cs="Arial"/>
          <w:b/>
          <w:bCs/>
          <w:sz w:val="20"/>
          <w:szCs w:val="20"/>
        </w:rPr>
        <w:t>ection</w:t>
      </w:r>
      <w:r w:rsidR="00D21009" w:rsidRPr="00887AA4">
        <w:rPr>
          <w:rFonts w:ascii="Arial" w:hAnsi="Arial" w:cs="Arial"/>
          <w:b/>
          <w:bCs/>
          <w:sz w:val="20"/>
          <w:szCs w:val="20"/>
        </w:rPr>
        <w:t xml:space="preserve"> </w:t>
      </w:r>
      <w:r w:rsidRPr="00887AA4">
        <w:rPr>
          <w:rFonts w:ascii="Arial" w:hAnsi="Arial" w:cs="Arial"/>
          <w:b/>
          <w:bCs/>
          <w:sz w:val="20"/>
          <w:szCs w:val="20"/>
        </w:rPr>
        <w:t>18AAA(4)</w:t>
      </w:r>
      <w:r w:rsidRPr="00122549">
        <w:rPr>
          <w:rFonts w:ascii="Arial" w:hAnsi="Arial" w:cs="Arial"/>
          <w:sz w:val="20"/>
          <w:szCs w:val="20"/>
        </w:rPr>
        <w:t xml:space="preserve"> provides that despite the revocation of an authorisation in respect of an Aboriginal child or a child or class of children who the Secretary believes to be Aboriginal, an authorisation under ss.18(1)(c) or 18(1)(d) of a non-Aboriginal sibling of the Aboriginal child(ren) continues to have effect until revoked.</w:t>
      </w:r>
    </w:p>
    <w:p w14:paraId="21AD6D50" w14:textId="77777777" w:rsidR="00D153F6" w:rsidRDefault="00D153F6" w:rsidP="004F636A">
      <w:pPr>
        <w:jc w:val="both"/>
        <w:rPr>
          <w:rFonts w:ascii="Arial" w:hAnsi="Arial" w:cs="Arial"/>
          <w:sz w:val="20"/>
          <w:szCs w:val="20"/>
        </w:rPr>
      </w:pPr>
    </w:p>
    <w:p w14:paraId="154765DD" w14:textId="0DC9A6A5" w:rsidR="00D153F6" w:rsidRPr="00BC5A01" w:rsidRDefault="00D153F6" w:rsidP="004F636A">
      <w:pPr>
        <w:jc w:val="both"/>
        <w:rPr>
          <w:rFonts w:ascii="Arial" w:hAnsi="Arial" w:cs="Arial"/>
          <w:sz w:val="20"/>
          <w:szCs w:val="20"/>
        </w:rPr>
      </w:pPr>
      <w:r w:rsidRPr="00BC5A01">
        <w:rPr>
          <w:rFonts w:ascii="Arial" w:hAnsi="Arial" w:cs="Arial"/>
          <w:b/>
          <w:bCs/>
          <w:sz w:val="20"/>
          <w:szCs w:val="20"/>
        </w:rPr>
        <w:t>New s.18AAB</w:t>
      </w:r>
      <w:r w:rsidRPr="00BC5A01">
        <w:rPr>
          <w:rFonts w:ascii="Arial" w:hAnsi="Arial" w:cs="Arial"/>
          <w:sz w:val="20"/>
          <w:szCs w:val="20"/>
        </w:rPr>
        <w:t xml:space="preserve"> require</w:t>
      </w:r>
      <w:r w:rsidR="00E127DD">
        <w:rPr>
          <w:rFonts w:ascii="Arial" w:hAnsi="Arial" w:cs="Arial"/>
          <w:sz w:val="20"/>
          <w:szCs w:val="20"/>
        </w:rPr>
        <w:t>s</w:t>
      </w:r>
      <w:r w:rsidRPr="00BC5A01">
        <w:rPr>
          <w:rFonts w:ascii="Arial" w:hAnsi="Arial" w:cs="Arial"/>
          <w:sz w:val="20"/>
          <w:szCs w:val="20"/>
        </w:rPr>
        <w:t xml:space="preserve"> the principal officer of an Aboriginal agency to notify the Secretary DFFH in writing as soon as practicable if he or she considers that an authorisation under s.18 is no longer in the best interests of a particular child or children who are the subject of the authorisation.  On receiving a notification</w:t>
      </w:r>
      <w:r w:rsidR="00887AA4">
        <w:rPr>
          <w:rFonts w:ascii="Arial" w:hAnsi="Arial" w:cs="Arial"/>
          <w:sz w:val="20"/>
          <w:szCs w:val="20"/>
        </w:rPr>
        <w:t>,</w:t>
      </w:r>
      <w:r w:rsidRPr="00BC5A01">
        <w:rPr>
          <w:rFonts w:ascii="Arial" w:hAnsi="Arial" w:cs="Arial"/>
          <w:sz w:val="20"/>
          <w:szCs w:val="20"/>
        </w:rPr>
        <w:t xml:space="preserve"> the Secretary DFFH may revoke the authorisation in accordance with s.18AAA.</w:t>
      </w:r>
      <w:r w:rsidR="00887AA4">
        <w:rPr>
          <w:rFonts w:ascii="Arial" w:hAnsi="Arial" w:cs="Arial"/>
          <w:sz w:val="20"/>
          <w:szCs w:val="20"/>
        </w:rPr>
        <w:t xml:space="preserve">  However, nothing in this section affects the Secretary’s power under s.18AAA to otherwise revoke an authorisation.</w:t>
      </w:r>
    </w:p>
    <w:p w14:paraId="6F1B93EB" w14:textId="77777777" w:rsidR="00D153F6" w:rsidRDefault="00D153F6" w:rsidP="004F636A">
      <w:pPr>
        <w:jc w:val="both"/>
        <w:rPr>
          <w:rFonts w:ascii="Arial" w:hAnsi="Arial" w:cs="Arial"/>
          <w:sz w:val="20"/>
          <w:szCs w:val="20"/>
        </w:rPr>
      </w:pPr>
    </w:p>
    <w:p w14:paraId="100686E6" w14:textId="59166A58" w:rsidR="00D153F6" w:rsidRDefault="00A225C6" w:rsidP="004F636A">
      <w:pPr>
        <w:jc w:val="both"/>
        <w:rPr>
          <w:rFonts w:ascii="Arial" w:hAnsi="Arial" w:cs="Arial"/>
          <w:sz w:val="20"/>
          <w:szCs w:val="20"/>
        </w:rPr>
      </w:pPr>
      <w:r>
        <w:rPr>
          <w:rFonts w:ascii="Arial" w:hAnsi="Arial" w:cs="Arial"/>
          <w:b/>
          <w:bCs/>
          <w:sz w:val="20"/>
          <w:szCs w:val="20"/>
        </w:rPr>
        <w:t>Existing s</w:t>
      </w:r>
      <w:r w:rsidR="00D153F6" w:rsidRPr="00D500B0">
        <w:rPr>
          <w:rFonts w:ascii="Arial" w:hAnsi="Arial" w:cs="Arial"/>
          <w:b/>
          <w:bCs/>
          <w:sz w:val="20"/>
          <w:szCs w:val="20"/>
        </w:rPr>
        <w:t>ection 1</w:t>
      </w:r>
      <w:r w:rsidR="00D153F6" w:rsidRPr="004657D0">
        <w:rPr>
          <w:rFonts w:ascii="Arial" w:hAnsi="Arial" w:cs="Arial"/>
          <w:b/>
          <w:bCs/>
          <w:sz w:val="20"/>
          <w:szCs w:val="20"/>
        </w:rPr>
        <w:t>8B</w:t>
      </w:r>
      <w:r w:rsidR="00D153F6">
        <w:rPr>
          <w:rFonts w:ascii="Arial" w:hAnsi="Arial" w:cs="Arial"/>
          <w:sz w:val="20"/>
          <w:szCs w:val="20"/>
        </w:rPr>
        <w:t xml:space="preserve"> empowers the principal officer of an Aboriginal agency to delegate to any person or class of persons employed by the Aboriginal agency any function or power of the Secretary under the CYFA except for “this power of delegation”.</w:t>
      </w:r>
    </w:p>
    <w:p w14:paraId="27D68E0E" w14:textId="77777777" w:rsidR="00D153F6" w:rsidRPr="00D153F6" w:rsidRDefault="00D153F6" w:rsidP="004F636A">
      <w:pPr>
        <w:jc w:val="both"/>
        <w:rPr>
          <w:rFonts w:ascii="Arial" w:hAnsi="Arial" w:cs="Arial"/>
          <w:sz w:val="20"/>
        </w:rPr>
      </w:pPr>
    </w:p>
    <w:p w14:paraId="65E993E3" w14:textId="776B2FB5" w:rsidR="00887AA4" w:rsidRDefault="00A225C6" w:rsidP="004F636A">
      <w:pPr>
        <w:jc w:val="both"/>
        <w:rPr>
          <w:rFonts w:ascii="Arial" w:hAnsi="Arial" w:cs="Arial"/>
          <w:sz w:val="20"/>
        </w:rPr>
      </w:pPr>
      <w:r>
        <w:rPr>
          <w:rFonts w:ascii="Arial" w:hAnsi="Arial" w:cs="Arial"/>
          <w:b/>
          <w:bCs/>
          <w:sz w:val="20"/>
        </w:rPr>
        <w:t>Existing s.</w:t>
      </w:r>
      <w:r w:rsidR="00676E2A" w:rsidRPr="00676E2A">
        <w:rPr>
          <w:rFonts w:ascii="Arial" w:hAnsi="Arial" w:cs="Arial"/>
          <w:b/>
          <w:bCs/>
          <w:sz w:val="20"/>
        </w:rPr>
        <w:t>18C</w:t>
      </w:r>
      <w:r w:rsidR="00676E2A">
        <w:rPr>
          <w:rFonts w:ascii="Arial" w:hAnsi="Arial" w:cs="Arial"/>
          <w:sz w:val="20"/>
        </w:rPr>
        <w:t xml:space="preserve"> governs the disclosure of information by the Secretary DFFH to the principal officer of an Aboriginal agency.  </w:t>
      </w:r>
      <w:r>
        <w:rPr>
          <w:rFonts w:ascii="Arial" w:hAnsi="Arial" w:cs="Arial"/>
          <w:b/>
          <w:bCs/>
          <w:sz w:val="20"/>
        </w:rPr>
        <w:t>Existing s.</w:t>
      </w:r>
      <w:r w:rsidR="00676E2A" w:rsidRPr="00676E2A">
        <w:rPr>
          <w:rFonts w:ascii="Arial" w:hAnsi="Arial" w:cs="Arial"/>
          <w:b/>
          <w:bCs/>
          <w:sz w:val="20"/>
        </w:rPr>
        <w:t>18D</w:t>
      </w:r>
      <w:r w:rsidR="00676E2A">
        <w:rPr>
          <w:rFonts w:ascii="Arial" w:hAnsi="Arial" w:cs="Arial"/>
          <w:sz w:val="20"/>
        </w:rPr>
        <w:t xml:space="preserve"> governs the use of information disclosed by the Secretary DFFH to an Aboriginal agency or by its principal officer to any other person under s.18(4).</w:t>
      </w:r>
      <w:r w:rsidR="009E0C33">
        <w:rPr>
          <w:rFonts w:ascii="Arial" w:hAnsi="Arial" w:cs="Arial"/>
          <w:sz w:val="20"/>
        </w:rPr>
        <w:t xml:space="preserve"> </w:t>
      </w:r>
    </w:p>
    <w:p w14:paraId="1856D574" w14:textId="77777777" w:rsidR="00887AA4" w:rsidRDefault="00887AA4" w:rsidP="004F636A">
      <w:pPr>
        <w:jc w:val="both"/>
        <w:rPr>
          <w:rFonts w:ascii="Arial" w:hAnsi="Arial" w:cs="Arial"/>
          <w:sz w:val="20"/>
        </w:rPr>
      </w:pPr>
    </w:p>
    <w:p w14:paraId="31E49B15" w14:textId="2E5812E3" w:rsidR="00175178" w:rsidRDefault="00ED07FC" w:rsidP="00175178">
      <w:pPr>
        <w:spacing w:before="20"/>
        <w:jc w:val="both"/>
        <w:rPr>
          <w:rFonts w:ascii="Arial" w:hAnsi="Arial" w:cs="Arial"/>
          <w:sz w:val="18"/>
          <w:szCs w:val="18"/>
        </w:rPr>
      </w:pPr>
      <w:r>
        <w:rPr>
          <w:rFonts w:ascii="Arial" w:hAnsi="Arial" w:cs="Arial"/>
          <w:b/>
          <w:bCs/>
          <w:sz w:val="20"/>
        </w:rPr>
        <w:t>New s.</w:t>
      </w:r>
      <w:r w:rsidR="009E0C33" w:rsidRPr="009E0C33">
        <w:rPr>
          <w:rFonts w:ascii="Arial" w:hAnsi="Arial" w:cs="Arial"/>
          <w:b/>
          <w:bCs/>
          <w:sz w:val="20"/>
        </w:rPr>
        <w:t>19</w:t>
      </w:r>
      <w:r w:rsidR="00E915DB">
        <w:rPr>
          <w:rFonts w:ascii="Arial" w:hAnsi="Arial" w:cs="Arial"/>
          <w:b/>
          <w:bCs/>
          <w:sz w:val="20"/>
        </w:rPr>
        <w:t>A</w:t>
      </w:r>
      <w:r w:rsidR="009E0C33">
        <w:rPr>
          <w:rFonts w:ascii="Arial" w:hAnsi="Arial" w:cs="Arial"/>
          <w:sz w:val="20"/>
        </w:rPr>
        <w:t xml:space="preserve"> </w:t>
      </w:r>
      <w:r w:rsidR="00887AA4" w:rsidRPr="00887AA4">
        <w:rPr>
          <w:rFonts w:ascii="Arial" w:hAnsi="Arial" w:cs="Arial"/>
          <w:b/>
          <w:bCs/>
          <w:sz w:val="20"/>
        </w:rPr>
        <w:t>&amp; s.192</w:t>
      </w:r>
      <w:r w:rsidR="00887AA4">
        <w:rPr>
          <w:rFonts w:ascii="Arial" w:hAnsi="Arial" w:cs="Arial"/>
          <w:sz w:val="20"/>
        </w:rPr>
        <w:t xml:space="preserve"> </w:t>
      </w:r>
      <w:r w:rsidR="009E0C33">
        <w:rPr>
          <w:rFonts w:ascii="Arial" w:hAnsi="Arial" w:cs="Arial"/>
          <w:sz w:val="20"/>
        </w:rPr>
        <w:t>govern the use and disclosure of information for the purposes of authorised functions and powers.</w:t>
      </w:r>
      <w:r w:rsidR="00175178">
        <w:rPr>
          <w:rFonts w:ascii="Arial" w:hAnsi="Arial" w:cs="Arial"/>
          <w:sz w:val="20"/>
        </w:rPr>
        <w:t xml:space="preserve">  </w:t>
      </w:r>
      <w:r w:rsidR="00175178" w:rsidRPr="00175178">
        <w:rPr>
          <w:rFonts w:ascii="Arial" w:hAnsi="Arial" w:cs="Arial"/>
          <w:b/>
          <w:bCs/>
          <w:sz w:val="20"/>
        </w:rPr>
        <w:t>New s.192(4)</w:t>
      </w:r>
      <w:r w:rsidR="00175178">
        <w:rPr>
          <w:rFonts w:ascii="Arial" w:hAnsi="Arial" w:cs="Arial"/>
          <w:sz w:val="20"/>
        </w:rPr>
        <w:t xml:space="preserve"> provides that–</w:t>
      </w:r>
    </w:p>
    <w:p w14:paraId="2A1E3764" w14:textId="03D96084" w:rsidR="00175178" w:rsidRPr="00175178" w:rsidRDefault="00175178">
      <w:pPr>
        <w:pStyle w:val="ListParagraph"/>
        <w:numPr>
          <w:ilvl w:val="0"/>
          <w:numId w:val="86"/>
        </w:numPr>
        <w:ind w:left="357" w:hanging="357"/>
        <w:contextualSpacing/>
        <w:jc w:val="both"/>
        <w:rPr>
          <w:rFonts w:ascii="Arial" w:hAnsi="Arial" w:cs="Arial"/>
          <w:sz w:val="20"/>
        </w:rPr>
      </w:pPr>
      <w:r w:rsidRPr="00175178">
        <w:rPr>
          <w:rFonts w:ascii="Arial" w:hAnsi="Arial" w:cs="Arial"/>
          <w:sz w:val="20"/>
        </w:rPr>
        <w:t>a reference to the Secretary includes a reference to a principal officer performing functions or exercising powers of the Secretary under a section 18 or 19 authorisation; and</w:t>
      </w:r>
    </w:p>
    <w:p w14:paraId="45585775" w14:textId="5FB39EF2" w:rsidR="00175178" w:rsidRPr="00175178" w:rsidRDefault="00175178">
      <w:pPr>
        <w:pStyle w:val="ListParagraph"/>
        <w:numPr>
          <w:ilvl w:val="0"/>
          <w:numId w:val="86"/>
        </w:numPr>
        <w:ind w:left="357" w:hanging="357"/>
        <w:contextualSpacing/>
        <w:jc w:val="both"/>
        <w:rPr>
          <w:rFonts w:ascii="Arial" w:hAnsi="Arial" w:cs="Arial"/>
          <w:sz w:val="20"/>
        </w:rPr>
      </w:pPr>
      <w:r w:rsidRPr="00175178">
        <w:rPr>
          <w:rFonts w:ascii="Arial" w:hAnsi="Arial" w:cs="Arial"/>
          <w:sz w:val="20"/>
        </w:rPr>
        <w:t>a reference to a protective intervener includes a reference to a principal officer performing functions or exercising powers of a protective intervener under an authorisation made under section 18.</w:t>
      </w:r>
    </w:p>
    <w:p w14:paraId="78A20D86" w14:textId="50E26910" w:rsidR="00D32E68" w:rsidRDefault="00D32E68" w:rsidP="00D32E68">
      <w:pPr>
        <w:rPr>
          <w:rFonts w:ascii="Arial" w:hAnsi="Arial" w:cs="Arial"/>
          <w:sz w:val="20"/>
        </w:rPr>
      </w:pPr>
      <w:bookmarkStart w:id="245" w:name="_4.2_Role_of"/>
      <w:bookmarkStart w:id="246" w:name="B42"/>
      <w:bookmarkEnd w:id="245"/>
      <w:bookmarkEnd w:id="246"/>
    </w:p>
    <w:p w14:paraId="68CF9C67" w14:textId="2BCB0AB2" w:rsidR="00AC5C89" w:rsidRPr="00C85978" w:rsidRDefault="00AC5C89" w:rsidP="00AC5C89">
      <w:pPr>
        <w:jc w:val="both"/>
        <w:rPr>
          <w:rFonts w:ascii="Arial" w:hAnsi="Arial" w:cs="Arial"/>
          <w:sz w:val="20"/>
        </w:rPr>
      </w:pPr>
      <w:r>
        <w:rPr>
          <w:rFonts w:ascii="Arial" w:hAnsi="Arial" w:cs="Arial"/>
          <w:sz w:val="20"/>
        </w:rPr>
        <w:t xml:space="preserve">Recommendation 1c of the Yoorrook Justice Commission second interim report – </w:t>
      </w:r>
      <w:hyperlink r:id="rId11" w:history="1">
        <w:r w:rsidRPr="001851B4">
          <w:rPr>
            <w:rStyle w:val="Hyperlink"/>
            <w:rFonts w:ascii="Arial" w:hAnsi="Arial" w:cs="Arial"/>
            <w:sz w:val="20"/>
          </w:rPr>
          <w:t>Report into Victoria’s Child Protection and Criminal Justice Systems</w:t>
        </w:r>
      </w:hyperlink>
      <w:r>
        <w:rPr>
          <w:rFonts w:ascii="Arial" w:hAnsi="Arial" w:cs="Arial"/>
          <w:sz w:val="20"/>
        </w:rPr>
        <w:t xml:space="preserve"> – requires that the Victorian Government n</w:t>
      </w:r>
      <w:r w:rsidRPr="00C85978">
        <w:rPr>
          <w:rFonts w:ascii="Arial" w:hAnsi="Arial" w:cs="Arial"/>
          <w:sz w:val="20"/>
        </w:rPr>
        <w:t>egotiat</w:t>
      </w:r>
      <w:r>
        <w:rPr>
          <w:rFonts w:ascii="Arial" w:hAnsi="Arial" w:cs="Arial"/>
          <w:sz w:val="20"/>
        </w:rPr>
        <w:t>e</w:t>
      </w:r>
      <w:r w:rsidRPr="00C85978">
        <w:rPr>
          <w:rFonts w:ascii="Arial" w:hAnsi="Arial" w:cs="Arial"/>
          <w:sz w:val="20"/>
        </w:rPr>
        <w:t xml:space="preserve"> through</w:t>
      </w:r>
      <w:r>
        <w:rPr>
          <w:rFonts w:ascii="Arial" w:hAnsi="Arial" w:cs="Arial"/>
          <w:sz w:val="20"/>
        </w:rPr>
        <w:t xml:space="preserve"> T</w:t>
      </w:r>
      <w:r w:rsidRPr="00C85978">
        <w:rPr>
          <w:rFonts w:ascii="Arial" w:hAnsi="Arial" w:cs="Arial"/>
          <w:sz w:val="20"/>
        </w:rPr>
        <w:t>reaty new, dedicated legislation, developed by First Peoples, for the safety, wellbeing and protection of First Peoples children and young people</w:t>
      </w:r>
      <w:r>
        <w:rPr>
          <w:rFonts w:ascii="Arial" w:hAnsi="Arial" w:cs="Arial"/>
          <w:sz w:val="20"/>
        </w:rPr>
        <w:t xml:space="preserve">.  This new legislation is described </w:t>
      </w:r>
      <w:r w:rsidR="009A6707">
        <w:rPr>
          <w:rFonts w:ascii="Arial" w:hAnsi="Arial" w:cs="Arial"/>
          <w:sz w:val="20"/>
        </w:rPr>
        <w:t xml:space="preserve">by Yoorrook </w:t>
      </w:r>
      <w:r>
        <w:rPr>
          <w:rFonts w:ascii="Arial" w:hAnsi="Arial" w:cs="Arial"/>
          <w:sz w:val="20"/>
        </w:rPr>
        <w:t>as going “beyond the transfer of existing powers and functions under [s.18] CYFA”</w:t>
      </w:r>
      <w:r w:rsidRPr="00C85978">
        <w:rPr>
          <w:rFonts w:ascii="Arial" w:hAnsi="Arial" w:cs="Arial"/>
          <w:sz w:val="20"/>
        </w:rPr>
        <w:t>.</w:t>
      </w:r>
    </w:p>
    <w:p w14:paraId="79145DCB" w14:textId="77777777" w:rsidR="00AC5C89" w:rsidRDefault="00AC5C89" w:rsidP="00D32E68">
      <w:pPr>
        <w:rPr>
          <w:rFonts w:ascii="Arial" w:hAnsi="Arial" w:cs="Arial"/>
          <w:sz w:val="20"/>
        </w:rPr>
      </w:pPr>
    </w:p>
    <w:p w14:paraId="7BEDC184" w14:textId="77777777" w:rsidR="00D32E68" w:rsidRPr="005836D1" w:rsidRDefault="00D32E68" w:rsidP="00D32E68">
      <w:pPr>
        <w:jc w:val="center"/>
        <w:rPr>
          <w:rFonts w:ascii="Arial" w:hAnsi="Arial" w:cs="Arial"/>
          <w:b/>
          <w:bCs/>
          <w:szCs w:val="32"/>
        </w:rPr>
      </w:pPr>
      <w:r w:rsidRPr="005836D1">
        <w:rPr>
          <w:rFonts w:ascii="Arial" w:hAnsi="Arial" w:cs="Arial"/>
          <w:b/>
          <w:bCs/>
          <w:szCs w:val="32"/>
        </w:rPr>
        <w:t>THE REST OF THIS PAGE IS BLANK</w:t>
      </w:r>
    </w:p>
    <w:p w14:paraId="6B25DE42" w14:textId="77777777" w:rsidR="00D32E68" w:rsidRPr="00FF7ABA" w:rsidRDefault="00D32E68" w:rsidP="00D32E68">
      <w:pPr>
        <w:jc w:val="both"/>
        <w:rPr>
          <w:rFonts w:ascii="Arial" w:hAnsi="Arial" w:cs="Arial"/>
          <w:sz w:val="20"/>
        </w:rPr>
      </w:pPr>
    </w:p>
    <w:p w14:paraId="5A127C06" w14:textId="53CE3C50" w:rsidR="00CE0DFA" w:rsidRDefault="00CE0DFA">
      <w:pPr>
        <w:rPr>
          <w:rFonts w:ascii="Arial" w:hAnsi="Arial" w:cs="Arial"/>
          <w:b/>
          <w:bCs/>
          <w:kern w:val="28"/>
          <w:szCs w:val="20"/>
          <w:lang w:val="en-GB"/>
        </w:rPr>
      </w:pPr>
      <w:r>
        <w:rPr>
          <w:rFonts w:ascii="Arial" w:hAnsi="Arial" w:cs="Arial"/>
          <w:b/>
          <w:bCs/>
        </w:rPr>
        <w:br w:type="page"/>
      </w:r>
    </w:p>
    <w:p w14:paraId="5079CC00" w14:textId="713003E6" w:rsidR="00940D74" w:rsidRDefault="00940D74" w:rsidP="00497343">
      <w:pPr>
        <w:pStyle w:val="Heading2"/>
        <w:keepNext/>
        <w:keepLines/>
        <w:pageBreakBefore/>
        <w:tabs>
          <w:tab w:val="left" w:pos="567"/>
        </w:tabs>
        <w:spacing w:line="240" w:lineRule="auto"/>
        <w:rPr>
          <w:rFonts w:ascii="Arial" w:hAnsi="Arial" w:cs="Arial"/>
          <w:b/>
          <w:bCs/>
        </w:rPr>
      </w:pPr>
      <w:bookmarkStart w:id="247" w:name="_4.2_Role_of_1"/>
      <w:bookmarkEnd w:id="247"/>
      <w:r>
        <w:rPr>
          <w:rFonts w:ascii="Arial" w:hAnsi="Arial" w:cs="Arial"/>
          <w:b/>
          <w:bCs/>
        </w:rPr>
        <w:lastRenderedPageBreak/>
        <w:t>4.2</w:t>
      </w:r>
      <w:r>
        <w:rPr>
          <w:rFonts w:ascii="Arial" w:hAnsi="Arial" w:cs="Arial"/>
          <w:b/>
          <w:bCs/>
        </w:rPr>
        <w:tab/>
        <w:t>Role of the Children’s Court in Child Protection in Victoria</w:t>
      </w:r>
    </w:p>
    <w:p w14:paraId="6B940A4B" w14:textId="77777777" w:rsidR="00940D74" w:rsidRDefault="00940D74" w:rsidP="00F034D2">
      <w:pPr>
        <w:keepNext/>
        <w:keepLines/>
        <w:jc w:val="both"/>
        <w:rPr>
          <w:rFonts w:ascii="Arial" w:hAnsi="Arial" w:cs="Arial"/>
          <w:sz w:val="20"/>
        </w:rPr>
      </w:pPr>
    </w:p>
    <w:p w14:paraId="295BC779" w14:textId="77777777" w:rsidR="00940D74" w:rsidRDefault="00B05EC7" w:rsidP="00940D74">
      <w:pPr>
        <w:jc w:val="both"/>
        <w:rPr>
          <w:rFonts w:ascii="Arial" w:hAnsi="Arial" w:cs="Arial"/>
          <w:sz w:val="20"/>
        </w:rPr>
      </w:pPr>
      <w:r>
        <w:rPr>
          <w:rFonts w:ascii="Arial" w:hAnsi="Arial" w:cs="Arial"/>
          <w:sz w:val="20"/>
        </w:rPr>
        <w:t>The following thumbnail sketch</w:t>
      </w:r>
      <w:r w:rsidR="00940D74">
        <w:rPr>
          <w:rFonts w:ascii="Arial" w:hAnsi="Arial" w:cs="Arial"/>
          <w:sz w:val="20"/>
        </w:rPr>
        <w:t xml:space="preserve"> of the role of the Children’s Court in child protection in Victoria </w:t>
      </w:r>
      <w:r w:rsidR="00716B54" w:rsidRPr="00B310F4">
        <w:rPr>
          <w:rFonts w:ascii="Arial" w:hAnsi="Arial" w:cs="Arial"/>
          <w:color w:val="000000"/>
          <w:sz w:val="20"/>
        </w:rPr>
        <w:t xml:space="preserve">is taken from a paper </w:t>
      </w:r>
      <w:r w:rsidR="00940D74" w:rsidRPr="00B310F4">
        <w:rPr>
          <w:rFonts w:ascii="Arial" w:hAnsi="Arial" w:cs="Arial"/>
          <w:color w:val="000000"/>
          <w:sz w:val="20"/>
        </w:rPr>
        <w:t xml:space="preserve">prepared by Judge Paul Grant, </w:t>
      </w:r>
      <w:r w:rsidRPr="00B310F4">
        <w:rPr>
          <w:rFonts w:ascii="Arial" w:hAnsi="Arial" w:cs="Arial"/>
          <w:color w:val="000000"/>
          <w:sz w:val="20"/>
        </w:rPr>
        <w:t xml:space="preserve">then </w:t>
      </w:r>
      <w:r w:rsidR="00940D74" w:rsidRPr="00B310F4">
        <w:rPr>
          <w:rFonts w:ascii="Arial" w:hAnsi="Arial" w:cs="Arial"/>
          <w:color w:val="000000"/>
          <w:sz w:val="20"/>
        </w:rPr>
        <w:t>President of the Children’s Court of</w:t>
      </w:r>
      <w:r w:rsidR="00940D74">
        <w:rPr>
          <w:rFonts w:ascii="Arial" w:hAnsi="Arial" w:cs="Arial"/>
          <w:sz w:val="20"/>
        </w:rPr>
        <w:t xml:space="preserve"> Victoria, in June 2009</w:t>
      </w:r>
      <w:r w:rsidR="004E4F26">
        <w:rPr>
          <w:rFonts w:ascii="Arial" w:hAnsi="Arial" w:cs="Arial"/>
          <w:sz w:val="20"/>
        </w:rPr>
        <w:t xml:space="preserve"> and </w:t>
      </w:r>
      <w:r w:rsidR="008253F5">
        <w:rPr>
          <w:rFonts w:ascii="Arial" w:hAnsi="Arial" w:cs="Arial"/>
          <w:sz w:val="20"/>
        </w:rPr>
        <w:t xml:space="preserve">was </w:t>
      </w:r>
      <w:r w:rsidR="004E4F26">
        <w:rPr>
          <w:rFonts w:ascii="Arial" w:hAnsi="Arial" w:cs="Arial"/>
          <w:sz w:val="20"/>
        </w:rPr>
        <w:t>updated by the writer subsequent to the 2016 amendments</w:t>
      </w:r>
      <w:r w:rsidR="003F1FC2">
        <w:rPr>
          <w:rFonts w:ascii="Arial" w:hAnsi="Arial" w:cs="Arial"/>
          <w:sz w:val="20"/>
        </w:rPr>
        <w:t>.</w:t>
      </w:r>
    </w:p>
    <w:p w14:paraId="410039E9" w14:textId="77777777" w:rsidR="00940D74" w:rsidRDefault="00940D74" w:rsidP="00940D74">
      <w:pPr>
        <w:jc w:val="both"/>
        <w:rPr>
          <w:rFonts w:ascii="Arial" w:hAnsi="Arial" w:cs="Arial"/>
          <w:sz w:val="20"/>
        </w:rPr>
      </w:pPr>
    </w:p>
    <w:p w14:paraId="40BA6807" w14:textId="77777777" w:rsidR="001B05E1" w:rsidRDefault="002B758B" w:rsidP="00A56DB8">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2B758B">
        <w:rPr>
          <w:rFonts w:ascii="Arial" w:hAnsi="Arial" w:cs="Arial"/>
          <w:sz w:val="20"/>
          <w:szCs w:val="20"/>
        </w:rPr>
        <w:t xml:space="preserve">The Children’s Court is a court of law. It is not a government agency. It is not an ombudsman or commissioner for children. It is not a stakeholder in any other organisation nor is any other organization a stakeholder in it. It does not have any general power to review the operation of the child protection system. Decisions of the Court can involve some general comments on system failures or system strengths but that is not the same as having overall or continuous supervision of the child protection system generally. The Court does not have an investigative arm like the Coroner’s Court. The Court engages in judicial decision making with respect to those applications that come before it. It does not </w:t>
      </w:r>
      <w:r w:rsidR="003F1FC2">
        <w:rPr>
          <w:rFonts w:ascii="Arial" w:hAnsi="Arial" w:cs="Arial"/>
          <w:sz w:val="20"/>
          <w:szCs w:val="20"/>
        </w:rPr>
        <w:t xml:space="preserve">generally </w:t>
      </w:r>
      <w:r w:rsidRPr="002B758B">
        <w:rPr>
          <w:rFonts w:ascii="Arial" w:hAnsi="Arial" w:cs="Arial"/>
          <w:sz w:val="20"/>
          <w:szCs w:val="20"/>
        </w:rPr>
        <w:t>have the power to collect evidence or conduct an investigation independent of the parties involved in the case.</w:t>
      </w:r>
    </w:p>
    <w:p w14:paraId="4A3599DA" w14:textId="77777777" w:rsidR="000D682D" w:rsidRDefault="000D682D"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055C1AB6" w14:textId="77777777" w:rsidR="002B758B" w:rsidRDefault="002B758B"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2B758B">
        <w:rPr>
          <w:rFonts w:ascii="Arial" w:hAnsi="Arial" w:cs="Arial"/>
          <w:sz w:val="20"/>
          <w:szCs w:val="20"/>
        </w:rPr>
        <w:t xml:space="preserve">The Family Division of the Children’s Court becomes involved in the life of a child when the Child Protection authority decides to invoke the Court’s jurisdiction. It may do this by issuing a notice for a future hearing or alternatively, by </w:t>
      </w:r>
      <w:r w:rsidR="003F1FC2">
        <w:rPr>
          <w:rFonts w:ascii="Arial" w:hAnsi="Arial" w:cs="Arial"/>
          <w:sz w:val="20"/>
          <w:szCs w:val="20"/>
        </w:rPr>
        <w:t xml:space="preserve">placing the child into emergency care </w:t>
      </w:r>
      <w:r w:rsidRPr="002B758B">
        <w:rPr>
          <w:rFonts w:ascii="Arial" w:hAnsi="Arial" w:cs="Arial"/>
          <w:sz w:val="20"/>
          <w:szCs w:val="20"/>
        </w:rPr>
        <w:t xml:space="preserve">and seeking immediate orders from the Court in relation to the child’s placement.  On an </w:t>
      </w:r>
      <w:r w:rsidR="003F1FC2">
        <w:rPr>
          <w:rFonts w:ascii="Arial" w:hAnsi="Arial" w:cs="Arial"/>
          <w:sz w:val="20"/>
          <w:szCs w:val="20"/>
        </w:rPr>
        <w:t>emergency care application</w:t>
      </w:r>
      <w:r w:rsidRPr="002B758B">
        <w:rPr>
          <w:rFonts w:ascii="Arial" w:hAnsi="Arial" w:cs="Arial"/>
          <w:sz w:val="20"/>
          <w:szCs w:val="20"/>
        </w:rPr>
        <w:t>, the Court will determine whether the child remains with the parents or be placed in some type of out of home placement pending the determination of the application. Interim placement of children is by way of an Interim Accommodation Order (IAO).  These orders commonly have conditions attached. Determining interim placement is a significant part of the Court’s workload.</w:t>
      </w:r>
    </w:p>
    <w:p w14:paraId="39797BC7" w14:textId="77777777" w:rsidR="001B05E1" w:rsidRDefault="001B05E1"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048E5BF6" w14:textId="77777777" w:rsidR="002B758B" w:rsidRDefault="002B758B"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2B758B">
        <w:rPr>
          <w:rFonts w:ascii="Arial" w:hAnsi="Arial" w:cs="Arial"/>
          <w:sz w:val="20"/>
          <w:szCs w:val="20"/>
        </w:rPr>
        <w:t>The Court also hears secondary applications. These are applications to extend, vary, revoke, extend or breach existing orders.</w:t>
      </w:r>
    </w:p>
    <w:p w14:paraId="646A9799" w14:textId="77777777" w:rsidR="002B758B" w:rsidRDefault="002B758B"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6846C15D" w14:textId="77777777" w:rsidR="002B758B" w:rsidRDefault="002B758B" w:rsidP="00A56DB8">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2B758B">
        <w:rPr>
          <w:rFonts w:ascii="Arial" w:hAnsi="Arial" w:cs="Arial"/>
          <w:sz w:val="20"/>
          <w:szCs w:val="20"/>
        </w:rPr>
        <w:t>In making decisions about placement of children, “the best interests of the child must always be paramount”</w:t>
      </w:r>
      <w:r>
        <w:rPr>
          <w:rFonts w:ascii="Arial" w:hAnsi="Arial" w:cs="Arial"/>
          <w:sz w:val="20"/>
          <w:szCs w:val="20"/>
        </w:rPr>
        <w:t>:</w:t>
      </w:r>
      <w:r>
        <w:rPr>
          <w:rStyle w:val="FootnoteReference"/>
          <w:rFonts w:ascii="Arial" w:hAnsi="Arial" w:cs="Arial"/>
          <w:sz w:val="20"/>
          <w:szCs w:val="20"/>
        </w:rPr>
        <w:t xml:space="preserve"> </w:t>
      </w:r>
      <w:r w:rsidRPr="002B758B">
        <w:rPr>
          <w:rFonts w:ascii="Arial" w:hAnsi="Arial" w:cs="Arial"/>
          <w:sz w:val="20"/>
          <w:szCs w:val="20"/>
        </w:rPr>
        <w:t>see section 10 of the Children, Youth and Families Act 2005. The Act lists 21 factors for the Court to consider in determining what decision or action is in the best interests of the child.</w:t>
      </w:r>
    </w:p>
    <w:p w14:paraId="7D75057E" w14:textId="77777777" w:rsidR="002B758B" w:rsidRDefault="002B758B"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0D60A485" w14:textId="7B57360B" w:rsidR="002B758B" w:rsidRDefault="002B758B"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2B758B">
        <w:rPr>
          <w:rFonts w:ascii="Arial" w:hAnsi="Arial" w:cs="Arial"/>
          <w:sz w:val="20"/>
          <w:szCs w:val="20"/>
        </w:rPr>
        <w:t xml:space="preserve">Once interim placement is determined, a case is managed through a mention process. Not all cases require a contested hearing. Indeed, the great bulk of cases are resolved by negotiation, with the Court endorsing particular orders. The Court refers potential contests to a </w:t>
      </w:r>
      <w:r w:rsidR="00B0242D">
        <w:rPr>
          <w:rFonts w:ascii="Arial" w:hAnsi="Arial" w:cs="Arial"/>
          <w:sz w:val="20"/>
          <w:szCs w:val="20"/>
        </w:rPr>
        <w:t>Readiness Hearing</w:t>
      </w:r>
      <w:r w:rsidRPr="002B758B">
        <w:rPr>
          <w:rFonts w:ascii="Arial" w:hAnsi="Arial" w:cs="Arial"/>
          <w:sz w:val="20"/>
          <w:szCs w:val="20"/>
        </w:rPr>
        <w:t xml:space="preserve"> </w:t>
      </w:r>
      <w:r w:rsidR="00B0242D">
        <w:rPr>
          <w:rFonts w:ascii="Arial" w:hAnsi="Arial" w:cs="Arial"/>
          <w:sz w:val="20"/>
          <w:szCs w:val="20"/>
        </w:rPr>
        <w:t xml:space="preserve">which </w:t>
      </w:r>
      <w:r w:rsidRPr="002B758B">
        <w:rPr>
          <w:rFonts w:ascii="Arial" w:hAnsi="Arial" w:cs="Arial"/>
          <w:sz w:val="20"/>
          <w:szCs w:val="20"/>
        </w:rPr>
        <w:t xml:space="preserve">resolves about </w:t>
      </w:r>
      <w:r w:rsidR="00B0242D">
        <w:rPr>
          <w:rFonts w:ascii="Arial" w:hAnsi="Arial" w:cs="Arial"/>
          <w:sz w:val="20"/>
          <w:szCs w:val="20"/>
        </w:rPr>
        <w:t>6</w:t>
      </w:r>
      <w:r w:rsidRPr="002B758B">
        <w:rPr>
          <w:rFonts w:ascii="Arial" w:hAnsi="Arial" w:cs="Arial"/>
          <w:sz w:val="20"/>
          <w:szCs w:val="20"/>
        </w:rPr>
        <w:t>0% of the cases referred to it. A</w:t>
      </w:r>
      <w:r w:rsidR="00B0242D">
        <w:rPr>
          <w:rFonts w:ascii="Arial" w:hAnsi="Arial" w:cs="Arial"/>
          <w:sz w:val="20"/>
          <w:szCs w:val="20"/>
        </w:rPr>
        <w:t> </w:t>
      </w:r>
      <w:r w:rsidRPr="002B758B">
        <w:rPr>
          <w:rFonts w:ascii="Arial" w:hAnsi="Arial" w:cs="Arial"/>
          <w:sz w:val="20"/>
          <w:szCs w:val="20"/>
        </w:rPr>
        <w:t>small percentage of cases end up being listed for a contested hearing and a significant percentage of these resolve on the doorstep of the court or during the hearing of evidence.</w:t>
      </w:r>
    </w:p>
    <w:p w14:paraId="4F942B9A" w14:textId="77777777" w:rsidR="002B758B" w:rsidRDefault="002B758B"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02599003" w14:textId="77777777" w:rsidR="002B758B" w:rsidRDefault="00BC4C99" w:rsidP="000D682D">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BC4C99">
        <w:rPr>
          <w:rFonts w:ascii="Arial" w:hAnsi="Arial" w:cs="Arial"/>
          <w:sz w:val="20"/>
          <w:szCs w:val="20"/>
        </w:rPr>
        <w:t>A young person can be subject to a protection application in the Family Division if he or she is under 17. If a young person is already on a protection order that order can last until the young person’s 18</w:t>
      </w:r>
      <w:r w:rsidRPr="00BC4C99">
        <w:rPr>
          <w:rFonts w:ascii="Arial" w:hAnsi="Arial" w:cs="Arial"/>
          <w:sz w:val="20"/>
          <w:szCs w:val="20"/>
          <w:vertAlign w:val="superscript"/>
        </w:rPr>
        <w:t>th</w:t>
      </w:r>
      <w:r w:rsidRPr="00BC4C99">
        <w:rPr>
          <w:rFonts w:ascii="Arial" w:hAnsi="Arial" w:cs="Arial"/>
          <w:sz w:val="20"/>
          <w:szCs w:val="20"/>
        </w:rPr>
        <w:t xml:space="preserve"> birthday.</w:t>
      </w:r>
      <w:r>
        <w:rPr>
          <w:rFonts w:ascii="Arial" w:hAnsi="Arial" w:cs="Arial"/>
          <w:sz w:val="20"/>
          <w:szCs w:val="20"/>
        </w:rPr>
        <w:t xml:space="preserve">  </w:t>
      </w:r>
      <w:r w:rsidRPr="00BC4C99">
        <w:rPr>
          <w:rFonts w:ascii="Arial" w:hAnsi="Arial" w:cs="Arial"/>
          <w:sz w:val="20"/>
          <w:szCs w:val="20"/>
        </w:rPr>
        <w:t>For a protection application to be proved, the Court must be satisfied on the balance of probabilities that the child or young person</w:t>
      </w:r>
      <w:r>
        <w:rPr>
          <w:rFonts w:ascii="Arial" w:hAnsi="Arial" w:cs="Arial"/>
          <w:sz w:val="20"/>
          <w:szCs w:val="20"/>
        </w:rPr>
        <w:t>-</w:t>
      </w:r>
    </w:p>
    <w:p w14:paraId="40F66721" w14:textId="77777777" w:rsidR="002B758B" w:rsidRPr="00BC4C99" w:rsidRDefault="00BC4C99">
      <w:pPr>
        <w:numPr>
          <w:ilvl w:val="0"/>
          <w:numId w:val="19"/>
        </w:numPr>
        <w:pBdr>
          <w:top w:val="single" w:sz="4" w:space="1" w:color="auto"/>
          <w:left w:val="single" w:sz="4" w:space="4" w:color="auto"/>
          <w:bottom w:val="single" w:sz="4" w:space="1" w:color="auto"/>
          <w:right w:val="single" w:sz="4" w:space="4" w:color="auto"/>
        </w:pBdr>
        <w:ind w:left="641" w:right="284" w:hanging="357"/>
        <w:jc w:val="both"/>
        <w:rPr>
          <w:rFonts w:ascii="Arial" w:hAnsi="Arial" w:cs="Arial"/>
          <w:sz w:val="20"/>
        </w:rPr>
      </w:pPr>
      <w:r>
        <w:rPr>
          <w:rFonts w:ascii="Arial" w:hAnsi="Arial" w:cs="Arial"/>
          <w:sz w:val="20"/>
          <w:szCs w:val="20"/>
        </w:rPr>
        <w:t xml:space="preserve">has been </w:t>
      </w:r>
      <w:r w:rsidRPr="00BC4C99">
        <w:rPr>
          <w:rFonts w:ascii="Arial" w:hAnsi="Arial" w:cs="Arial"/>
          <w:sz w:val="20"/>
          <w:szCs w:val="20"/>
        </w:rPr>
        <w:t xml:space="preserve">orphaned or abandoned without anyone to care for him or her; or  </w:t>
      </w:r>
    </w:p>
    <w:p w14:paraId="47DF44FE" w14:textId="77777777" w:rsidR="00BC4C99" w:rsidRDefault="00BC4C99" w:rsidP="00B0242D">
      <w:pPr>
        <w:numPr>
          <w:ilvl w:val="0"/>
          <w:numId w:val="19"/>
        </w:numPr>
        <w:pBdr>
          <w:top w:val="single" w:sz="4" w:space="1" w:color="auto"/>
          <w:left w:val="single" w:sz="4" w:space="4" w:color="auto"/>
          <w:bottom w:val="single" w:sz="4" w:space="1" w:color="auto"/>
          <w:right w:val="single" w:sz="4" w:space="4" w:color="auto"/>
        </w:pBdr>
        <w:ind w:left="641" w:right="284" w:hanging="357"/>
        <w:jc w:val="both"/>
        <w:rPr>
          <w:rFonts w:ascii="Arial" w:hAnsi="Arial" w:cs="Arial"/>
          <w:sz w:val="20"/>
        </w:rPr>
      </w:pPr>
      <w:r w:rsidRPr="00BC4C99">
        <w:rPr>
          <w:rFonts w:ascii="Arial" w:hAnsi="Arial" w:cs="Arial"/>
          <w:sz w:val="20"/>
          <w:szCs w:val="20"/>
        </w:rPr>
        <w:t>has suffered, or is likely to suffer, significant harm as a result of physical abuse, emotional abuse, sexual abuse or neglect and the parents have not protected (or are unlikely to protect) the child or young person.</w:t>
      </w:r>
    </w:p>
    <w:p w14:paraId="5B66933F" w14:textId="77777777" w:rsidR="00BC4C99" w:rsidRDefault="00BC4C99" w:rsidP="00BC4C99">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092BC2F7" w14:textId="28B76518" w:rsidR="00BC4C99" w:rsidRDefault="00BC4C99" w:rsidP="00BC4C99">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BC4C99">
        <w:rPr>
          <w:rFonts w:ascii="Arial" w:hAnsi="Arial" w:cs="Arial"/>
          <w:sz w:val="20"/>
          <w:szCs w:val="20"/>
        </w:rPr>
        <w:t xml:space="preserve">Nearly all of the protection applications that come before the Court involve the second category of case.  The Court finds the vast majority of such applications proved, mostly on the ground of likelihood of future harm.  The Victorian legislation is proactive and intervention by </w:t>
      </w:r>
      <w:r w:rsidR="00785D2D">
        <w:rPr>
          <w:rFonts w:ascii="Arial" w:hAnsi="Arial" w:cs="Arial"/>
          <w:sz w:val="20"/>
          <w:szCs w:val="20"/>
        </w:rPr>
        <w:t>DFFH</w:t>
      </w:r>
      <w:r w:rsidRPr="00BC4C99">
        <w:rPr>
          <w:rFonts w:ascii="Arial" w:hAnsi="Arial" w:cs="Arial"/>
          <w:sz w:val="20"/>
          <w:szCs w:val="20"/>
        </w:rPr>
        <w:t xml:space="preserve"> </w:t>
      </w:r>
      <w:r w:rsidR="00FA1A78">
        <w:rPr>
          <w:rFonts w:ascii="Arial" w:hAnsi="Arial" w:cs="Arial"/>
          <w:sz w:val="20"/>
          <w:szCs w:val="20"/>
        </w:rPr>
        <w:t xml:space="preserve">or an authorised Aboriginal agency </w:t>
      </w:r>
      <w:r w:rsidRPr="00BC4C99">
        <w:rPr>
          <w:rFonts w:ascii="Arial" w:hAnsi="Arial" w:cs="Arial"/>
          <w:sz w:val="20"/>
          <w:szCs w:val="20"/>
        </w:rPr>
        <w:t>is usually timely.  In only a small number of cases has a child already suffered harm.</w:t>
      </w:r>
    </w:p>
    <w:p w14:paraId="6EE3207F" w14:textId="77777777" w:rsidR="00BC4C99" w:rsidRDefault="00BC4C99" w:rsidP="00BC4C99">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p>
    <w:p w14:paraId="1A628CC5" w14:textId="77777777" w:rsidR="00BC4C99" w:rsidRDefault="00BC4C99" w:rsidP="00BC4C99">
      <w:pPr>
        <w:pBdr>
          <w:top w:val="single" w:sz="4" w:space="1" w:color="auto"/>
          <w:left w:val="single" w:sz="4" w:space="4" w:color="auto"/>
          <w:bottom w:val="single" w:sz="4" w:space="1" w:color="auto"/>
          <w:right w:val="single" w:sz="4" w:space="4" w:color="auto"/>
        </w:pBdr>
        <w:ind w:left="284" w:right="284"/>
        <w:jc w:val="both"/>
        <w:rPr>
          <w:rFonts w:ascii="Arial" w:hAnsi="Arial" w:cs="Arial"/>
          <w:sz w:val="20"/>
        </w:rPr>
      </w:pPr>
      <w:r w:rsidRPr="00BC4C99">
        <w:rPr>
          <w:rFonts w:ascii="Arial" w:hAnsi="Arial" w:cs="Arial"/>
          <w:sz w:val="20"/>
          <w:szCs w:val="20"/>
        </w:rPr>
        <w:t xml:space="preserve">The first decision for the Court is whether, on the balance of probabilities, the child is in need of protection. If the Court is satisfied of that, it must then determine the order to be made in the child’s best interests.  The orders the Court can make </w:t>
      </w:r>
      <w:r w:rsidR="009104CC">
        <w:rPr>
          <w:rFonts w:ascii="Arial" w:hAnsi="Arial" w:cs="Arial"/>
          <w:sz w:val="20"/>
          <w:szCs w:val="20"/>
        </w:rPr>
        <w:t>are</w:t>
      </w:r>
      <w:r w:rsidRPr="00BC4C99">
        <w:rPr>
          <w:rFonts w:ascii="Arial" w:hAnsi="Arial" w:cs="Arial"/>
          <w:sz w:val="20"/>
          <w:szCs w:val="20"/>
        </w:rPr>
        <w:t xml:space="preserve"> those which-</w:t>
      </w:r>
    </w:p>
    <w:p w14:paraId="51BF12F2" w14:textId="77777777" w:rsidR="00084EDE" w:rsidRDefault="00084EDE">
      <w:pPr>
        <w:numPr>
          <w:ilvl w:val="0"/>
          <w:numId w:val="18"/>
        </w:numPr>
        <w:pBdr>
          <w:top w:val="single" w:sz="4" w:space="1" w:color="auto"/>
          <w:left w:val="single" w:sz="4" w:space="4" w:color="auto"/>
          <w:bottom w:val="single" w:sz="4" w:space="1" w:color="auto"/>
          <w:right w:val="single" w:sz="4" w:space="4" w:color="auto"/>
        </w:pBdr>
        <w:ind w:left="641" w:right="284" w:hanging="357"/>
        <w:jc w:val="both"/>
        <w:rPr>
          <w:rFonts w:ascii="Arial" w:hAnsi="Arial" w:cs="Arial"/>
          <w:sz w:val="20"/>
          <w:szCs w:val="20"/>
        </w:rPr>
      </w:pPr>
      <w:r w:rsidRPr="00084EDE">
        <w:rPr>
          <w:rFonts w:ascii="Arial" w:hAnsi="Arial" w:cs="Arial"/>
          <w:sz w:val="20"/>
          <w:szCs w:val="20"/>
        </w:rPr>
        <w:lastRenderedPageBreak/>
        <w:t xml:space="preserve">Require modest intervention in the life of the family. These are cases where the family have responded positively to supports and the protective concerns have been significantly addressed (Undertakings given by </w:t>
      </w:r>
      <w:r w:rsidR="004E4F26">
        <w:rPr>
          <w:rFonts w:ascii="Arial" w:hAnsi="Arial" w:cs="Arial"/>
          <w:sz w:val="20"/>
          <w:szCs w:val="20"/>
        </w:rPr>
        <w:t>one or more family members</w:t>
      </w:r>
      <w:r w:rsidRPr="00084EDE">
        <w:rPr>
          <w:rFonts w:ascii="Arial" w:hAnsi="Arial" w:cs="Arial"/>
          <w:sz w:val="20"/>
          <w:szCs w:val="20"/>
        </w:rPr>
        <w:t>).</w:t>
      </w:r>
    </w:p>
    <w:p w14:paraId="2A469C4A" w14:textId="77777777" w:rsidR="00084EDE" w:rsidRDefault="00084EDE">
      <w:pPr>
        <w:numPr>
          <w:ilvl w:val="0"/>
          <w:numId w:val="18"/>
        </w:numPr>
        <w:pBdr>
          <w:top w:val="single" w:sz="4" w:space="1" w:color="auto"/>
          <w:left w:val="single" w:sz="4" w:space="4" w:color="auto"/>
          <w:bottom w:val="single" w:sz="4" w:space="1" w:color="auto"/>
          <w:right w:val="single" w:sz="4" w:space="4" w:color="auto"/>
        </w:pBdr>
        <w:ind w:left="641" w:right="284" w:hanging="357"/>
        <w:jc w:val="both"/>
        <w:rPr>
          <w:rFonts w:ascii="Arial" w:hAnsi="Arial" w:cs="Arial"/>
          <w:sz w:val="20"/>
          <w:szCs w:val="20"/>
        </w:rPr>
      </w:pPr>
      <w:r w:rsidRPr="00084EDE">
        <w:rPr>
          <w:rFonts w:ascii="Arial" w:hAnsi="Arial" w:cs="Arial"/>
          <w:sz w:val="20"/>
          <w:szCs w:val="20"/>
        </w:rPr>
        <w:t xml:space="preserve">Keep the child within parental care subject to supervision by the Department of </w:t>
      </w:r>
      <w:r w:rsidR="002E0E92">
        <w:rPr>
          <w:rFonts w:ascii="Arial" w:hAnsi="Arial" w:cs="Arial"/>
          <w:sz w:val="20"/>
          <w:szCs w:val="20"/>
        </w:rPr>
        <w:t>Families, Fairness and Housing</w:t>
      </w:r>
      <w:r w:rsidRPr="00084EDE">
        <w:rPr>
          <w:rFonts w:ascii="Arial" w:hAnsi="Arial" w:cs="Arial"/>
          <w:sz w:val="20"/>
          <w:szCs w:val="20"/>
        </w:rPr>
        <w:t xml:space="preserve">.  In these cases the family is willing to work with the Department and the Court is satisfied the child will be safe while that occurs.  The Court may attach conditions to such order requiring family members to, for example, attend counselling for drug and alcohol abuse, undergo drug testing, take the child to medical appointments, undertake family violence counselling, attend a parenting course, etc. These orders </w:t>
      </w:r>
      <w:r w:rsidR="004E4F26">
        <w:rPr>
          <w:rFonts w:ascii="Arial" w:hAnsi="Arial" w:cs="Arial"/>
          <w:sz w:val="20"/>
          <w:szCs w:val="20"/>
        </w:rPr>
        <w:t>are</w:t>
      </w:r>
      <w:r w:rsidRPr="00084EDE">
        <w:rPr>
          <w:rFonts w:ascii="Arial" w:hAnsi="Arial" w:cs="Arial"/>
          <w:sz w:val="20"/>
          <w:szCs w:val="20"/>
        </w:rPr>
        <w:t xml:space="preserve"> called </w:t>
      </w:r>
      <w:r w:rsidR="004E4F26">
        <w:rPr>
          <w:rFonts w:ascii="Arial" w:hAnsi="Arial" w:cs="Arial"/>
          <w:sz w:val="20"/>
          <w:szCs w:val="20"/>
        </w:rPr>
        <w:t xml:space="preserve">family preservation </w:t>
      </w:r>
      <w:r>
        <w:rPr>
          <w:rFonts w:ascii="Arial" w:hAnsi="Arial" w:cs="Arial"/>
          <w:sz w:val="20"/>
          <w:szCs w:val="20"/>
        </w:rPr>
        <w:t>o</w:t>
      </w:r>
      <w:r w:rsidRPr="00084EDE">
        <w:rPr>
          <w:rFonts w:ascii="Arial" w:hAnsi="Arial" w:cs="Arial"/>
          <w:sz w:val="20"/>
          <w:szCs w:val="20"/>
        </w:rPr>
        <w:t xml:space="preserve">rders </w:t>
      </w:r>
      <w:r w:rsidR="004E4F26">
        <w:rPr>
          <w:rFonts w:ascii="Arial" w:hAnsi="Arial" w:cs="Arial"/>
          <w:sz w:val="20"/>
          <w:szCs w:val="20"/>
        </w:rPr>
        <w:t xml:space="preserve">and are </w:t>
      </w:r>
      <w:r w:rsidRPr="00084EDE">
        <w:rPr>
          <w:rFonts w:ascii="Arial" w:hAnsi="Arial" w:cs="Arial"/>
          <w:sz w:val="20"/>
          <w:szCs w:val="20"/>
        </w:rPr>
        <w:t xml:space="preserve">usually </w:t>
      </w:r>
      <w:r w:rsidR="004E4F26">
        <w:rPr>
          <w:rFonts w:ascii="Arial" w:hAnsi="Arial" w:cs="Arial"/>
          <w:sz w:val="20"/>
          <w:szCs w:val="20"/>
        </w:rPr>
        <w:t xml:space="preserve">of </w:t>
      </w:r>
      <w:r w:rsidRPr="00084EDE">
        <w:rPr>
          <w:rFonts w:ascii="Arial" w:hAnsi="Arial" w:cs="Arial"/>
          <w:sz w:val="20"/>
          <w:szCs w:val="20"/>
        </w:rPr>
        <w:t>six to twelve months</w:t>
      </w:r>
      <w:r w:rsidR="004E4F26">
        <w:rPr>
          <w:rFonts w:ascii="Arial" w:hAnsi="Arial" w:cs="Arial"/>
          <w:sz w:val="20"/>
          <w:szCs w:val="20"/>
        </w:rPr>
        <w:t>’ duration</w:t>
      </w:r>
      <w:r w:rsidRPr="00084EDE">
        <w:rPr>
          <w:rFonts w:ascii="Arial" w:hAnsi="Arial" w:cs="Arial"/>
          <w:sz w:val="20"/>
          <w:szCs w:val="20"/>
        </w:rPr>
        <w:t>.</w:t>
      </w:r>
    </w:p>
    <w:p w14:paraId="71E69C92" w14:textId="77777777" w:rsidR="004E4F26" w:rsidRDefault="00084EDE">
      <w:pPr>
        <w:numPr>
          <w:ilvl w:val="0"/>
          <w:numId w:val="18"/>
        </w:numPr>
        <w:pBdr>
          <w:top w:val="single" w:sz="4" w:space="1" w:color="auto"/>
          <w:left w:val="single" w:sz="4" w:space="4" w:color="auto"/>
          <w:bottom w:val="single" w:sz="4" w:space="1" w:color="auto"/>
          <w:right w:val="single" w:sz="4" w:space="4" w:color="auto"/>
        </w:pBdr>
        <w:ind w:left="641" w:right="284" w:hanging="357"/>
        <w:jc w:val="both"/>
        <w:rPr>
          <w:rFonts w:ascii="Arial" w:hAnsi="Arial" w:cs="Arial"/>
          <w:sz w:val="20"/>
          <w:szCs w:val="20"/>
        </w:rPr>
      </w:pPr>
      <w:r w:rsidRPr="004E4F26">
        <w:rPr>
          <w:rFonts w:ascii="Arial" w:hAnsi="Arial" w:cs="Arial"/>
          <w:sz w:val="20"/>
          <w:szCs w:val="20"/>
        </w:rPr>
        <w:t xml:space="preserve">Allow Child Protection to decide where the child or young person </w:t>
      </w:r>
      <w:r w:rsidR="004E4F26" w:rsidRPr="004E4F26">
        <w:rPr>
          <w:rFonts w:ascii="Arial" w:hAnsi="Arial" w:cs="Arial"/>
          <w:sz w:val="20"/>
          <w:szCs w:val="20"/>
        </w:rPr>
        <w:t>is to</w:t>
      </w:r>
      <w:r w:rsidRPr="004E4F26">
        <w:rPr>
          <w:rFonts w:ascii="Arial" w:hAnsi="Arial" w:cs="Arial"/>
          <w:sz w:val="20"/>
          <w:szCs w:val="20"/>
        </w:rPr>
        <w:t xml:space="preserve"> be placed. This is generally in out of home care, for example, with a relative, family friend, foster carer or at a residential unit.  </w:t>
      </w:r>
      <w:r w:rsidR="004E4F26" w:rsidRPr="004E4F26">
        <w:rPr>
          <w:rFonts w:ascii="Arial" w:hAnsi="Arial" w:cs="Arial"/>
          <w:sz w:val="20"/>
          <w:szCs w:val="20"/>
        </w:rPr>
        <w:t xml:space="preserve">With family reunification orders, the plan will usually be re-unification with the parents and the order will have conditions to assist that to occur.  </w:t>
      </w:r>
      <w:r w:rsidRPr="004E4F26">
        <w:rPr>
          <w:rFonts w:ascii="Arial" w:hAnsi="Arial" w:cs="Arial"/>
          <w:sz w:val="20"/>
          <w:szCs w:val="20"/>
        </w:rPr>
        <w:t xml:space="preserve">In some cases, a child on a </w:t>
      </w:r>
      <w:r w:rsidR="004E4F26" w:rsidRPr="004E4F26">
        <w:rPr>
          <w:rFonts w:ascii="Arial" w:hAnsi="Arial" w:cs="Arial"/>
          <w:sz w:val="20"/>
          <w:szCs w:val="20"/>
        </w:rPr>
        <w:t>family reunification order</w:t>
      </w:r>
      <w:r w:rsidRPr="004E4F26">
        <w:rPr>
          <w:rFonts w:ascii="Arial" w:hAnsi="Arial" w:cs="Arial"/>
          <w:sz w:val="20"/>
          <w:szCs w:val="20"/>
        </w:rPr>
        <w:t xml:space="preserve"> may be placed in the care of a parent but this is relatively uncommon, at least early in the life of such order. </w:t>
      </w:r>
      <w:r w:rsidR="004E4F26">
        <w:rPr>
          <w:rFonts w:ascii="Arial" w:hAnsi="Arial" w:cs="Arial"/>
          <w:sz w:val="20"/>
          <w:szCs w:val="20"/>
        </w:rPr>
        <w:t>I</w:t>
      </w:r>
      <w:r w:rsidRPr="004E4F26">
        <w:rPr>
          <w:rFonts w:ascii="Arial" w:hAnsi="Arial" w:cs="Arial"/>
          <w:sz w:val="20"/>
          <w:szCs w:val="20"/>
        </w:rPr>
        <w:t xml:space="preserve">n cases where reunification is not in the best interests of the child, the Court may make a </w:t>
      </w:r>
      <w:r w:rsidR="004E4F26">
        <w:rPr>
          <w:rFonts w:ascii="Arial" w:hAnsi="Arial" w:cs="Arial"/>
          <w:sz w:val="20"/>
          <w:szCs w:val="20"/>
        </w:rPr>
        <w:t>care by</w:t>
      </w:r>
      <w:r w:rsidRPr="004E4F26">
        <w:rPr>
          <w:rFonts w:ascii="Arial" w:hAnsi="Arial" w:cs="Arial"/>
          <w:sz w:val="20"/>
          <w:szCs w:val="20"/>
        </w:rPr>
        <w:t xml:space="preserve"> Secretary order or</w:t>
      </w:r>
      <w:r w:rsidR="004E4F26">
        <w:rPr>
          <w:rFonts w:ascii="Arial" w:hAnsi="Arial" w:cs="Arial"/>
          <w:sz w:val="20"/>
          <w:szCs w:val="20"/>
        </w:rPr>
        <w:t xml:space="preserve"> a long-term care order, neither or which can contain conditions</w:t>
      </w:r>
      <w:r w:rsidRPr="004E4F26">
        <w:rPr>
          <w:rFonts w:ascii="Arial" w:hAnsi="Arial" w:cs="Arial"/>
          <w:sz w:val="20"/>
          <w:szCs w:val="20"/>
        </w:rPr>
        <w:t>.</w:t>
      </w:r>
    </w:p>
    <w:p w14:paraId="37117723" w14:textId="77777777" w:rsidR="009104CC" w:rsidRDefault="009104CC" w:rsidP="009104CC">
      <w:pPr>
        <w:pBdr>
          <w:top w:val="single" w:sz="4" w:space="1" w:color="auto"/>
          <w:left w:val="single" w:sz="4" w:space="4" w:color="auto"/>
          <w:bottom w:val="single" w:sz="4" w:space="1" w:color="auto"/>
          <w:right w:val="single" w:sz="4" w:space="4" w:color="auto"/>
        </w:pBdr>
        <w:ind w:left="284" w:right="284"/>
        <w:jc w:val="both"/>
        <w:rPr>
          <w:rFonts w:ascii="Arial" w:hAnsi="Arial" w:cs="Arial"/>
          <w:sz w:val="20"/>
          <w:szCs w:val="20"/>
        </w:rPr>
      </w:pPr>
    </w:p>
    <w:p w14:paraId="34145B59" w14:textId="77777777" w:rsidR="00084EDE" w:rsidRPr="004E4F26" w:rsidRDefault="00084EDE" w:rsidP="009104CC">
      <w:pPr>
        <w:pBdr>
          <w:top w:val="single" w:sz="4" w:space="1" w:color="auto"/>
          <w:left w:val="single" w:sz="4" w:space="4" w:color="auto"/>
          <w:bottom w:val="single" w:sz="4" w:space="1" w:color="auto"/>
          <w:right w:val="single" w:sz="4" w:space="4" w:color="auto"/>
        </w:pBdr>
        <w:ind w:left="284" w:right="284"/>
        <w:jc w:val="both"/>
        <w:rPr>
          <w:rFonts w:ascii="Arial" w:hAnsi="Arial" w:cs="Arial"/>
          <w:sz w:val="20"/>
          <w:szCs w:val="20"/>
        </w:rPr>
      </w:pPr>
      <w:r w:rsidRPr="004E4F26">
        <w:rPr>
          <w:rFonts w:ascii="Arial" w:hAnsi="Arial" w:cs="Arial"/>
          <w:sz w:val="20"/>
          <w:szCs w:val="20"/>
        </w:rPr>
        <w:t>The Court also hears applications for Permanent Care Orders and may make such orders if the child has been out of parental care for at least 6 months of the previous 12 months and if satisfied that reunification with a parent is not in the best interests of the child.</w:t>
      </w:r>
    </w:p>
    <w:p w14:paraId="0C0132D0" w14:textId="77777777" w:rsidR="002B758B" w:rsidRPr="00DA334D" w:rsidRDefault="002B758B">
      <w:pPr>
        <w:rPr>
          <w:rFonts w:ascii="Arial" w:hAnsi="Arial" w:cs="Arial"/>
          <w:sz w:val="20"/>
        </w:rPr>
      </w:pPr>
    </w:p>
    <w:p w14:paraId="250701FF" w14:textId="77777777" w:rsidR="00693223" w:rsidRDefault="00693223">
      <w:pPr>
        <w:pStyle w:val="Heading2"/>
        <w:keepNext/>
        <w:keepLines/>
        <w:tabs>
          <w:tab w:val="left" w:pos="567"/>
        </w:tabs>
        <w:spacing w:line="240" w:lineRule="auto"/>
        <w:rPr>
          <w:rFonts w:ascii="Arial" w:hAnsi="Arial" w:cs="Arial"/>
          <w:b/>
          <w:bCs/>
        </w:rPr>
      </w:pPr>
      <w:bookmarkStart w:id="248" w:name="_4.3_Jurisdiction_of"/>
      <w:bookmarkStart w:id="249" w:name="B43"/>
      <w:bookmarkStart w:id="250" w:name="_Toc30607526"/>
      <w:bookmarkStart w:id="251" w:name="_Toc30607655"/>
      <w:bookmarkStart w:id="252" w:name="_Toc30607980"/>
      <w:bookmarkStart w:id="253" w:name="_Toc30608813"/>
      <w:bookmarkStart w:id="254" w:name="_Toc30610027"/>
      <w:bookmarkStart w:id="255" w:name="_Toc30610271"/>
      <w:bookmarkStart w:id="256" w:name="_Toc30638425"/>
      <w:bookmarkStart w:id="257" w:name="_Toc30644238"/>
      <w:bookmarkStart w:id="258" w:name="_Toc30644641"/>
      <w:bookmarkStart w:id="259" w:name="_Toc30645191"/>
      <w:bookmarkStart w:id="260" w:name="_Toc30646402"/>
      <w:bookmarkStart w:id="261" w:name="_Toc30646697"/>
      <w:bookmarkStart w:id="262" w:name="_Toc30646808"/>
      <w:bookmarkStart w:id="263" w:name="_Toc30648165"/>
      <w:bookmarkStart w:id="264" w:name="_Toc30649063"/>
      <w:bookmarkStart w:id="265" w:name="_Toc30649139"/>
      <w:bookmarkStart w:id="266" w:name="_Toc30649400"/>
      <w:bookmarkStart w:id="267" w:name="_Toc30649725"/>
      <w:bookmarkStart w:id="268" w:name="_Toc30651665"/>
      <w:bookmarkStart w:id="269" w:name="_Toc30652655"/>
      <w:bookmarkStart w:id="270" w:name="_Toc30652751"/>
      <w:bookmarkStart w:id="271" w:name="_Toc30654096"/>
      <w:bookmarkStart w:id="272" w:name="_Toc30654447"/>
      <w:bookmarkStart w:id="273" w:name="_Toc30655066"/>
      <w:bookmarkStart w:id="274" w:name="_Toc30655323"/>
      <w:bookmarkStart w:id="275" w:name="_Toc30657001"/>
      <w:bookmarkStart w:id="276" w:name="_Toc30661750"/>
      <w:bookmarkStart w:id="277" w:name="_Toc30666438"/>
      <w:bookmarkStart w:id="278" w:name="_Toc30666668"/>
      <w:bookmarkStart w:id="279" w:name="_Toc30667843"/>
      <w:bookmarkStart w:id="280" w:name="_Toc30669221"/>
      <w:bookmarkStart w:id="281" w:name="_Toc30671437"/>
      <w:bookmarkStart w:id="282" w:name="_Toc30673964"/>
      <w:bookmarkStart w:id="283" w:name="_Toc30691186"/>
      <w:bookmarkStart w:id="284" w:name="_Toc30691559"/>
      <w:bookmarkStart w:id="285" w:name="_Toc30691939"/>
      <w:bookmarkStart w:id="286" w:name="_Toc30692698"/>
      <w:bookmarkStart w:id="287" w:name="_Toc30693077"/>
      <w:bookmarkStart w:id="288" w:name="_Toc30693455"/>
      <w:bookmarkStart w:id="289" w:name="_Toc30693833"/>
      <w:bookmarkStart w:id="290" w:name="_Toc30694214"/>
      <w:bookmarkStart w:id="291" w:name="_Toc30698803"/>
      <w:bookmarkStart w:id="292" w:name="_Toc30699181"/>
      <w:bookmarkStart w:id="293" w:name="_Toc30699566"/>
      <w:bookmarkStart w:id="294" w:name="_Toc30700721"/>
      <w:bookmarkStart w:id="295" w:name="_Toc30701108"/>
      <w:bookmarkStart w:id="296" w:name="_Toc30743717"/>
      <w:bookmarkStart w:id="297" w:name="_Toc30754540"/>
      <w:bookmarkStart w:id="298" w:name="_Toc30756980"/>
      <w:bookmarkStart w:id="299" w:name="_Toc30757529"/>
      <w:bookmarkStart w:id="300" w:name="_Toc30757929"/>
      <w:bookmarkStart w:id="301" w:name="_Toc30762690"/>
      <w:bookmarkStart w:id="302" w:name="_Toc30767344"/>
      <w:bookmarkStart w:id="303" w:name="_Toc34823360"/>
      <w:bookmarkStart w:id="304" w:name="_Toc60399993"/>
      <w:bookmarkStart w:id="305" w:name="_Toc30607528"/>
      <w:bookmarkStart w:id="306" w:name="_Toc30607657"/>
      <w:bookmarkStart w:id="307" w:name="_Toc30607982"/>
      <w:bookmarkStart w:id="308" w:name="_Toc30608815"/>
      <w:bookmarkStart w:id="309" w:name="_Toc30610029"/>
      <w:bookmarkStart w:id="310" w:name="_Toc30610273"/>
      <w:bookmarkStart w:id="311" w:name="_Toc30638427"/>
      <w:bookmarkStart w:id="312" w:name="_Toc30644240"/>
      <w:bookmarkStart w:id="313" w:name="_Toc30644643"/>
      <w:bookmarkStart w:id="314" w:name="_Toc30645193"/>
      <w:bookmarkStart w:id="315" w:name="_Toc30646404"/>
      <w:bookmarkStart w:id="316" w:name="_Toc30646699"/>
      <w:bookmarkStart w:id="317" w:name="_Toc30646810"/>
      <w:bookmarkStart w:id="318" w:name="_Toc30648167"/>
      <w:bookmarkStart w:id="319" w:name="_Toc30649065"/>
      <w:bookmarkStart w:id="320" w:name="_Toc30649141"/>
      <w:bookmarkStart w:id="321" w:name="_Toc30649402"/>
      <w:bookmarkStart w:id="322" w:name="_Toc30649727"/>
      <w:bookmarkStart w:id="323" w:name="_Toc30651667"/>
      <w:bookmarkStart w:id="324" w:name="_Toc30652657"/>
      <w:bookmarkStart w:id="325" w:name="_Toc30652753"/>
      <w:bookmarkStart w:id="326" w:name="_Toc30654098"/>
      <w:bookmarkStart w:id="327" w:name="_Toc30654449"/>
      <w:bookmarkStart w:id="328" w:name="_Toc30655068"/>
      <w:bookmarkStart w:id="329" w:name="_Toc30655325"/>
      <w:bookmarkStart w:id="330" w:name="_Toc30657003"/>
      <w:bookmarkStart w:id="331" w:name="_Toc30661752"/>
      <w:bookmarkStart w:id="332" w:name="_Toc30666440"/>
      <w:bookmarkStart w:id="333" w:name="_Toc30666670"/>
      <w:bookmarkStart w:id="334" w:name="_Toc30667845"/>
      <w:bookmarkStart w:id="335" w:name="_Toc30669223"/>
      <w:bookmarkStart w:id="336" w:name="_Toc30671439"/>
      <w:bookmarkStart w:id="337" w:name="_Toc30673966"/>
      <w:bookmarkStart w:id="338" w:name="_Toc30691188"/>
      <w:bookmarkStart w:id="339" w:name="_Toc30691561"/>
      <w:bookmarkStart w:id="340" w:name="_Toc30691941"/>
      <w:bookmarkStart w:id="341" w:name="_Toc30692700"/>
      <w:bookmarkStart w:id="342" w:name="_Toc30693079"/>
      <w:bookmarkStart w:id="343" w:name="_Toc30693457"/>
      <w:bookmarkStart w:id="344" w:name="_Toc30693835"/>
      <w:bookmarkStart w:id="345" w:name="_Toc30694216"/>
      <w:bookmarkStart w:id="346" w:name="_Toc30698805"/>
      <w:bookmarkStart w:id="347" w:name="_Toc30699183"/>
      <w:bookmarkStart w:id="348" w:name="_Toc30699568"/>
      <w:bookmarkStart w:id="349" w:name="_Toc30700723"/>
      <w:bookmarkStart w:id="350" w:name="_Toc30701110"/>
      <w:bookmarkStart w:id="351" w:name="_Toc30743719"/>
      <w:bookmarkStart w:id="352" w:name="_Toc30754542"/>
      <w:bookmarkStart w:id="353" w:name="_Toc30756982"/>
      <w:bookmarkStart w:id="354" w:name="_Toc30757531"/>
      <w:bookmarkStart w:id="355" w:name="_Toc30757931"/>
      <w:bookmarkStart w:id="356" w:name="_Toc30762692"/>
      <w:bookmarkStart w:id="357" w:name="_Toc30767346"/>
      <w:bookmarkStart w:id="358" w:name="_Toc34823362"/>
      <w:bookmarkEnd w:id="248"/>
      <w:bookmarkEnd w:id="249"/>
      <w:r>
        <w:rPr>
          <w:rFonts w:ascii="Arial" w:hAnsi="Arial" w:cs="Arial"/>
          <w:b/>
          <w:bCs/>
        </w:rPr>
        <w:t>4.</w:t>
      </w:r>
      <w:r w:rsidR="00940D74">
        <w:rPr>
          <w:rFonts w:ascii="Arial" w:hAnsi="Arial" w:cs="Arial"/>
          <w:b/>
          <w:bCs/>
        </w:rPr>
        <w:t>3</w:t>
      </w:r>
      <w:r>
        <w:rPr>
          <w:rFonts w:ascii="Arial" w:hAnsi="Arial" w:cs="Arial"/>
          <w:b/>
          <w:bCs/>
        </w:rPr>
        <w:tab/>
        <w:t>Jurisdiction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Fonts w:ascii="Arial" w:hAnsi="Arial" w:cs="Arial"/>
          <w:b/>
          <w:bCs/>
        </w:rPr>
        <w:t xml:space="preserve"> of Family Division</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18E46277" w14:textId="77777777" w:rsidR="00693223" w:rsidRDefault="00693223">
      <w:pPr>
        <w:keepNext/>
        <w:keepLines/>
        <w:jc w:val="both"/>
        <w:rPr>
          <w:rFonts w:ascii="Arial" w:hAnsi="Arial" w:cs="Arial"/>
          <w:sz w:val="20"/>
        </w:rPr>
      </w:pPr>
    </w:p>
    <w:p w14:paraId="0CA22602" w14:textId="77777777" w:rsidR="00693223" w:rsidRDefault="00693223">
      <w:pPr>
        <w:keepNext/>
        <w:keepLines/>
        <w:jc w:val="both"/>
        <w:rPr>
          <w:rFonts w:ascii="Arial" w:hAnsi="Arial" w:cs="Arial"/>
          <w:sz w:val="20"/>
        </w:rPr>
      </w:pPr>
      <w:r>
        <w:rPr>
          <w:rFonts w:ascii="Arial" w:hAnsi="Arial" w:cs="Arial"/>
          <w:sz w:val="20"/>
        </w:rPr>
        <w:t>When we refer to the jurisdiction of a court we are talking about its legal power to hear and determine a matter.  The CY</w:t>
      </w:r>
      <w:r w:rsidR="00497924">
        <w:rPr>
          <w:rFonts w:ascii="Arial" w:hAnsi="Arial" w:cs="Arial"/>
          <w:sz w:val="20"/>
        </w:rPr>
        <w:t>F</w:t>
      </w:r>
      <w:r>
        <w:rPr>
          <w:rFonts w:ascii="Arial" w:hAnsi="Arial" w:cs="Arial"/>
          <w:sz w:val="20"/>
        </w:rPr>
        <w:t>A is the primary source of the jurisdiction of the Family Division of t</w:t>
      </w:r>
      <w:r w:rsidR="006D081C">
        <w:rPr>
          <w:rFonts w:ascii="Arial" w:hAnsi="Arial" w:cs="Arial"/>
          <w:sz w:val="20"/>
        </w:rPr>
        <w:t>he Children's Court of Victoria</w:t>
      </w:r>
      <w:r w:rsidR="00AF5500">
        <w:rPr>
          <w:rFonts w:ascii="Arial" w:hAnsi="Arial" w:cs="Arial"/>
          <w:sz w:val="20"/>
        </w:rPr>
        <w:t>, having entirely rep</w:t>
      </w:r>
      <w:r w:rsidR="00450E55">
        <w:rPr>
          <w:rFonts w:ascii="Arial" w:hAnsi="Arial" w:cs="Arial"/>
          <w:sz w:val="20"/>
        </w:rPr>
        <w:t>lace</w:t>
      </w:r>
      <w:r w:rsidR="00AF5500">
        <w:rPr>
          <w:rFonts w:ascii="Arial" w:hAnsi="Arial" w:cs="Arial"/>
          <w:sz w:val="20"/>
        </w:rPr>
        <w:t xml:space="preserve">d the </w:t>
      </w:r>
      <w:r w:rsidR="006D081C">
        <w:rPr>
          <w:rFonts w:ascii="Arial" w:hAnsi="Arial" w:cs="Arial"/>
          <w:sz w:val="20"/>
        </w:rPr>
        <w:t xml:space="preserve">Children and Young Persons Act 1989 (Vic) [‘the CYPA’] </w:t>
      </w:r>
      <w:r w:rsidR="00AF5500">
        <w:rPr>
          <w:rFonts w:ascii="Arial" w:hAnsi="Arial" w:cs="Arial"/>
          <w:sz w:val="20"/>
        </w:rPr>
        <w:t>on 01/10/2007</w:t>
      </w:r>
      <w:r w:rsidR="006D081C">
        <w:rPr>
          <w:rFonts w:ascii="Arial" w:hAnsi="Arial" w:cs="Arial"/>
          <w:sz w:val="20"/>
        </w:rPr>
        <w:t>.</w:t>
      </w:r>
    </w:p>
    <w:p w14:paraId="4398C5BC" w14:textId="77777777" w:rsidR="00693223" w:rsidRDefault="00693223">
      <w:pPr>
        <w:pStyle w:val="Heading3"/>
        <w:spacing w:line="240" w:lineRule="auto"/>
        <w:rPr>
          <w:rFonts w:ascii="Arial" w:hAnsi="Arial" w:cs="Arial"/>
          <w:b/>
          <w:bCs/>
          <w:sz w:val="20"/>
        </w:rPr>
      </w:pPr>
      <w:bookmarkStart w:id="359" w:name="_Toc60399994"/>
    </w:p>
    <w:p w14:paraId="56E6A12D" w14:textId="77777777" w:rsidR="00693223" w:rsidRDefault="00693223">
      <w:pPr>
        <w:pStyle w:val="Heading3"/>
        <w:keepNext/>
        <w:keepLines/>
        <w:spacing w:line="240" w:lineRule="auto"/>
        <w:rPr>
          <w:rFonts w:ascii="Arial" w:hAnsi="Arial" w:cs="Arial"/>
          <w:b/>
          <w:bCs/>
          <w:sz w:val="20"/>
        </w:rPr>
      </w:pPr>
      <w:bookmarkStart w:id="360" w:name="_4.3.1_Jurisdiction_under"/>
      <w:bookmarkStart w:id="361" w:name="B431"/>
      <w:bookmarkEnd w:id="360"/>
      <w:bookmarkEnd w:id="361"/>
      <w:r>
        <w:rPr>
          <w:rFonts w:ascii="Arial" w:hAnsi="Arial" w:cs="Arial"/>
          <w:b/>
          <w:bCs/>
          <w:sz w:val="20"/>
        </w:rPr>
        <w:t>4.</w:t>
      </w:r>
      <w:r w:rsidR="00940D74">
        <w:rPr>
          <w:rFonts w:ascii="Arial" w:hAnsi="Arial" w:cs="Arial"/>
          <w:b/>
          <w:bCs/>
          <w:sz w:val="20"/>
        </w:rPr>
        <w:t>3</w:t>
      </w:r>
      <w:r>
        <w:rPr>
          <w:rFonts w:ascii="Arial" w:hAnsi="Arial" w:cs="Arial"/>
          <w:b/>
          <w:bCs/>
          <w:sz w:val="20"/>
        </w:rPr>
        <w:t>.1</w:t>
      </w:r>
      <w:r>
        <w:rPr>
          <w:rFonts w:ascii="Arial" w:hAnsi="Arial" w:cs="Arial"/>
          <w:b/>
          <w:bCs/>
          <w:sz w:val="20"/>
        </w:rPr>
        <w:tab/>
        <w:t>Jurisdiction under the CY</w:t>
      </w:r>
      <w:r w:rsidR="005F100D">
        <w:rPr>
          <w:rFonts w:ascii="Arial" w:hAnsi="Arial" w:cs="Arial"/>
          <w:b/>
          <w:bCs/>
          <w:sz w:val="20"/>
        </w:rPr>
        <w:t>F</w:t>
      </w:r>
      <w:r>
        <w:rPr>
          <w:rFonts w:ascii="Arial" w:hAnsi="Arial" w:cs="Arial"/>
          <w:b/>
          <w:bCs/>
          <w:sz w:val="20"/>
        </w:rPr>
        <w:t>A</w:t>
      </w:r>
      <w:bookmarkEnd w:id="359"/>
    </w:p>
    <w:p w14:paraId="68C21A0E" w14:textId="77777777" w:rsidR="00693223" w:rsidRDefault="00693223" w:rsidP="00B51860">
      <w:pPr>
        <w:pStyle w:val="Heading3"/>
        <w:keepNext/>
        <w:keepLines/>
        <w:spacing w:line="240" w:lineRule="auto"/>
        <w:rPr>
          <w:rFonts w:ascii="Arial" w:hAnsi="Arial" w:cs="Arial"/>
          <w:b/>
          <w:bCs/>
          <w:sz w:val="20"/>
        </w:rPr>
      </w:pPr>
    </w:p>
    <w:p w14:paraId="796E7BB3" w14:textId="71A9A96B" w:rsidR="00693223" w:rsidRDefault="00693223">
      <w:pPr>
        <w:jc w:val="both"/>
        <w:rPr>
          <w:rFonts w:ascii="Arial" w:hAnsi="Arial" w:cs="Arial"/>
          <w:sz w:val="20"/>
        </w:rPr>
      </w:pPr>
      <w:r>
        <w:rPr>
          <w:rFonts w:ascii="Arial" w:hAnsi="Arial" w:cs="Arial"/>
          <w:sz w:val="20"/>
        </w:rPr>
        <w:t>Under s.</w:t>
      </w:r>
      <w:r w:rsidR="00497924">
        <w:rPr>
          <w:rFonts w:ascii="Arial" w:hAnsi="Arial" w:cs="Arial"/>
          <w:sz w:val="20"/>
        </w:rPr>
        <w:t>5</w:t>
      </w:r>
      <w:r>
        <w:rPr>
          <w:rFonts w:ascii="Arial" w:hAnsi="Arial" w:cs="Arial"/>
          <w:sz w:val="20"/>
        </w:rPr>
        <w:t>15(1) of the CY</w:t>
      </w:r>
      <w:r w:rsidR="00497924">
        <w:rPr>
          <w:rFonts w:ascii="Arial" w:hAnsi="Arial" w:cs="Arial"/>
          <w:sz w:val="20"/>
        </w:rPr>
        <w:t>F</w:t>
      </w:r>
      <w:r>
        <w:rPr>
          <w:rFonts w:ascii="Arial" w:hAnsi="Arial" w:cs="Arial"/>
          <w:sz w:val="20"/>
        </w:rPr>
        <w:t xml:space="preserve">A, the Family Division has jurisdiction to hear and determine a number of Primary Applications &amp; Secondary Applications for orders relating to the protection of children and young persons.  </w:t>
      </w:r>
      <w:r w:rsidR="006A312B">
        <w:rPr>
          <w:rFonts w:ascii="Arial" w:hAnsi="Arial" w:cs="Arial"/>
          <w:sz w:val="20"/>
        </w:rPr>
        <w:t xml:space="preserve">These applications are detailed in </w:t>
      </w:r>
      <w:r w:rsidR="00A40A28" w:rsidRPr="00A40A28">
        <w:rPr>
          <w:rFonts w:ascii="Arial" w:hAnsi="Arial" w:cs="Arial"/>
          <w:b/>
          <w:bCs/>
          <w:sz w:val="20"/>
          <w:shd w:val="clear" w:color="auto" w:fill="C5E0B3"/>
        </w:rPr>
        <w:t>C</w:t>
      </w:r>
      <w:r w:rsidR="006A312B" w:rsidRPr="00A40A28">
        <w:rPr>
          <w:rFonts w:ascii="Arial" w:hAnsi="Arial" w:cs="Arial"/>
          <w:b/>
          <w:bCs/>
          <w:sz w:val="20"/>
          <w:shd w:val="clear" w:color="auto" w:fill="C5E0B3"/>
        </w:rPr>
        <w:t>hapter 5</w:t>
      </w:r>
      <w:r w:rsidR="00211E08">
        <w:rPr>
          <w:rFonts w:ascii="Arial" w:hAnsi="Arial" w:cs="Arial"/>
          <w:sz w:val="20"/>
        </w:rPr>
        <w:t xml:space="preserve"> of these Research Materials.  </w:t>
      </w:r>
      <w:r>
        <w:rPr>
          <w:rFonts w:ascii="Arial" w:hAnsi="Arial" w:cs="Arial"/>
          <w:sz w:val="20"/>
        </w:rPr>
        <w:t>That this is a main purpose of the Court appears from s</w:t>
      </w:r>
      <w:r w:rsidR="00497924">
        <w:rPr>
          <w:rFonts w:ascii="Arial" w:hAnsi="Arial" w:cs="Arial"/>
          <w:sz w:val="20"/>
        </w:rPr>
        <w:t>s</w:t>
      </w:r>
      <w:r>
        <w:rPr>
          <w:rFonts w:ascii="Arial" w:hAnsi="Arial" w:cs="Arial"/>
          <w:sz w:val="20"/>
        </w:rPr>
        <w:t xml:space="preserve">.1(b) </w:t>
      </w:r>
      <w:r w:rsidR="00497924">
        <w:rPr>
          <w:rFonts w:ascii="Arial" w:hAnsi="Arial" w:cs="Arial"/>
          <w:sz w:val="20"/>
        </w:rPr>
        <w:t xml:space="preserve">&amp; 1(d) </w:t>
      </w:r>
      <w:r>
        <w:rPr>
          <w:rFonts w:ascii="Arial" w:hAnsi="Arial" w:cs="Arial"/>
          <w:sz w:val="20"/>
        </w:rPr>
        <w:t>of the Act.</w:t>
      </w:r>
    </w:p>
    <w:p w14:paraId="1E8C8275" w14:textId="77777777" w:rsidR="00693223" w:rsidRDefault="00693223">
      <w:pPr>
        <w:jc w:val="both"/>
        <w:rPr>
          <w:rFonts w:ascii="Arial" w:hAnsi="Arial" w:cs="Arial"/>
          <w:sz w:val="20"/>
        </w:rPr>
      </w:pPr>
    </w:p>
    <w:p w14:paraId="0F7582DF" w14:textId="77777777" w:rsidR="00693223" w:rsidRDefault="00693223" w:rsidP="00390E49">
      <w:pPr>
        <w:jc w:val="both"/>
        <w:rPr>
          <w:rFonts w:ascii="Arial" w:hAnsi="Arial" w:cs="Arial"/>
          <w:sz w:val="20"/>
        </w:rPr>
      </w:pPr>
      <w:r>
        <w:rPr>
          <w:rFonts w:ascii="Arial" w:hAnsi="Arial" w:cs="Arial"/>
          <w:sz w:val="20"/>
        </w:rPr>
        <w:t>Under s.</w:t>
      </w:r>
      <w:r w:rsidR="005F100D">
        <w:rPr>
          <w:rFonts w:ascii="Arial" w:hAnsi="Arial" w:cs="Arial"/>
          <w:sz w:val="20"/>
        </w:rPr>
        <w:t>5</w:t>
      </w:r>
      <w:r>
        <w:rPr>
          <w:rFonts w:ascii="Arial" w:hAnsi="Arial" w:cs="Arial"/>
          <w:sz w:val="20"/>
        </w:rPr>
        <w:t>15(2) of the CY</w:t>
      </w:r>
      <w:r w:rsidR="005F100D">
        <w:rPr>
          <w:rFonts w:ascii="Arial" w:hAnsi="Arial" w:cs="Arial"/>
          <w:sz w:val="20"/>
        </w:rPr>
        <w:t>F</w:t>
      </w:r>
      <w:r>
        <w:rPr>
          <w:rFonts w:ascii="Arial" w:hAnsi="Arial" w:cs="Arial"/>
          <w:sz w:val="20"/>
        </w:rPr>
        <w:t>A, the Family Division also has jurisdiction:</w:t>
      </w:r>
    </w:p>
    <w:p w14:paraId="2A2A599D" w14:textId="77777777" w:rsidR="00693223" w:rsidRDefault="003B47AB">
      <w:pPr>
        <w:numPr>
          <w:ilvl w:val="0"/>
          <w:numId w:val="1"/>
        </w:numPr>
        <w:tabs>
          <w:tab w:val="num" w:pos="423"/>
          <w:tab w:val="num" w:pos="723"/>
        </w:tabs>
        <w:jc w:val="both"/>
        <w:rPr>
          <w:rFonts w:ascii="Arial" w:hAnsi="Arial" w:cs="Arial"/>
          <w:sz w:val="20"/>
        </w:rPr>
      </w:pPr>
      <w:r>
        <w:rPr>
          <w:rFonts w:ascii="Arial" w:hAnsi="Arial" w:cs="Arial"/>
          <w:sz w:val="20"/>
        </w:rPr>
        <w:t>in relation to the t</w:t>
      </w:r>
      <w:r w:rsidR="00693223">
        <w:rPr>
          <w:rFonts w:ascii="Arial" w:hAnsi="Arial" w:cs="Arial"/>
          <w:sz w:val="20"/>
        </w:rPr>
        <w:t xml:space="preserve">ransfer of child protection orders and proceedings between Victoria and another Australian State or Territory or between Victoria and New Zealand [Schedule </w:t>
      </w:r>
      <w:r w:rsidR="005F100D">
        <w:rPr>
          <w:rFonts w:ascii="Arial" w:hAnsi="Arial" w:cs="Arial"/>
          <w:sz w:val="20"/>
        </w:rPr>
        <w:t>1</w:t>
      </w:r>
      <w:r w:rsidR="00693223">
        <w:rPr>
          <w:rFonts w:ascii="Arial" w:hAnsi="Arial" w:cs="Arial"/>
          <w:sz w:val="20"/>
        </w:rPr>
        <w:t>]; and</w:t>
      </w:r>
    </w:p>
    <w:p w14:paraId="35BCA325" w14:textId="77777777" w:rsidR="00E22166" w:rsidRPr="00B310F4" w:rsidRDefault="00693223">
      <w:pPr>
        <w:numPr>
          <w:ilvl w:val="0"/>
          <w:numId w:val="1"/>
        </w:numPr>
        <w:tabs>
          <w:tab w:val="num" w:pos="423"/>
          <w:tab w:val="num" w:pos="723"/>
        </w:tabs>
        <w:jc w:val="both"/>
        <w:rPr>
          <w:rFonts w:ascii="Arial" w:hAnsi="Arial" w:cs="Arial"/>
          <w:color w:val="000000"/>
          <w:sz w:val="20"/>
        </w:rPr>
      </w:pPr>
      <w:r>
        <w:rPr>
          <w:rFonts w:ascii="Arial" w:hAnsi="Arial" w:cs="Arial"/>
          <w:sz w:val="20"/>
        </w:rPr>
        <w:t xml:space="preserve">to hear and determine applications to make, vary, revoke or extend an intervention order </w:t>
      </w:r>
      <w:r w:rsidRPr="00B310F4">
        <w:rPr>
          <w:rFonts w:ascii="Arial" w:hAnsi="Arial" w:cs="Arial"/>
          <w:color w:val="000000"/>
          <w:sz w:val="20"/>
        </w:rPr>
        <w:t xml:space="preserve">when either the </w:t>
      </w:r>
      <w:r w:rsidR="00E22166" w:rsidRPr="00B310F4">
        <w:rPr>
          <w:rFonts w:ascii="Arial" w:hAnsi="Arial" w:cs="Arial"/>
          <w:color w:val="000000"/>
          <w:sz w:val="20"/>
        </w:rPr>
        <w:t>respondent</w:t>
      </w:r>
      <w:r w:rsidRPr="00B310F4">
        <w:rPr>
          <w:rFonts w:ascii="Arial" w:hAnsi="Arial" w:cs="Arial"/>
          <w:color w:val="000000"/>
          <w:sz w:val="20"/>
        </w:rPr>
        <w:t xml:space="preserve"> or </w:t>
      </w:r>
      <w:r w:rsidR="00E22166" w:rsidRPr="00B310F4">
        <w:rPr>
          <w:rFonts w:ascii="Arial" w:hAnsi="Arial" w:cs="Arial"/>
          <w:color w:val="000000"/>
          <w:sz w:val="20"/>
        </w:rPr>
        <w:t>an affected person</w:t>
      </w:r>
      <w:r w:rsidRPr="00B310F4">
        <w:rPr>
          <w:rFonts w:ascii="Arial" w:hAnsi="Arial" w:cs="Arial"/>
          <w:color w:val="000000"/>
          <w:sz w:val="20"/>
        </w:rPr>
        <w:t xml:space="preserve"> is a child: see </w:t>
      </w:r>
      <w:r w:rsidR="00E22166" w:rsidRPr="00B310F4">
        <w:rPr>
          <w:rFonts w:ascii="Arial" w:hAnsi="Arial" w:cs="Arial"/>
          <w:color w:val="000000"/>
          <w:sz w:val="20"/>
        </w:rPr>
        <w:t xml:space="preserve">ss.146-149 of the </w:t>
      </w:r>
      <w:r w:rsidR="00E22166" w:rsidRPr="00B310F4">
        <w:rPr>
          <w:rFonts w:ascii="Arial" w:hAnsi="Arial" w:cs="Arial"/>
          <w:color w:val="000000"/>
          <w:sz w:val="20"/>
          <w:u w:val="single"/>
        </w:rPr>
        <w:t>Family Violence Protection Act 2008</w:t>
      </w:r>
      <w:r w:rsidR="00617055" w:rsidRPr="00B310F4">
        <w:rPr>
          <w:rFonts w:ascii="Arial" w:hAnsi="Arial" w:cs="Arial"/>
          <w:color w:val="000000"/>
          <w:sz w:val="20"/>
          <w:u w:val="single"/>
        </w:rPr>
        <w:t xml:space="preserve"> (Vic)</w:t>
      </w:r>
      <w:r w:rsidR="00617055" w:rsidRPr="00B310F4">
        <w:rPr>
          <w:rFonts w:ascii="Arial" w:hAnsi="Arial" w:cs="Arial"/>
          <w:color w:val="000000"/>
          <w:sz w:val="20"/>
        </w:rPr>
        <w:t xml:space="preserve"> [No.52/2008] (‘the FVPA’) </w:t>
      </w:r>
      <w:r w:rsidR="00E22166" w:rsidRPr="00B310F4">
        <w:rPr>
          <w:rFonts w:ascii="Arial" w:hAnsi="Arial" w:cs="Arial"/>
          <w:color w:val="000000"/>
          <w:sz w:val="20"/>
        </w:rPr>
        <w:t>and s</w:t>
      </w:r>
      <w:r w:rsidR="00120B81" w:rsidRPr="00B310F4">
        <w:rPr>
          <w:rFonts w:ascii="Arial" w:hAnsi="Arial" w:cs="Arial"/>
          <w:color w:val="000000"/>
          <w:sz w:val="20"/>
        </w:rPr>
        <w:t>s</w:t>
      </w:r>
      <w:r w:rsidR="00E22166" w:rsidRPr="00B310F4">
        <w:rPr>
          <w:rFonts w:ascii="Arial" w:hAnsi="Arial" w:cs="Arial"/>
          <w:color w:val="000000"/>
          <w:sz w:val="20"/>
        </w:rPr>
        <w:t>.</w:t>
      </w:r>
      <w:r w:rsidR="00120B81" w:rsidRPr="00B310F4">
        <w:rPr>
          <w:rFonts w:ascii="Arial" w:hAnsi="Arial" w:cs="Arial"/>
          <w:color w:val="000000"/>
          <w:sz w:val="20"/>
        </w:rPr>
        <w:t>103-106</w:t>
      </w:r>
      <w:r w:rsidR="00E22166" w:rsidRPr="00B310F4">
        <w:rPr>
          <w:rFonts w:ascii="Arial" w:hAnsi="Arial" w:cs="Arial"/>
          <w:color w:val="000000"/>
          <w:sz w:val="20"/>
        </w:rPr>
        <w:t xml:space="preserve"> of the </w:t>
      </w:r>
      <w:r w:rsidR="00120B81" w:rsidRPr="00B310F4">
        <w:rPr>
          <w:rFonts w:ascii="Arial" w:hAnsi="Arial" w:cs="Arial"/>
          <w:color w:val="000000"/>
          <w:sz w:val="20"/>
          <w:u w:val="single"/>
        </w:rPr>
        <w:t>Personal Safety I</w:t>
      </w:r>
      <w:r w:rsidR="00E22166" w:rsidRPr="00B310F4">
        <w:rPr>
          <w:rFonts w:ascii="Arial" w:hAnsi="Arial" w:cs="Arial"/>
          <w:color w:val="000000"/>
          <w:sz w:val="20"/>
          <w:u w:val="single"/>
        </w:rPr>
        <w:t>ntervention Orders Act 20</w:t>
      </w:r>
      <w:r w:rsidR="00120B81" w:rsidRPr="00B310F4">
        <w:rPr>
          <w:rFonts w:ascii="Arial" w:hAnsi="Arial" w:cs="Arial"/>
          <w:color w:val="000000"/>
          <w:sz w:val="20"/>
          <w:u w:val="single"/>
        </w:rPr>
        <w:t>10</w:t>
      </w:r>
      <w:r w:rsidR="00617055" w:rsidRPr="00B310F4">
        <w:rPr>
          <w:rFonts w:ascii="Arial" w:hAnsi="Arial" w:cs="Arial"/>
          <w:color w:val="000000"/>
          <w:sz w:val="20"/>
          <w:u w:val="single"/>
        </w:rPr>
        <w:t xml:space="preserve"> (Vic)</w:t>
      </w:r>
      <w:r w:rsidR="00617055" w:rsidRPr="00B310F4">
        <w:rPr>
          <w:rFonts w:ascii="Arial" w:hAnsi="Arial" w:cs="Arial"/>
          <w:color w:val="000000"/>
          <w:sz w:val="20"/>
        </w:rPr>
        <w:t xml:space="preserve"> [No.</w:t>
      </w:r>
      <w:r w:rsidR="00120B81" w:rsidRPr="00B310F4">
        <w:rPr>
          <w:rFonts w:ascii="Arial" w:hAnsi="Arial" w:cs="Arial"/>
          <w:color w:val="000000"/>
          <w:sz w:val="20"/>
        </w:rPr>
        <w:t>53</w:t>
      </w:r>
      <w:r w:rsidR="00617055" w:rsidRPr="00B310F4">
        <w:rPr>
          <w:rFonts w:ascii="Arial" w:hAnsi="Arial" w:cs="Arial"/>
          <w:color w:val="000000"/>
          <w:sz w:val="20"/>
        </w:rPr>
        <w:t>/20</w:t>
      </w:r>
      <w:r w:rsidR="00120B81" w:rsidRPr="00B310F4">
        <w:rPr>
          <w:rFonts w:ascii="Arial" w:hAnsi="Arial" w:cs="Arial"/>
          <w:color w:val="000000"/>
          <w:sz w:val="20"/>
        </w:rPr>
        <w:t>10</w:t>
      </w:r>
      <w:r w:rsidR="00617055" w:rsidRPr="00B310F4">
        <w:rPr>
          <w:rFonts w:ascii="Arial" w:hAnsi="Arial" w:cs="Arial"/>
          <w:color w:val="000000"/>
          <w:sz w:val="20"/>
        </w:rPr>
        <w:t>]</w:t>
      </w:r>
      <w:r w:rsidR="00E22166" w:rsidRPr="00B310F4">
        <w:rPr>
          <w:rFonts w:ascii="Arial" w:hAnsi="Arial" w:cs="Arial"/>
          <w:color w:val="000000"/>
          <w:sz w:val="20"/>
        </w:rPr>
        <w:t>.</w:t>
      </w:r>
    </w:p>
    <w:p w14:paraId="20CB8461" w14:textId="77777777" w:rsidR="00693223" w:rsidRDefault="00693223">
      <w:pPr>
        <w:jc w:val="both"/>
        <w:rPr>
          <w:rFonts w:ascii="Arial" w:hAnsi="Arial" w:cs="Arial"/>
          <w:sz w:val="20"/>
        </w:rPr>
      </w:pPr>
    </w:p>
    <w:p w14:paraId="3AA25115" w14:textId="77777777" w:rsidR="001D0D1F" w:rsidRDefault="001D0D1F">
      <w:pPr>
        <w:jc w:val="both"/>
        <w:rPr>
          <w:rFonts w:ascii="Arial" w:hAnsi="Arial" w:cs="Arial"/>
          <w:sz w:val="20"/>
        </w:rPr>
      </w:pPr>
      <w:r>
        <w:rPr>
          <w:rFonts w:ascii="Arial" w:hAnsi="Arial" w:cs="Arial"/>
          <w:sz w:val="20"/>
        </w:rPr>
        <w:t>Section 17 of the CYPA provided that the jurisdiction of the Children's Court in relation to any matter over which it has jurisdiction is exclusive, despite anything to the contrary in any other Act.  There is no equivalent provision in the CYFA.</w:t>
      </w:r>
    </w:p>
    <w:p w14:paraId="000D764A" w14:textId="77777777" w:rsidR="004809F9" w:rsidRDefault="004809F9">
      <w:pPr>
        <w:jc w:val="both"/>
        <w:rPr>
          <w:rFonts w:ascii="Arial" w:hAnsi="Arial" w:cs="Arial"/>
          <w:sz w:val="20"/>
        </w:rPr>
      </w:pPr>
    </w:p>
    <w:p w14:paraId="1F7F9854" w14:textId="77777777" w:rsidR="00693223" w:rsidRDefault="00693223" w:rsidP="009D5447">
      <w:pPr>
        <w:pStyle w:val="Heading3"/>
        <w:keepNext/>
        <w:keepLines/>
        <w:spacing w:line="240" w:lineRule="auto"/>
        <w:rPr>
          <w:rFonts w:ascii="Arial" w:hAnsi="Arial" w:cs="Arial"/>
          <w:b/>
          <w:bCs/>
          <w:sz w:val="20"/>
        </w:rPr>
      </w:pPr>
      <w:bookmarkStart w:id="362" w:name="_4.3.2_Whether_jurisdiction"/>
      <w:bookmarkStart w:id="363" w:name="B432"/>
      <w:bookmarkStart w:id="364" w:name="_Toc60399995"/>
      <w:bookmarkStart w:id="365" w:name="_Toc30607527"/>
      <w:bookmarkStart w:id="366" w:name="_Toc30607656"/>
      <w:bookmarkStart w:id="367" w:name="_Toc30607981"/>
      <w:bookmarkStart w:id="368" w:name="_Toc30608814"/>
      <w:bookmarkStart w:id="369" w:name="_Toc30610028"/>
      <w:bookmarkStart w:id="370" w:name="_Toc30610272"/>
      <w:bookmarkStart w:id="371" w:name="_Toc30638426"/>
      <w:bookmarkEnd w:id="362"/>
      <w:bookmarkEnd w:id="363"/>
      <w:r>
        <w:rPr>
          <w:rFonts w:ascii="Arial" w:hAnsi="Arial" w:cs="Arial"/>
          <w:b/>
          <w:bCs/>
          <w:sz w:val="20"/>
        </w:rPr>
        <w:t>4.</w:t>
      </w:r>
      <w:r w:rsidR="00940D74">
        <w:rPr>
          <w:rFonts w:ascii="Arial" w:hAnsi="Arial" w:cs="Arial"/>
          <w:b/>
          <w:bCs/>
          <w:sz w:val="20"/>
        </w:rPr>
        <w:t>3</w:t>
      </w:r>
      <w:r>
        <w:rPr>
          <w:rFonts w:ascii="Arial" w:hAnsi="Arial" w:cs="Arial"/>
          <w:b/>
          <w:bCs/>
          <w:sz w:val="20"/>
        </w:rPr>
        <w:t>.2</w:t>
      </w:r>
      <w:r>
        <w:rPr>
          <w:rFonts w:ascii="Arial" w:hAnsi="Arial" w:cs="Arial"/>
          <w:b/>
          <w:bCs/>
          <w:sz w:val="20"/>
        </w:rPr>
        <w:tab/>
      </w:r>
      <w:r w:rsidR="008708AB">
        <w:rPr>
          <w:rFonts w:ascii="Arial" w:hAnsi="Arial" w:cs="Arial"/>
          <w:b/>
          <w:bCs/>
          <w:sz w:val="20"/>
        </w:rPr>
        <w:t>J</w:t>
      </w:r>
      <w:r>
        <w:rPr>
          <w:rFonts w:ascii="Arial" w:hAnsi="Arial" w:cs="Arial"/>
          <w:b/>
          <w:bCs/>
          <w:sz w:val="20"/>
        </w:rPr>
        <w:t>urisdiction under the Family Law Act 1975 (</w:t>
      </w:r>
      <w:proofErr w:type="spellStart"/>
      <w:r>
        <w:rPr>
          <w:rFonts w:ascii="Arial" w:hAnsi="Arial" w:cs="Arial"/>
          <w:b/>
          <w:bCs/>
          <w:sz w:val="20"/>
        </w:rPr>
        <w:t>Cth</w:t>
      </w:r>
      <w:proofErr w:type="spellEnd"/>
      <w:r>
        <w:rPr>
          <w:rFonts w:ascii="Arial" w:hAnsi="Arial" w:cs="Arial"/>
          <w:b/>
          <w:bCs/>
          <w:sz w:val="20"/>
        </w:rPr>
        <w:t>) [as amended]</w:t>
      </w:r>
      <w:bookmarkEnd w:id="364"/>
    </w:p>
    <w:p w14:paraId="7D037EC4" w14:textId="77777777" w:rsidR="00693223" w:rsidRPr="00DA4E28" w:rsidRDefault="00693223" w:rsidP="00CF2DFD">
      <w:pPr>
        <w:pStyle w:val="Heading3"/>
        <w:keepNext/>
        <w:keepLines/>
        <w:spacing w:line="240" w:lineRule="auto"/>
        <w:rPr>
          <w:rFonts w:ascii="Arial" w:hAnsi="Arial" w:cs="Arial"/>
          <w:sz w:val="20"/>
        </w:rPr>
      </w:pPr>
    </w:p>
    <w:p w14:paraId="0A233226" w14:textId="77777777" w:rsidR="000B702A" w:rsidRDefault="000B702A">
      <w:pPr>
        <w:jc w:val="both"/>
        <w:rPr>
          <w:rFonts w:ascii="Arial" w:hAnsi="Arial" w:cs="Arial"/>
          <w:color w:val="000000"/>
          <w:sz w:val="20"/>
        </w:rPr>
      </w:pPr>
      <w:r>
        <w:rPr>
          <w:rFonts w:ascii="Arial" w:hAnsi="Arial" w:cs="Arial"/>
          <w:color w:val="000000"/>
          <w:sz w:val="20"/>
        </w:rPr>
        <w:t xml:space="preserve">Part VII </w:t>
      </w:r>
      <w:r>
        <w:rPr>
          <w:rFonts w:ascii="Arial" w:hAnsi="Arial" w:cs="Arial"/>
          <w:sz w:val="20"/>
        </w:rPr>
        <w:t xml:space="preserve">of the </w:t>
      </w:r>
      <w:r>
        <w:rPr>
          <w:rFonts w:ascii="Arial" w:hAnsi="Arial" w:cs="Arial"/>
          <w:sz w:val="20"/>
          <w:u w:val="single"/>
        </w:rPr>
        <w:t>Family Law Act 1975 (</w:t>
      </w:r>
      <w:proofErr w:type="spellStart"/>
      <w:r>
        <w:rPr>
          <w:rFonts w:ascii="Arial" w:hAnsi="Arial" w:cs="Arial"/>
          <w:sz w:val="20"/>
          <w:u w:val="single"/>
        </w:rPr>
        <w:t>Cth</w:t>
      </w:r>
      <w:proofErr w:type="spellEnd"/>
      <w:r>
        <w:rPr>
          <w:rFonts w:ascii="Arial" w:hAnsi="Arial" w:cs="Arial"/>
          <w:sz w:val="20"/>
          <w:u w:val="single"/>
        </w:rPr>
        <w:t>)</w:t>
      </w:r>
      <w:r>
        <w:rPr>
          <w:rFonts w:ascii="Arial" w:hAnsi="Arial" w:cs="Arial"/>
          <w:sz w:val="20"/>
        </w:rPr>
        <w:t xml:space="preserve"> [as amended] ['the FLA'] </w:t>
      </w:r>
      <w:r w:rsidR="00EB2569">
        <w:rPr>
          <w:rFonts w:ascii="Arial" w:hAnsi="Arial" w:cs="Arial"/>
          <w:sz w:val="20"/>
        </w:rPr>
        <w:t xml:space="preserve">– enacted pursuant to the power under s.51(xxii) of the Commonwealth Constitution to make federal laws with respect to “Divorce and matrimonial causes; and in relation thereto, parental rights, and the custody and guardianship of infants” – invests </w:t>
      </w:r>
      <w:r w:rsidR="00B52BB7">
        <w:rPr>
          <w:rFonts w:ascii="Arial" w:hAnsi="Arial" w:cs="Arial"/>
          <w:sz w:val="20"/>
        </w:rPr>
        <w:t xml:space="preserve">certain </w:t>
      </w:r>
      <w:r>
        <w:rPr>
          <w:rFonts w:ascii="Arial" w:hAnsi="Arial" w:cs="Arial"/>
          <w:sz w:val="20"/>
        </w:rPr>
        <w:t xml:space="preserve">federal </w:t>
      </w:r>
      <w:r w:rsidR="009D5447">
        <w:rPr>
          <w:rFonts w:ascii="Arial" w:hAnsi="Arial" w:cs="Arial"/>
          <w:sz w:val="20"/>
        </w:rPr>
        <w:t xml:space="preserve">and state </w:t>
      </w:r>
      <w:r>
        <w:rPr>
          <w:rFonts w:ascii="Arial" w:hAnsi="Arial" w:cs="Arial"/>
          <w:sz w:val="20"/>
        </w:rPr>
        <w:t xml:space="preserve">courts with jurisdiction to hear and determine </w:t>
      </w:r>
      <w:r w:rsidR="00EB2569">
        <w:rPr>
          <w:rFonts w:ascii="Arial" w:hAnsi="Arial" w:cs="Arial"/>
          <w:sz w:val="20"/>
        </w:rPr>
        <w:t>specific</w:t>
      </w:r>
      <w:r w:rsidR="003A4C43">
        <w:rPr>
          <w:rFonts w:ascii="Arial" w:hAnsi="Arial" w:cs="Arial"/>
          <w:sz w:val="20"/>
        </w:rPr>
        <w:t xml:space="preserve"> </w:t>
      </w:r>
      <w:r w:rsidR="00B52BB7">
        <w:rPr>
          <w:rFonts w:ascii="Arial" w:hAnsi="Arial" w:cs="Arial"/>
          <w:sz w:val="20"/>
        </w:rPr>
        <w:t>matters relating to children</w:t>
      </w:r>
      <w:r w:rsidR="00EB2569">
        <w:rPr>
          <w:rFonts w:ascii="Arial" w:hAnsi="Arial" w:cs="Arial"/>
          <w:sz w:val="20"/>
        </w:rPr>
        <w:t>.</w:t>
      </w:r>
    </w:p>
    <w:p w14:paraId="0347828C" w14:textId="77777777" w:rsidR="000B702A" w:rsidRDefault="000B702A">
      <w:pPr>
        <w:jc w:val="both"/>
        <w:rPr>
          <w:rFonts w:ascii="Arial" w:hAnsi="Arial" w:cs="Arial"/>
          <w:color w:val="000000"/>
          <w:sz w:val="20"/>
        </w:rPr>
      </w:pPr>
    </w:p>
    <w:p w14:paraId="6967E4D0" w14:textId="77777777" w:rsidR="00693223" w:rsidRPr="00B310F4" w:rsidRDefault="009D5447" w:rsidP="00FE5007">
      <w:pPr>
        <w:keepNext/>
        <w:keepLines/>
        <w:jc w:val="both"/>
        <w:rPr>
          <w:rFonts w:ascii="Arial" w:hAnsi="Arial" w:cs="Arial"/>
          <w:color w:val="000000"/>
          <w:sz w:val="20"/>
        </w:rPr>
      </w:pPr>
      <w:r>
        <w:rPr>
          <w:rFonts w:ascii="Arial" w:hAnsi="Arial" w:cs="Arial"/>
          <w:color w:val="000000"/>
          <w:sz w:val="20"/>
        </w:rPr>
        <w:lastRenderedPageBreak/>
        <w:t>Until recently i</w:t>
      </w:r>
      <w:r w:rsidR="00693223" w:rsidRPr="00B310F4">
        <w:rPr>
          <w:rFonts w:ascii="Arial" w:hAnsi="Arial" w:cs="Arial"/>
          <w:color w:val="000000"/>
          <w:sz w:val="20"/>
        </w:rPr>
        <w:t xml:space="preserve">t </w:t>
      </w:r>
      <w:r>
        <w:rPr>
          <w:rFonts w:ascii="Arial" w:hAnsi="Arial" w:cs="Arial"/>
          <w:color w:val="000000"/>
          <w:sz w:val="20"/>
        </w:rPr>
        <w:t xml:space="preserve">was </w:t>
      </w:r>
      <w:r w:rsidR="00693223" w:rsidRPr="00B310F4">
        <w:rPr>
          <w:rFonts w:ascii="Arial" w:hAnsi="Arial" w:cs="Arial"/>
          <w:color w:val="000000"/>
          <w:sz w:val="20"/>
        </w:rPr>
        <w:t>accepted in Victoria as a matter of general practice that</w:t>
      </w:r>
      <w:r w:rsidR="00120B81" w:rsidRPr="00B310F4">
        <w:rPr>
          <w:rFonts w:ascii="Arial" w:hAnsi="Arial" w:cs="Arial"/>
          <w:color w:val="000000"/>
          <w:sz w:val="20"/>
        </w:rPr>
        <w:t xml:space="preserve"> paradoxically</w:t>
      </w:r>
      <w:r w:rsidR="00693223" w:rsidRPr="00B310F4">
        <w:rPr>
          <w:rFonts w:ascii="Arial" w:hAnsi="Arial" w:cs="Arial"/>
          <w:color w:val="000000"/>
          <w:sz w:val="20"/>
        </w:rPr>
        <w:t>:</w:t>
      </w:r>
    </w:p>
    <w:p w14:paraId="51C1E2FE" w14:textId="77777777" w:rsidR="00693223" w:rsidRDefault="00693223">
      <w:pPr>
        <w:numPr>
          <w:ilvl w:val="0"/>
          <w:numId w:val="15"/>
        </w:numPr>
        <w:tabs>
          <w:tab w:val="num" w:pos="363"/>
        </w:tabs>
        <w:jc w:val="both"/>
        <w:rPr>
          <w:rFonts w:ascii="Arial" w:hAnsi="Arial" w:cs="Arial"/>
          <w:sz w:val="20"/>
        </w:rPr>
      </w:pPr>
      <w:r>
        <w:rPr>
          <w:rFonts w:ascii="Arial" w:hAnsi="Arial" w:cs="Arial"/>
          <w:sz w:val="20"/>
        </w:rPr>
        <w:t xml:space="preserve">the </w:t>
      </w:r>
      <w:r>
        <w:rPr>
          <w:rFonts w:ascii="Arial" w:hAnsi="Arial" w:cs="Arial"/>
          <w:b/>
          <w:bCs/>
          <w:sz w:val="20"/>
        </w:rPr>
        <w:t>Magistrates' Court of Victoria</w:t>
      </w:r>
      <w:r>
        <w:rPr>
          <w:rFonts w:ascii="Arial" w:hAnsi="Arial" w:cs="Arial"/>
          <w:sz w:val="20"/>
        </w:rPr>
        <w:t xml:space="preserve"> </w:t>
      </w:r>
      <w:r w:rsidR="00A57E37">
        <w:rPr>
          <w:rFonts w:ascii="Arial" w:hAnsi="Arial" w:cs="Arial"/>
          <w:sz w:val="20"/>
        </w:rPr>
        <w:t xml:space="preserve">[‘the MCV’] </w:t>
      </w:r>
      <w:r>
        <w:rPr>
          <w:rFonts w:ascii="Arial" w:hAnsi="Arial" w:cs="Arial"/>
          <w:sz w:val="20"/>
        </w:rPr>
        <w:t xml:space="preserve">has jurisdiction to hear and determine </w:t>
      </w:r>
      <w:r w:rsidR="00EB2569">
        <w:rPr>
          <w:rFonts w:ascii="Arial" w:hAnsi="Arial" w:cs="Arial"/>
          <w:sz w:val="20"/>
        </w:rPr>
        <w:t xml:space="preserve">a number of </w:t>
      </w:r>
      <w:r>
        <w:rPr>
          <w:rFonts w:ascii="Arial" w:hAnsi="Arial" w:cs="Arial"/>
          <w:sz w:val="20"/>
        </w:rPr>
        <w:t xml:space="preserve">matters relating to children pursuant to Part VII, including applications for </w:t>
      </w:r>
      <w:r w:rsidR="000B702A">
        <w:rPr>
          <w:rFonts w:ascii="Arial" w:hAnsi="Arial" w:cs="Arial"/>
          <w:sz w:val="20"/>
        </w:rPr>
        <w:t xml:space="preserve">consent </w:t>
      </w:r>
      <w:r>
        <w:rPr>
          <w:rFonts w:ascii="Arial" w:hAnsi="Arial" w:cs="Arial"/>
          <w:sz w:val="20"/>
        </w:rPr>
        <w:t>parenting orders in certain circumstances; but</w:t>
      </w:r>
    </w:p>
    <w:p w14:paraId="162E1C8B" w14:textId="5EC6300C" w:rsidR="00693223" w:rsidRDefault="00693223">
      <w:pPr>
        <w:numPr>
          <w:ilvl w:val="0"/>
          <w:numId w:val="15"/>
        </w:numPr>
        <w:tabs>
          <w:tab w:val="num" w:pos="363"/>
        </w:tabs>
        <w:jc w:val="both"/>
        <w:rPr>
          <w:rFonts w:ascii="Arial" w:hAnsi="Arial" w:cs="Arial"/>
          <w:sz w:val="20"/>
        </w:rPr>
      </w:pPr>
      <w:r>
        <w:rPr>
          <w:rFonts w:ascii="Arial" w:hAnsi="Arial" w:cs="Arial"/>
          <w:sz w:val="20"/>
        </w:rPr>
        <w:t xml:space="preserve">the </w:t>
      </w:r>
      <w:r>
        <w:rPr>
          <w:rFonts w:ascii="Arial" w:hAnsi="Arial" w:cs="Arial"/>
          <w:b/>
          <w:bCs/>
          <w:sz w:val="20"/>
        </w:rPr>
        <w:t>Children's Court of Victoria</w:t>
      </w:r>
      <w:r>
        <w:rPr>
          <w:rFonts w:ascii="Arial" w:hAnsi="Arial" w:cs="Arial"/>
          <w:sz w:val="20"/>
        </w:rPr>
        <w:t xml:space="preserve"> </w:t>
      </w:r>
      <w:r w:rsidR="00A57E37">
        <w:rPr>
          <w:rFonts w:ascii="Arial" w:hAnsi="Arial" w:cs="Arial"/>
          <w:sz w:val="20"/>
        </w:rPr>
        <w:t>[‘the C</w:t>
      </w:r>
      <w:r w:rsidR="001202C2">
        <w:rPr>
          <w:rFonts w:ascii="Arial" w:hAnsi="Arial" w:cs="Arial"/>
          <w:sz w:val="20"/>
        </w:rPr>
        <w:t>h</w:t>
      </w:r>
      <w:r w:rsidR="00A57E37">
        <w:rPr>
          <w:rFonts w:ascii="Arial" w:hAnsi="Arial" w:cs="Arial"/>
          <w:sz w:val="20"/>
        </w:rPr>
        <w:t xml:space="preserve">CV’] </w:t>
      </w:r>
      <w:r>
        <w:rPr>
          <w:rFonts w:ascii="Arial" w:hAnsi="Arial" w:cs="Arial"/>
          <w:sz w:val="20"/>
        </w:rPr>
        <w:t>does not have jurisdiction under the FLA.</w:t>
      </w:r>
    </w:p>
    <w:p w14:paraId="0209B40D" w14:textId="77777777" w:rsidR="00693223" w:rsidRDefault="00693223">
      <w:pPr>
        <w:jc w:val="both"/>
        <w:rPr>
          <w:rFonts w:ascii="Arial" w:hAnsi="Arial" w:cs="Arial"/>
          <w:sz w:val="20"/>
        </w:rPr>
      </w:pPr>
    </w:p>
    <w:p w14:paraId="494D0900" w14:textId="77777777" w:rsidR="00693223" w:rsidRDefault="00693223">
      <w:pPr>
        <w:tabs>
          <w:tab w:val="num" w:pos="720"/>
        </w:tabs>
        <w:jc w:val="both"/>
        <w:rPr>
          <w:rFonts w:ascii="Arial" w:hAnsi="Arial" w:cs="Arial"/>
          <w:sz w:val="20"/>
        </w:rPr>
      </w:pPr>
      <w:r>
        <w:rPr>
          <w:rFonts w:ascii="Arial" w:hAnsi="Arial" w:cs="Arial"/>
          <w:sz w:val="20"/>
        </w:rPr>
        <w:t>The Family Law Council agree</w:t>
      </w:r>
      <w:r w:rsidR="001F173D">
        <w:rPr>
          <w:rFonts w:ascii="Arial" w:hAnsi="Arial" w:cs="Arial"/>
          <w:sz w:val="20"/>
        </w:rPr>
        <w:t>d</w:t>
      </w:r>
      <w:r>
        <w:rPr>
          <w:rFonts w:ascii="Arial" w:hAnsi="Arial" w:cs="Arial"/>
          <w:sz w:val="20"/>
        </w:rPr>
        <w:t>, stating baldly in its Final Report on Family Law and Child Protection (September 2002) at p.82:</w:t>
      </w:r>
    </w:p>
    <w:p w14:paraId="2B5F1A46" w14:textId="77777777" w:rsidR="00693223" w:rsidRDefault="00693223">
      <w:pPr>
        <w:ind w:left="454" w:right="454"/>
        <w:jc w:val="both"/>
        <w:rPr>
          <w:rFonts w:ascii="Arial" w:hAnsi="Arial" w:cs="Arial"/>
          <w:sz w:val="20"/>
        </w:rPr>
      </w:pPr>
      <w:r>
        <w:rPr>
          <w:rFonts w:ascii="Arial" w:hAnsi="Arial" w:cs="Arial"/>
          <w:sz w:val="20"/>
        </w:rPr>
        <w:t>"At present, Children's Courts and Youth Courts, which have an independent statutory existence from the State or Territory Magistrates' Courts, do not have jurisdiction which Magistrates' Courts have to make consent orders under the FLA."</w:t>
      </w:r>
    </w:p>
    <w:p w14:paraId="7A7FAEAA" w14:textId="77777777" w:rsidR="00693223" w:rsidRDefault="00693223">
      <w:pPr>
        <w:tabs>
          <w:tab w:val="num" w:pos="720"/>
        </w:tabs>
        <w:jc w:val="both"/>
        <w:rPr>
          <w:rFonts w:ascii="Arial" w:hAnsi="Arial" w:cs="Arial"/>
          <w:sz w:val="20"/>
        </w:rPr>
      </w:pPr>
    </w:p>
    <w:p w14:paraId="0F5CBBA7" w14:textId="77777777" w:rsidR="001400C9" w:rsidRDefault="001400C9">
      <w:pPr>
        <w:tabs>
          <w:tab w:val="num" w:pos="720"/>
        </w:tabs>
        <w:jc w:val="both"/>
        <w:rPr>
          <w:rFonts w:ascii="Arial" w:hAnsi="Arial" w:cs="Arial"/>
          <w:sz w:val="20"/>
        </w:rPr>
      </w:pPr>
      <w:r>
        <w:rPr>
          <w:rFonts w:ascii="Arial" w:hAnsi="Arial" w:cs="Arial"/>
          <w:sz w:val="20"/>
        </w:rPr>
        <w:t xml:space="preserve">In mid-2006 eminent senior and junior counsel were </w:t>
      </w:r>
      <w:r w:rsidR="00380FA8">
        <w:rPr>
          <w:rFonts w:ascii="Arial" w:hAnsi="Arial" w:cs="Arial"/>
          <w:sz w:val="20"/>
        </w:rPr>
        <w:t>briefed</w:t>
      </w:r>
      <w:r>
        <w:rPr>
          <w:rFonts w:ascii="Arial" w:hAnsi="Arial" w:cs="Arial"/>
          <w:sz w:val="20"/>
        </w:rPr>
        <w:t xml:space="preserve"> </w:t>
      </w:r>
      <w:r w:rsidR="00E92C45">
        <w:rPr>
          <w:rFonts w:ascii="Arial" w:hAnsi="Arial" w:cs="Arial"/>
          <w:sz w:val="20"/>
        </w:rPr>
        <w:t xml:space="preserve">by the </w:t>
      </w:r>
      <w:r w:rsidR="00EB2569">
        <w:rPr>
          <w:rFonts w:ascii="Arial" w:hAnsi="Arial" w:cs="Arial"/>
          <w:sz w:val="20"/>
        </w:rPr>
        <w:t xml:space="preserve">Victorian </w:t>
      </w:r>
      <w:r w:rsidR="00E92C45">
        <w:rPr>
          <w:rFonts w:ascii="Arial" w:hAnsi="Arial" w:cs="Arial"/>
          <w:sz w:val="20"/>
        </w:rPr>
        <w:t xml:space="preserve">Department of Justice </w:t>
      </w:r>
      <w:r>
        <w:rPr>
          <w:rFonts w:ascii="Arial" w:hAnsi="Arial" w:cs="Arial"/>
          <w:sz w:val="20"/>
        </w:rPr>
        <w:t>for advice on a related question: “</w:t>
      </w:r>
      <w:r w:rsidR="00E92C45">
        <w:rPr>
          <w:rFonts w:ascii="Arial" w:hAnsi="Arial" w:cs="Arial"/>
          <w:sz w:val="20"/>
        </w:rPr>
        <w:t xml:space="preserve">Does the Children’s Court have jurisdiction to vary Family Court orders that conflict with intervention orders made under the </w:t>
      </w:r>
      <w:r w:rsidR="00E92C45" w:rsidRPr="00617055">
        <w:rPr>
          <w:rFonts w:ascii="Arial" w:hAnsi="Arial" w:cs="Arial"/>
          <w:sz w:val="20"/>
          <w:u w:val="single"/>
        </w:rPr>
        <w:t>Crimes (Family Violence) Act 1987 (Vic)</w:t>
      </w:r>
      <w:r w:rsidR="00E92C45">
        <w:rPr>
          <w:rFonts w:ascii="Arial" w:hAnsi="Arial" w:cs="Arial"/>
          <w:sz w:val="20"/>
        </w:rPr>
        <w:t xml:space="preserve"> </w:t>
      </w:r>
      <w:r w:rsidR="00026E60">
        <w:rPr>
          <w:rFonts w:ascii="Arial" w:hAnsi="Arial" w:cs="Arial"/>
          <w:sz w:val="20"/>
        </w:rPr>
        <w:t>[</w:t>
      </w:r>
      <w:r w:rsidR="00E92C45">
        <w:rPr>
          <w:rFonts w:ascii="Arial" w:hAnsi="Arial" w:cs="Arial"/>
          <w:sz w:val="20"/>
        </w:rPr>
        <w:t>‘the CFVA’</w:t>
      </w:r>
      <w:r w:rsidR="00026E60">
        <w:rPr>
          <w:rFonts w:ascii="Arial" w:hAnsi="Arial" w:cs="Arial"/>
          <w:sz w:val="20"/>
        </w:rPr>
        <w:t>]</w:t>
      </w:r>
      <w:r w:rsidR="00E92C45">
        <w:rPr>
          <w:rFonts w:ascii="Arial" w:hAnsi="Arial" w:cs="Arial"/>
          <w:sz w:val="20"/>
        </w:rPr>
        <w:t>?” [The same question is relevant to the FVPA which replaced the CFVA on 08/12/2008.]  In</w:t>
      </w:r>
      <w:r w:rsidR="00380FA8">
        <w:rPr>
          <w:rFonts w:ascii="Arial" w:hAnsi="Arial" w:cs="Arial"/>
          <w:sz w:val="20"/>
        </w:rPr>
        <w:t xml:space="preserve"> </w:t>
      </w:r>
      <w:r w:rsidR="00E92C45">
        <w:rPr>
          <w:rFonts w:ascii="Arial" w:hAnsi="Arial" w:cs="Arial"/>
          <w:sz w:val="20"/>
        </w:rPr>
        <w:t xml:space="preserve">their detailed </w:t>
      </w:r>
      <w:r>
        <w:rPr>
          <w:rFonts w:ascii="Arial" w:hAnsi="Arial" w:cs="Arial"/>
          <w:sz w:val="20"/>
        </w:rPr>
        <w:t xml:space="preserve">Memorandum of Advice dated 03/07/2006 </w:t>
      </w:r>
      <w:r w:rsidR="00E92C45">
        <w:rPr>
          <w:rFonts w:ascii="Arial" w:hAnsi="Arial" w:cs="Arial"/>
          <w:sz w:val="20"/>
        </w:rPr>
        <w:t>counsel’s conclusion was: “The Children’s Court does have jurisdiction to vary Family Court orders that conflict with intervention orders made under the CFVA, provided that the jurisdiction is exercised by a magistrate rather than by the President of the Court.”</w:t>
      </w:r>
    </w:p>
    <w:p w14:paraId="7397ADF0" w14:textId="77777777" w:rsidR="001400C9" w:rsidRDefault="001400C9">
      <w:pPr>
        <w:tabs>
          <w:tab w:val="num" w:pos="720"/>
        </w:tabs>
        <w:jc w:val="both"/>
        <w:rPr>
          <w:rFonts w:ascii="Arial" w:hAnsi="Arial" w:cs="Arial"/>
          <w:sz w:val="20"/>
        </w:rPr>
      </w:pPr>
    </w:p>
    <w:p w14:paraId="1CF8B9D7" w14:textId="742E35D1" w:rsidR="00380FA8" w:rsidRDefault="00380FA8" w:rsidP="00380FA8">
      <w:pPr>
        <w:tabs>
          <w:tab w:val="num" w:pos="720"/>
        </w:tabs>
        <w:jc w:val="both"/>
        <w:rPr>
          <w:rFonts w:ascii="Arial" w:hAnsi="Arial" w:cs="Arial"/>
          <w:sz w:val="20"/>
        </w:rPr>
      </w:pPr>
      <w:r>
        <w:rPr>
          <w:rFonts w:ascii="Arial" w:hAnsi="Arial" w:cs="Arial"/>
          <w:sz w:val="20"/>
        </w:rPr>
        <w:t xml:space="preserve">In an earlier version of </w:t>
      </w:r>
      <w:r w:rsidRPr="003B600E">
        <w:rPr>
          <w:rFonts w:ascii="Arial" w:hAnsi="Arial" w:cs="Arial"/>
          <w:b/>
          <w:bCs/>
          <w:sz w:val="20"/>
          <w:shd w:val="clear" w:color="auto" w:fill="C5E0B3"/>
        </w:rPr>
        <w:t>section 4.3.2</w:t>
      </w:r>
      <w:r>
        <w:rPr>
          <w:rFonts w:ascii="Arial" w:hAnsi="Arial" w:cs="Arial"/>
          <w:sz w:val="20"/>
        </w:rPr>
        <w:t xml:space="preserve"> the writer had summarised counsel’s </w:t>
      </w:r>
      <w:r w:rsidR="001F173D">
        <w:rPr>
          <w:rFonts w:ascii="Arial" w:hAnsi="Arial" w:cs="Arial"/>
          <w:sz w:val="20"/>
        </w:rPr>
        <w:t>detailed</w:t>
      </w:r>
      <w:r>
        <w:rPr>
          <w:rFonts w:ascii="Arial" w:hAnsi="Arial" w:cs="Arial"/>
          <w:sz w:val="20"/>
        </w:rPr>
        <w:t xml:space="preserve"> </w:t>
      </w:r>
      <w:r w:rsidR="00642457">
        <w:rPr>
          <w:rFonts w:ascii="Arial" w:hAnsi="Arial" w:cs="Arial"/>
          <w:sz w:val="20"/>
        </w:rPr>
        <w:t>reasoning</w:t>
      </w:r>
      <w:r>
        <w:rPr>
          <w:rFonts w:ascii="Arial" w:hAnsi="Arial" w:cs="Arial"/>
          <w:sz w:val="20"/>
        </w:rPr>
        <w:t xml:space="preserve">, noting that, if correct, it leads to highly unattractive consequences for the operation of the Children’s Court.  It is an intolerable position that the judicial head of a court should have less power than the puisne judicial members of the court.  Section 508(8) of the CYFA [previously s.12(8) of the CYPA] provides that the President may exercise any power conferred on a magistrate by or under this or any other Act.  But this provision of State legislation cannot by itself vest federal judicial power on the President.  The writer had concluded that “legislative amendment is necessary to invest </w:t>
      </w:r>
      <w:r w:rsidRPr="00022424">
        <w:rPr>
          <w:rFonts w:ascii="Arial" w:hAnsi="Arial" w:cs="Arial"/>
          <w:sz w:val="20"/>
          <w:u w:val="single"/>
        </w:rPr>
        <w:t>all</w:t>
      </w:r>
      <w:r>
        <w:rPr>
          <w:rFonts w:ascii="Arial" w:hAnsi="Arial" w:cs="Arial"/>
          <w:sz w:val="20"/>
        </w:rPr>
        <w:t xml:space="preserve"> judicial members of the Children’s Court of Victoria </w:t>
      </w:r>
      <w:r w:rsidRPr="00022424">
        <w:rPr>
          <w:rFonts w:ascii="Arial" w:hAnsi="Arial" w:cs="Arial"/>
          <w:sz w:val="20"/>
          <w:u w:val="single"/>
        </w:rPr>
        <w:t>unambiguously</w:t>
      </w:r>
      <w:r w:rsidRPr="00241AE0">
        <w:rPr>
          <w:rFonts w:ascii="Arial" w:hAnsi="Arial" w:cs="Arial"/>
          <w:sz w:val="20"/>
        </w:rPr>
        <w:t xml:space="preserve"> </w:t>
      </w:r>
      <w:r>
        <w:rPr>
          <w:rFonts w:ascii="Arial" w:hAnsi="Arial" w:cs="Arial"/>
          <w:sz w:val="20"/>
        </w:rPr>
        <w:t xml:space="preserve">with federal jurisdiction in relation to matters under Part VII of the FLA as is currently invested in the </w:t>
      </w:r>
      <w:r w:rsidR="00A57E37">
        <w:rPr>
          <w:rFonts w:ascii="Arial" w:hAnsi="Arial" w:cs="Arial"/>
          <w:sz w:val="20"/>
        </w:rPr>
        <w:t>MCV</w:t>
      </w:r>
      <w:r>
        <w:rPr>
          <w:rFonts w:ascii="Arial" w:hAnsi="Arial" w:cs="Arial"/>
          <w:sz w:val="20"/>
        </w:rPr>
        <w:t xml:space="preserve">.  After all, the </w:t>
      </w:r>
      <w:r w:rsidR="00A57E37">
        <w:rPr>
          <w:rFonts w:ascii="Arial" w:hAnsi="Arial" w:cs="Arial"/>
          <w:sz w:val="20"/>
        </w:rPr>
        <w:t>C</w:t>
      </w:r>
      <w:r w:rsidR="001202C2">
        <w:rPr>
          <w:rFonts w:ascii="Arial" w:hAnsi="Arial" w:cs="Arial"/>
          <w:sz w:val="20"/>
        </w:rPr>
        <w:t>h</w:t>
      </w:r>
      <w:r w:rsidR="00A57E37">
        <w:rPr>
          <w:rFonts w:ascii="Arial" w:hAnsi="Arial" w:cs="Arial"/>
          <w:sz w:val="20"/>
        </w:rPr>
        <w:t>CV</w:t>
      </w:r>
      <w:r>
        <w:rPr>
          <w:rFonts w:ascii="Arial" w:hAnsi="Arial" w:cs="Arial"/>
          <w:sz w:val="20"/>
        </w:rPr>
        <w:t xml:space="preserve"> has been described by State parliament in s.1(d) of the CYFA as ‘a specialist court dealing with matters relating to children’.”</w:t>
      </w:r>
    </w:p>
    <w:p w14:paraId="0CFE2515" w14:textId="77777777" w:rsidR="00380FA8" w:rsidRDefault="00380FA8">
      <w:pPr>
        <w:tabs>
          <w:tab w:val="num" w:pos="720"/>
        </w:tabs>
        <w:jc w:val="both"/>
        <w:rPr>
          <w:rFonts w:ascii="Arial" w:hAnsi="Arial" w:cs="Arial"/>
          <w:sz w:val="20"/>
        </w:rPr>
      </w:pPr>
    </w:p>
    <w:p w14:paraId="0CE13E0B" w14:textId="2BD37DA0" w:rsidR="00BC3BD1" w:rsidRDefault="005B71BA" w:rsidP="001A70CF">
      <w:pPr>
        <w:tabs>
          <w:tab w:val="num" w:pos="720"/>
        </w:tabs>
        <w:jc w:val="both"/>
        <w:rPr>
          <w:rFonts w:ascii="Arial" w:hAnsi="Arial" w:cs="Arial"/>
          <w:sz w:val="20"/>
        </w:rPr>
      </w:pPr>
      <w:r>
        <w:rPr>
          <w:rFonts w:ascii="Arial" w:hAnsi="Arial" w:cs="Arial"/>
          <w:sz w:val="20"/>
        </w:rPr>
        <w:t>O</w:t>
      </w:r>
      <w:r w:rsidR="00026E60">
        <w:rPr>
          <w:rFonts w:ascii="Arial" w:hAnsi="Arial" w:cs="Arial"/>
          <w:sz w:val="20"/>
        </w:rPr>
        <w:t>ver the years numerous bodies, including the Family Law Council and the Victorian Royal Commission into Family Violence [‘VRCFV’]</w:t>
      </w:r>
      <w:r w:rsidR="00211E08">
        <w:rPr>
          <w:rFonts w:ascii="Arial" w:hAnsi="Arial" w:cs="Arial"/>
          <w:sz w:val="20"/>
        </w:rPr>
        <w:t>,</w:t>
      </w:r>
      <w:r w:rsidR="00026E60">
        <w:rPr>
          <w:rFonts w:ascii="Arial" w:hAnsi="Arial" w:cs="Arial"/>
          <w:sz w:val="20"/>
        </w:rPr>
        <w:t xml:space="preserve"> </w:t>
      </w:r>
      <w:r w:rsidR="006A1884">
        <w:rPr>
          <w:rFonts w:ascii="Arial" w:hAnsi="Arial" w:cs="Arial"/>
          <w:sz w:val="20"/>
        </w:rPr>
        <w:t xml:space="preserve">had </w:t>
      </w:r>
      <w:r w:rsidR="00E61125">
        <w:rPr>
          <w:rFonts w:ascii="Arial" w:hAnsi="Arial" w:cs="Arial"/>
          <w:sz w:val="20"/>
        </w:rPr>
        <w:t xml:space="preserve">also </w:t>
      </w:r>
      <w:r w:rsidR="00026E60">
        <w:rPr>
          <w:rFonts w:ascii="Arial" w:hAnsi="Arial" w:cs="Arial"/>
          <w:sz w:val="20"/>
        </w:rPr>
        <w:t xml:space="preserve">recommended </w:t>
      </w:r>
      <w:r w:rsidR="006A1884">
        <w:rPr>
          <w:rFonts w:ascii="Arial" w:hAnsi="Arial" w:cs="Arial"/>
          <w:sz w:val="20"/>
        </w:rPr>
        <w:t xml:space="preserve">legislative clarification of </w:t>
      </w:r>
      <w:r w:rsidR="00026E60">
        <w:rPr>
          <w:rFonts w:ascii="Arial" w:hAnsi="Arial" w:cs="Arial"/>
          <w:sz w:val="20"/>
        </w:rPr>
        <w:t>the historical uncertainty as to whether the C</w:t>
      </w:r>
      <w:r w:rsidR="001202C2">
        <w:rPr>
          <w:rFonts w:ascii="Arial" w:hAnsi="Arial" w:cs="Arial"/>
          <w:sz w:val="20"/>
        </w:rPr>
        <w:t>h</w:t>
      </w:r>
      <w:r w:rsidR="00026E60">
        <w:rPr>
          <w:rFonts w:ascii="Arial" w:hAnsi="Arial" w:cs="Arial"/>
          <w:sz w:val="20"/>
        </w:rPr>
        <w:t xml:space="preserve">CV </w:t>
      </w:r>
      <w:r w:rsidR="00CA797A">
        <w:rPr>
          <w:rFonts w:ascii="Arial" w:hAnsi="Arial" w:cs="Arial"/>
          <w:sz w:val="20"/>
        </w:rPr>
        <w:t xml:space="preserve">has jurisdiction </w:t>
      </w:r>
      <w:r w:rsidR="009D5447">
        <w:rPr>
          <w:rFonts w:ascii="Arial" w:hAnsi="Arial" w:cs="Arial"/>
          <w:sz w:val="20"/>
        </w:rPr>
        <w:t>pursuant to</w:t>
      </w:r>
      <w:r w:rsidR="00026E60">
        <w:rPr>
          <w:rFonts w:ascii="Arial" w:hAnsi="Arial" w:cs="Arial"/>
          <w:sz w:val="20"/>
        </w:rPr>
        <w:t xml:space="preserve"> Part VII of</w:t>
      </w:r>
      <w:r w:rsidR="006A1884">
        <w:rPr>
          <w:rFonts w:ascii="Arial" w:hAnsi="Arial" w:cs="Arial"/>
          <w:sz w:val="20"/>
        </w:rPr>
        <w:t xml:space="preserve"> </w:t>
      </w:r>
      <w:r w:rsidR="00026E60">
        <w:rPr>
          <w:rFonts w:ascii="Arial" w:hAnsi="Arial" w:cs="Arial"/>
          <w:sz w:val="20"/>
        </w:rPr>
        <w:t>the FLA</w:t>
      </w:r>
      <w:r w:rsidR="006A1884">
        <w:rPr>
          <w:rFonts w:ascii="Arial" w:hAnsi="Arial" w:cs="Arial"/>
          <w:sz w:val="20"/>
        </w:rPr>
        <w:t>.  Two relevant recommendations of the VRCFV are:</w:t>
      </w:r>
    </w:p>
    <w:p w14:paraId="3815F44D" w14:textId="6B872FC6" w:rsidR="00A57E37" w:rsidRDefault="00A57E37" w:rsidP="00B601FA">
      <w:pPr>
        <w:spacing w:before="80"/>
        <w:ind w:left="454" w:right="454"/>
        <w:jc w:val="both"/>
        <w:rPr>
          <w:rFonts w:ascii="Arial" w:hAnsi="Arial" w:cs="Arial"/>
          <w:sz w:val="20"/>
        </w:rPr>
      </w:pPr>
      <w:r>
        <w:rPr>
          <w:rFonts w:ascii="Arial" w:hAnsi="Arial" w:cs="Arial"/>
          <w:sz w:val="20"/>
        </w:rPr>
        <w:t>“[131] The Victorian Government, through the Council of Australian Governments Law, Crime and Community Safety Council, pursue amendments to the FLA to…make it clear that the C</w:t>
      </w:r>
      <w:r w:rsidR="001202C2">
        <w:rPr>
          <w:rFonts w:ascii="Arial" w:hAnsi="Arial" w:cs="Arial"/>
          <w:sz w:val="20"/>
        </w:rPr>
        <w:t>h</w:t>
      </w:r>
      <w:r>
        <w:rPr>
          <w:rFonts w:ascii="Arial" w:hAnsi="Arial" w:cs="Arial"/>
          <w:sz w:val="20"/>
        </w:rPr>
        <w:t xml:space="preserve">CV can make orders under Part VII of the FLA in the same circumstances as the </w:t>
      </w:r>
      <w:r w:rsidR="00DD7D4F">
        <w:rPr>
          <w:rFonts w:ascii="Arial" w:hAnsi="Arial" w:cs="Arial"/>
          <w:sz w:val="20"/>
        </w:rPr>
        <w:t>MCV (sections 69J and 69N).”</w:t>
      </w:r>
    </w:p>
    <w:p w14:paraId="3D4A12AD" w14:textId="3C40B82A" w:rsidR="00DD7D4F" w:rsidRDefault="00DD7D4F" w:rsidP="00B601FA">
      <w:pPr>
        <w:spacing w:before="80"/>
        <w:ind w:left="454" w:right="454"/>
        <w:jc w:val="both"/>
        <w:rPr>
          <w:rFonts w:ascii="Arial" w:hAnsi="Arial" w:cs="Arial"/>
          <w:sz w:val="20"/>
        </w:rPr>
      </w:pPr>
      <w:r>
        <w:rPr>
          <w:rFonts w:ascii="Arial" w:hAnsi="Arial" w:cs="Arial"/>
          <w:sz w:val="20"/>
        </w:rPr>
        <w:t>“[133] The Victorian Government amend the CYFA to clarify that the C</w:t>
      </w:r>
      <w:r w:rsidR="001202C2">
        <w:rPr>
          <w:rFonts w:ascii="Arial" w:hAnsi="Arial" w:cs="Arial"/>
          <w:sz w:val="20"/>
        </w:rPr>
        <w:t>h</w:t>
      </w:r>
      <w:r>
        <w:rPr>
          <w:rFonts w:ascii="Arial" w:hAnsi="Arial" w:cs="Arial"/>
          <w:sz w:val="20"/>
        </w:rPr>
        <w:t>CV has the same jurisdiction to make FLA parenting orders as the MCV.”</w:t>
      </w:r>
    </w:p>
    <w:p w14:paraId="5DBB557B" w14:textId="77777777" w:rsidR="006A1884" w:rsidRDefault="006A1884" w:rsidP="001A70CF">
      <w:pPr>
        <w:tabs>
          <w:tab w:val="num" w:pos="720"/>
        </w:tabs>
        <w:jc w:val="both"/>
        <w:rPr>
          <w:rFonts w:ascii="Arial" w:hAnsi="Arial" w:cs="Arial"/>
          <w:sz w:val="20"/>
        </w:rPr>
      </w:pPr>
    </w:p>
    <w:p w14:paraId="76CB3954" w14:textId="77777777" w:rsidR="006A1884" w:rsidRDefault="0054646E" w:rsidP="001A70CF">
      <w:pPr>
        <w:tabs>
          <w:tab w:val="num" w:pos="720"/>
        </w:tabs>
        <w:jc w:val="both"/>
        <w:rPr>
          <w:rFonts w:ascii="Arial" w:hAnsi="Arial" w:cs="Arial"/>
          <w:sz w:val="20"/>
        </w:rPr>
      </w:pPr>
      <w:r>
        <w:rPr>
          <w:rFonts w:ascii="Arial" w:hAnsi="Arial" w:cs="Arial"/>
          <w:sz w:val="20"/>
          <w:szCs w:val="20"/>
        </w:rPr>
        <w:t>In order to set the ground for legislative clarification</w:t>
      </w:r>
      <w:r w:rsidR="00A8236A">
        <w:rPr>
          <w:rFonts w:ascii="Arial" w:hAnsi="Arial" w:cs="Arial"/>
          <w:sz w:val="20"/>
          <w:szCs w:val="20"/>
        </w:rPr>
        <w:t xml:space="preserve"> of this complex issue</w:t>
      </w:r>
      <w:r>
        <w:rPr>
          <w:rFonts w:ascii="Arial" w:hAnsi="Arial" w:cs="Arial"/>
          <w:sz w:val="20"/>
          <w:szCs w:val="20"/>
        </w:rPr>
        <w:t xml:space="preserve">, </w:t>
      </w:r>
      <w:r w:rsidR="00B601FA">
        <w:rPr>
          <w:rFonts w:ascii="Arial" w:hAnsi="Arial" w:cs="Arial"/>
          <w:sz w:val="20"/>
        </w:rPr>
        <w:t xml:space="preserve">the </w:t>
      </w:r>
      <w:r w:rsidR="00B601FA" w:rsidRPr="00B601FA">
        <w:rPr>
          <w:rFonts w:ascii="Arial" w:hAnsi="Arial" w:cs="Arial"/>
          <w:sz w:val="20"/>
          <w:u w:val="single"/>
        </w:rPr>
        <w:t>Family Law Amendment (Family Violence and Other Measures) Act 2018 (</w:t>
      </w:r>
      <w:proofErr w:type="spellStart"/>
      <w:r w:rsidR="00B601FA" w:rsidRPr="00B601FA">
        <w:rPr>
          <w:rFonts w:ascii="Arial" w:hAnsi="Arial" w:cs="Arial"/>
          <w:sz w:val="20"/>
          <w:u w:val="single"/>
        </w:rPr>
        <w:t>Cth</w:t>
      </w:r>
      <w:proofErr w:type="spellEnd"/>
      <w:r w:rsidR="00B601FA" w:rsidRPr="00B601FA">
        <w:rPr>
          <w:rFonts w:ascii="Arial" w:hAnsi="Arial" w:cs="Arial"/>
          <w:sz w:val="20"/>
          <w:u w:val="single"/>
        </w:rPr>
        <w:t>)</w:t>
      </w:r>
      <w:r w:rsidR="00B601FA">
        <w:rPr>
          <w:rFonts w:ascii="Arial" w:hAnsi="Arial" w:cs="Arial"/>
          <w:sz w:val="20"/>
        </w:rPr>
        <w:t xml:space="preserve"> – implementing a Family Law Council recommendation and partially implementing recommendation 131 of the VRCFV –</w:t>
      </w:r>
      <w:r w:rsidR="00E54052">
        <w:rPr>
          <w:rFonts w:ascii="Arial" w:hAnsi="Arial" w:cs="Arial"/>
          <w:sz w:val="20"/>
        </w:rPr>
        <w:t xml:space="preserve"> </w:t>
      </w:r>
      <w:r w:rsidR="00B601FA">
        <w:rPr>
          <w:rFonts w:ascii="Arial" w:hAnsi="Arial" w:cs="Arial"/>
          <w:sz w:val="20"/>
        </w:rPr>
        <w:t>amend</w:t>
      </w:r>
      <w:r w:rsidR="00A90242">
        <w:rPr>
          <w:rFonts w:ascii="Arial" w:hAnsi="Arial" w:cs="Arial"/>
          <w:sz w:val="20"/>
        </w:rPr>
        <w:t>ed</w:t>
      </w:r>
      <w:r w:rsidR="00B601FA">
        <w:rPr>
          <w:rFonts w:ascii="Arial" w:hAnsi="Arial" w:cs="Arial"/>
          <w:sz w:val="20"/>
        </w:rPr>
        <w:t xml:space="preserve"> ss.69J &amp; 69N</w:t>
      </w:r>
      <w:r w:rsidR="00E54052">
        <w:rPr>
          <w:rFonts w:ascii="Arial" w:hAnsi="Arial" w:cs="Arial"/>
          <w:sz w:val="20"/>
        </w:rPr>
        <w:t xml:space="preserve"> of the FLA and inserted s.69GA</w:t>
      </w:r>
      <w:r w:rsidR="00A90242">
        <w:rPr>
          <w:rFonts w:ascii="Arial" w:hAnsi="Arial" w:cs="Arial"/>
          <w:sz w:val="20"/>
        </w:rPr>
        <w:t xml:space="preserve"> as and from 01/09/2018</w:t>
      </w:r>
      <w:r w:rsidR="00E54052">
        <w:rPr>
          <w:rFonts w:ascii="Arial" w:hAnsi="Arial" w:cs="Arial"/>
          <w:sz w:val="20"/>
        </w:rPr>
        <w:t>.</w:t>
      </w:r>
    </w:p>
    <w:p w14:paraId="6D635010" w14:textId="77777777" w:rsidR="00BC3BD1" w:rsidRDefault="00BC3BD1" w:rsidP="001A70CF">
      <w:pPr>
        <w:tabs>
          <w:tab w:val="num" w:pos="720"/>
        </w:tabs>
        <w:jc w:val="both"/>
        <w:rPr>
          <w:rFonts w:ascii="Arial" w:hAnsi="Arial" w:cs="Arial"/>
          <w:sz w:val="20"/>
        </w:rPr>
      </w:pPr>
    </w:p>
    <w:p w14:paraId="16035C18" w14:textId="77777777" w:rsidR="00A8236A" w:rsidRDefault="00E54052" w:rsidP="001A70CF">
      <w:pPr>
        <w:tabs>
          <w:tab w:val="num" w:pos="720"/>
        </w:tabs>
        <w:jc w:val="both"/>
        <w:rPr>
          <w:rFonts w:ascii="Arial" w:hAnsi="Arial" w:cs="Arial"/>
          <w:sz w:val="20"/>
        </w:rPr>
      </w:pPr>
      <w:r>
        <w:rPr>
          <w:rFonts w:ascii="Arial" w:hAnsi="Arial" w:cs="Arial"/>
          <w:sz w:val="20"/>
        </w:rPr>
        <w:t>Section 69J(1) of the FLA now provides</w:t>
      </w:r>
      <w:r w:rsidR="00D06B37">
        <w:rPr>
          <w:rFonts w:ascii="Arial" w:hAnsi="Arial" w:cs="Arial"/>
          <w:sz w:val="20"/>
        </w:rPr>
        <w:t xml:space="preserve"> that s</w:t>
      </w:r>
      <w:r>
        <w:rPr>
          <w:rFonts w:ascii="Arial" w:hAnsi="Arial" w:cs="Arial"/>
          <w:sz w:val="20"/>
        </w:rPr>
        <w:t>ubject to subsection (5), each court of summary jurisdiction of each State is invested with federal jurisdiction in relation to matters arising under Part VII (other than proceedings for leave in certain adoption matters under s.60G).</w:t>
      </w:r>
      <w:r w:rsidR="00A8236A">
        <w:rPr>
          <w:rFonts w:ascii="Arial" w:hAnsi="Arial" w:cs="Arial"/>
          <w:sz w:val="20"/>
        </w:rPr>
        <w:t xml:space="preserve">  Subsection (5) – read in conjunction with ss.69J(3) &amp; 69J(4) – prevents a court of summary jurisdiction hearing and determining proceedings under Part VII FLA contrary to a Proclamation of the Governor-General.  </w:t>
      </w:r>
      <w:r w:rsidR="00D06B37">
        <w:rPr>
          <w:rFonts w:ascii="Arial" w:hAnsi="Arial" w:cs="Arial"/>
          <w:sz w:val="20"/>
        </w:rPr>
        <w:t>However, t</w:t>
      </w:r>
      <w:r w:rsidR="00A8236A">
        <w:rPr>
          <w:rFonts w:ascii="Arial" w:hAnsi="Arial" w:cs="Arial"/>
          <w:sz w:val="20"/>
        </w:rPr>
        <w:t>o date there have been no such Proclamations rel</w:t>
      </w:r>
      <w:r w:rsidR="00642457">
        <w:rPr>
          <w:rFonts w:ascii="Arial" w:hAnsi="Arial" w:cs="Arial"/>
          <w:sz w:val="20"/>
        </w:rPr>
        <w:t>ating</w:t>
      </w:r>
      <w:r w:rsidR="00A8236A">
        <w:rPr>
          <w:rFonts w:ascii="Arial" w:hAnsi="Arial" w:cs="Arial"/>
          <w:sz w:val="20"/>
        </w:rPr>
        <w:t xml:space="preserve"> to Victorian courts.</w:t>
      </w:r>
    </w:p>
    <w:p w14:paraId="19F0B5F3" w14:textId="77777777" w:rsidR="00A8236A" w:rsidRDefault="00A8236A" w:rsidP="001A70CF">
      <w:pPr>
        <w:tabs>
          <w:tab w:val="num" w:pos="720"/>
        </w:tabs>
        <w:jc w:val="both"/>
        <w:rPr>
          <w:rFonts w:ascii="Arial" w:hAnsi="Arial" w:cs="Arial"/>
          <w:sz w:val="20"/>
        </w:rPr>
      </w:pPr>
    </w:p>
    <w:p w14:paraId="4280EBB7" w14:textId="77777777" w:rsidR="00D06B37" w:rsidRDefault="00D06B37" w:rsidP="001A70CF">
      <w:pPr>
        <w:tabs>
          <w:tab w:val="num" w:pos="720"/>
        </w:tabs>
        <w:jc w:val="both"/>
        <w:rPr>
          <w:rFonts w:ascii="Arial" w:hAnsi="Arial" w:cs="Arial"/>
          <w:sz w:val="20"/>
        </w:rPr>
      </w:pPr>
      <w:r>
        <w:rPr>
          <w:rFonts w:ascii="Arial" w:hAnsi="Arial" w:cs="Arial"/>
          <w:sz w:val="20"/>
        </w:rPr>
        <w:t>Section 69GA of the FLA enables a prescribed state or territory court to hear proceedings (or</w:t>
      </w:r>
      <w:r w:rsidR="00E61125">
        <w:rPr>
          <w:rFonts w:ascii="Arial" w:hAnsi="Arial" w:cs="Arial"/>
          <w:sz w:val="20"/>
        </w:rPr>
        <w:t xml:space="preserve"> </w:t>
      </w:r>
      <w:r>
        <w:rPr>
          <w:rFonts w:ascii="Arial" w:hAnsi="Arial" w:cs="Arial"/>
          <w:sz w:val="20"/>
        </w:rPr>
        <w:t xml:space="preserve">specified classes of proceedings) under the FLA as if </w:t>
      </w:r>
      <w:r w:rsidR="00E61125">
        <w:rPr>
          <w:rFonts w:ascii="Arial" w:hAnsi="Arial" w:cs="Arial"/>
          <w:sz w:val="20"/>
        </w:rPr>
        <w:t>it was a court</w:t>
      </w:r>
      <w:r>
        <w:rPr>
          <w:rFonts w:ascii="Arial" w:hAnsi="Arial" w:cs="Arial"/>
          <w:sz w:val="20"/>
        </w:rPr>
        <w:t xml:space="preserve"> of summary jurisdiction.  Hence </w:t>
      </w:r>
      <w:r w:rsidR="00A414E1">
        <w:rPr>
          <w:rFonts w:ascii="Arial" w:hAnsi="Arial" w:cs="Arial"/>
          <w:sz w:val="20"/>
        </w:rPr>
        <w:t>the</w:t>
      </w:r>
      <w:r w:rsidR="0054646E">
        <w:rPr>
          <w:rFonts w:ascii="Arial" w:hAnsi="Arial" w:cs="Arial"/>
          <w:sz w:val="20"/>
        </w:rPr>
        <w:t xml:space="preserve"> note to s.69J(1) </w:t>
      </w:r>
      <w:r w:rsidR="00A414E1">
        <w:rPr>
          <w:rFonts w:ascii="Arial" w:hAnsi="Arial" w:cs="Arial"/>
          <w:sz w:val="20"/>
        </w:rPr>
        <w:t xml:space="preserve">which </w:t>
      </w:r>
      <w:r w:rsidR="0054646E">
        <w:rPr>
          <w:rFonts w:ascii="Arial" w:hAnsi="Arial" w:cs="Arial"/>
          <w:sz w:val="20"/>
        </w:rPr>
        <w:t xml:space="preserve">provides: “This section may apply to proceedings heard in a </w:t>
      </w:r>
      <w:r w:rsidR="0054646E">
        <w:rPr>
          <w:rFonts w:ascii="Arial" w:hAnsi="Arial" w:cs="Arial"/>
          <w:sz w:val="20"/>
        </w:rPr>
        <w:lastRenderedPageBreak/>
        <w:t xml:space="preserve">court prescribed by the regulations for the purposes of s.69GA in the same way as </w:t>
      </w:r>
      <w:r w:rsidR="00A8236A">
        <w:rPr>
          <w:rFonts w:ascii="Arial" w:hAnsi="Arial" w:cs="Arial"/>
          <w:sz w:val="20"/>
        </w:rPr>
        <w:t>this section would apply if those proceedings were heard in a court of summary jurisdiction.”</w:t>
      </w:r>
    </w:p>
    <w:p w14:paraId="66DFAD69" w14:textId="77777777" w:rsidR="00D06B37" w:rsidRDefault="00D06B37" w:rsidP="001A70CF">
      <w:pPr>
        <w:tabs>
          <w:tab w:val="num" w:pos="720"/>
        </w:tabs>
        <w:jc w:val="both"/>
        <w:rPr>
          <w:rFonts w:ascii="Arial" w:hAnsi="Arial" w:cs="Arial"/>
          <w:sz w:val="20"/>
        </w:rPr>
      </w:pPr>
    </w:p>
    <w:p w14:paraId="2E0C7E7F" w14:textId="1DEC13FF" w:rsidR="00BC3BD1" w:rsidRDefault="00937A30" w:rsidP="001A70CF">
      <w:pPr>
        <w:tabs>
          <w:tab w:val="num" w:pos="720"/>
        </w:tabs>
        <w:jc w:val="both"/>
        <w:rPr>
          <w:rFonts w:ascii="Arial" w:hAnsi="Arial" w:cs="Arial"/>
          <w:sz w:val="20"/>
        </w:rPr>
      </w:pPr>
      <w:r>
        <w:rPr>
          <w:rFonts w:ascii="Arial" w:hAnsi="Arial" w:cs="Arial"/>
          <w:sz w:val="20"/>
        </w:rPr>
        <w:t>P</w:t>
      </w:r>
      <w:r w:rsidR="00DA604B">
        <w:rPr>
          <w:rFonts w:ascii="Arial" w:hAnsi="Arial" w:cs="Arial"/>
          <w:sz w:val="20"/>
        </w:rPr>
        <w:t xml:space="preserve">aragraph [40] of the Explanatory Memorandum to the 2018 </w:t>
      </w:r>
      <w:r w:rsidR="0004634A">
        <w:rPr>
          <w:rFonts w:ascii="Arial" w:hAnsi="Arial" w:cs="Arial"/>
          <w:sz w:val="20"/>
        </w:rPr>
        <w:t>A</w:t>
      </w:r>
      <w:r w:rsidR="00DA604B">
        <w:rPr>
          <w:rFonts w:ascii="Arial" w:hAnsi="Arial" w:cs="Arial"/>
          <w:sz w:val="20"/>
        </w:rPr>
        <w:t>mending A</w:t>
      </w:r>
      <w:r w:rsidR="0004634A">
        <w:rPr>
          <w:rFonts w:ascii="Arial" w:hAnsi="Arial" w:cs="Arial"/>
          <w:sz w:val="20"/>
        </w:rPr>
        <w:t>c</w:t>
      </w:r>
      <w:r w:rsidR="001202C2">
        <w:rPr>
          <w:rFonts w:ascii="Arial" w:hAnsi="Arial" w:cs="Arial"/>
          <w:sz w:val="20"/>
        </w:rPr>
        <w:t>t</w:t>
      </w:r>
      <w:r>
        <w:rPr>
          <w:rFonts w:ascii="Arial" w:hAnsi="Arial" w:cs="Arial"/>
          <w:sz w:val="20"/>
        </w:rPr>
        <w:t xml:space="preserve"> states</w:t>
      </w:r>
      <w:r w:rsidR="00DA604B">
        <w:rPr>
          <w:rFonts w:ascii="Arial" w:hAnsi="Arial" w:cs="Arial"/>
          <w:sz w:val="20"/>
        </w:rPr>
        <w:t>:</w:t>
      </w:r>
    </w:p>
    <w:p w14:paraId="305D9073" w14:textId="77777777" w:rsidR="00DA604B" w:rsidRDefault="00DA604B" w:rsidP="00DA604B">
      <w:pPr>
        <w:spacing w:before="80" w:after="80"/>
        <w:ind w:left="454" w:right="454"/>
        <w:jc w:val="both"/>
        <w:rPr>
          <w:rFonts w:ascii="Arial" w:hAnsi="Arial" w:cs="Arial"/>
          <w:sz w:val="20"/>
        </w:rPr>
      </w:pPr>
      <w:r>
        <w:rPr>
          <w:rFonts w:ascii="Arial" w:hAnsi="Arial" w:cs="Arial"/>
          <w:sz w:val="20"/>
        </w:rPr>
        <w:t>“It is not to be taken that, if a state or territory children’s court is not prescribed by the regulations, then it is not able to make family law orders under Part VII of the FLA as a court of summary jurisdiction.  Rather, it is intended that, in cases where there is doubt, a court can be prescribed by regulations so as to remove any doubt as to its capacity to exercise such jurisdiction.”</w:t>
      </w:r>
    </w:p>
    <w:p w14:paraId="107B5C1B" w14:textId="77777777" w:rsidR="00E54052" w:rsidRDefault="00DA604B" w:rsidP="001A70CF">
      <w:pPr>
        <w:tabs>
          <w:tab w:val="num" w:pos="720"/>
        </w:tabs>
        <w:jc w:val="both"/>
        <w:rPr>
          <w:rFonts w:ascii="Arial" w:hAnsi="Arial" w:cs="Arial"/>
          <w:sz w:val="20"/>
        </w:rPr>
      </w:pPr>
      <w:r>
        <w:rPr>
          <w:rFonts w:ascii="Arial" w:hAnsi="Arial" w:cs="Arial"/>
          <w:sz w:val="20"/>
        </w:rPr>
        <w:t>To</w:t>
      </w:r>
      <w:r w:rsidR="00EF7C07">
        <w:rPr>
          <w:rFonts w:ascii="Arial" w:hAnsi="Arial" w:cs="Arial"/>
          <w:sz w:val="20"/>
        </w:rPr>
        <w:t xml:space="preserve"> </w:t>
      </w:r>
      <w:r>
        <w:rPr>
          <w:rFonts w:ascii="Arial" w:hAnsi="Arial" w:cs="Arial"/>
          <w:sz w:val="20"/>
        </w:rPr>
        <w:t>date, no Victorian courts have been prescribed in regulations for the purposes of s.69GA.</w:t>
      </w:r>
    </w:p>
    <w:p w14:paraId="6789207E" w14:textId="77777777" w:rsidR="00E54052" w:rsidRDefault="00E54052" w:rsidP="001A70CF">
      <w:pPr>
        <w:tabs>
          <w:tab w:val="num" w:pos="720"/>
        </w:tabs>
        <w:jc w:val="both"/>
        <w:rPr>
          <w:rFonts w:ascii="Arial" w:hAnsi="Arial" w:cs="Arial"/>
          <w:sz w:val="20"/>
        </w:rPr>
      </w:pPr>
    </w:p>
    <w:p w14:paraId="12B073D1" w14:textId="77777777" w:rsidR="007F5F1E" w:rsidRPr="008F27E7" w:rsidRDefault="008F27E7" w:rsidP="001A70CF">
      <w:pPr>
        <w:tabs>
          <w:tab w:val="num" w:pos="720"/>
        </w:tabs>
        <w:jc w:val="both"/>
        <w:rPr>
          <w:rFonts w:ascii="Arial" w:hAnsi="Arial" w:cs="Arial"/>
          <w:sz w:val="20"/>
        </w:rPr>
      </w:pPr>
      <w:r>
        <w:rPr>
          <w:rFonts w:ascii="Arial" w:hAnsi="Arial" w:cs="Arial"/>
          <w:sz w:val="20"/>
        </w:rPr>
        <w:t xml:space="preserve">In order to give effect to recommendation 133 of the VRCFV, as and from 16/02/2022 the following </w:t>
      </w:r>
      <w:r w:rsidR="00642457">
        <w:rPr>
          <w:rFonts w:ascii="Arial" w:hAnsi="Arial" w:cs="Arial"/>
          <w:sz w:val="20"/>
        </w:rPr>
        <w:t>provisions were inserted in</w:t>
      </w:r>
      <w:r>
        <w:rPr>
          <w:rFonts w:ascii="Arial" w:hAnsi="Arial" w:cs="Arial"/>
          <w:sz w:val="20"/>
        </w:rPr>
        <w:t xml:space="preserve">to the CYFA by the </w:t>
      </w:r>
      <w:r w:rsidR="007F5F1E" w:rsidRPr="008F27E7">
        <w:rPr>
          <w:rFonts w:ascii="Arial" w:hAnsi="Arial" w:cs="Arial"/>
          <w:color w:val="000000"/>
          <w:sz w:val="20"/>
          <w:szCs w:val="20"/>
          <w:u w:val="single"/>
        </w:rPr>
        <w:t>Justice Legislation Amendment (Criminal Procedure Disclosure and Other Matters) Act 2022 (Vic)</w:t>
      </w:r>
      <w:r w:rsidR="007F5F1E">
        <w:rPr>
          <w:rFonts w:ascii="Arial" w:hAnsi="Arial" w:cs="Arial"/>
          <w:color w:val="000000"/>
          <w:sz w:val="20"/>
        </w:rPr>
        <w:t>:</w:t>
      </w:r>
    </w:p>
    <w:p w14:paraId="1657DDF0" w14:textId="77777777" w:rsidR="007F5F1E" w:rsidRDefault="007F5F1E">
      <w:pPr>
        <w:pStyle w:val="ListParagraph"/>
        <w:numPr>
          <w:ilvl w:val="0"/>
          <w:numId w:val="45"/>
        </w:numPr>
        <w:ind w:left="357" w:hanging="357"/>
        <w:jc w:val="both"/>
        <w:rPr>
          <w:rFonts w:ascii="Arial" w:hAnsi="Arial" w:cs="Arial"/>
          <w:color w:val="000000"/>
          <w:sz w:val="20"/>
        </w:rPr>
      </w:pPr>
      <w:r w:rsidRPr="00B507F6">
        <w:rPr>
          <w:rFonts w:ascii="Arial" w:hAnsi="Arial" w:cs="Arial"/>
          <w:color w:val="000000"/>
          <w:sz w:val="20"/>
        </w:rPr>
        <w:t>s.515(4) of the CYFA provides:</w:t>
      </w:r>
      <w:r>
        <w:rPr>
          <w:rFonts w:ascii="Arial" w:hAnsi="Arial" w:cs="Arial"/>
          <w:color w:val="000000"/>
          <w:sz w:val="20"/>
        </w:rPr>
        <w:t xml:space="preserve"> “The Family Division has any jurisdiction given to the Court by or under the </w:t>
      </w:r>
      <w:r w:rsidRPr="008F27E7">
        <w:rPr>
          <w:rFonts w:ascii="Arial" w:hAnsi="Arial" w:cs="Arial"/>
          <w:color w:val="000000"/>
          <w:sz w:val="20"/>
        </w:rPr>
        <w:t>Family Law Act 1975</w:t>
      </w:r>
      <w:r>
        <w:rPr>
          <w:rFonts w:ascii="Arial" w:hAnsi="Arial" w:cs="Arial"/>
          <w:color w:val="000000"/>
          <w:sz w:val="20"/>
        </w:rPr>
        <w:t xml:space="preserve"> (</w:t>
      </w:r>
      <w:proofErr w:type="spellStart"/>
      <w:r>
        <w:rPr>
          <w:rFonts w:ascii="Arial" w:hAnsi="Arial" w:cs="Arial"/>
          <w:color w:val="000000"/>
          <w:sz w:val="20"/>
        </w:rPr>
        <w:t>Cth</w:t>
      </w:r>
      <w:proofErr w:type="spellEnd"/>
      <w:r>
        <w:rPr>
          <w:rFonts w:ascii="Arial" w:hAnsi="Arial" w:cs="Arial"/>
          <w:color w:val="000000"/>
          <w:sz w:val="20"/>
        </w:rPr>
        <w:t>).”</w:t>
      </w:r>
    </w:p>
    <w:p w14:paraId="43E9FED4" w14:textId="77777777" w:rsidR="007F5F1E" w:rsidRPr="00B507F6" w:rsidRDefault="007F5F1E">
      <w:pPr>
        <w:pStyle w:val="ListParagraph"/>
        <w:numPr>
          <w:ilvl w:val="0"/>
          <w:numId w:val="45"/>
        </w:numPr>
        <w:ind w:left="357" w:hanging="357"/>
        <w:jc w:val="both"/>
        <w:rPr>
          <w:rFonts w:ascii="Arial" w:hAnsi="Arial" w:cs="Arial"/>
          <w:color w:val="000000"/>
          <w:sz w:val="20"/>
        </w:rPr>
      </w:pPr>
      <w:r>
        <w:rPr>
          <w:rFonts w:ascii="Arial" w:hAnsi="Arial" w:cs="Arial"/>
          <w:color w:val="000000"/>
          <w:sz w:val="20"/>
        </w:rPr>
        <w:t>s.588(1)(</w:t>
      </w:r>
      <w:proofErr w:type="spellStart"/>
      <w:r>
        <w:rPr>
          <w:rFonts w:ascii="Arial" w:hAnsi="Arial" w:cs="Arial"/>
          <w:color w:val="000000"/>
          <w:sz w:val="20"/>
        </w:rPr>
        <w:t>ba</w:t>
      </w:r>
      <w:proofErr w:type="spellEnd"/>
      <w:r>
        <w:rPr>
          <w:rFonts w:ascii="Arial" w:hAnsi="Arial" w:cs="Arial"/>
          <w:color w:val="000000"/>
          <w:sz w:val="20"/>
        </w:rPr>
        <w:t>) of the CYFA provides: “The President together w</w:t>
      </w:r>
      <w:r w:rsidR="001F173D">
        <w:rPr>
          <w:rFonts w:ascii="Arial" w:hAnsi="Arial" w:cs="Arial"/>
          <w:color w:val="000000"/>
          <w:sz w:val="20"/>
        </w:rPr>
        <w:t>i</w:t>
      </w:r>
      <w:r>
        <w:rPr>
          <w:rFonts w:ascii="Arial" w:hAnsi="Arial" w:cs="Arial"/>
          <w:color w:val="000000"/>
          <w:sz w:val="20"/>
        </w:rPr>
        <w:t>th 2 or more magistrates for the Court may jointly make rules of court for or with respect to any matter relating to the jurisdiction of the Family Division of the Court given by s.515(4).”</w:t>
      </w:r>
    </w:p>
    <w:p w14:paraId="02E1DF2A" w14:textId="77777777" w:rsidR="007F5F1E" w:rsidRDefault="007F5F1E" w:rsidP="007F5F1E">
      <w:pPr>
        <w:rPr>
          <w:rFonts w:ascii="Arial" w:hAnsi="Arial" w:cs="Arial"/>
          <w:color w:val="000000"/>
          <w:sz w:val="20"/>
        </w:rPr>
      </w:pPr>
    </w:p>
    <w:p w14:paraId="2E3B0110" w14:textId="03AF7F26" w:rsidR="008D7DF3" w:rsidRDefault="005B71BA" w:rsidP="005B71BA">
      <w:pPr>
        <w:jc w:val="both"/>
        <w:rPr>
          <w:rFonts w:ascii="Arial" w:hAnsi="Arial" w:cs="Arial"/>
          <w:sz w:val="20"/>
          <w:szCs w:val="20"/>
        </w:rPr>
      </w:pPr>
      <w:r>
        <w:rPr>
          <w:rFonts w:ascii="Arial" w:hAnsi="Arial" w:cs="Arial"/>
          <w:color w:val="000000"/>
          <w:sz w:val="20"/>
        </w:rPr>
        <w:t xml:space="preserve">What is the current end result of this jungle of legislation?  </w:t>
      </w:r>
      <w:r>
        <w:rPr>
          <w:rFonts w:ascii="Arial" w:hAnsi="Arial" w:cs="Arial"/>
          <w:sz w:val="20"/>
        </w:rPr>
        <w:t>Notwithstanding counsel’s thoughtful analysis</w:t>
      </w:r>
      <w:r w:rsidR="00BF732A">
        <w:rPr>
          <w:rFonts w:ascii="Arial" w:hAnsi="Arial" w:cs="Arial"/>
          <w:sz w:val="20"/>
        </w:rPr>
        <w:t xml:space="preserve"> in 2006</w:t>
      </w:r>
      <w:r>
        <w:rPr>
          <w:rFonts w:ascii="Arial" w:hAnsi="Arial" w:cs="Arial"/>
          <w:sz w:val="20"/>
        </w:rPr>
        <w:t xml:space="preserve">, the writer </w:t>
      </w:r>
      <w:r w:rsidR="00642457">
        <w:rPr>
          <w:rFonts w:ascii="Arial" w:hAnsi="Arial" w:cs="Arial"/>
          <w:sz w:val="20"/>
        </w:rPr>
        <w:t xml:space="preserve">considers that it is not entirely clear </w:t>
      </w:r>
      <w:r w:rsidR="006D17EA">
        <w:rPr>
          <w:rFonts w:ascii="Arial" w:hAnsi="Arial" w:cs="Arial"/>
          <w:sz w:val="20"/>
        </w:rPr>
        <w:t xml:space="preserve">that </w:t>
      </w:r>
      <w:r>
        <w:rPr>
          <w:rFonts w:ascii="Arial" w:hAnsi="Arial" w:cs="Arial"/>
          <w:sz w:val="20"/>
          <w:szCs w:val="20"/>
        </w:rPr>
        <w:t>the C</w:t>
      </w:r>
      <w:r w:rsidR="001202C2">
        <w:rPr>
          <w:rFonts w:ascii="Arial" w:hAnsi="Arial" w:cs="Arial"/>
          <w:sz w:val="20"/>
          <w:szCs w:val="20"/>
        </w:rPr>
        <w:t>h</w:t>
      </w:r>
      <w:r>
        <w:rPr>
          <w:rFonts w:ascii="Arial" w:hAnsi="Arial" w:cs="Arial"/>
          <w:sz w:val="20"/>
          <w:szCs w:val="20"/>
        </w:rPr>
        <w:t xml:space="preserve">CV </w:t>
      </w:r>
      <w:r w:rsidR="008D7DF3">
        <w:rPr>
          <w:rFonts w:ascii="Arial" w:hAnsi="Arial" w:cs="Arial"/>
          <w:sz w:val="20"/>
          <w:szCs w:val="20"/>
        </w:rPr>
        <w:t xml:space="preserve">(whether constituted by the President or a magistrate) </w:t>
      </w:r>
      <w:r w:rsidRPr="006555D8">
        <w:rPr>
          <w:rFonts w:ascii="Arial" w:hAnsi="Arial" w:cs="Arial"/>
          <w:sz w:val="20"/>
          <w:szCs w:val="20"/>
        </w:rPr>
        <w:t>can</w:t>
      </w:r>
      <w:r>
        <w:rPr>
          <w:rFonts w:ascii="Arial" w:hAnsi="Arial" w:cs="Arial"/>
          <w:sz w:val="20"/>
          <w:szCs w:val="20"/>
        </w:rPr>
        <w:t xml:space="preserve"> exercise the jurisdiction which the MCV ha</w:t>
      </w:r>
      <w:r w:rsidR="00847366">
        <w:rPr>
          <w:rFonts w:ascii="Arial" w:hAnsi="Arial" w:cs="Arial"/>
          <w:sz w:val="20"/>
          <w:szCs w:val="20"/>
        </w:rPr>
        <w:t>s</w:t>
      </w:r>
      <w:r>
        <w:rPr>
          <w:rFonts w:ascii="Arial" w:hAnsi="Arial" w:cs="Arial"/>
          <w:sz w:val="20"/>
          <w:szCs w:val="20"/>
        </w:rPr>
        <w:t xml:space="preserve"> under the FLA</w:t>
      </w:r>
      <w:r w:rsidR="008D7DF3">
        <w:rPr>
          <w:rFonts w:ascii="Arial" w:hAnsi="Arial" w:cs="Arial"/>
          <w:sz w:val="20"/>
          <w:szCs w:val="20"/>
        </w:rPr>
        <w:t xml:space="preserve">.  </w:t>
      </w:r>
      <w:r w:rsidR="00314B0B">
        <w:rPr>
          <w:rFonts w:ascii="Arial" w:hAnsi="Arial" w:cs="Arial"/>
          <w:sz w:val="20"/>
          <w:szCs w:val="20"/>
        </w:rPr>
        <w:t xml:space="preserve">However, </w:t>
      </w:r>
      <w:r w:rsidR="00AE3C70">
        <w:rPr>
          <w:rFonts w:ascii="Arial" w:hAnsi="Arial" w:cs="Arial"/>
          <w:sz w:val="20"/>
          <w:szCs w:val="20"/>
        </w:rPr>
        <w:t>t</w:t>
      </w:r>
      <w:r w:rsidR="008D7DF3">
        <w:rPr>
          <w:rFonts w:ascii="Arial" w:hAnsi="Arial" w:cs="Arial"/>
          <w:sz w:val="20"/>
          <w:szCs w:val="20"/>
        </w:rPr>
        <w:t xml:space="preserve">he writer’s </w:t>
      </w:r>
      <w:r w:rsidR="00AE3C70">
        <w:rPr>
          <w:rFonts w:ascii="Arial" w:hAnsi="Arial" w:cs="Arial"/>
          <w:sz w:val="20"/>
          <w:szCs w:val="20"/>
        </w:rPr>
        <w:t>preferred view</w:t>
      </w:r>
      <w:r w:rsidR="008D7DF3">
        <w:rPr>
          <w:rFonts w:ascii="Arial" w:hAnsi="Arial" w:cs="Arial"/>
          <w:sz w:val="20"/>
          <w:szCs w:val="20"/>
        </w:rPr>
        <w:t xml:space="preserve"> is</w:t>
      </w:r>
      <w:r w:rsidR="00A63F90">
        <w:rPr>
          <w:rFonts w:ascii="Arial" w:hAnsi="Arial" w:cs="Arial"/>
          <w:sz w:val="20"/>
          <w:szCs w:val="20"/>
        </w:rPr>
        <w:t>:</w:t>
      </w:r>
    </w:p>
    <w:p w14:paraId="28A47C23" w14:textId="637D994E" w:rsidR="008D7DF3" w:rsidRPr="008D7DF3" w:rsidRDefault="00E61125">
      <w:pPr>
        <w:pStyle w:val="ListParagraph"/>
        <w:numPr>
          <w:ilvl w:val="0"/>
          <w:numId w:val="45"/>
        </w:numPr>
        <w:ind w:left="357" w:hanging="357"/>
        <w:jc w:val="both"/>
        <w:rPr>
          <w:rFonts w:ascii="Arial" w:hAnsi="Arial" w:cs="Arial"/>
          <w:color w:val="000000"/>
          <w:sz w:val="20"/>
        </w:rPr>
      </w:pPr>
      <w:r>
        <w:rPr>
          <w:rFonts w:ascii="Arial" w:hAnsi="Arial" w:cs="Arial"/>
          <w:sz w:val="20"/>
        </w:rPr>
        <w:t>B</w:t>
      </w:r>
      <w:r w:rsidR="008D7DF3" w:rsidRPr="008D7DF3">
        <w:rPr>
          <w:rFonts w:ascii="Arial" w:hAnsi="Arial" w:cs="Arial"/>
          <w:sz w:val="20"/>
        </w:rPr>
        <w:t>oth the C</w:t>
      </w:r>
      <w:r w:rsidR="001202C2">
        <w:rPr>
          <w:rFonts w:ascii="Arial" w:hAnsi="Arial" w:cs="Arial"/>
          <w:sz w:val="20"/>
        </w:rPr>
        <w:t>h</w:t>
      </w:r>
      <w:r w:rsidR="008D7DF3" w:rsidRPr="008D7DF3">
        <w:rPr>
          <w:rFonts w:ascii="Arial" w:hAnsi="Arial" w:cs="Arial"/>
          <w:sz w:val="20"/>
        </w:rPr>
        <w:t xml:space="preserve">CV and the MCV remain ‘courts of summary jurisdiction’ within the meaning of </w:t>
      </w:r>
      <w:r w:rsidR="008D7DF3">
        <w:rPr>
          <w:rFonts w:ascii="Arial" w:hAnsi="Arial" w:cs="Arial"/>
          <w:sz w:val="20"/>
        </w:rPr>
        <w:t>s.69J(1) FLA whether constituted by the President, the Chief Magistrate or a magistrate</w:t>
      </w:r>
      <w:r>
        <w:rPr>
          <w:rFonts w:ascii="Arial" w:hAnsi="Arial" w:cs="Arial"/>
          <w:sz w:val="20"/>
        </w:rPr>
        <w:t>.</w:t>
      </w:r>
    </w:p>
    <w:p w14:paraId="493B1378" w14:textId="4E01F248" w:rsidR="005B71BA" w:rsidRPr="006C53BA" w:rsidRDefault="00E61125">
      <w:pPr>
        <w:pStyle w:val="ListParagraph"/>
        <w:numPr>
          <w:ilvl w:val="0"/>
          <w:numId w:val="45"/>
        </w:numPr>
        <w:ind w:left="357" w:hanging="357"/>
        <w:jc w:val="both"/>
        <w:rPr>
          <w:rFonts w:ascii="Arial" w:hAnsi="Arial" w:cs="Arial"/>
          <w:color w:val="000000"/>
          <w:sz w:val="20"/>
        </w:rPr>
      </w:pPr>
      <w:r>
        <w:rPr>
          <w:rFonts w:ascii="Arial" w:hAnsi="Arial" w:cs="Arial"/>
          <w:sz w:val="20"/>
        </w:rPr>
        <w:t>B</w:t>
      </w:r>
      <w:r w:rsidR="008D7DF3">
        <w:rPr>
          <w:rFonts w:ascii="Arial" w:hAnsi="Arial" w:cs="Arial"/>
          <w:sz w:val="20"/>
        </w:rPr>
        <w:t>oth the C</w:t>
      </w:r>
      <w:r w:rsidR="001202C2">
        <w:rPr>
          <w:rFonts w:ascii="Arial" w:hAnsi="Arial" w:cs="Arial"/>
          <w:sz w:val="20"/>
        </w:rPr>
        <w:t>h</w:t>
      </w:r>
      <w:r w:rsidR="008D7DF3">
        <w:rPr>
          <w:rFonts w:ascii="Arial" w:hAnsi="Arial" w:cs="Arial"/>
          <w:sz w:val="20"/>
        </w:rPr>
        <w:t>CV and the MCV therefore have full jurisdiction under s.69J(1) FLA and the C</w:t>
      </w:r>
      <w:r w:rsidR="001202C2">
        <w:rPr>
          <w:rFonts w:ascii="Arial" w:hAnsi="Arial" w:cs="Arial"/>
          <w:sz w:val="20"/>
        </w:rPr>
        <w:t>h</w:t>
      </w:r>
      <w:r w:rsidR="008D7DF3">
        <w:rPr>
          <w:rFonts w:ascii="Arial" w:hAnsi="Arial" w:cs="Arial"/>
          <w:sz w:val="20"/>
        </w:rPr>
        <w:t xml:space="preserve">CV has concurrent jurisdiction under s.515(4) CYFA to </w:t>
      </w:r>
      <w:r w:rsidR="00517FC1">
        <w:rPr>
          <w:rFonts w:ascii="Arial" w:hAnsi="Arial" w:cs="Arial"/>
          <w:sz w:val="20"/>
        </w:rPr>
        <w:t xml:space="preserve">hear and determine </w:t>
      </w:r>
      <w:r w:rsidR="006C53BA">
        <w:rPr>
          <w:rFonts w:ascii="Arial" w:hAnsi="Arial" w:cs="Arial"/>
          <w:sz w:val="20"/>
        </w:rPr>
        <w:t>matters arising under Part VII of the FLA</w:t>
      </w:r>
      <w:r w:rsidR="00A9017D">
        <w:rPr>
          <w:rFonts w:ascii="Arial" w:hAnsi="Arial" w:cs="Arial"/>
          <w:sz w:val="20"/>
        </w:rPr>
        <w:t xml:space="preserve"> (</w:t>
      </w:r>
      <w:r w:rsidR="006C53BA">
        <w:rPr>
          <w:rFonts w:ascii="Arial" w:hAnsi="Arial" w:cs="Arial"/>
          <w:sz w:val="20"/>
        </w:rPr>
        <w:t>other than proceedings under s.60G</w:t>
      </w:r>
      <w:r w:rsidR="00A9017D">
        <w:rPr>
          <w:rFonts w:ascii="Arial" w:hAnsi="Arial" w:cs="Arial"/>
          <w:sz w:val="20"/>
        </w:rPr>
        <w:t>)</w:t>
      </w:r>
      <w:r>
        <w:rPr>
          <w:rFonts w:ascii="Arial" w:hAnsi="Arial" w:cs="Arial"/>
          <w:sz w:val="20"/>
        </w:rPr>
        <w:t>.</w:t>
      </w:r>
    </w:p>
    <w:p w14:paraId="7A66CABE" w14:textId="1B7554B0" w:rsidR="00E61125" w:rsidRDefault="00E61125">
      <w:pPr>
        <w:pStyle w:val="ListParagraph"/>
        <w:numPr>
          <w:ilvl w:val="0"/>
          <w:numId w:val="45"/>
        </w:numPr>
        <w:ind w:left="357" w:hanging="357"/>
        <w:jc w:val="both"/>
        <w:rPr>
          <w:rFonts w:ascii="Arial" w:hAnsi="Arial" w:cs="Arial"/>
          <w:color w:val="000000"/>
          <w:sz w:val="20"/>
        </w:rPr>
      </w:pPr>
      <w:r>
        <w:rPr>
          <w:rFonts w:ascii="Arial" w:hAnsi="Arial" w:cs="Arial"/>
          <w:color w:val="000000"/>
          <w:sz w:val="20"/>
        </w:rPr>
        <w:t>T</w:t>
      </w:r>
      <w:r w:rsidR="006C53BA">
        <w:rPr>
          <w:rFonts w:ascii="Arial" w:hAnsi="Arial" w:cs="Arial"/>
          <w:color w:val="000000"/>
          <w:sz w:val="20"/>
        </w:rPr>
        <w:t>he fact that a court has conferred jurisdiction does not compel the court to exercise it</w:t>
      </w:r>
      <w:r>
        <w:rPr>
          <w:rFonts w:ascii="Arial" w:hAnsi="Arial" w:cs="Arial"/>
          <w:color w:val="000000"/>
          <w:sz w:val="20"/>
        </w:rPr>
        <w:t>.  F</w:t>
      </w:r>
      <w:r w:rsidR="00517FC1">
        <w:rPr>
          <w:rFonts w:ascii="Arial" w:hAnsi="Arial" w:cs="Arial"/>
          <w:color w:val="000000"/>
          <w:sz w:val="20"/>
        </w:rPr>
        <w:t>or the moment both the C</w:t>
      </w:r>
      <w:r w:rsidR="001202C2">
        <w:rPr>
          <w:rFonts w:ascii="Arial" w:hAnsi="Arial" w:cs="Arial"/>
          <w:color w:val="000000"/>
          <w:sz w:val="20"/>
        </w:rPr>
        <w:t>h</w:t>
      </w:r>
      <w:r w:rsidR="00517FC1">
        <w:rPr>
          <w:rFonts w:ascii="Arial" w:hAnsi="Arial" w:cs="Arial"/>
          <w:color w:val="000000"/>
          <w:sz w:val="20"/>
        </w:rPr>
        <w:t>CV and the MCV have chosen to exercise limited jurisdiction under s.69J(1) FLA</w:t>
      </w:r>
      <w:r>
        <w:rPr>
          <w:rFonts w:ascii="Arial" w:hAnsi="Arial" w:cs="Arial"/>
          <w:color w:val="000000"/>
          <w:sz w:val="20"/>
        </w:rPr>
        <w:t>.</w:t>
      </w:r>
    </w:p>
    <w:p w14:paraId="547CC74B" w14:textId="28F70AD2" w:rsidR="00E61125" w:rsidRDefault="00A63F90">
      <w:pPr>
        <w:pStyle w:val="ListParagraph"/>
        <w:numPr>
          <w:ilvl w:val="0"/>
          <w:numId w:val="45"/>
        </w:numPr>
        <w:ind w:left="357" w:hanging="357"/>
        <w:jc w:val="both"/>
        <w:rPr>
          <w:rFonts w:ascii="Arial" w:hAnsi="Arial" w:cs="Arial"/>
          <w:color w:val="000000"/>
          <w:sz w:val="20"/>
        </w:rPr>
      </w:pPr>
      <w:bookmarkStart w:id="372" w:name="_Hlk97807557"/>
      <w:bookmarkStart w:id="373" w:name="_Hlk97807243"/>
      <w:r>
        <w:rPr>
          <w:rFonts w:ascii="Arial" w:hAnsi="Arial" w:cs="Arial"/>
          <w:color w:val="000000"/>
          <w:sz w:val="20"/>
        </w:rPr>
        <w:t>Both the C</w:t>
      </w:r>
      <w:r w:rsidR="001202C2">
        <w:rPr>
          <w:rFonts w:ascii="Arial" w:hAnsi="Arial" w:cs="Arial"/>
          <w:color w:val="000000"/>
          <w:sz w:val="20"/>
        </w:rPr>
        <w:t>h</w:t>
      </w:r>
      <w:r>
        <w:rPr>
          <w:rFonts w:ascii="Arial" w:hAnsi="Arial" w:cs="Arial"/>
          <w:color w:val="000000"/>
          <w:sz w:val="20"/>
        </w:rPr>
        <w:t xml:space="preserve">CV and the MCV do </w:t>
      </w:r>
      <w:r w:rsidR="00555421">
        <w:rPr>
          <w:rFonts w:ascii="Arial" w:hAnsi="Arial" w:cs="Arial"/>
          <w:color w:val="000000"/>
          <w:sz w:val="20"/>
        </w:rPr>
        <w:t xml:space="preserve">have and do </w:t>
      </w:r>
      <w:r>
        <w:rPr>
          <w:rFonts w:ascii="Arial" w:hAnsi="Arial" w:cs="Arial"/>
          <w:color w:val="000000"/>
          <w:sz w:val="20"/>
        </w:rPr>
        <w:t xml:space="preserve">exercise jurisdiction under s.68R FLA </w:t>
      </w:r>
      <w:r w:rsidR="00555421">
        <w:rPr>
          <w:rFonts w:ascii="Arial" w:hAnsi="Arial" w:cs="Arial"/>
          <w:color w:val="000000"/>
          <w:sz w:val="20"/>
        </w:rPr>
        <w:t xml:space="preserve">to revive, vary, discharge or suspend an FLA </w:t>
      </w:r>
      <w:r w:rsidR="008721AA">
        <w:rPr>
          <w:rFonts w:ascii="Arial" w:hAnsi="Arial" w:cs="Arial"/>
          <w:color w:val="000000"/>
          <w:sz w:val="20"/>
        </w:rPr>
        <w:t>‘</w:t>
      </w:r>
      <w:r w:rsidR="00430345">
        <w:rPr>
          <w:rFonts w:ascii="Arial" w:hAnsi="Arial" w:cs="Arial"/>
          <w:color w:val="000000"/>
          <w:sz w:val="20"/>
        </w:rPr>
        <w:t>spend time with</w:t>
      </w:r>
      <w:r w:rsidR="008721AA">
        <w:rPr>
          <w:rFonts w:ascii="Arial" w:hAnsi="Arial" w:cs="Arial"/>
          <w:color w:val="000000"/>
          <w:sz w:val="20"/>
        </w:rPr>
        <w:t>’</w:t>
      </w:r>
      <w:r w:rsidR="00555421">
        <w:rPr>
          <w:rFonts w:ascii="Arial" w:hAnsi="Arial" w:cs="Arial"/>
          <w:color w:val="000000"/>
          <w:sz w:val="20"/>
        </w:rPr>
        <w:t xml:space="preserve"> </w:t>
      </w:r>
      <w:r w:rsidR="00295FFA">
        <w:rPr>
          <w:rFonts w:ascii="Arial" w:hAnsi="Arial" w:cs="Arial"/>
          <w:color w:val="000000"/>
          <w:sz w:val="20"/>
        </w:rPr>
        <w:t xml:space="preserve">or ‘live with’ </w:t>
      </w:r>
      <w:r w:rsidR="00555421">
        <w:rPr>
          <w:rFonts w:ascii="Arial" w:hAnsi="Arial" w:cs="Arial"/>
          <w:color w:val="000000"/>
          <w:sz w:val="20"/>
        </w:rPr>
        <w:t xml:space="preserve">order </w:t>
      </w:r>
      <w:r w:rsidR="00B537B7">
        <w:rPr>
          <w:rFonts w:ascii="Arial" w:hAnsi="Arial" w:cs="Arial"/>
          <w:color w:val="000000"/>
          <w:sz w:val="20"/>
        </w:rPr>
        <w:t>in proceedings under the FVPA to make or vary a</w:t>
      </w:r>
      <w:r w:rsidR="00555421">
        <w:rPr>
          <w:rFonts w:ascii="Arial" w:hAnsi="Arial" w:cs="Arial"/>
          <w:color w:val="000000"/>
          <w:sz w:val="20"/>
        </w:rPr>
        <w:t xml:space="preserve"> </w:t>
      </w:r>
      <w:r w:rsidR="00555421" w:rsidRPr="00830AAE">
        <w:rPr>
          <w:rFonts w:ascii="Arial" w:hAnsi="Arial" w:cs="Arial"/>
          <w:color w:val="000000"/>
          <w:sz w:val="20"/>
        </w:rPr>
        <w:t xml:space="preserve">family violence </w:t>
      </w:r>
      <w:r w:rsidR="00555421">
        <w:rPr>
          <w:rFonts w:ascii="Arial" w:hAnsi="Arial" w:cs="Arial"/>
          <w:color w:val="000000"/>
          <w:sz w:val="20"/>
        </w:rPr>
        <w:t xml:space="preserve">intervention </w:t>
      </w:r>
      <w:r w:rsidR="00555421" w:rsidRPr="00830AAE">
        <w:rPr>
          <w:rFonts w:ascii="Arial" w:hAnsi="Arial" w:cs="Arial"/>
          <w:color w:val="000000"/>
          <w:sz w:val="20"/>
        </w:rPr>
        <w:t>order</w:t>
      </w:r>
      <w:r w:rsidR="00555421">
        <w:rPr>
          <w:rFonts w:ascii="Arial" w:hAnsi="Arial" w:cs="Arial"/>
          <w:color w:val="000000"/>
          <w:sz w:val="20"/>
        </w:rPr>
        <w:t>.</w:t>
      </w:r>
      <w:r w:rsidR="008F3255">
        <w:rPr>
          <w:rFonts w:ascii="Arial" w:hAnsi="Arial" w:cs="Arial"/>
          <w:color w:val="000000"/>
          <w:sz w:val="20"/>
        </w:rPr>
        <w:t xml:space="preserve"> See </w:t>
      </w:r>
      <w:r w:rsidR="008F3255" w:rsidRPr="003B600E">
        <w:rPr>
          <w:rFonts w:ascii="Arial" w:hAnsi="Arial" w:cs="Arial"/>
          <w:b/>
          <w:bCs/>
          <w:sz w:val="20"/>
          <w:shd w:val="clear" w:color="auto" w:fill="C5E0B3"/>
        </w:rPr>
        <w:t>section</w:t>
      </w:r>
      <w:r w:rsidR="008F3255">
        <w:rPr>
          <w:rFonts w:ascii="Arial" w:hAnsi="Arial" w:cs="Arial"/>
          <w:b/>
          <w:bCs/>
          <w:sz w:val="20"/>
          <w:shd w:val="clear" w:color="auto" w:fill="C5E0B3"/>
        </w:rPr>
        <w:t>s</w:t>
      </w:r>
      <w:r w:rsidR="008F3255" w:rsidRPr="003B600E">
        <w:rPr>
          <w:rFonts w:ascii="Arial" w:hAnsi="Arial" w:cs="Arial"/>
          <w:b/>
          <w:bCs/>
          <w:sz w:val="20"/>
          <w:shd w:val="clear" w:color="auto" w:fill="C5E0B3"/>
        </w:rPr>
        <w:t xml:space="preserve"> </w:t>
      </w:r>
      <w:r w:rsidR="008F3255">
        <w:rPr>
          <w:rFonts w:ascii="Arial" w:hAnsi="Arial" w:cs="Arial"/>
          <w:b/>
          <w:bCs/>
          <w:sz w:val="20"/>
          <w:shd w:val="clear" w:color="auto" w:fill="C5E0B3"/>
        </w:rPr>
        <w:t>6FV.13.3 &amp; 6FV.13.4</w:t>
      </w:r>
      <w:r w:rsidR="008F3255">
        <w:rPr>
          <w:rFonts w:ascii="Arial" w:hAnsi="Arial" w:cs="Arial"/>
          <w:sz w:val="20"/>
        </w:rPr>
        <w:t>.</w:t>
      </w:r>
    </w:p>
    <w:bookmarkEnd w:id="372"/>
    <w:p w14:paraId="51F67438" w14:textId="207A0137" w:rsidR="006D17EA" w:rsidRDefault="006D17EA">
      <w:pPr>
        <w:pStyle w:val="ListParagraph"/>
        <w:numPr>
          <w:ilvl w:val="0"/>
          <w:numId w:val="45"/>
        </w:numPr>
        <w:ind w:left="357" w:hanging="357"/>
        <w:jc w:val="both"/>
        <w:rPr>
          <w:rFonts w:ascii="Arial" w:hAnsi="Arial" w:cs="Arial"/>
          <w:color w:val="000000"/>
          <w:sz w:val="20"/>
        </w:rPr>
      </w:pPr>
      <w:r>
        <w:rPr>
          <w:rFonts w:ascii="Arial" w:hAnsi="Arial" w:cs="Arial"/>
          <w:color w:val="000000"/>
          <w:sz w:val="20"/>
        </w:rPr>
        <w:t>Although the C</w:t>
      </w:r>
      <w:r w:rsidR="001202C2">
        <w:rPr>
          <w:rFonts w:ascii="Arial" w:hAnsi="Arial" w:cs="Arial"/>
          <w:color w:val="000000"/>
          <w:sz w:val="20"/>
        </w:rPr>
        <w:t>h</w:t>
      </w:r>
      <w:r>
        <w:rPr>
          <w:rFonts w:ascii="Arial" w:hAnsi="Arial" w:cs="Arial"/>
          <w:color w:val="000000"/>
          <w:sz w:val="20"/>
        </w:rPr>
        <w:t xml:space="preserve">CV does have </w:t>
      </w:r>
      <w:r w:rsidR="006F4B48">
        <w:rPr>
          <w:rFonts w:ascii="Arial" w:hAnsi="Arial" w:cs="Arial"/>
          <w:color w:val="000000"/>
          <w:sz w:val="20"/>
        </w:rPr>
        <w:t xml:space="preserve">broad </w:t>
      </w:r>
      <w:r>
        <w:rPr>
          <w:rFonts w:ascii="Arial" w:hAnsi="Arial" w:cs="Arial"/>
          <w:color w:val="000000"/>
          <w:sz w:val="20"/>
        </w:rPr>
        <w:t>general jurisdiction under Part VII FLA, it does not yet exercise it</w:t>
      </w:r>
      <w:r w:rsidR="00D133AC">
        <w:rPr>
          <w:rFonts w:ascii="Arial" w:hAnsi="Arial" w:cs="Arial"/>
          <w:color w:val="000000"/>
          <w:sz w:val="20"/>
        </w:rPr>
        <w:t xml:space="preserve"> in any area other than s.68R</w:t>
      </w:r>
      <w:r>
        <w:rPr>
          <w:rFonts w:ascii="Arial" w:hAnsi="Arial" w:cs="Arial"/>
          <w:color w:val="000000"/>
          <w:sz w:val="20"/>
        </w:rPr>
        <w:t>.</w:t>
      </w:r>
    </w:p>
    <w:p w14:paraId="76D5585D" w14:textId="754C96D8" w:rsidR="006D17EA" w:rsidRDefault="002C3464">
      <w:pPr>
        <w:pStyle w:val="ListParagraph"/>
        <w:numPr>
          <w:ilvl w:val="0"/>
          <w:numId w:val="45"/>
        </w:numPr>
        <w:ind w:left="357" w:hanging="357"/>
        <w:jc w:val="both"/>
        <w:rPr>
          <w:rFonts w:ascii="Arial" w:hAnsi="Arial" w:cs="Arial"/>
          <w:color w:val="000000"/>
          <w:sz w:val="20"/>
        </w:rPr>
      </w:pPr>
      <w:r>
        <w:rPr>
          <w:rFonts w:ascii="Arial" w:hAnsi="Arial" w:cs="Arial"/>
          <w:color w:val="000000"/>
          <w:sz w:val="20"/>
        </w:rPr>
        <w:t xml:space="preserve">The MCV exercises jurisdiction to hear and determine </w:t>
      </w:r>
      <w:r w:rsidR="006D17EA">
        <w:rPr>
          <w:rFonts w:ascii="Arial" w:hAnsi="Arial" w:cs="Arial"/>
          <w:color w:val="000000"/>
          <w:sz w:val="20"/>
        </w:rPr>
        <w:t xml:space="preserve">certain </w:t>
      </w:r>
      <w:r w:rsidR="00D133AC">
        <w:rPr>
          <w:rFonts w:ascii="Arial" w:hAnsi="Arial" w:cs="Arial"/>
          <w:color w:val="000000"/>
          <w:sz w:val="20"/>
        </w:rPr>
        <w:t xml:space="preserve">Part VII </w:t>
      </w:r>
      <w:r>
        <w:rPr>
          <w:rFonts w:ascii="Arial" w:hAnsi="Arial" w:cs="Arial"/>
          <w:color w:val="000000"/>
          <w:sz w:val="20"/>
        </w:rPr>
        <w:t>applications</w:t>
      </w:r>
      <w:r w:rsidR="006D17EA">
        <w:rPr>
          <w:rFonts w:ascii="Arial" w:hAnsi="Arial" w:cs="Arial"/>
          <w:color w:val="000000"/>
          <w:sz w:val="20"/>
        </w:rPr>
        <w:t>, including</w:t>
      </w:r>
      <w:r w:rsidR="006F3C62">
        <w:rPr>
          <w:rFonts w:ascii="Arial" w:hAnsi="Arial" w:cs="Arial"/>
          <w:color w:val="000000"/>
          <w:sz w:val="20"/>
        </w:rPr>
        <w:t>–</w:t>
      </w:r>
    </w:p>
    <w:p w14:paraId="71ABE7AF" w14:textId="77777777" w:rsidR="006D17EA" w:rsidRDefault="006F4B48">
      <w:pPr>
        <w:pStyle w:val="ListParagraph"/>
        <w:numPr>
          <w:ilvl w:val="0"/>
          <w:numId w:val="50"/>
        </w:numPr>
        <w:jc w:val="both"/>
        <w:rPr>
          <w:rFonts w:ascii="Arial" w:hAnsi="Arial" w:cs="Arial"/>
          <w:color w:val="000000"/>
          <w:sz w:val="20"/>
        </w:rPr>
      </w:pPr>
      <w:r>
        <w:rPr>
          <w:rFonts w:ascii="Arial" w:hAnsi="Arial" w:cs="Arial"/>
          <w:color w:val="000000"/>
          <w:sz w:val="20"/>
        </w:rPr>
        <w:t>contested applications for interim FLA parenting orders;</w:t>
      </w:r>
    </w:p>
    <w:p w14:paraId="6AE4272C" w14:textId="77777777" w:rsidR="006F4B48" w:rsidRDefault="006F4B48">
      <w:pPr>
        <w:pStyle w:val="ListParagraph"/>
        <w:numPr>
          <w:ilvl w:val="0"/>
          <w:numId w:val="50"/>
        </w:numPr>
        <w:jc w:val="both"/>
        <w:rPr>
          <w:rFonts w:ascii="Arial" w:hAnsi="Arial" w:cs="Arial"/>
          <w:color w:val="000000"/>
          <w:sz w:val="20"/>
        </w:rPr>
      </w:pPr>
      <w:r>
        <w:rPr>
          <w:rFonts w:ascii="Arial" w:hAnsi="Arial" w:cs="Arial"/>
          <w:color w:val="000000"/>
          <w:sz w:val="20"/>
        </w:rPr>
        <w:t>consent or uncontested applications for final FLA parenting orders;</w:t>
      </w:r>
    </w:p>
    <w:p w14:paraId="4DBFB3E7" w14:textId="77777777" w:rsidR="006F4B48" w:rsidRDefault="003A00E5">
      <w:pPr>
        <w:pStyle w:val="ListParagraph"/>
        <w:numPr>
          <w:ilvl w:val="0"/>
          <w:numId w:val="50"/>
        </w:numPr>
        <w:jc w:val="both"/>
        <w:rPr>
          <w:rFonts w:ascii="Arial" w:hAnsi="Arial" w:cs="Arial"/>
          <w:color w:val="000000"/>
          <w:sz w:val="20"/>
        </w:rPr>
      </w:pPr>
      <w:r>
        <w:rPr>
          <w:rFonts w:ascii="Arial" w:hAnsi="Arial" w:cs="Arial"/>
          <w:color w:val="000000"/>
          <w:sz w:val="20"/>
        </w:rPr>
        <w:t xml:space="preserve">applications for </w:t>
      </w:r>
      <w:r w:rsidR="00D133AC">
        <w:rPr>
          <w:rFonts w:ascii="Arial" w:hAnsi="Arial" w:cs="Arial"/>
          <w:color w:val="000000"/>
          <w:sz w:val="20"/>
        </w:rPr>
        <w:t xml:space="preserve">FLA </w:t>
      </w:r>
      <w:r w:rsidR="006F4B48">
        <w:rPr>
          <w:rFonts w:ascii="Arial" w:hAnsi="Arial" w:cs="Arial"/>
          <w:color w:val="000000"/>
          <w:sz w:val="20"/>
        </w:rPr>
        <w:t>recovery orders.</w:t>
      </w:r>
    </w:p>
    <w:p w14:paraId="4E657491" w14:textId="77777777" w:rsidR="006D17EA" w:rsidRDefault="006D17EA" w:rsidP="006F4B48">
      <w:pPr>
        <w:pStyle w:val="ListParagraph"/>
        <w:ind w:left="0"/>
        <w:jc w:val="both"/>
        <w:rPr>
          <w:rFonts w:ascii="Arial" w:hAnsi="Arial" w:cs="Arial"/>
          <w:color w:val="000000"/>
          <w:sz w:val="20"/>
        </w:rPr>
      </w:pPr>
    </w:p>
    <w:p w14:paraId="2535BBBD" w14:textId="0748D471" w:rsidR="00021C71" w:rsidRPr="00E122F1" w:rsidRDefault="007F5F1E" w:rsidP="00E122F1">
      <w:pPr>
        <w:jc w:val="both"/>
        <w:rPr>
          <w:rFonts w:ascii="Arial" w:hAnsi="Arial" w:cs="Arial"/>
          <w:color w:val="000000"/>
          <w:sz w:val="20"/>
        </w:rPr>
      </w:pPr>
      <w:r>
        <w:rPr>
          <w:rFonts w:ascii="Arial" w:hAnsi="Arial" w:cs="Arial"/>
          <w:color w:val="000000"/>
          <w:sz w:val="20"/>
        </w:rPr>
        <w:t xml:space="preserve">However, </w:t>
      </w:r>
      <w:r w:rsidR="00314B0B">
        <w:rPr>
          <w:rFonts w:ascii="Arial" w:hAnsi="Arial" w:cs="Arial"/>
          <w:color w:val="000000"/>
          <w:sz w:val="20"/>
        </w:rPr>
        <w:t xml:space="preserve">because </w:t>
      </w:r>
      <w:bookmarkStart w:id="374" w:name="_Hlk97801382"/>
      <w:r w:rsidR="00314B0B">
        <w:rPr>
          <w:rFonts w:ascii="Arial" w:hAnsi="Arial" w:cs="Arial"/>
          <w:color w:val="000000"/>
          <w:sz w:val="20"/>
        </w:rPr>
        <w:t>the issue of whether the C</w:t>
      </w:r>
      <w:r w:rsidR="001202C2">
        <w:rPr>
          <w:rFonts w:ascii="Arial" w:hAnsi="Arial" w:cs="Arial"/>
          <w:color w:val="000000"/>
          <w:sz w:val="20"/>
        </w:rPr>
        <w:t>h</w:t>
      </w:r>
      <w:r w:rsidR="00314B0B">
        <w:rPr>
          <w:rFonts w:ascii="Arial" w:hAnsi="Arial" w:cs="Arial"/>
          <w:color w:val="000000"/>
          <w:sz w:val="20"/>
        </w:rPr>
        <w:t xml:space="preserve">CV is a ‘court of summary jurisdiction’ </w:t>
      </w:r>
      <w:r w:rsidR="00140FA4">
        <w:rPr>
          <w:rFonts w:ascii="Arial" w:hAnsi="Arial" w:cs="Arial"/>
          <w:color w:val="000000"/>
          <w:sz w:val="20"/>
        </w:rPr>
        <w:t xml:space="preserve">is still </w:t>
      </w:r>
      <w:r w:rsidR="00314B0B">
        <w:rPr>
          <w:rFonts w:ascii="Arial" w:hAnsi="Arial" w:cs="Arial"/>
          <w:color w:val="000000"/>
          <w:sz w:val="20"/>
        </w:rPr>
        <w:t xml:space="preserve">not </w:t>
      </w:r>
      <w:r w:rsidR="00000D28">
        <w:rPr>
          <w:rFonts w:ascii="Arial" w:hAnsi="Arial" w:cs="Arial"/>
          <w:color w:val="000000"/>
          <w:sz w:val="20"/>
        </w:rPr>
        <w:t>entire</w:t>
      </w:r>
      <w:r w:rsidR="00314B0B">
        <w:rPr>
          <w:rFonts w:ascii="Arial" w:hAnsi="Arial" w:cs="Arial"/>
          <w:color w:val="000000"/>
          <w:sz w:val="20"/>
        </w:rPr>
        <w:t xml:space="preserve">ly </w:t>
      </w:r>
      <w:r w:rsidR="00B140AA">
        <w:rPr>
          <w:rFonts w:ascii="Arial" w:hAnsi="Arial" w:cs="Arial"/>
          <w:color w:val="000000"/>
          <w:sz w:val="20"/>
        </w:rPr>
        <w:t>free of doubt</w:t>
      </w:r>
      <w:bookmarkEnd w:id="374"/>
      <w:r w:rsidR="00314B0B">
        <w:rPr>
          <w:rFonts w:ascii="Arial" w:hAnsi="Arial" w:cs="Arial"/>
          <w:color w:val="000000"/>
          <w:sz w:val="20"/>
        </w:rPr>
        <w:t xml:space="preserve">, </w:t>
      </w:r>
      <w:bookmarkEnd w:id="373"/>
      <w:r w:rsidR="00314B0B">
        <w:rPr>
          <w:rFonts w:ascii="Arial" w:hAnsi="Arial" w:cs="Arial"/>
          <w:color w:val="000000"/>
          <w:sz w:val="20"/>
        </w:rPr>
        <w:t>the writer believes that it would be prudent</w:t>
      </w:r>
      <w:r w:rsidR="00E122F1">
        <w:rPr>
          <w:rFonts w:ascii="Arial" w:hAnsi="Arial" w:cs="Arial"/>
          <w:color w:val="000000"/>
          <w:sz w:val="20"/>
        </w:rPr>
        <w:t xml:space="preserve"> </w:t>
      </w:r>
      <w:r w:rsidR="00314B0B">
        <w:rPr>
          <w:rFonts w:ascii="Arial" w:hAnsi="Arial" w:cs="Arial"/>
          <w:color w:val="000000"/>
          <w:sz w:val="20"/>
        </w:rPr>
        <w:t>for the C</w:t>
      </w:r>
      <w:r w:rsidR="001202C2">
        <w:rPr>
          <w:rFonts w:ascii="Arial" w:hAnsi="Arial" w:cs="Arial"/>
          <w:color w:val="000000"/>
          <w:sz w:val="20"/>
        </w:rPr>
        <w:t>h</w:t>
      </w:r>
      <w:r w:rsidR="00314B0B">
        <w:rPr>
          <w:rFonts w:ascii="Arial" w:hAnsi="Arial" w:cs="Arial"/>
          <w:color w:val="000000"/>
          <w:sz w:val="20"/>
        </w:rPr>
        <w:t xml:space="preserve">CV to be </w:t>
      </w:r>
      <w:r w:rsidR="00314B0B">
        <w:rPr>
          <w:rFonts w:ascii="Arial" w:hAnsi="Arial" w:cs="Arial"/>
          <w:sz w:val="20"/>
        </w:rPr>
        <w:t xml:space="preserve">prescribed by Commonwealth regulations </w:t>
      </w:r>
      <w:r w:rsidR="002005EA">
        <w:rPr>
          <w:rFonts w:ascii="Arial" w:hAnsi="Arial" w:cs="Arial"/>
          <w:sz w:val="20"/>
        </w:rPr>
        <w:t xml:space="preserve">made under s.69GA </w:t>
      </w:r>
      <w:r w:rsidR="00314B0B">
        <w:rPr>
          <w:rFonts w:ascii="Arial" w:hAnsi="Arial" w:cs="Arial"/>
          <w:sz w:val="20"/>
        </w:rPr>
        <w:t>as a state court empowered to hear proceedings (or specified classes of proceedings) under the FLA</w:t>
      </w:r>
      <w:r w:rsidR="00E122F1">
        <w:rPr>
          <w:rFonts w:ascii="Arial" w:hAnsi="Arial" w:cs="Arial"/>
          <w:sz w:val="20"/>
        </w:rPr>
        <w:t xml:space="preserve">.  If that is done, </w:t>
      </w:r>
      <w:r w:rsidR="00021C71" w:rsidRPr="00E122F1">
        <w:rPr>
          <w:rFonts w:ascii="Arial" w:hAnsi="Arial" w:cs="Arial"/>
          <w:color w:val="000000"/>
          <w:sz w:val="20"/>
        </w:rPr>
        <w:t xml:space="preserve">s.69GA(3) </w:t>
      </w:r>
      <w:r w:rsidR="00E122F1">
        <w:rPr>
          <w:rFonts w:ascii="Arial" w:hAnsi="Arial" w:cs="Arial"/>
          <w:color w:val="000000"/>
          <w:sz w:val="20"/>
        </w:rPr>
        <w:t xml:space="preserve">FLA </w:t>
      </w:r>
      <w:r w:rsidR="00021C71" w:rsidRPr="00E122F1">
        <w:rPr>
          <w:rFonts w:ascii="Arial" w:hAnsi="Arial" w:cs="Arial"/>
          <w:color w:val="000000"/>
          <w:sz w:val="20"/>
        </w:rPr>
        <w:t>will enable C</w:t>
      </w:r>
      <w:r w:rsidR="001202C2">
        <w:rPr>
          <w:rFonts w:ascii="Arial" w:hAnsi="Arial" w:cs="Arial"/>
          <w:color w:val="000000"/>
          <w:sz w:val="20"/>
        </w:rPr>
        <w:t>h</w:t>
      </w:r>
      <w:r w:rsidR="00021C71" w:rsidRPr="00E122F1">
        <w:rPr>
          <w:rFonts w:ascii="Arial" w:hAnsi="Arial" w:cs="Arial"/>
          <w:color w:val="000000"/>
          <w:sz w:val="20"/>
        </w:rPr>
        <w:t>CV rules made under s.588(1)(</w:t>
      </w:r>
      <w:proofErr w:type="spellStart"/>
      <w:r w:rsidR="00021C71" w:rsidRPr="00E122F1">
        <w:rPr>
          <w:rFonts w:ascii="Arial" w:hAnsi="Arial" w:cs="Arial"/>
          <w:color w:val="000000"/>
          <w:sz w:val="20"/>
        </w:rPr>
        <w:t>ba</w:t>
      </w:r>
      <w:proofErr w:type="spellEnd"/>
      <w:r w:rsidR="00021C71" w:rsidRPr="00E122F1">
        <w:rPr>
          <w:rFonts w:ascii="Arial" w:hAnsi="Arial" w:cs="Arial"/>
          <w:color w:val="000000"/>
          <w:sz w:val="20"/>
        </w:rPr>
        <w:t xml:space="preserve">) CYFA to be prescribed under the FLA as the relevant rules for the exercise of Part VII </w:t>
      </w:r>
      <w:r w:rsidR="00D43DF0">
        <w:rPr>
          <w:rFonts w:ascii="Arial" w:hAnsi="Arial" w:cs="Arial"/>
          <w:color w:val="000000"/>
          <w:sz w:val="20"/>
        </w:rPr>
        <w:t xml:space="preserve">FLA </w:t>
      </w:r>
      <w:r w:rsidR="00021C71" w:rsidRPr="00E122F1">
        <w:rPr>
          <w:rFonts w:ascii="Arial" w:hAnsi="Arial" w:cs="Arial"/>
          <w:color w:val="000000"/>
          <w:sz w:val="20"/>
        </w:rPr>
        <w:t>jurisdiction in the C</w:t>
      </w:r>
      <w:r w:rsidR="001202C2">
        <w:rPr>
          <w:rFonts w:ascii="Arial" w:hAnsi="Arial" w:cs="Arial"/>
          <w:color w:val="000000"/>
          <w:sz w:val="20"/>
        </w:rPr>
        <w:t>h</w:t>
      </w:r>
      <w:r w:rsidR="00021C71" w:rsidRPr="00E122F1">
        <w:rPr>
          <w:rFonts w:ascii="Arial" w:hAnsi="Arial" w:cs="Arial"/>
          <w:color w:val="000000"/>
          <w:sz w:val="20"/>
        </w:rPr>
        <w:t>CV</w:t>
      </w:r>
      <w:r w:rsidR="00E122F1">
        <w:rPr>
          <w:rFonts w:ascii="Arial" w:hAnsi="Arial" w:cs="Arial"/>
          <w:color w:val="000000"/>
          <w:sz w:val="20"/>
        </w:rPr>
        <w:t>: s</w:t>
      </w:r>
      <w:r w:rsidR="00021C71" w:rsidRPr="00E122F1">
        <w:rPr>
          <w:rFonts w:ascii="Arial" w:hAnsi="Arial" w:cs="Arial"/>
          <w:color w:val="000000"/>
          <w:sz w:val="20"/>
        </w:rPr>
        <w:t>ee</w:t>
      </w:r>
      <w:r w:rsidR="00D43DF0">
        <w:rPr>
          <w:rFonts w:ascii="Arial" w:hAnsi="Arial" w:cs="Arial"/>
          <w:color w:val="000000"/>
          <w:sz w:val="20"/>
        </w:rPr>
        <w:t xml:space="preserve"> </w:t>
      </w:r>
      <w:r w:rsidR="00021C71" w:rsidRPr="00E122F1">
        <w:rPr>
          <w:rFonts w:ascii="Arial" w:hAnsi="Arial" w:cs="Arial"/>
          <w:sz w:val="20"/>
        </w:rPr>
        <w:t>paragraphs [45]</w:t>
      </w:r>
      <w:r w:rsidR="00D43DF0">
        <w:rPr>
          <w:rFonts w:ascii="Arial" w:hAnsi="Arial" w:cs="Arial"/>
          <w:sz w:val="20"/>
        </w:rPr>
        <w:noBreakHyphen/>
        <w:t>[</w:t>
      </w:r>
      <w:r w:rsidR="00021C71" w:rsidRPr="00E122F1">
        <w:rPr>
          <w:rFonts w:ascii="Arial" w:hAnsi="Arial" w:cs="Arial"/>
          <w:sz w:val="20"/>
        </w:rPr>
        <w:t>46] of the Explanatory Memorandum to the 2018 amending C</w:t>
      </w:r>
      <w:r w:rsidR="00D43DF0">
        <w:rPr>
          <w:rFonts w:ascii="Arial" w:hAnsi="Arial" w:cs="Arial"/>
          <w:sz w:val="20"/>
        </w:rPr>
        <w:t>ommonweal</w:t>
      </w:r>
      <w:r w:rsidR="00021C71" w:rsidRPr="00E122F1">
        <w:rPr>
          <w:rFonts w:ascii="Arial" w:hAnsi="Arial" w:cs="Arial"/>
          <w:sz w:val="20"/>
        </w:rPr>
        <w:t>th Act.</w:t>
      </w:r>
    </w:p>
    <w:p w14:paraId="19700C11" w14:textId="77777777" w:rsidR="00021C71" w:rsidRPr="00EE3617" w:rsidRDefault="00021C71" w:rsidP="00021C71">
      <w:pPr>
        <w:rPr>
          <w:rFonts w:ascii="Arial" w:hAnsi="Arial" w:cs="Arial"/>
          <w:color w:val="000000"/>
          <w:sz w:val="20"/>
        </w:rPr>
      </w:pPr>
    </w:p>
    <w:p w14:paraId="7A8BA9CF" w14:textId="7239F76B" w:rsidR="00314B0B" w:rsidRPr="008721AA" w:rsidRDefault="00E122F1" w:rsidP="007F5F1E">
      <w:pPr>
        <w:jc w:val="both"/>
        <w:rPr>
          <w:rFonts w:ascii="Arial" w:hAnsi="Arial" w:cs="Arial"/>
          <w:b/>
          <w:bCs/>
          <w:color w:val="000000"/>
          <w:sz w:val="20"/>
        </w:rPr>
      </w:pPr>
      <w:r w:rsidRPr="008721AA">
        <w:rPr>
          <w:rFonts w:ascii="Arial" w:hAnsi="Arial" w:cs="Arial"/>
          <w:b/>
          <w:bCs/>
          <w:color w:val="000000"/>
          <w:sz w:val="20"/>
        </w:rPr>
        <w:t xml:space="preserve">In conclusion, for the moment the </w:t>
      </w:r>
      <w:r w:rsidR="00A9017D" w:rsidRPr="008721AA">
        <w:rPr>
          <w:rFonts w:ascii="Arial" w:hAnsi="Arial" w:cs="Arial"/>
          <w:b/>
          <w:bCs/>
          <w:color w:val="000000"/>
          <w:sz w:val="20"/>
        </w:rPr>
        <w:t xml:space="preserve">only </w:t>
      </w:r>
      <w:r w:rsidRPr="008721AA">
        <w:rPr>
          <w:rFonts w:ascii="Arial" w:hAnsi="Arial" w:cs="Arial"/>
          <w:b/>
          <w:bCs/>
          <w:color w:val="000000"/>
          <w:sz w:val="20"/>
        </w:rPr>
        <w:t>jurisdiction which the C</w:t>
      </w:r>
      <w:r w:rsidR="001202C2" w:rsidRPr="008721AA">
        <w:rPr>
          <w:rFonts w:ascii="Arial" w:hAnsi="Arial" w:cs="Arial"/>
          <w:b/>
          <w:bCs/>
          <w:color w:val="000000"/>
          <w:sz w:val="20"/>
        </w:rPr>
        <w:t>h</w:t>
      </w:r>
      <w:r w:rsidRPr="008721AA">
        <w:rPr>
          <w:rFonts w:ascii="Arial" w:hAnsi="Arial" w:cs="Arial"/>
          <w:b/>
          <w:bCs/>
          <w:color w:val="000000"/>
          <w:sz w:val="20"/>
        </w:rPr>
        <w:t xml:space="preserve">CV </w:t>
      </w:r>
      <w:r w:rsidR="004D6CCE" w:rsidRPr="008721AA">
        <w:rPr>
          <w:rFonts w:ascii="Arial" w:hAnsi="Arial" w:cs="Arial"/>
          <w:b/>
          <w:bCs/>
          <w:color w:val="000000"/>
          <w:sz w:val="20"/>
        </w:rPr>
        <w:t xml:space="preserve">is </w:t>
      </w:r>
      <w:r w:rsidRPr="008721AA">
        <w:rPr>
          <w:rFonts w:ascii="Arial" w:hAnsi="Arial" w:cs="Arial"/>
          <w:b/>
          <w:bCs/>
          <w:color w:val="000000"/>
          <w:sz w:val="20"/>
        </w:rPr>
        <w:t>exercis</w:t>
      </w:r>
      <w:r w:rsidR="004D6CCE" w:rsidRPr="008721AA">
        <w:rPr>
          <w:rFonts w:ascii="Arial" w:hAnsi="Arial" w:cs="Arial"/>
          <w:b/>
          <w:bCs/>
          <w:color w:val="000000"/>
          <w:sz w:val="20"/>
        </w:rPr>
        <w:t>ing</w:t>
      </w:r>
      <w:r w:rsidRPr="008721AA">
        <w:rPr>
          <w:rFonts w:ascii="Arial" w:hAnsi="Arial" w:cs="Arial"/>
          <w:b/>
          <w:bCs/>
          <w:color w:val="000000"/>
          <w:sz w:val="20"/>
        </w:rPr>
        <w:t xml:space="preserve"> in practice under the FLA is that under s.68R, namely in certain circumstances to revive, vary, discharge or suspend an FLA </w:t>
      </w:r>
      <w:r w:rsidR="008721AA" w:rsidRPr="008721AA">
        <w:rPr>
          <w:rFonts w:ascii="Arial" w:hAnsi="Arial" w:cs="Arial"/>
          <w:b/>
          <w:bCs/>
          <w:color w:val="000000"/>
          <w:sz w:val="20"/>
        </w:rPr>
        <w:t>‘</w:t>
      </w:r>
      <w:r w:rsidR="00430345" w:rsidRPr="008721AA">
        <w:rPr>
          <w:rFonts w:ascii="Arial" w:hAnsi="Arial" w:cs="Arial"/>
          <w:b/>
          <w:bCs/>
          <w:color w:val="000000"/>
          <w:sz w:val="20"/>
        </w:rPr>
        <w:t>spend time with</w:t>
      </w:r>
      <w:r w:rsidR="008721AA" w:rsidRPr="008721AA">
        <w:rPr>
          <w:rFonts w:ascii="Arial" w:hAnsi="Arial" w:cs="Arial"/>
          <w:b/>
          <w:bCs/>
          <w:color w:val="000000"/>
          <w:sz w:val="20"/>
        </w:rPr>
        <w:t>’</w:t>
      </w:r>
      <w:r w:rsidRPr="008721AA">
        <w:rPr>
          <w:rFonts w:ascii="Arial" w:hAnsi="Arial" w:cs="Arial"/>
          <w:b/>
          <w:bCs/>
          <w:color w:val="000000"/>
          <w:sz w:val="20"/>
        </w:rPr>
        <w:t xml:space="preserve"> </w:t>
      </w:r>
      <w:r w:rsidR="008F3255">
        <w:rPr>
          <w:rFonts w:ascii="Arial" w:hAnsi="Arial" w:cs="Arial"/>
          <w:b/>
          <w:bCs/>
          <w:color w:val="000000"/>
          <w:sz w:val="20"/>
        </w:rPr>
        <w:t xml:space="preserve">or ‘live with’ </w:t>
      </w:r>
      <w:r w:rsidRPr="008721AA">
        <w:rPr>
          <w:rFonts w:ascii="Arial" w:hAnsi="Arial" w:cs="Arial"/>
          <w:b/>
          <w:bCs/>
          <w:color w:val="000000"/>
          <w:sz w:val="20"/>
        </w:rPr>
        <w:t xml:space="preserve">order </w:t>
      </w:r>
      <w:r w:rsidR="00140FA4" w:rsidRPr="008721AA">
        <w:rPr>
          <w:rFonts w:ascii="Arial" w:hAnsi="Arial" w:cs="Arial"/>
          <w:b/>
          <w:bCs/>
          <w:color w:val="000000"/>
          <w:sz w:val="20"/>
        </w:rPr>
        <w:t>in proceedings under the FVPA to make or vary a family violence intervention order.</w:t>
      </w:r>
    </w:p>
    <w:p w14:paraId="6EF77B0A" w14:textId="77777777" w:rsidR="001F1104" w:rsidRDefault="001F1104" w:rsidP="001F1104">
      <w:pPr>
        <w:jc w:val="both"/>
        <w:rPr>
          <w:rFonts w:ascii="Arial" w:hAnsi="Arial" w:cs="Arial"/>
          <w:sz w:val="20"/>
        </w:rPr>
      </w:pPr>
    </w:p>
    <w:p w14:paraId="27382B2A" w14:textId="12993393" w:rsidR="001F1104" w:rsidRDefault="001F1104" w:rsidP="001F1104">
      <w:pPr>
        <w:pStyle w:val="Heading3"/>
        <w:keepNext/>
        <w:keepLines/>
        <w:spacing w:line="240" w:lineRule="auto"/>
        <w:rPr>
          <w:rFonts w:ascii="Arial" w:hAnsi="Arial" w:cs="Arial"/>
          <w:b/>
          <w:bCs/>
          <w:sz w:val="20"/>
        </w:rPr>
      </w:pPr>
      <w:bookmarkStart w:id="375" w:name="_4.3.3_Jurisdiction_under"/>
      <w:bookmarkEnd w:id="375"/>
      <w:r>
        <w:rPr>
          <w:rFonts w:ascii="Arial" w:hAnsi="Arial" w:cs="Arial"/>
          <w:b/>
          <w:bCs/>
          <w:sz w:val="20"/>
        </w:rPr>
        <w:lastRenderedPageBreak/>
        <w:t>4.3.3</w:t>
      </w:r>
      <w:r>
        <w:rPr>
          <w:rFonts w:ascii="Arial" w:hAnsi="Arial" w:cs="Arial"/>
          <w:b/>
          <w:bCs/>
          <w:sz w:val="20"/>
        </w:rPr>
        <w:tab/>
        <w:t>Jurisdiction under the Terrorism (Community Protection) Act 2003</w:t>
      </w:r>
    </w:p>
    <w:p w14:paraId="30DCBFE7" w14:textId="1388D33D" w:rsidR="001F1104" w:rsidRDefault="001F1104" w:rsidP="001F1104">
      <w:pPr>
        <w:pStyle w:val="Heading3"/>
        <w:keepNext/>
        <w:keepLines/>
        <w:spacing w:line="240" w:lineRule="auto"/>
        <w:rPr>
          <w:rFonts w:ascii="Arial" w:hAnsi="Arial" w:cs="Arial"/>
          <w:sz w:val="20"/>
        </w:rPr>
      </w:pPr>
    </w:p>
    <w:p w14:paraId="031C80E3" w14:textId="08FDA232" w:rsidR="00BC2A2A" w:rsidRPr="003517E7" w:rsidRDefault="00BC2A2A" w:rsidP="003517E7">
      <w:pPr>
        <w:pStyle w:val="Heading3"/>
        <w:keepNext/>
        <w:keepLines/>
        <w:spacing w:line="240" w:lineRule="auto"/>
        <w:jc w:val="center"/>
        <w:rPr>
          <w:rFonts w:ascii="Arial" w:hAnsi="Arial" w:cs="Arial"/>
          <w:b/>
          <w:bCs/>
          <w:sz w:val="20"/>
        </w:rPr>
      </w:pPr>
      <w:r w:rsidRPr="003517E7">
        <w:rPr>
          <w:rFonts w:ascii="Arial" w:hAnsi="Arial" w:cs="Arial"/>
          <w:b/>
          <w:bCs/>
          <w:sz w:val="20"/>
        </w:rPr>
        <w:t xml:space="preserve">Unless otherwise indicated all references to legislative provisions in this </w:t>
      </w:r>
      <w:r w:rsidRPr="003B600E">
        <w:rPr>
          <w:rFonts w:ascii="Arial" w:hAnsi="Arial" w:cs="Arial"/>
          <w:b/>
          <w:bCs/>
          <w:sz w:val="20"/>
          <w:shd w:val="clear" w:color="auto" w:fill="C5E0B3"/>
        </w:rPr>
        <w:t>section</w:t>
      </w:r>
      <w:r w:rsidRPr="003517E7">
        <w:rPr>
          <w:rFonts w:ascii="Arial" w:hAnsi="Arial" w:cs="Arial"/>
          <w:b/>
          <w:bCs/>
          <w:sz w:val="20"/>
        </w:rPr>
        <w:t xml:space="preserve"> are to the </w:t>
      </w:r>
      <w:r w:rsidRPr="003517E7">
        <w:rPr>
          <w:rFonts w:ascii="Arial" w:hAnsi="Arial" w:cs="Arial"/>
          <w:b/>
          <w:bCs/>
          <w:i/>
          <w:iCs/>
          <w:sz w:val="20"/>
        </w:rPr>
        <w:t xml:space="preserve">Terrorism (Community Protection) Act 2003 </w:t>
      </w:r>
      <w:r w:rsidRPr="003517E7">
        <w:rPr>
          <w:rFonts w:ascii="Arial" w:hAnsi="Arial" w:cs="Arial"/>
          <w:b/>
          <w:bCs/>
          <w:sz w:val="20"/>
        </w:rPr>
        <w:t>(TCPA).</w:t>
      </w:r>
    </w:p>
    <w:p w14:paraId="678FBA93" w14:textId="77777777" w:rsidR="00BC2A2A" w:rsidRPr="00DA4E28" w:rsidRDefault="00BC2A2A" w:rsidP="001F1104">
      <w:pPr>
        <w:pStyle w:val="Heading3"/>
        <w:keepNext/>
        <w:keepLines/>
        <w:spacing w:line="240" w:lineRule="auto"/>
        <w:rPr>
          <w:rFonts w:ascii="Arial" w:hAnsi="Arial" w:cs="Arial"/>
          <w:sz w:val="20"/>
        </w:rPr>
      </w:pPr>
    </w:p>
    <w:p w14:paraId="39383BF7" w14:textId="31E22A9D" w:rsidR="006C1AE0" w:rsidRPr="00220B9E" w:rsidRDefault="006C1AE0" w:rsidP="002B5656">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t>BACKGROUND</w:t>
      </w:r>
    </w:p>
    <w:p w14:paraId="5CB3AA7B" w14:textId="77777777" w:rsidR="006C1AE0" w:rsidRDefault="006C1AE0" w:rsidP="00BC2A2A">
      <w:pPr>
        <w:jc w:val="both"/>
        <w:rPr>
          <w:rFonts w:ascii="Arial" w:hAnsi="Arial" w:cs="Arial"/>
          <w:sz w:val="20"/>
          <w:szCs w:val="20"/>
        </w:rPr>
      </w:pPr>
    </w:p>
    <w:p w14:paraId="7A6BD9FC" w14:textId="7EAD7BB0" w:rsidR="001F09E6" w:rsidRDefault="00C575C5" w:rsidP="00BC2A2A">
      <w:pPr>
        <w:jc w:val="both"/>
        <w:rPr>
          <w:rFonts w:ascii="Arial" w:hAnsi="Arial" w:cs="Arial"/>
          <w:sz w:val="20"/>
          <w:szCs w:val="20"/>
        </w:rPr>
      </w:pPr>
      <w:r>
        <w:rPr>
          <w:rFonts w:ascii="Arial" w:hAnsi="Arial" w:cs="Arial"/>
          <w:sz w:val="20"/>
          <w:szCs w:val="20"/>
        </w:rPr>
        <w:t xml:space="preserve">In 2017, </w:t>
      </w:r>
      <w:r w:rsidR="001F09E6" w:rsidRPr="001F09E6">
        <w:rPr>
          <w:rFonts w:ascii="Arial" w:hAnsi="Arial" w:cs="Arial"/>
          <w:sz w:val="20"/>
          <w:szCs w:val="20"/>
        </w:rPr>
        <w:t xml:space="preserve">the </w:t>
      </w:r>
      <w:r w:rsidR="00962D00">
        <w:rPr>
          <w:rFonts w:ascii="Arial" w:hAnsi="Arial" w:cs="Arial"/>
          <w:sz w:val="20"/>
          <w:szCs w:val="20"/>
        </w:rPr>
        <w:t xml:space="preserve">Victorian </w:t>
      </w:r>
      <w:r w:rsidR="001F09E6" w:rsidRPr="001F09E6">
        <w:rPr>
          <w:rFonts w:ascii="Arial" w:hAnsi="Arial" w:cs="Arial"/>
          <w:sz w:val="20"/>
          <w:szCs w:val="20"/>
        </w:rPr>
        <w:t xml:space="preserve">Government appointed </w:t>
      </w:r>
      <w:r w:rsidR="001F09E6">
        <w:rPr>
          <w:rFonts w:ascii="Arial" w:hAnsi="Arial" w:cs="Arial"/>
          <w:sz w:val="20"/>
          <w:szCs w:val="20"/>
        </w:rPr>
        <w:t>an</w:t>
      </w:r>
      <w:r w:rsidR="001F09E6" w:rsidRPr="001F09E6">
        <w:rPr>
          <w:rFonts w:ascii="Arial" w:hAnsi="Arial" w:cs="Arial"/>
          <w:sz w:val="20"/>
          <w:szCs w:val="20"/>
        </w:rPr>
        <w:t xml:space="preserve"> Expert Panel on Terrorism and Violent Extremism Prevention and Response Powers to review the operation and effectiveness of Victoria's laws to prevent, monitor, investigate and respond to acts of terrorism and violent extremism.</w:t>
      </w:r>
    </w:p>
    <w:p w14:paraId="26F3B797" w14:textId="77777777" w:rsidR="001F09E6" w:rsidRDefault="001F09E6" w:rsidP="001F09E6">
      <w:pPr>
        <w:jc w:val="both"/>
        <w:rPr>
          <w:rFonts w:ascii="Arial" w:hAnsi="Arial" w:cs="Arial"/>
          <w:sz w:val="20"/>
          <w:szCs w:val="20"/>
        </w:rPr>
      </w:pPr>
    </w:p>
    <w:p w14:paraId="7BC51BB4" w14:textId="3393EE6B" w:rsidR="001F09E6" w:rsidRPr="001F09E6" w:rsidRDefault="001F09E6" w:rsidP="001F09E6">
      <w:pPr>
        <w:jc w:val="both"/>
        <w:rPr>
          <w:rFonts w:ascii="Arial" w:hAnsi="Arial" w:cs="Arial"/>
          <w:sz w:val="16"/>
          <w:szCs w:val="16"/>
        </w:rPr>
      </w:pPr>
      <w:r>
        <w:rPr>
          <w:rFonts w:ascii="Arial" w:hAnsi="Arial" w:cs="Arial"/>
          <w:sz w:val="20"/>
          <w:szCs w:val="20"/>
        </w:rPr>
        <w:t xml:space="preserve">The </w:t>
      </w:r>
      <w:r w:rsidRPr="001F09E6">
        <w:rPr>
          <w:rFonts w:ascii="Arial" w:hAnsi="Arial" w:cs="Arial"/>
          <w:i/>
          <w:iCs/>
          <w:sz w:val="20"/>
          <w:szCs w:val="20"/>
        </w:rPr>
        <w:t>Terrorism (Community Protection) Amendment Act 2021</w:t>
      </w:r>
      <w:r>
        <w:rPr>
          <w:rFonts w:ascii="Arial" w:hAnsi="Arial" w:cs="Arial"/>
          <w:i/>
          <w:iCs/>
          <w:sz w:val="20"/>
          <w:szCs w:val="20"/>
        </w:rPr>
        <w:t xml:space="preserve"> – </w:t>
      </w:r>
      <w:r w:rsidRPr="001F09E6">
        <w:rPr>
          <w:rFonts w:ascii="Arial" w:hAnsi="Arial" w:cs="Arial"/>
          <w:sz w:val="20"/>
          <w:szCs w:val="20"/>
        </w:rPr>
        <w:t>which amends the</w:t>
      </w:r>
      <w:r>
        <w:rPr>
          <w:rFonts w:ascii="Arial" w:hAnsi="Arial" w:cs="Arial"/>
          <w:i/>
          <w:iCs/>
          <w:sz w:val="20"/>
          <w:szCs w:val="20"/>
        </w:rPr>
        <w:t xml:space="preserve"> </w:t>
      </w:r>
      <w:r w:rsidRPr="00C04979">
        <w:rPr>
          <w:rFonts w:ascii="Arial" w:hAnsi="Arial" w:cs="Arial"/>
          <w:i/>
          <w:iCs/>
          <w:sz w:val="20"/>
        </w:rPr>
        <w:t>Terrorism (Community Protection) Act 2003</w:t>
      </w:r>
      <w:r w:rsidR="00035BE4">
        <w:rPr>
          <w:rFonts w:ascii="Arial" w:hAnsi="Arial" w:cs="Arial"/>
          <w:i/>
          <w:iCs/>
          <w:sz w:val="20"/>
        </w:rPr>
        <w:t xml:space="preserve"> </w:t>
      </w:r>
      <w:r w:rsidRPr="001F09E6">
        <w:rPr>
          <w:rFonts w:ascii="Arial" w:hAnsi="Arial" w:cs="Arial"/>
          <w:sz w:val="20"/>
        </w:rPr>
        <w:t xml:space="preserve">– implements </w:t>
      </w:r>
      <w:r>
        <w:rPr>
          <w:rFonts w:ascii="Arial" w:hAnsi="Arial" w:cs="Arial"/>
          <w:sz w:val="20"/>
        </w:rPr>
        <w:t xml:space="preserve">four </w:t>
      </w:r>
      <w:r w:rsidRPr="001F09E6">
        <w:rPr>
          <w:rFonts w:ascii="Arial" w:hAnsi="Arial" w:cs="Arial"/>
          <w:sz w:val="20"/>
        </w:rPr>
        <w:t xml:space="preserve">recommendations </w:t>
      </w:r>
      <w:r>
        <w:rPr>
          <w:rFonts w:ascii="Arial" w:hAnsi="Arial" w:cs="Arial"/>
          <w:sz w:val="20"/>
        </w:rPr>
        <w:t xml:space="preserve">from the second report of the Expert Panel.  These </w:t>
      </w:r>
      <w:r w:rsidR="00966DCD">
        <w:rPr>
          <w:rFonts w:ascii="Arial" w:hAnsi="Arial" w:cs="Arial"/>
          <w:sz w:val="20"/>
        </w:rPr>
        <w:t>amendments</w:t>
      </w:r>
      <w:r>
        <w:rPr>
          <w:rFonts w:ascii="Arial" w:hAnsi="Arial" w:cs="Arial"/>
          <w:sz w:val="20"/>
        </w:rPr>
        <w:t xml:space="preserve"> </w:t>
      </w:r>
      <w:r w:rsidRPr="001F09E6">
        <w:rPr>
          <w:rFonts w:ascii="Arial" w:hAnsi="Arial" w:cs="Arial"/>
          <w:sz w:val="20"/>
          <w:szCs w:val="20"/>
        </w:rPr>
        <w:t xml:space="preserve">complement existing powers that government and law enforcement agencies can utilise when a person has radicalised to the point where a terrorist attack is being planned or is about to occur. The </w:t>
      </w:r>
      <w:r>
        <w:rPr>
          <w:rFonts w:ascii="Arial" w:hAnsi="Arial" w:cs="Arial"/>
          <w:sz w:val="20"/>
          <w:szCs w:val="20"/>
        </w:rPr>
        <w:t>amendments</w:t>
      </w:r>
      <w:r w:rsidRPr="001F09E6">
        <w:rPr>
          <w:rFonts w:ascii="Arial" w:hAnsi="Arial" w:cs="Arial"/>
          <w:sz w:val="20"/>
          <w:szCs w:val="20"/>
        </w:rPr>
        <w:t xml:space="preserve"> introduce early intervention pathways and a multi-agency approach to address violent extremism when it arises and also to divert people away from radicalisation before they present a threat to the community.</w:t>
      </w:r>
      <w:r w:rsidR="00DC6279">
        <w:rPr>
          <w:rFonts w:ascii="Arial" w:hAnsi="Arial" w:cs="Arial"/>
          <w:sz w:val="20"/>
          <w:szCs w:val="20"/>
        </w:rPr>
        <w:t xml:space="preserve">  Th</w:t>
      </w:r>
      <w:r w:rsidR="00DA0DB3">
        <w:rPr>
          <w:rFonts w:ascii="Arial" w:hAnsi="Arial" w:cs="Arial"/>
          <w:sz w:val="20"/>
          <w:szCs w:val="20"/>
        </w:rPr>
        <w:t>is is achieved by</w:t>
      </w:r>
      <w:r w:rsidR="00DC6279">
        <w:rPr>
          <w:rFonts w:ascii="Arial" w:hAnsi="Arial" w:cs="Arial"/>
          <w:sz w:val="20"/>
          <w:szCs w:val="20"/>
        </w:rPr>
        <w:t xml:space="preserve"> </w:t>
      </w:r>
      <w:r w:rsidR="00DA0DB3">
        <w:rPr>
          <w:rFonts w:ascii="Arial" w:hAnsi="Arial" w:cs="Arial"/>
          <w:sz w:val="20"/>
          <w:szCs w:val="20"/>
        </w:rPr>
        <w:t xml:space="preserve">the </w:t>
      </w:r>
      <w:r w:rsidR="00DC6279">
        <w:rPr>
          <w:rFonts w:ascii="Arial" w:hAnsi="Arial" w:cs="Arial"/>
          <w:sz w:val="20"/>
          <w:szCs w:val="20"/>
        </w:rPr>
        <w:t>insert</w:t>
      </w:r>
      <w:r w:rsidR="00DA0DB3">
        <w:rPr>
          <w:rFonts w:ascii="Arial" w:hAnsi="Arial" w:cs="Arial"/>
          <w:sz w:val="20"/>
          <w:szCs w:val="20"/>
        </w:rPr>
        <w:t>ion of</w:t>
      </w:r>
      <w:r w:rsidR="00DC6279">
        <w:rPr>
          <w:rFonts w:ascii="Arial" w:hAnsi="Arial" w:cs="Arial"/>
          <w:sz w:val="20"/>
          <w:szCs w:val="20"/>
        </w:rPr>
        <w:t xml:space="preserve"> new provisions </w:t>
      </w:r>
      <w:r w:rsidR="00DA0DB3">
        <w:rPr>
          <w:rFonts w:ascii="Arial" w:hAnsi="Arial" w:cs="Arial"/>
          <w:sz w:val="20"/>
          <w:szCs w:val="20"/>
        </w:rPr>
        <w:t xml:space="preserve">into the TCPA </w:t>
      </w:r>
      <w:r w:rsidR="00DC6279">
        <w:rPr>
          <w:rFonts w:ascii="Arial" w:hAnsi="Arial" w:cs="Arial"/>
          <w:sz w:val="20"/>
          <w:szCs w:val="20"/>
        </w:rPr>
        <w:t>which</w:t>
      </w:r>
      <w:r w:rsidR="00013698">
        <w:rPr>
          <w:rFonts w:cs="Arial"/>
          <w:bCs/>
          <w:color w:val="000000" w:themeColor="text1"/>
          <w:sz w:val="20"/>
          <w:szCs w:val="20"/>
        </w:rPr>
        <w:t>–</w:t>
      </w:r>
    </w:p>
    <w:p w14:paraId="10705FD1" w14:textId="77777777" w:rsidR="004D6E44" w:rsidRPr="004D6E44" w:rsidRDefault="004D6E44" w:rsidP="001F09E6">
      <w:pPr>
        <w:jc w:val="both"/>
        <w:rPr>
          <w:rFonts w:ascii="Arial" w:hAnsi="Arial" w:cs="Arial"/>
          <w:sz w:val="8"/>
          <w:szCs w:val="8"/>
        </w:rPr>
      </w:pPr>
    </w:p>
    <w:p w14:paraId="6B47CD76" w14:textId="2E62995B" w:rsidR="004D6E44" w:rsidRPr="00E96A35" w:rsidRDefault="004D6E44">
      <w:pPr>
        <w:pStyle w:val="ListParagraph"/>
        <w:numPr>
          <w:ilvl w:val="0"/>
          <w:numId w:val="59"/>
        </w:numPr>
        <w:ind w:left="357" w:hanging="357"/>
        <w:jc w:val="both"/>
        <w:rPr>
          <w:rFonts w:ascii="Arial" w:hAnsi="Arial" w:cs="Arial"/>
          <w:color w:val="000000"/>
          <w:sz w:val="20"/>
        </w:rPr>
      </w:pPr>
      <w:r w:rsidRPr="00AB38E3">
        <w:rPr>
          <w:rFonts w:ascii="Arial" w:hAnsi="Arial" w:cs="Arial"/>
          <w:color w:val="000000"/>
          <w:sz w:val="20"/>
        </w:rPr>
        <w:t xml:space="preserve">establish the </w:t>
      </w:r>
      <w:r w:rsidRPr="00AB38E3">
        <w:rPr>
          <w:rFonts w:ascii="Arial" w:hAnsi="Arial" w:cs="Arial"/>
          <w:b/>
          <w:sz w:val="20"/>
        </w:rPr>
        <w:t>Countering Violent Extremism Multi-Agency Panel (CVE MAP)</w:t>
      </w:r>
      <w:r w:rsidRPr="00AB38E3">
        <w:rPr>
          <w:rFonts w:ascii="Arial" w:hAnsi="Arial" w:cs="Arial"/>
          <w:bCs/>
          <w:sz w:val="20"/>
        </w:rPr>
        <w:t xml:space="preserve">, constituted by members appointed by the </w:t>
      </w:r>
      <w:r w:rsidRPr="00BC2A2A">
        <w:rPr>
          <w:rFonts w:ascii="Arial" w:hAnsi="Arial" w:cs="Arial"/>
          <w:bCs/>
          <w:sz w:val="20"/>
        </w:rPr>
        <w:t>Secretary</w:t>
      </w:r>
      <w:r>
        <w:rPr>
          <w:rFonts w:ascii="Arial" w:hAnsi="Arial" w:cs="Arial"/>
          <w:bCs/>
          <w:sz w:val="20"/>
        </w:rPr>
        <w:t xml:space="preserve"> </w:t>
      </w:r>
      <w:r w:rsidRPr="00BC2A2A">
        <w:rPr>
          <w:rFonts w:ascii="Arial" w:hAnsi="Arial" w:cs="Arial"/>
          <w:sz w:val="20"/>
        </w:rPr>
        <w:t>to the Department of Justice and Community Safety</w:t>
      </w:r>
      <w:r>
        <w:rPr>
          <w:rFonts w:ascii="Arial" w:hAnsi="Arial" w:cs="Arial"/>
          <w:sz w:val="20"/>
        </w:rPr>
        <w:t xml:space="preserve"> (the Secretary) [s.</w:t>
      </w:r>
      <w:r w:rsidRPr="00E96A35">
        <w:rPr>
          <w:rFonts w:ascii="Arial" w:hAnsi="Arial" w:cs="Arial"/>
          <w:b/>
          <w:bCs/>
          <w:sz w:val="20"/>
        </w:rPr>
        <w:t>22AR</w:t>
      </w:r>
      <w:r>
        <w:rPr>
          <w:rFonts w:ascii="Arial" w:hAnsi="Arial" w:cs="Arial"/>
          <w:sz w:val="20"/>
        </w:rPr>
        <w:t xml:space="preserve">], whose role includes the </w:t>
      </w:r>
      <w:r w:rsidRPr="00E96A35">
        <w:rPr>
          <w:rFonts w:ascii="Arial" w:hAnsi="Arial" w:cs="Arial"/>
          <w:b/>
          <w:bCs/>
          <w:sz w:val="20"/>
        </w:rPr>
        <w:t>provision of advice and proposed support and engagement plans (SEP)</w:t>
      </w:r>
      <w:r>
        <w:rPr>
          <w:rFonts w:ascii="Arial" w:hAnsi="Arial" w:cs="Arial"/>
          <w:sz w:val="20"/>
        </w:rPr>
        <w:t xml:space="preserve"> </w:t>
      </w:r>
      <w:r w:rsidR="0004634A">
        <w:rPr>
          <w:rFonts w:ascii="Arial" w:hAnsi="Arial" w:cs="Arial"/>
          <w:sz w:val="20"/>
        </w:rPr>
        <w:t>to</w:t>
      </w:r>
      <w:r>
        <w:rPr>
          <w:rFonts w:ascii="Arial" w:hAnsi="Arial" w:cs="Arial"/>
          <w:sz w:val="20"/>
        </w:rPr>
        <w:t xml:space="preserve"> the Secretary, as well as advice on a supported person’s compliance with a</w:t>
      </w:r>
      <w:r w:rsidR="002A0B1E">
        <w:rPr>
          <w:rFonts w:ascii="Arial" w:hAnsi="Arial" w:cs="Arial"/>
          <w:sz w:val="20"/>
        </w:rPr>
        <w:t>n</w:t>
      </w:r>
      <w:r>
        <w:rPr>
          <w:rFonts w:ascii="Arial" w:hAnsi="Arial" w:cs="Arial"/>
          <w:sz w:val="20"/>
        </w:rPr>
        <w:t xml:space="preserve"> SEP or a </w:t>
      </w:r>
      <w:r w:rsidRPr="000A26DC">
        <w:rPr>
          <w:rFonts w:ascii="Arial" w:hAnsi="Arial" w:cs="Arial"/>
          <w:b/>
          <w:bCs/>
          <w:sz w:val="20"/>
          <w:szCs w:val="18"/>
          <w:shd w:val="clear" w:color="auto" w:fill="FFFFFF"/>
        </w:rPr>
        <w:t>support and engagement order (SEO</w:t>
      </w:r>
      <w:r w:rsidRPr="000A26DC">
        <w:rPr>
          <w:rFonts w:ascii="Arial" w:hAnsi="Arial" w:cs="Arial"/>
          <w:sz w:val="20"/>
          <w:szCs w:val="18"/>
          <w:shd w:val="clear" w:color="auto" w:fill="FFFFFF"/>
        </w:rPr>
        <w:t>)</w:t>
      </w:r>
      <w:r>
        <w:rPr>
          <w:rFonts w:ascii="Arial" w:hAnsi="Arial" w:cs="Arial"/>
          <w:sz w:val="20"/>
          <w:szCs w:val="18"/>
          <w:shd w:val="clear" w:color="auto" w:fill="FFFFFF"/>
        </w:rPr>
        <w:t xml:space="preserve"> </w:t>
      </w:r>
      <w:r w:rsidR="001423D9">
        <w:rPr>
          <w:rFonts w:ascii="Arial" w:hAnsi="Arial" w:cs="Arial"/>
          <w:sz w:val="20"/>
          <w:szCs w:val="18"/>
          <w:shd w:val="clear" w:color="auto" w:fill="FFFFFF"/>
        </w:rPr>
        <w:t xml:space="preserve">made by a court </w:t>
      </w:r>
      <w:r w:rsidR="009A0F0B">
        <w:rPr>
          <w:rFonts w:ascii="Arial" w:hAnsi="Arial" w:cs="Arial"/>
          <w:sz w:val="20"/>
        </w:rPr>
        <w:t>and</w:t>
      </w:r>
      <w:r>
        <w:rPr>
          <w:rFonts w:ascii="Arial" w:hAnsi="Arial" w:cs="Arial"/>
          <w:sz w:val="20"/>
        </w:rPr>
        <w:t xml:space="preserve"> any proposed variations [s.</w:t>
      </w:r>
      <w:r w:rsidRPr="004D6E44">
        <w:rPr>
          <w:rFonts w:ascii="Arial" w:hAnsi="Arial" w:cs="Arial"/>
          <w:b/>
          <w:bCs/>
          <w:sz w:val="20"/>
        </w:rPr>
        <w:t>22AS</w:t>
      </w:r>
      <w:r>
        <w:rPr>
          <w:rFonts w:ascii="Arial" w:hAnsi="Arial" w:cs="Arial"/>
          <w:sz w:val="20"/>
        </w:rPr>
        <w:t>];</w:t>
      </w:r>
    </w:p>
    <w:p w14:paraId="731A3FD8" w14:textId="77777777" w:rsidR="004D6E44" w:rsidRPr="004D6E44" w:rsidRDefault="004D6E44" w:rsidP="004D6E44">
      <w:pPr>
        <w:jc w:val="both"/>
        <w:rPr>
          <w:rFonts w:ascii="Arial" w:hAnsi="Arial" w:cs="Arial"/>
          <w:sz w:val="8"/>
          <w:szCs w:val="8"/>
        </w:rPr>
      </w:pPr>
    </w:p>
    <w:p w14:paraId="7469BB15" w14:textId="3FD22327" w:rsidR="004D6E44" w:rsidRPr="00BC2A2A" w:rsidRDefault="004D6E44">
      <w:pPr>
        <w:pStyle w:val="ListParagraph"/>
        <w:numPr>
          <w:ilvl w:val="0"/>
          <w:numId w:val="59"/>
        </w:numPr>
        <w:ind w:left="357" w:hanging="357"/>
        <w:jc w:val="both"/>
        <w:rPr>
          <w:rFonts w:ascii="Arial" w:hAnsi="Arial" w:cs="Arial"/>
          <w:color w:val="000000"/>
          <w:sz w:val="20"/>
        </w:rPr>
      </w:pPr>
      <w:r w:rsidRPr="00BC2A2A">
        <w:rPr>
          <w:rFonts w:ascii="Arial" w:hAnsi="Arial" w:cs="Arial"/>
          <w:color w:val="000000"/>
          <w:sz w:val="20"/>
        </w:rPr>
        <w:t>empower t</w:t>
      </w:r>
      <w:r w:rsidRPr="00BC2A2A">
        <w:rPr>
          <w:rFonts w:ascii="Arial" w:hAnsi="Arial" w:cs="Arial"/>
          <w:bCs/>
          <w:sz w:val="20"/>
        </w:rPr>
        <w:t>he Chief Commissioner of Police to refer a person to the Secretary</w:t>
      </w:r>
      <w:r>
        <w:rPr>
          <w:rFonts w:ascii="Arial" w:hAnsi="Arial" w:cs="Arial"/>
          <w:bCs/>
          <w:sz w:val="20"/>
        </w:rPr>
        <w:t xml:space="preserve"> </w:t>
      </w:r>
      <w:r w:rsidRPr="00BC2A2A">
        <w:rPr>
          <w:rFonts w:ascii="Arial" w:hAnsi="Arial" w:cs="Arial"/>
          <w:bCs/>
          <w:sz w:val="20"/>
        </w:rPr>
        <w:t xml:space="preserve">for </w:t>
      </w:r>
      <w:r w:rsidRPr="00E96A35">
        <w:rPr>
          <w:rFonts w:ascii="Arial" w:hAnsi="Arial" w:cs="Arial"/>
          <w:b/>
          <w:sz w:val="20"/>
        </w:rPr>
        <w:t>voluntary case management</w:t>
      </w:r>
      <w:r w:rsidRPr="00BC2A2A">
        <w:rPr>
          <w:rFonts w:ascii="Arial" w:hAnsi="Arial" w:cs="Arial"/>
          <w:bCs/>
          <w:sz w:val="20"/>
        </w:rPr>
        <w:t xml:space="preserve"> if there is a reason to believe that the</w:t>
      </w:r>
      <w:r w:rsidR="00DA0DB3">
        <w:rPr>
          <w:rFonts w:ascii="Arial" w:hAnsi="Arial" w:cs="Arial"/>
          <w:bCs/>
          <w:sz w:val="20"/>
        </w:rPr>
        <w:t xml:space="preserve"> person is</w:t>
      </w:r>
      <w:r w:rsidRPr="00BC2A2A">
        <w:rPr>
          <w:rFonts w:ascii="Arial" w:hAnsi="Arial" w:cs="Arial"/>
          <w:bCs/>
          <w:sz w:val="20"/>
        </w:rPr>
        <w:t xml:space="preserve"> at risk of radicalising towards violent extremism and that a voluntary case management plan may better mitigate that risk than law enforcement methods</w:t>
      </w:r>
      <w:r>
        <w:rPr>
          <w:rFonts w:ascii="Arial" w:hAnsi="Arial" w:cs="Arial"/>
          <w:bCs/>
          <w:sz w:val="20"/>
        </w:rPr>
        <w:t xml:space="preserve"> [</w:t>
      </w:r>
      <w:r w:rsidRPr="003517E7">
        <w:rPr>
          <w:rFonts w:ascii="Arial" w:hAnsi="Arial" w:cs="Arial"/>
          <w:bCs/>
          <w:sz w:val="20"/>
        </w:rPr>
        <w:t>s.</w:t>
      </w:r>
      <w:r w:rsidRPr="003517E7">
        <w:rPr>
          <w:rFonts w:ascii="Arial" w:hAnsi="Arial" w:cs="Arial"/>
          <w:b/>
          <w:sz w:val="20"/>
        </w:rPr>
        <w:t>22BH(2)</w:t>
      </w:r>
      <w:r>
        <w:rPr>
          <w:rFonts w:ascii="Arial" w:hAnsi="Arial" w:cs="Arial"/>
          <w:bCs/>
          <w:sz w:val="20"/>
        </w:rPr>
        <w:t>]</w:t>
      </w:r>
      <w:r w:rsidRPr="00BC2A2A">
        <w:rPr>
          <w:rFonts w:ascii="Arial" w:hAnsi="Arial" w:cs="Arial"/>
          <w:bCs/>
          <w:sz w:val="20"/>
        </w:rPr>
        <w:t>;</w:t>
      </w:r>
    </w:p>
    <w:p w14:paraId="73B18FEA" w14:textId="77777777" w:rsidR="004D6E44" w:rsidRPr="004D6E44" w:rsidRDefault="004D6E44" w:rsidP="004D6E44">
      <w:pPr>
        <w:jc w:val="both"/>
        <w:rPr>
          <w:rFonts w:ascii="Arial" w:hAnsi="Arial" w:cs="Arial"/>
          <w:sz w:val="8"/>
          <w:szCs w:val="8"/>
        </w:rPr>
      </w:pPr>
    </w:p>
    <w:p w14:paraId="173B04E0" w14:textId="38ADC6B7" w:rsidR="004D6E44" w:rsidRPr="00BC2A2A" w:rsidRDefault="004D6E44">
      <w:pPr>
        <w:pStyle w:val="ListParagraph"/>
        <w:numPr>
          <w:ilvl w:val="0"/>
          <w:numId w:val="59"/>
        </w:numPr>
        <w:ind w:left="357" w:hanging="357"/>
        <w:jc w:val="both"/>
        <w:rPr>
          <w:rFonts w:ascii="Arial" w:hAnsi="Arial" w:cs="Arial"/>
          <w:color w:val="000000"/>
          <w:sz w:val="20"/>
        </w:rPr>
      </w:pPr>
      <w:r w:rsidRPr="000A26DC">
        <w:rPr>
          <w:rFonts w:ascii="Arial" w:hAnsi="Arial" w:cs="Arial"/>
          <w:sz w:val="20"/>
          <w:szCs w:val="18"/>
          <w:shd w:val="clear" w:color="auto" w:fill="FFFFFF"/>
        </w:rPr>
        <w:t xml:space="preserve">provide for the making </w:t>
      </w:r>
      <w:r>
        <w:rPr>
          <w:rFonts w:ascii="Arial" w:hAnsi="Arial" w:cs="Arial"/>
          <w:sz w:val="20"/>
          <w:szCs w:val="18"/>
          <w:shd w:val="clear" w:color="auto" w:fill="FFFFFF"/>
        </w:rPr>
        <w:t xml:space="preserve">by a judicial officer </w:t>
      </w:r>
      <w:r w:rsidRPr="000A26DC">
        <w:rPr>
          <w:rFonts w:ascii="Arial" w:hAnsi="Arial" w:cs="Arial"/>
          <w:sz w:val="20"/>
          <w:szCs w:val="18"/>
          <w:shd w:val="clear" w:color="auto" w:fill="FFFFFF"/>
        </w:rPr>
        <w:t xml:space="preserve">of </w:t>
      </w:r>
      <w:r w:rsidRPr="000A26DC">
        <w:rPr>
          <w:rFonts w:ascii="Arial" w:hAnsi="Arial" w:cs="Arial"/>
          <w:b/>
          <w:bCs/>
          <w:sz w:val="20"/>
          <w:szCs w:val="18"/>
          <w:shd w:val="clear" w:color="auto" w:fill="FFFFFF"/>
        </w:rPr>
        <w:t>SEO</w:t>
      </w:r>
      <w:r w:rsidRPr="004D6E44">
        <w:rPr>
          <w:rFonts w:ascii="Arial" w:hAnsi="Arial" w:cs="Arial"/>
          <w:b/>
          <w:bCs/>
          <w:sz w:val="20"/>
          <w:szCs w:val="18"/>
          <w:shd w:val="clear" w:color="auto" w:fill="FFFFFF"/>
        </w:rPr>
        <w:t>s</w:t>
      </w:r>
      <w:r w:rsidRPr="000A26DC">
        <w:rPr>
          <w:rFonts w:ascii="Arial" w:hAnsi="Arial" w:cs="Arial"/>
          <w:sz w:val="20"/>
          <w:szCs w:val="18"/>
          <w:shd w:val="clear" w:color="auto" w:fill="FFFFFF"/>
        </w:rPr>
        <w:t xml:space="preserve"> to address the underlying cause</w:t>
      </w:r>
      <w:r w:rsidR="00966DCD">
        <w:rPr>
          <w:rFonts w:ascii="Arial" w:hAnsi="Arial" w:cs="Arial"/>
          <w:sz w:val="20"/>
          <w:szCs w:val="18"/>
          <w:shd w:val="clear" w:color="auto" w:fill="FFFFFF"/>
        </w:rPr>
        <w:t>s</w:t>
      </w:r>
      <w:r w:rsidRPr="000A26DC">
        <w:rPr>
          <w:rFonts w:ascii="Arial" w:hAnsi="Arial" w:cs="Arial"/>
          <w:sz w:val="20"/>
          <w:szCs w:val="18"/>
          <w:shd w:val="clear" w:color="auto" w:fill="FFFFFF"/>
        </w:rPr>
        <w:t xml:space="preserve"> of </w:t>
      </w:r>
      <w:r>
        <w:rPr>
          <w:rFonts w:ascii="Arial" w:hAnsi="Arial" w:cs="Arial"/>
          <w:sz w:val="20"/>
          <w:szCs w:val="18"/>
          <w:shd w:val="clear" w:color="auto" w:fill="FFFFFF"/>
        </w:rPr>
        <w:t>persons</w:t>
      </w:r>
      <w:r w:rsidRPr="000A26DC">
        <w:rPr>
          <w:rFonts w:ascii="Arial" w:hAnsi="Arial" w:cs="Arial"/>
          <w:sz w:val="20"/>
          <w:szCs w:val="18"/>
          <w:shd w:val="clear" w:color="auto" w:fill="FFFFFF"/>
        </w:rPr>
        <w:t xml:space="preserve"> radicalising towards violent extremism</w:t>
      </w:r>
      <w:r>
        <w:rPr>
          <w:rFonts w:ascii="Arial" w:hAnsi="Arial" w:cs="Arial"/>
          <w:sz w:val="20"/>
          <w:szCs w:val="18"/>
          <w:shd w:val="clear" w:color="auto" w:fill="FFFFFF"/>
        </w:rPr>
        <w:t xml:space="preserve"> [ss.</w:t>
      </w:r>
      <w:r w:rsidR="001F7EDE" w:rsidRPr="001F7EDE">
        <w:rPr>
          <w:rFonts w:ascii="Arial" w:hAnsi="Arial" w:cs="Arial"/>
          <w:b/>
          <w:bCs/>
          <w:sz w:val="20"/>
          <w:szCs w:val="18"/>
          <w:shd w:val="clear" w:color="auto" w:fill="FFFFFF"/>
        </w:rPr>
        <w:t>22CG to 22EG</w:t>
      </w:r>
      <w:r w:rsidR="001F7EDE">
        <w:rPr>
          <w:rFonts w:ascii="Arial" w:hAnsi="Arial" w:cs="Arial"/>
          <w:sz w:val="20"/>
          <w:szCs w:val="18"/>
          <w:shd w:val="clear" w:color="auto" w:fill="FFFFFF"/>
        </w:rPr>
        <w:t>]</w:t>
      </w:r>
      <w:r w:rsidRPr="000A26DC">
        <w:rPr>
          <w:rFonts w:ascii="Arial" w:hAnsi="Arial" w:cs="Arial"/>
          <w:sz w:val="20"/>
          <w:szCs w:val="18"/>
          <w:shd w:val="clear" w:color="auto" w:fill="FFFFFF"/>
        </w:rPr>
        <w:t>;</w:t>
      </w:r>
      <w:r>
        <w:rPr>
          <w:rFonts w:ascii="Arial" w:hAnsi="Arial" w:cs="Arial"/>
          <w:sz w:val="20"/>
          <w:szCs w:val="18"/>
          <w:shd w:val="clear" w:color="auto" w:fill="FFFFFF"/>
        </w:rPr>
        <w:t xml:space="preserve"> and</w:t>
      </w:r>
    </w:p>
    <w:p w14:paraId="56DA9E25" w14:textId="77777777" w:rsidR="004D6E44" w:rsidRPr="004D6E44" w:rsidRDefault="004D6E44" w:rsidP="004D6E44">
      <w:pPr>
        <w:jc w:val="both"/>
        <w:rPr>
          <w:rFonts w:ascii="Arial" w:hAnsi="Arial" w:cs="Arial"/>
          <w:sz w:val="8"/>
          <w:szCs w:val="8"/>
        </w:rPr>
      </w:pPr>
    </w:p>
    <w:p w14:paraId="50031FF1" w14:textId="6C7AFE71" w:rsidR="000A26DC" w:rsidRPr="00966DCD" w:rsidRDefault="000A26DC">
      <w:pPr>
        <w:pStyle w:val="ListParagraph"/>
        <w:numPr>
          <w:ilvl w:val="0"/>
          <w:numId w:val="59"/>
        </w:numPr>
        <w:ind w:left="357" w:hanging="357"/>
        <w:jc w:val="both"/>
        <w:rPr>
          <w:rFonts w:ascii="Arial" w:hAnsi="Arial" w:cs="Arial"/>
          <w:color w:val="000000"/>
          <w:sz w:val="20"/>
        </w:rPr>
      </w:pPr>
      <w:r w:rsidRPr="00966DCD">
        <w:rPr>
          <w:rFonts w:ascii="Arial" w:hAnsi="Arial" w:cs="Arial"/>
          <w:sz w:val="20"/>
          <w:szCs w:val="18"/>
          <w:shd w:val="clear" w:color="auto" w:fill="FFFFFF"/>
        </w:rPr>
        <w:t>expand the protection of the</w:t>
      </w:r>
      <w:r w:rsidR="00966DCD" w:rsidRPr="00966DCD">
        <w:rPr>
          <w:rFonts w:ascii="Arial" w:hAnsi="Arial" w:cs="Arial"/>
          <w:sz w:val="20"/>
          <w:szCs w:val="18"/>
          <w:shd w:val="clear" w:color="auto" w:fill="FFFFFF"/>
        </w:rPr>
        <w:t xml:space="preserve"> Supreme Court’s </w:t>
      </w:r>
      <w:r w:rsidRPr="00966DCD">
        <w:rPr>
          <w:rFonts w:ascii="Arial" w:hAnsi="Arial" w:cs="Arial"/>
          <w:b/>
          <w:bCs/>
          <w:sz w:val="20"/>
          <w:szCs w:val="18"/>
          <w:shd w:val="clear" w:color="auto" w:fill="FFFFFF"/>
        </w:rPr>
        <w:t>counter</w:t>
      </w:r>
      <w:r w:rsidR="00284BB9" w:rsidRPr="00966DCD">
        <w:rPr>
          <w:rFonts w:ascii="Arial" w:hAnsi="Arial" w:cs="Arial"/>
          <w:b/>
          <w:bCs/>
          <w:sz w:val="20"/>
          <w:szCs w:val="18"/>
          <w:shd w:val="clear" w:color="auto" w:fill="FFFFFF"/>
        </w:rPr>
        <w:t>-</w:t>
      </w:r>
      <w:r w:rsidRPr="00966DCD">
        <w:rPr>
          <w:rFonts w:ascii="Arial" w:hAnsi="Arial" w:cs="Arial"/>
          <w:b/>
          <w:bCs/>
          <w:sz w:val="20"/>
          <w:szCs w:val="18"/>
          <w:shd w:val="clear" w:color="auto" w:fill="FFFFFF"/>
        </w:rPr>
        <w:t xml:space="preserve">terrorism intelligence </w:t>
      </w:r>
      <w:r w:rsidR="00284BB9" w:rsidRPr="00966DCD">
        <w:rPr>
          <w:rFonts w:ascii="Arial" w:hAnsi="Arial" w:cs="Arial"/>
          <w:b/>
          <w:bCs/>
          <w:sz w:val="20"/>
          <w:szCs w:val="18"/>
          <w:shd w:val="clear" w:color="auto" w:fill="FFFFFF"/>
        </w:rPr>
        <w:t xml:space="preserve">protection order </w:t>
      </w:r>
      <w:r w:rsidRPr="00966DCD">
        <w:rPr>
          <w:rFonts w:ascii="Arial" w:hAnsi="Arial" w:cs="Arial"/>
          <w:b/>
          <w:bCs/>
          <w:sz w:val="20"/>
          <w:szCs w:val="18"/>
          <w:shd w:val="clear" w:color="auto" w:fill="FFFFFF"/>
        </w:rPr>
        <w:t>scheme</w:t>
      </w:r>
      <w:r w:rsidR="000D3252" w:rsidRPr="00966DCD">
        <w:rPr>
          <w:rFonts w:ascii="Arial" w:hAnsi="Arial" w:cs="Arial"/>
          <w:b/>
          <w:bCs/>
          <w:sz w:val="20"/>
          <w:szCs w:val="18"/>
          <w:shd w:val="clear" w:color="auto" w:fill="FFFFFF"/>
        </w:rPr>
        <w:t xml:space="preserve"> (CTI</w:t>
      </w:r>
      <w:r w:rsidR="00284BB9" w:rsidRPr="00966DCD">
        <w:rPr>
          <w:rFonts w:ascii="Arial" w:hAnsi="Arial" w:cs="Arial"/>
          <w:b/>
          <w:bCs/>
          <w:sz w:val="20"/>
          <w:szCs w:val="18"/>
          <w:shd w:val="clear" w:color="auto" w:fill="FFFFFF"/>
        </w:rPr>
        <w:t>P</w:t>
      </w:r>
      <w:r w:rsidR="000D3252" w:rsidRPr="00966DCD">
        <w:rPr>
          <w:rFonts w:ascii="Arial" w:hAnsi="Arial" w:cs="Arial"/>
          <w:b/>
          <w:bCs/>
          <w:sz w:val="20"/>
          <w:szCs w:val="18"/>
          <w:shd w:val="clear" w:color="auto" w:fill="FFFFFF"/>
        </w:rPr>
        <w:t>O)</w:t>
      </w:r>
      <w:r w:rsidR="00BC2A2A" w:rsidRPr="00966DCD">
        <w:rPr>
          <w:rFonts w:ascii="Arial" w:hAnsi="Arial" w:cs="Arial"/>
          <w:sz w:val="20"/>
          <w:szCs w:val="18"/>
          <w:shd w:val="clear" w:color="auto" w:fill="FFFFFF"/>
        </w:rPr>
        <w:t xml:space="preserve"> </w:t>
      </w:r>
      <w:r w:rsidR="008664F6" w:rsidRPr="00966DCD">
        <w:rPr>
          <w:rFonts w:ascii="Arial" w:hAnsi="Arial" w:cs="Arial"/>
          <w:sz w:val="20"/>
          <w:szCs w:val="18"/>
          <w:shd w:val="clear" w:color="auto" w:fill="FFFFFF"/>
        </w:rPr>
        <w:t>in</w:t>
      </w:r>
      <w:r w:rsidR="00966DCD">
        <w:rPr>
          <w:rFonts w:ascii="Arial" w:hAnsi="Arial" w:cs="Arial"/>
          <w:sz w:val="20"/>
          <w:szCs w:val="18"/>
          <w:shd w:val="clear" w:color="auto" w:fill="FFFFFF"/>
        </w:rPr>
        <w:t xml:space="preserve"> relation to SEO proceedings</w:t>
      </w:r>
      <w:r w:rsidR="008664F6" w:rsidRPr="00966DCD">
        <w:rPr>
          <w:rFonts w:ascii="Arial" w:hAnsi="Arial" w:cs="Arial"/>
          <w:sz w:val="20"/>
          <w:szCs w:val="18"/>
          <w:shd w:val="clear" w:color="auto" w:fill="FFFFFF"/>
        </w:rPr>
        <w:t xml:space="preserve"> </w:t>
      </w:r>
      <w:r w:rsidR="00BC2A2A" w:rsidRPr="00966DCD">
        <w:rPr>
          <w:rFonts w:ascii="Arial" w:hAnsi="Arial" w:cs="Arial"/>
          <w:sz w:val="20"/>
          <w:szCs w:val="18"/>
          <w:shd w:val="clear" w:color="auto" w:fill="FFFFFF"/>
        </w:rPr>
        <w:t>[ss</w:t>
      </w:r>
      <w:r w:rsidR="0004634A" w:rsidRPr="00966DCD">
        <w:rPr>
          <w:rFonts w:ascii="Arial" w:hAnsi="Arial" w:cs="Arial"/>
          <w:sz w:val="20"/>
          <w:szCs w:val="18"/>
          <w:shd w:val="clear" w:color="auto" w:fill="FFFFFF"/>
        </w:rPr>
        <w:t>.</w:t>
      </w:r>
      <w:r w:rsidR="0004634A" w:rsidRPr="00966DCD">
        <w:rPr>
          <w:rFonts w:ascii="Arial" w:hAnsi="Arial" w:cs="Arial"/>
          <w:b/>
          <w:bCs/>
          <w:sz w:val="20"/>
          <w:szCs w:val="18"/>
          <w:shd w:val="clear" w:color="auto" w:fill="FFFFFF"/>
        </w:rPr>
        <w:t>25, 27, 29 &amp; 31A</w:t>
      </w:r>
      <w:r w:rsidR="00BC2A2A" w:rsidRPr="00966DCD">
        <w:rPr>
          <w:rFonts w:ascii="Arial" w:hAnsi="Arial" w:cs="Arial"/>
          <w:sz w:val="20"/>
          <w:szCs w:val="18"/>
          <w:shd w:val="clear" w:color="auto" w:fill="FFFFFF"/>
        </w:rPr>
        <w:t>]</w:t>
      </w:r>
      <w:r w:rsidRPr="00966DCD">
        <w:rPr>
          <w:rFonts w:ascii="Arial" w:hAnsi="Arial" w:cs="Arial"/>
          <w:sz w:val="20"/>
          <w:szCs w:val="18"/>
          <w:shd w:val="clear" w:color="auto" w:fill="FFFFFF"/>
        </w:rPr>
        <w:t>.</w:t>
      </w:r>
    </w:p>
    <w:p w14:paraId="5C411F73" w14:textId="77777777" w:rsidR="00F52117" w:rsidRDefault="00F52117" w:rsidP="001F09E6">
      <w:pPr>
        <w:jc w:val="both"/>
        <w:rPr>
          <w:rFonts w:ascii="Arial" w:hAnsi="Arial" w:cs="Arial"/>
          <w:sz w:val="20"/>
          <w:szCs w:val="20"/>
        </w:rPr>
      </w:pPr>
    </w:p>
    <w:p w14:paraId="131A5C13" w14:textId="38CFB8B0" w:rsidR="002E62A4" w:rsidRDefault="002E62A4" w:rsidP="001F09E6">
      <w:pPr>
        <w:jc w:val="both"/>
        <w:rPr>
          <w:rFonts w:ascii="Arial" w:hAnsi="Arial" w:cs="Arial"/>
          <w:sz w:val="20"/>
          <w:szCs w:val="20"/>
        </w:rPr>
      </w:pPr>
      <w:r>
        <w:rPr>
          <w:rFonts w:ascii="Arial" w:hAnsi="Arial" w:cs="Arial"/>
          <w:sz w:val="20"/>
          <w:szCs w:val="20"/>
        </w:rPr>
        <w:t>The relevant jurisdiction of the Family Division of the Children’s Court commenced on 02/09/2022.</w:t>
      </w:r>
      <w:r w:rsidR="00712AE9">
        <w:rPr>
          <w:rFonts w:ascii="Arial" w:hAnsi="Arial" w:cs="Arial"/>
          <w:sz w:val="20"/>
          <w:szCs w:val="20"/>
        </w:rPr>
        <w:t xml:space="preserve">  </w:t>
      </w:r>
      <w:r w:rsidR="00DB637E">
        <w:rPr>
          <w:rFonts w:ascii="Arial" w:hAnsi="Arial" w:cs="Arial"/>
          <w:sz w:val="20"/>
          <w:szCs w:val="20"/>
        </w:rPr>
        <w:t xml:space="preserve">All relevant Forms are available for download from the Children’s Court website.  </w:t>
      </w:r>
      <w:r w:rsidR="00712AE9">
        <w:rPr>
          <w:rFonts w:ascii="Arial" w:hAnsi="Arial" w:cs="Arial"/>
          <w:sz w:val="20"/>
          <w:szCs w:val="20"/>
        </w:rPr>
        <w:t>To date, no orders have been made in this jurisdiction.</w:t>
      </w:r>
    </w:p>
    <w:p w14:paraId="0E41BD20" w14:textId="77777777" w:rsidR="00341C47" w:rsidRDefault="00341C47" w:rsidP="00341C47">
      <w:pPr>
        <w:jc w:val="both"/>
        <w:rPr>
          <w:rFonts w:ascii="Arial" w:hAnsi="Arial" w:cs="Arial"/>
          <w:sz w:val="20"/>
          <w:szCs w:val="20"/>
        </w:rPr>
      </w:pPr>
    </w:p>
    <w:p w14:paraId="43524383" w14:textId="77777777" w:rsidR="003C4FA5" w:rsidRDefault="003C4FA5" w:rsidP="00341C47">
      <w:pPr>
        <w:jc w:val="center"/>
        <w:rPr>
          <w:rFonts w:ascii="Arial" w:hAnsi="Arial" w:cs="Arial"/>
          <w:b/>
          <w:bCs/>
          <w:color w:val="FFFFFF" w:themeColor="background1"/>
          <w:sz w:val="20"/>
          <w:shd w:val="clear" w:color="auto" w:fill="000000" w:themeFill="text1"/>
        </w:rPr>
      </w:pPr>
      <w:r>
        <w:rPr>
          <w:rFonts w:ascii="Arial" w:hAnsi="Arial" w:cs="Arial"/>
          <w:b/>
          <w:bCs/>
          <w:color w:val="FFFFFF" w:themeColor="background1"/>
          <w:sz w:val="20"/>
          <w:shd w:val="clear" w:color="auto" w:fill="000000" w:themeFill="text1"/>
        </w:rPr>
        <w:t>MANDATORY C</w:t>
      </w:r>
      <w:r w:rsidR="00341C47">
        <w:rPr>
          <w:rFonts w:ascii="Arial" w:hAnsi="Arial" w:cs="Arial"/>
          <w:b/>
          <w:bCs/>
          <w:color w:val="FFFFFF" w:themeColor="background1"/>
          <w:sz w:val="20"/>
          <w:shd w:val="clear" w:color="auto" w:fill="000000" w:themeFill="text1"/>
        </w:rPr>
        <w:t xml:space="preserve">ONSIDERATIONS FOR </w:t>
      </w:r>
      <w:r w:rsidR="009D1700">
        <w:rPr>
          <w:rFonts w:ascii="Arial" w:hAnsi="Arial" w:cs="Arial"/>
          <w:b/>
          <w:bCs/>
          <w:color w:val="FFFFFF" w:themeColor="background1"/>
          <w:sz w:val="20"/>
          <w:shd w:val="clear" w:color="auto" w:fill="000000" w:themeFill="text1"/>
        </w:rPr>
        <w:t>COURT PROCEEDINGS</w:t>
      </w:r>
    </w:p>
    <w:p w14:paraId="0B012508" w14:textId="02B8208F" w:rsidR="00341C47" w:rsidRPr="00220B9E" w:rsidRDefault="003C4FA5" w:rsidP="00341C47">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t xml:space="preserve">IN RELATION TO </w:t>
      </w:r>
      <w:r w:rsidR="00341C47">
        <w:rPr>
          <w:rFonts w:ascii="Arial" w:hAnsi="Arial" w:cs="Arial"/>
          <w:b/>
          <w:bCs/>
          <w:color w:val="FFFFFF" w:themeColor="background1"/>
          <w:sz w:val="20"/>
          <w:shd w:val="clear" w:color="auto" w:fill="000000" w:themeFill="text1"/>
        </w:rPr>
        <w:t>SEOs INVOLVING CHILDREN</w:t>
      </w:r>
    </w:p>
    <w:p w14:paraId="45F6646B" w14:textId="77777777" w:rsidR="00341C47" w:rsidRDefault="00341C47" w:rsidP="00341C47">
      <w:pPr>
        <w:jc w:val="both"/>
        <w:rPr>
          <w:rFonts w:ascii="Arial" w:hAnsi="Arial" w:cs="Arial"/>
          <w:sz w:val="20"/>
          <w:szCs w:val="20"/>
        </w:rPr>
      </w:pPr>
    </w:p>
    <w:p w14:paraId="4ED7117D" w14:textId="02E93401" w:rsidR="00341C47" w:rsidRDefault="00966DCD" w:rsidP="00341C47">
      <w:pPr>
        <w:pStyle w:val="HeadingTwo"/>
        <w:spacing w:after="0"/>
        <w:jc w:val="both"/>
        <w:rPr>
          <w:rFonts w:cs="Arial"/>
          <w:bCs/>
          <w:color w:val="000000" w:themeColor="text1"/>
          <w:sz w:val="20"/>
          <w:szCs w:val="20"/>
        </w:rPr>
      </w:pPr>
      <w:r>
        <w:rPr>
          <w:rFonts w:cs="Arial"/>
          <w:bCs/>
          <w:color w:val="000000" w:themeColor="text1"/>
          <w:sz w:val="20"/>
          <w:szCs w:val="20"/>
        </w:rPr>
        <w:t>Under s.</w:t>
      </w:r>
      <w:r w:rsidR="00341C47" w:rsidRPr="00341C47">
        <w:rPr>
          <w:rFonts w:cs="Arial"/>
          <w:b/>
          <w:color w:val="000000" w:themeColor="text1"/>
          <w:sz w:val="20"/>
          <w:szCs w:val="20"/>
        </w:rPr>
        <w:t>22CH</w:t>
      </w:r>
      <w:r>
        <w:rPr>
          <w:rFonts w:cs="Arial"/>
          <w:bCs/>
          <w:color w:val="000000" w:themeColor="text1"/>
          <w:sz w:val="20"/>
          <w:szCs w:val="20"/>
        </w:rPr>
        <w:t xml:space="preserve"> </w:t>
      </w:r>
      <w:r w:rsidR="009D1700">
        <w:rPr>
          <w:rFonts w:cs="Arial"/>
          <w:bCs/>
          <w:color w:val="000000" w:themeColor="text1"/>
          <w:sz w:val="20"/>
          <w:szCs w:val="20"/>
        </w:rPr>
        <w:t xml:space="preserve">a Court </w:t>
      </w:r>
      <w:r>
        <w:rPr>
          <w:rFonts w:cs="Arial"/>
          <w:bCs/>
          <w:color w:val="000000" w:themeColor="text1"/>
          <w:sz w:val="20"/>
          <w:szCs w:val="20"/>
        </w:rPr>
        <w:t xml:space="preserve">which </w:t>
      </w:r>
      <w:r w:rsidR="009D1700">
        <w:rPr>
          <w:rFonts w:cs="Arial"/>
          <w:bCs/>
          <w:color w:val="000000" w:themeColor="text1"/>
          <w:sz w:val="20"/>
          <w:szCs w:val="20"/>
        </w:rPr>
        <w:t>is to hear and determine a matter in relation to an SEO in respect of a respondent or a supported person who is a child</w:t>
      </w:r>
      <w:r>
        <w:rPr>
          <w:rFonts w:cs="Arial"/>
          <w:bCs/>
          <w:color w:val="000000" w:themeColor="text1"/>
          <w:sz w:val="20"/>
          <w:szCs w:val="20"/>
        </w:rPr>
        <w:t xml:space="preserve"> </w:t>
      </w:r>
      <w:r w:rsidR="009D1700">
        <w:rPr>
          <w:rFonts w:cs="Arial"/>
          <w:bCs/>
          <w:color w:val="000000" w:themeColor="text1"/>
          <w:sz w:val="20"/>
          <w:szCs w:val="20"/>
        </w:rPr>
        <w:t>must have regard to</w:t>
      </w:r>
      <w:r w:rsidR="00013698">
        <w:rPr>
          <w:rFonts w:cs="Arial"/>
          <w:bCs/>
          <w:color w:val="000000" w:themeColor="text1"/>
          <w:sz w:val="20"/>
          <w:szCs w:val="20"/>
        </w:rPr>
        <w:t>–</w:t>
      </w:r>
    </w:p>
    <w:p w14:paraId="58E27C02" w14:textId="26063329" w:rsidR="009D1700" w:rsidRPr="009D1700" w:rsidRDefault="009D1700">
      <w:pPr>
        <w:pStyle w:val="HeadingTwo"/>
        <w:numPr>
          <w:ilvl w:val="1"/>
          <w:numId w:val="60"/>
        </w:numPr>
        <w:spacing w:before="60" w:after="0"/>
        <w:ind w:left="357" w:hanging="357"/>
        <w:jc w:val="both"/>
        <w:rPr>
          <w:rFonts w:cs="Arial"/>
          <w:bCs/>
          <w:color w:val="auto"/>
          <w:sz w:val="20"/>
          <w:szCs w:val="20"/>
        </w:rPr>
      </w:pPr>
      <w:r w:rsidRPr="00341C47">
        <w:rPr>
          <w:color w:val="000000" w:themeColor="text1"/>
          <w:sz w:val="20"/>
          <w:szCs w:val="20"/>
        </w:rPr>
        <w:t>the need to strengthen, preserve and promote positive relationships between the child and the child's parent, family members and persons significant to the child; and</w:t>
      </w:r>
    </w:p>
    <w:p w14:paraId="56E56224" w14:textId="2A18AF7E" w:rsidR="009D1700" w:rsidRPr="009D1700" w:rsidRDefault="009D1700">
      <w:pPr>
        <w:pStyle w:val="HeadingTwo"/>
        <w:numPr>
          <w:ilvl w:val="1"/>
          <w:numId w:val="60"/>
        </w:numPr>
        <w:spacing w:before="60" w:after="0"/>
        <w:ind w:left="357" w:hanging="357"/>
        <w:jc w:val="both"/>
        <w:rPr>
          <w:rFonts w:cs="Arial"/>
          <w:bCs/>
          <w:color w:val="auto"/>
          <w:sz w:val="20"/>
          <w:szCs w:val="20"/>
        </w:rPr>
      </w:pPr>
      <w:r w:rsidRPr="00341C47">
        <w:rPr>
          <w:color w:val="000000" w:themeColor="text1"/>
          <w:sz w:val="20"/>
          <w:szCs w:val="20"/>
        </w:rPr>
        <w:t>the child's social, individual and cultural identity and religious faith (if any); and</w:t>
      </w:r>
    </w:p>
    <w:p w14:paraId="10114E3E" w14:textId="5846321E" w:rsidR="009D1700" w:rsidRPr="009D1700" w:rsidRDefault="009D1700">
      <w:pPr>
        <w:pStyle w:val="HeadingTwo"/>
        <w:numPr>
          <w:ilvl w:val="1"/>
          <w:numId w:val="60"/>
        </w:numPr>
        <w:spacing w:before="60" w:after="0"/>
        <w:ind w:left="357" w:hanging="357"/>
        <w:jc w:val="both"/>
        <w:rPr>
          <w:rFonts w:cs="Arial"/>
          <w:bCs/>
          <w:color w:val="auto"/>
          <w:sz w:val="20"/>
          <w:szCs w:val="20"/>
        </w:rPr>
      </w:pPr>
      <w:r w:rsidRPr="00341C47">
        <w:rPr>
          <w:color w:val="000000" w:themeColor="text1"/>
          <w:sz w:val="20"/>
          <w:szCs w:val="20"/>
        </w:rPr>
        <w:t>the child's age, maturity and stage of development; and</w:t>
      </w:r>
    </w:p>
    <w:p w14:paraId="17FD813E" w14:textId="5ED2D99C" w:rsidR="009D1700" w:rsidRPr="009D1700" w:rsidRDefault="009D1700">
      <w:pPr>
        <w:pStyle w:val="HeadingTwo"/>
        <w:numPr>
          <w:ilvl w:val="1"/>
          <w:numId w:val="60"/>
        </w:numPr>
        <w:spacing w:before="60" w:after="0"/>
        <w:ind w:left="357" w:hanging="357"/>
        <w:jc w:val="both"/>
        <w:rPr>
          <w:rFonts w:cs="Arial"/>
          <w:bCs/>
          <w:color w:val="auto"/>
          <w:sz w:val="20"/>
          <w:szCs w:val="20"/>
        </w:rPr>
      </w:pPr>
      <w:r w:rsidRPr="00341C47">
        <w:rPr>
          <w:color w:val="000000" w:themeColor="text1"/>
          <w:sz w:val="20"/>
          <w:szCs w:val="20"/>
        </w:rPr>
        <w:t>the importance of allowing the education, training or employment of the child to continue without interruption or disturbance; and</w:t>
      </w:r>
    </w:p>
    <w:p w14:paraId="59F313B5" w14:textId="472E280B" w:rsidR="009D1700" w:rsidRPr="009D1700" w:rsidRDefault="009D1700">
      <w:pPr>
        <w:pStyle w:val="HeadingTwo"/>
        <w:numPr>
          <w:ilvl w:val="1"/>
          <w:numId w:val="60"/>
        </w:numPr>
        <w:spacing w:before="60" w:after="0"/>
        <w:ind w:left="357" w:hanging="357"/>
        <w:jc w:val="both"/>
        <w:rPr>
          <w:rFonts w:cs="Arial"/>
          <w:bCs/>
          <w:color w:val="auto"/>
          <w:sz w:val="20"/>
          <w:szCs w:val="20"/>
        </w:rPr>
      </w:pPr>
      <w:r w:rsidRPr="00341C47">
        <w:rPr>
          <w:color w:val="000000" w:themeColor="text1"/>
          <w:sz w:val="20"/>
          <w:szCs w:val="20"/>
        </w:rPr>
        <w:t>the vulnerability of the child, including whether they have a history of trauma, disability or physical or mental illness; and</w:t>
      </w:r>
    </w:p>
    <w:p w14:paraId="50C304B0" w14:textId="671178E9" w:rsidR="009D1700" w:rsidRDefault="009D1700">
      <w:pPr>
        <w:pStyle w:val="HeadingTwo"/>
        <w:numPr>
          <w:ilvl w:val="1"/>
          <w:numId w:val="60"/>
        </w:numPr>
        <w:spacing w:before="60" w:after="0"/>
        <w:ind w:left="357" w:hanging="357"/>
        <w:jc w:val="both"/>
        <w:rPr>
          <w:rFonts w:cs="Arial"/>
          <w:bCs/>
          <w:color w:val="auto"/>
          <w:sz w:val="20"/>
          <w:szCs w:val="20"/>
        </w:rPr>
      </w:pPr>
      <w:r w:rsidRPr="00341C47">
        <w:rPr>
          <w:color w:val="000000" w:themeColor="text1"/>
          <w:sz w:val="20"/>
          <w:szCs w:val="20"/>
        </w:rPr>
        <w:t>the need to minimise stigma to the child.</w:t>
      </w:r>
    </w:p>
    <w:p w14:paraId="10604F10" w14:textId="1B61175C" w:rsidR="00341C47" w:rsidRDefault="00341C47" w:rsidP="001F09E6">
      <w:pPr>
        <w:jc w:val="both"/>
        <w:rPr>
          <w:rFonts w:ascii="Arial" w:hAnsi="Arial" w:cs="Arial"/>
          <w:sz w:val="20"/>
          <w:szCs w:val="20"/>
        </w:rPr>
      </w:pPr>
    </w:p>
    <w:p w14:paraId="76C9E143" w14:textId="361FF6E9" w:rsidR="001F7EDE" w:rsidRDefault="001F7EDE" w:rsidP="001F09E6">
      <w:pPr>
        <w:jc w:val="both"/>
        <w:rPr>
          <w:rFonts w:ascii="Arial" w:hAnsi="Arial" w:cs="Arial"/>
          <w:sz w:val="20"/>
          <w:szCs w:val="20"/>
        </w:rPr>
      </w:pPr>
      <w:r>
        <w:rPr>
          <w:rFonts w:ascii="Arial" w:hAnsi="Arial" w:cs="Arial"/>
          <w:sz w:val="20"/>
          <w:szCs w:val="20"/>
        </w:rPr>
        <w:t xml:space="preserve">Section </w:t>
      </w:r>
      <w:r w:rsidRPr="001F7EDE">
        <w:rPr>
          <w:rFonts w:ascii="Arial" w:hAnsi="Arial" w:cs="Arial"/>
          <w:b/>
          <w:bCs/>
          <w:sz w:val="20"/>
          <w:szCs w:val="20"/>
        </w:rPr>
        <w:t>22EG</w:t>
      </w:r>
      <w:r>
        <w:rPr>
          <w:rFonts w:ascii="Arial" w:hAnsi="Arial" w:cs="Arial"/>
          <w:sz w:val="20"/>
          <w:szCs w:val="20"/>
        </w:rPr>
        <w:t xml:space="preserve"> requires the respondent or supported person </w:t>
      </w:r>
      <w:r w:rsidR="004743DB">
        <w:rPr>
          <w:rFonts w:ascii="Arial" w:hAnsi="Arial" w:cs="Arial"/>
          <w:sz w:val="20"/>
          <w:szCs w:val="20"/>
        </w:rPr>
        <w:t xml:space="preserve">to </w:t>
      </w:r>
      <w:r>
        <w:rPr>
          <w:rFonts w:ascii="Arial" w:hAnsi="Arial" w:cs="Arial"/>
          <w:sz w:val="20"/>
          <w:szCs w:val="20"/>
        </w:rPr>
        <w:t xml:space="preserve">be legally represented in SEO proceedings in the Children’s Court unless he or she has chosen not to be represented. </w:t>
      </w:r>
      <w:r w:rsidR="004743DB">
        <w:rPr>
          <w:rFonts w:ascii="Arial" w:hAnsi="Arial" w:cs="Arial"/>
          <w:sz w:val="20"/>
          <w:szCs w:val="20"/>
        </w:rPr>
        <w:t xml:space="preserve"> So</w:t>
      </w:r>
      <w:r w:rsidR="0009299C">
        <w:rPr>
          <w:rFonts w:ascii="Arial" w:hAnsi="Arial" w:cs="Arial"/>
          <w:sz w:val="20"/>
          <w:szCs w:val="20"/>
        </w:rPr>
        <w:t xml:space="preserve"> </w:t>
      </w:r>
      <w:r w:rsidR="004743DB">
        <w:rPr>
          <w:rFonts w:ascii="Arial" w:hAnsi="Arial" w:cs="Arial"/>
          <w:sz w:val="20"/>
          <w:szCs w:val="20"/>
        </w:rPr>
        <w:t>far as is practicable</w:t>
      </w:r>
      <w:r w:rsidR="00966DCD">
        <w:rPr>
          <w:rFonts w:ascii="Arial" w:hAnsi="Arial" w:cs="Arial"/>
          <w:sz w:val="20"/>
          <w:szCs w:val="20"/>
        </w:rPr>
        <w:t xml:space="preserve"> to do so</w:t>
      </w:r>
      <w:r w:rsidR="004743DB">
        <w:rPr>
          <w:rFonts w:ascii="Arial" w:hAnsi="Arial" w:cs="Arial"/>
          <w:sz w:val="20"/>
          <w:szCs w:val="20"/>
        </w:rPr>
        <w:t xml:space="preserve"> </w:t>
      </w:r>
      <w:r w:rsidR="00966DCD">
        <w:rPr>
          <w:rFonts w:ascii="Arial" w:hAnsi="Arial" w:cs="Arial"/>
          <w:sz w:val="20"/>
          <w:szCs w:val="20"/>
        </w:rPr>
        <w:t xml:space="preserve">having regard to the maturity of the </w:t>
      </w:r>
      <w:r w:rsidR="0009299C">
        <w:rPr>
          <w:rFonts w:ascii="Arial" w:hAnsi="Arial" w:cs="Arial"/>
          <w:sz w:val="20"/>
          <w:szCs w:val="20"/>
        </w:rPr>
        <w:t>child</w:t>
      </w:r>
      <w:r w:rsidR="00966DCD">
        <w:rPr>
          <w:rFonts w:ascii="Arial" w:hAnsi="Arial" w:cs="Arial"/>
          <w:sz w:val="20"/>
          <w:szCs w:val="20"/>
        </w:rPr>
        <w:t xml:space="preserve">, </w:t>
      </w:r>
      <w:r w:rsidR="004743DB">
        <w:rPr>
          <w:rFonts w:ascii="Arial" w:hAnsi="Arial" w:cs="Arial"/>
          <w:sz w:val="20"/>
          <w:szCs w:val="20"/>
        </w:rPr>
        <w:t>the legal representative must act on an instructions basis.</w:t>
      </w:r>
      <w:r w:rsidR="004467E1">
        <w:rPr>
          <w:rFonts w:ascii="Arial" w:hAnsi="Arial" w:cs="Arial"/>
          <w:sz w:val="20"/>
          <w:szCs w:val="20"/>
        </w:rPr>
        <w:t xml:space="preserve">  See also the Notice for Children in Form 7 [s.</w:t>
      </w:r>
      <w:r w:rsidR="004467E1" w:rsidRPr="004467E1">
        <w:rPr>
          <w:rFonts w:ascii="Arial" w:hAnsi="Arial" w:cs="Arial"/>
          <w:b/>
          <w:bCs/>
          <w:sz w:val="20"/>
          <w:szCs w:val="20"/>
        </w:rPr>
        <w:t>22DZ</w:t>
      </w:r>
      <w:r w:rsidR="004467E1">
        <w:rPr>
          <w:rFonts w:ascii="Arial" w:hAnsi="Arial" w:cs="Arial"/>
          <w:sz w:val="20"/>
          <w:szCs w:val="20"/>
        </w:rPr>
        <w:t>].</w:t>
      </w:r>
    </w:p>
    <w:p w14:paraId="1A76DDB9" w14:textId="77777777" w:rsidR="00D3037B" w:rsidRDefault="00D3037B" w:rsidP="001F09E6">
      <w:pPr>
        <w:jc w:val="both"/>
        <w:rPr>
          <w:rFonts w:ascii="Arial" w:hAnsi="Arial" w:cs="Arial"/>
          <w:sz w:val="20"/>
          <w:szCs w:val="20"/>
        </w:rPr>
      </w:pPr>
    </w:p>
    <w:p w14:paraId="2A9F6557" w14:textId="0ECF2076" w:rsidR="006C1AE0" w:rsidRPr="00220B9E" w:rsidRDefault="006C1AE0" w:rsidP="009D1700">
      <w:pPr>
        <w:keepNext/>
        <w:keepLines/>
        <w:jc w:val="center"/>
        <w:rPr>
          <w:rFonts w:ascii="Arial" w:hAnsi="Arial" w:cs="Arial"/>
          <w:b/>
          <w:bCs/>
          <w:color w:val="000000"/>
          <w:sz w:val="20"/>
        </w:rPr>
      </w:pPr>
      <w:r>
        <w:rPr>
          <w:rFonts w:ascii="Arial" w:hAnsi="Arial" w:cs="Arial"/>
          <w:b/>
          <w:bCs/>
          <w:color w:val="FFFFFF" w:themeColor="background1"/>
          <w:sz w:val="20"/>
          <w:shd w:val="clear" w:color="auto" w:fill="000000" w:themeFill="text1"/>
        </w:rPr>
        <w:t>JURISDICTION OF THE CHILDREN’S COURT TO MAKE AN SEO</w:t>
      </w:r>
    </w:p>
    <w:p w14:paraId="547FBC79" w14:textId="436E4B51" w:rsidR="006C1AE0" w:rsidRDefault="006C1AE0" w:rsidP="009D1700">
      <w:pPr>
        <w:keepNext/>
        <w:keepLines/>
        <w:jc w:val="both"/>
        <w:rPr>
          <w:rFonts w:ascii="Arial" w:hAnsi="Arial" w:cs="Arial"/>
          <w:sz w:val="20"/>
          <w:szCs w:val="20"/>
        </w:rPr>
      </w:pPr>
    </w:p>
    <w:p w14:paraId="7FC1F2EA" w14:textId="0C35538E" w:rsidR="00035BE4" w:rsidRDefault="001F09E6" w:rsidP="009D1700">
      <w:pPr>
        <w:keepNext/>
        <w:keepLines/>
        <w:jc w:val="both"/>
        <w:rPr>
          <w:rFonts w:ascii="Arial" w:hAnsi="Arial" w:cs="Arial"/>
          <w:color w:val="000000"/>
          <w:sz w:val="20"/>
        </w:rPr>
      </w:pPr>
      <w:r>
        <w:rPr>
          <w:rFonts w:ascii="Arial" w:hAnsi="Arial" w:cs="Arial"/>
          <w:sz w:val="20"/>
          <w:szCs w:val="20"/>
        </w:rPr>
        <w:t xml:space="preserve">So far as the Children’s Court is concerned, the major reform is </w:t>
      </w:r>
      <w:r w:rsidR="00BE131B" w:rsidRPr="001F09E6">
        <w:rPr>
          <w:rFonts w:ascii="Arial" w:hAnsi="Arial" w:cs="Arial"/>
          <w:sz w:val="20"/>
          <w:szCs w:val="20"/>
        </w:rPr>
        <w:t xml:space="preserve">to provide for the </w:t>
      </w:r>
      <w:r w:rsidR="00BE131B" w:rsidRPr="002E62A4">
        <w:rPr>
          <w:rFonts w:ascii="Arial" w:hAnsi="Arial" w:cs="Arial"/>
          <w:b/>
          <w:bCs/>
          <w:sz w:val="20"/>
          <w:szCs w:val="20"/>
        </w:rPr>
        <w:t>making of a</w:t>
      </w:r>
      <w:r w:rsidR="000A26DC">
        <w:rPr>
          <w:rFonts w:ascii="Arial" w:hAnsi="Arial" w:cs="Arial"/>
          <w:b/>
          <w:bCs/>
          <w:sz w:val="20"/>
          <w:szCs w:val="20"/>
        </w:rPr>
        <w:t>n</w:t>
      </w:r>
      <w:r w:rsidR="00BE131B">
        <w:rPr>
          <w:rFonts w:ascii="Arial" w:hAnsi="Arial" w:cs="Arial"/>
          <w:sz w:val="20"/>
          <w:szCs w:val="20"/>
        </w:rPr>
        <w:t xml:space="preserve"> </w:t>
      </w:r>
      <w:r w:rsidR="00BE131B" w:rsidRPr="00BE131B">
        <w:rPr>
          <w:rFonts w:ascii="Arial" w:hAnsi="Arial" w:cs="Arial"/>
          <w:b/>
          <w:bCs/>
          <w:sz w:val="20"/>
          <w:szCs w:val="20"/>
        </w:rPr>
        <w:t>SEO</w:t>
      </w:r>
      <w:r w:rsidR="00BE131B">
        <w:rPr>
          <w:rFonts w:ascii="Arial" w:hAnsi="Arial" w:cs="Arial"/>
          <w:sz w:val="20"/>
          <w:szCs w:val="20"/>
        </w:rPr>
        <w:t xml:space="preserve">, a civil order made in the Family Division of the Court, whose object is to require a child </w:t>
      </w:r>
      <w:r w:rsidR="00035BE4">
        <w:rPr>
          <w:rFonts w:ascii="Arial" w:hAnsi="Arial" w:cs="Arial"/>
          <w:sz w:val="20"/>
          <w:szCs w:val="20"/>
        </w:rPr>
        <w:t xml:space="preserve">respondent </w:t>
      </w:r>
      <w:r w:rsidR="00BE131B">
        <w:rPr>
          <w:rFonts w:ascii="Arial" w:hAnsi="Arial" w:cs="Arial"/>
          <w:sz w:val="20"/>
          <w:szCs w:val="20"/>
        </w:rPr>
        <w:t xml:space="preserve">to engage with services in order to address the underlying causes of </w:t>
      </w:r>
      <w:r w:rsidR="00035BE4">
        <w:rPr>
          <w:rFonts w:ascii="Arial" w:hAnsi="Arial" w:cs="Arial"/>
          <w:sz w:val="20"/>
          <w:szCs w:val="20"/>
        </w:rPr>
        <w:t xml:space="preserve">his or her </w:t>
      </w:r>
      <w:r w:rsidR="00BE131B" w:rsidRPr="001F09E6">
        <w:rPr>
          <w:rFonts w:ascii="Arial" w:hAnsi="Arial" w:cs="Arial"/>
          <w:sz w:val="20"/>
          <w:szCs w:val="20"/>
        </w:rPr>
        <w:t>radicalis</w:t>
      </w:r>
      <w:r w:rsidR="00035BE4">
        <w:rPr>
          <w:rFonts w:ascii="Arial" w:hAnsi="Arial" w:cs="Arial"/>
          <w:sz w:val="20"/>
          <w:szCs w:val="20"/>
        </w:rPr>
        <w:t>at</w:t>
      </w:r>
      <w:r w:rsidR="00BE131B" w:rsidRPr="001F09E6">
        <w:rPr>
          <w:rFonts w:ascii="Arial" w:hAnsi="Arial" w:cs="Arial"/>
          <w:sz w:val="20"/>
          <w:szCs w:val="20"/>
        </w:rPr>
        <w:t>i</w:t>
      </w:r>
      <w:r w:rsidR="00035BE4">
        <w:rPr>
          <w:rFonts w:ascii="Arial" w:hAnsi="Arial" w:cs="Arial"/>
          <w:sz w:val="20"/>
          <w:szCs w:val="20"/>
        </w:rPr>
        <w:t>on</w:t>
      </w:r>
      <w:r w:rsidR="00BE131B" w:rsidRPr="001F09E6">
        <w:rPr>
          <w:rFonts w:ascii="Arial" w:hAnsi="Arial" w:cs="Arial"/>
          <w:sz w:val="20"/>
          <w:szCs w:val="20"/>
        </w:rPr>
        <w:t xml:space="preserve"> towards violent extremism</w:t>
      </w:r>
      <w:r w:rsidR="00BC2A2A">
        <w:rPr>
          <w:rFonts w:ascii="Arial" w:hAnsi="Arial" w:cs="Arial"/>
          <w:sz w:val="20"/>
          <w:szCs w:val="20"/>
        </w:rPr>
        <w:t xml:space="preserve"> [</w:t>
      </w:r>
      <w:r w:rsidR="00035BE4" w:rsidRPr="003517E7">
        <w:rPr>
          <w:rFonts w:ascii="Arial" w:hAnsi="Arial" w:cs="Arial"/>
          <w:sz w:val="20"/>
          <w:szCs w:val="20"/>
        </w:rPr>
        <w:t>s.</w:t>
      </w:r>
      <w:r w:rsidR="00035BE4" w:rsidRPr="003517E7">
        <w:rPr>
          <w:rFonts w:ascii="Arial" w:hAnsi="Arial" w:cs="Arial"/>
          <w:b/>
          <w:bCs/>
          <w:sz w:val="20"/>
          <w:szCs w:val="20"/>
        </w:rPr>
        <w:t>22CG</w:t>
      </w:r>
      <w:r w:rsidR="00BC2A2A">
        <w:rPr>
          <w:rFonts w:ascii="Arial" w:hAnsi="Arial" w:cs="Arial"/>
          <w:sz w:val="20"/>
          <w:szCs w:val="20"/>
        </w:rPr>
        <w:t>]</w:t>
      </w:r>
      <w:r w:rsidR="00035BE4">
        <w:rPr>
          <w:rFonts w:ascii="Arial" w:hAnsi="Arial" w:cs="Arial"/>
          <w:sz w:val="20"/>
          <w:szCs w:val="20"/>
        </w:rPr>
        <w:t>.</w:t>
      </w:r>
    </w:p>
    <w:p w14:paraId="2867365F" w14:textId="77777777" w:rsidR="00035BE4" w:rsidRDefault="00035BE4" w:rsidP="001F09E6">
      <w:pPr>
        <w:jc w:val="both"/>
        <w:rPr>
          <w:rFonts w:ascii="Arial" w:hAnsi="Arial" w:cs="Arial"/>
          <w:color w:val="000000"/>
          <w:sz w:val="20"/>
        </w:rPr>
      </w:pPr>
    </w:p>
    <w:p w14:paraId="2203D57D" w14:textId="17ED6E63" w:rsidR="00C45F3B" w:rsidRDefault="00BC2A2A" w:rsidP="001F09E6">
      <w:pPr>
        <w:jc w:val="both"/>
        <w:rPr>
          <w:rFonts w:ascii="Arial" w:hAnsi="Arial" w:cs="Arial"/>
          <w:color w:val="000000"/>
          <w:sz w:val="20"/>
        </w:rPr>
      </w:pPr>
      <w:r>
        <w:rPr>
          <w:rFonts w:ascii="Arial" w:hAnsi="Arial" w:cs="Arial"/>
          <w:color w:val="000000"/>
          <w:sz w:val="20"/>
        </w:rPr>
        <w:t xml:space="preserve">Under </w:t>
      </w:r>
      <w:r w:rsidRPr="003517E7">
        <w:rPr>
          <w:rFonts w:ascii="Arial" w:hAnsi="Arial" w:cs="Arial"/>
          <w:color w:val="000000"/>
          <w:sz w:val="20"/>
        </w:rPr>
        <w:t>s.</w:t>
      </w:r>
      <w:r w:rsidRPr="003517E7">
        <w:rPr>
          <w:rFonts w:ascii="Arial" w:hAnsi="Arial" w:cs="Arial"/>
          <w:b/>
          <w:bCs/>
          <w:color w:val="000000"/>
          <w:sz w:val="20"/>
        </w:rPr>
        <w:t>22CK</w:t>
      </w:r>
      <w:r>
        <w:rPr>
          <w:rFonts w:ascii="Arial" w:hAnsi="Arial" w:cs="Arial"/>
          <w:color w:val="000000"/>
          <w:sz w:val="20"/>
        </w:rPr>
        <w:t xml:space="preserve"> a</w:t>
      </w:r>
      <w:r w:rsidR="00035BE4">
        <w:rPr>
          <w:rFonts w:ascii="Arial" w:hAnsi="Arial" w:cs="Arial"/>
          <w:color w:val="000000"/>
          <w:sz w:val="20"/>
        </w:rPr>
        <w:t xml:space="preserve">n application by an authorised police officer </w:t>
      </w:r>
      <w:r w:rsidR="00B35279">
        <w:rPr>
          <w:rFonts w:ascii="Arial" w:hAnsi="Arial" w:cs="Arial"/>
          <w:color w:val="000000"/>
          <w:sz w:val="20"/>
        </w:rPr>
        <w:t xml:space="preserve">(APO) </w:t>
      </w:r>
      <w:r w:rsidR="00035BE4">
        <w:rPr>
          <w:rFonts w:ascii="Arial" w:hAnsi="Arial" w:cs="Arial"/>
          <w:color w:val="000000"/>
          <w:sz w:val="20"/>
        </w:rPr>
        <w:t>for an SEO can only be made in the Children’s Court if</w:t>
      </w:r>
      <w:r w:rsidR="00C45F3B">
        <w:rPr>
          <w:rFonts w:ascii="Arial" w:hAnsi="Arial" w:cs="Arial"/>
          <w:color w:val="000000"/>
          <w:sz w:val="20"/>
        </w:rPr>
        <w:t xml:space="preserve"> the respondent child</w:t>
      </w:r>
      <w:r w:rsidR="00013698">
        <w:rPr>
          <w:rFonts w:cs="Arial"/>
          <w:bCs/>
          <w:color w:val="000000" w:themeColor="text1"/>
          <w:sz w:val="20"/>
          <w:szCs w:val="20"/>
        </w:rPr>
        <w:t>–</w:t>
      </w:r>
    </w:p>
    <w:p w14:paraId="179801F4" w14:textId="4A4E0719" w:rsidR="00C45F3B" w:rsidRDefault="00C45F3B">
      <w:pPr>
        <w:pStyle w:val="ListParagraph"/>
        <w:numPr>
          <w:ilvl w:val="0"/>
          <w:numId w:val="56"/>
        </w:numPr>
        <w:ind w:left="357" w:hanging="357"/>
        <w:jc w:val="both"/>
        <w:rPr>
          <w:rFonts w:ascii="Arial" w:hAnsi="Arial" w:cs="Arial"/>
          <w:color w:val="000000"/>
          <w:sz w:val="20"/>
        </w:rPr>
      </w:pPr>
      <w:r>
        <w:rPr>
          <w:rFonts w:ascii="Arial" w:hAnsi="Arial" w:cs="Arial"/>
          <w:color w:val="000000"/>
          <w:sz w:val="20"/>
        </w:rPr>
        <w:t>has turned 14 but has not yet turned 18; and</w:t>
      </w:r>
    </w:p>
    <w:p w14:paraId="2E7336E1" w14:textId="65924A4C" w:rsidR="00C45F3B" w:rsidRPr="00C45F3B" w:rsidRDefault="00C45F3B">
      <w:pPr>
        <w:pStyle w:val="ListParagraph"/>
        <w:numPr>
          <w:ilvl w:val="0"/>
          <w:numId w:val="56"/>
        </w:numPr>
        <w:ind w:left="357" w:hanging="357"/>
        <w:jc w:val="both"/>
        <w:rPr>
          <w:rFonts w:ascii="Arial" w:hAnsi="Arial" w:cs="Arial"/>
          <w:color w:val="000000"/>
          <w:sz w:val="20"/>
        </w:rPr>
      </w:pPr>
      <w:r>
        <w:rPr>
          <w:rFonts w:ascii="Arial" w:hAnsi="Arial" w:cs="Arial"/>
          <w:color w:val="000000"/>
          <w:sz w:val="20"/>
        </w:rPr>
        <w:t xml:space="preserve">has not </w:t>
      </w:r>
      <w:r w:rsidR="00BC2A2A">
        <w:rPr>
          <w:rFonts w:ascii="Arial" w:hAnsi="Arial" w:cs="Arial"/>
          <w:color w:val="000000"/>
          <w:sz w:val="20"/>
        </w:rPr>
        <w:t xml:space="preserve">already </w:t>
      </w:r>
      <w:r>
        <w:rPr>
          <w:rFonts w:ascii="Arial" w:hAnsi="Arial" w:cs="Arial"/>
          <w:color w:val="000000"/>
          <w:sz w:val="20"/>
        </w:rPr>
        <w:t xml:space="preserve">been subject </w:t>
      </w:r>
      <w:r w:rsidR="00BC2A2A">
        <w:rPr>
          <w:rFonts w:ascii="Arial" w:hAnsi="Arial" w:cs="Arial"/>
          <w:color w:val="000000"/>
          <w:sz w:val="20"/>
        </w:rPr>
        <w:t>to one or more SEOs for an accumulated total period of 2</w:t>
      </w:r>
      <w:r w:rsidR="008D785F">
        <w:rPr>
          <w:rFonts w:ascii="Arial" w:hAnsi="Arial" w:cs="Arial"/>
          <w:color w:val="000000"/>
          <w:sz w:val="20"/>
        </w:rPr>
        <w:t> </w:t>
      </w:r>
      <w:r w:rsidR="00BC2A2A">
        <w:rPr>
          <w:rFonts w:ascii="Arial" w:hAnsi="Arial" w:cs="Arial"/>
          <w:color w:val="000000"/>
          <w:sz w:val="20"/>
        </w:rPr>
        <w:t>years (irrespective of whether or not any of those periods were consecutive).</w:t>
      </w:r>
    </w:p>
    <w:p w14:paraId="2C0F8A20" w14:textId="4A691855" w:rsidR="00BC2A2A" w:rsidRDefault="00BC2A2A" w:rsidP="00BC2A2A">
      <w:pPr>
        <w:jc w:val="both"/>
        <w:rPr>
          <w:rFonts w:ascii="Arial" w:hAnsi="Arial" w:cs="Arial"/>
          <w:sz w:val="20"/>
          <w:szCs w:val="20"/>
        </w:rPr>
      </w:pPr>
    </w:p>
    <w:p w14:paraId="5D8B9D4B" w14:textId="2FB707FE" w:rsidR="000D3252" w:rsidRDefault="002B5656" w:rsidP="002B5656">
      <w:pPr>
        <w:jc w:val="both"/>
        <w:rPr>
          <w:rFonts w:ascii="Arial" w:hAnsi="Arial" w:cs="Arial"/>
          <w:color w:val="000000"/>
          <w:sz w:val="20"/>
        </w:rPr>
      </w:pPr>
      <w:r>
        <w:rPr>
          <w:rFonts w:ascii="Arial" w:hAnsi="Arial" w:cs="Arial"/>
          <w:color w:val="000000"/>
          <w:sz w:val="20"/>
        </w:rPr>
        <w:t xml:space="preserve">Provided that the pre-conditions </w:t>
      </w:r>
      <w:r w:rsidR="000D3252">
        <w:rPr>
          <w:rFonts w:ascii="Arial" w:hAnsi="Arial" w:cs="Arial"/>
          <w:color w:val="000000"/>
          <w:sz w:val="20"/>
        </w:rPr>
        <w:t>in s.</w:t>
      </w:r>
      <w:r w:rsidR="000D3252" w:rsidRPr="000D3252">
        <w:rPr>
          <w:rFonts w:ascii="Arial" w:hAnsi="Arial" w:cs="Arial"/>
          <w:b/>
          <w:bCs/>
          <w:color w:val="000000"/>
          <w:sz w:val="20"/>
        </w:rPr>
        <w:t>22CK</w:t>
      </w:r>
      <w:r w:rsidR="000D3252">
        <w:rPr>
          <w:rFonts w:ascii="Arial" w:hAnsi="Arial" w:cs="Arial"/>
          <w:color w:val="000000"/>
          <w:sz w:val="20"/>
        </w:rPr>
        <w:t xml:space="preserve"> </w:t>
      </w:r>
      <w:r>
        <w:rPr>
          <w:rFonts w:ascii="Arial" w:hAnsi="Arial" w:cs="Arial"/>
          <w:color w:val="000000"/>
          <w:sz w:val="20"/>
        </w:rPr>
        <w:t>are met</w:t>
      </w:r>
      <w:r w:rsidR="00013698">
        <w:rPr>
          <w:rFonts w:cs="Arial"/>
          <w:bCs/>
          <w:color w:val="000000" w:themeColor="text1"/>
          <w:sz w:val="20"/>
          <w:szCs w:val="20"/>
        </w:rPr>
        <w:t>–</w:t>
      </w:r>
    </w:p>
    <w:p w14:paraId="1938A606" w14:textId="4944A31F" w:rsidR="000D3252" w:rsidRDefault="002B5656">
      <w:pPr>
        <w:pStyle w:val="ListParagraph"/>
        <w:numPr>
          <w:ilvl w:val="0"/>
          <w:numId w:val="56"/>
        </w:numPr>
        <w:ind w:left="357" w:hanging="357"/>
        <w:jc w:val="both"/>
        <w:rPr>
          <w:rFonts w:ascii="Arial" w:hAnsi="Arial" w:cs="Arial"/>
          <w:color w:val="000000"/>
          <w:sz w:val="20"/>
        </w:rPr>
      </w:pPr>
      <w:r>
        <w:rPr>
          <w:rFonts w:ascii="Arial" w:hAnsi="Arial" w:cs="Arial"/>
          <w:color w:val="000000"/>
          <w:sz w:val="20"/>
        </w:rPr>
        <w:t xml:space="preserve">there is </w:t>
      </w:r>
      <w:r w:rsidR="00AB57F8">
        <w:rPr>
          <w:rFonts w:ascii="Arial" w:hAnsi="Arial" w:cs="Arial"/>
          <w:color w:val="000000"/>
          <w:sz w:val="20"/>
        </w:rPr>
        <w:t>no doubt that an SEO made in the Children’s Court can extend beyond the respondent’s 18</w:t>
      </w:r>
      <w:r w:rsidR="00AB57F8" w:rsidRPr="002E62A4">
        <w:rPr>
          <w:rFonts w:ascii="Arial" w:hAnsi="Arial" w:cs="Arial"/>
          <w:color w:val="000000"/>
          <w:sz w:val="20"/>
          <w:vertAlign w:val="superscript"/>
        </w:rPr>
        <w:t>th</w:t>
      </w:r>
      <w:r w:rsidR="00AB57F8">
        <w:rPr>
          <w:rFonts w:ascii="Arial" w:hAnsi="Arial" w:cs="Arial"/>
          <w:color w:val="000000"/>
          <w:sz w:val="20"/>
        </w:rPr>
        <w:t xml:space="preserve"> birthday [</w:t>
      </w:r>
      <w:r w:rsidR="00AB57F8" w:rsidRPr="003517E7">
        <w:rPr>
          <w:rFonts w:ascii="Arial" w:hAnsi="Arial" w:cs="Arial"/>
          <w:color w:val="000000"/>
          <w:sz w:val="20"/>
        </w:rPr>
        <w:t>s.</w:t>
      </w:r>
      <w:r w:rsidR="00AB57F8" w:rsidRPr="003517E7">
        <w:rPr>
          <w:rFonts w:ascii="Arial" w:hAnsi="Arial" w:cs="Arial"/>
          <w:b/>
          <w:bCs/>
          <w:color w:val="000000"/>
          <w:sz w:val="20"/>
        </w:rPr>
        <w:t>22CQ(4)</w:t>
      </w:r>
      <w:r w:rsidR="00AB57F8">
        <w:rPr>
          <w:rFonts w:ascii="Arial" w:hAnsi="Arial" w:cs="Arial"/>
          <w:color w:val="000000"/>
          <w:sz w:val="20"/>
        </w:rPr>
        <w:t>]</w:t>
      </w:r>
      <w:r w:rsidR="000D3252">
        <w:rPr>
          <w:rFonts w:ascii="Arial" w:hAnsi="Arial" w:cs="Arial"/>
          <w:color w:val="000000"/>
          <w:sz w:val="20"/>
        </w:rPr>
        <w:t>;</w:t>
      </w:r>
    </w:p>
    <w:p w14:paraId="0B285806" w14:textId="331F0D73" w:rsidR="002B5656" w:rsidRPr="000D3252" w:rsidRDefault="00AB57F8">
      <w:pPr>
        <w:pStyle w:val="ListParagraph"/>
        <w:numPr>
          <w:ilvl w:val="0"/>
          <w:numId w:val="56"/>
        </w:numPr>
        <w:ind w:left="357" w:hanging="357"/>
        <w:jc w:val="both"/>
        <w:rPr>
          <w:rFonts w:ascii="Arial" w:hAnsi="Arial" w:cs="Arial"/>
          <w:color w:val="000000"/>
          <w:sz w:val="20"/>
        </w:rPr>
      </w:pPr>
      <w:r w:rsidRPr="000D3252">
        <w:rPr>
          <w:rFonts w:ascii="Arial" w:hAnsi="Arial" w:cs="Arial"/>
          <w:color w:val="000000"/>
          <w:sz w:val="20"/>
        </w:rPr>
        <w:t xml:space="preserve">there is </w:t>
      </w:r>
      <w:r w:rsidR="002B5656" w:rsidRPr="000D3252">
        <w:rPr>
          <w:rFonts w:ascii="Arial" w:hAnsi="Arial" w:cs="Arial"/>
          <w:color w:val="000000"/>
          <w:sz w:val="20"/>
        </w:rPr>
        <w:t>almost certainly no doubt – given the absence of an express transfer provision between the Children’s Court and the Magistrates’ Court – that the Children’s Court can make an SEO even if the respondent has already turned 18 at the time the order is made.</w:t>
      </w:r>
    </w:p>
    <w:p w14:paraId="3D2D3A74" w14:textId="77777777" w:rsidR="002B5656" w:rsidRDefault="002B5656" w:rsidP="00E76EBE">
      <w:pPr>
        <w:jc w:val="both"/>
        <w:rPr>
          <w:rFonts w:ascii="Arial" w:hAnsi="Arial" w:cs="Arial"/>
          <w:sz w:val="20"/>
          <w:szCs w:val="20"/>
        </w:rPr>
      </w:pPr>
    </w:p>
    <w:p w14:paraId="6B32BBC6" w14:textId="412A3458" w:rsidR="00BC2A2A" w:rsidRDefault="00BC2A2A" w:rsidP="00E76EBE">
      <w:pPr>
        <w:jc w:val="center"/>
        <w:rPr>
          <w:rFonts w:ascii="Arial" w:hAnsi="Arial" w:cs="Arial"/>
          <w:b/>
          <w:bCs/>
          <w:color w:val="FFFFFF" w:themeColor="background1"/>
          <w:sz w:val="20"/>
          <w:shd w:val="clear" w:color="auto" w:fill="000000" w:themeFill="text1"/>
        </w:rPr>
      </w:pPr>
      <w:r>
        <w:rPr>
          <w:rFonts w:ascii="Arial" w:hAnsi="Arial" w:cs="Arial"/>
          <w:b/>
          <w:bCs/>
          <w:color w:val="FFFFFF" w:themeColor="background1"/>
          <w:sz w:val="20"/>
          <w:shd w:val="clear" w:color="auto" w:fill="000000" w:themeFill="text1"/>
        </w:rPr>
        <w:t xml:space="preserve">PROCEDURE </w:t>
      </w:r>
      <w:r w:rsidR="00AB57F8">
        <w:rPr>
          <w:rFonts w:ascii="Arial" w:hAnsi="Arial" w:cs="Arial"/>
          <w:b/>
          <w:bCs/>
          <w:color w:val="FFFFFF" w:themeColor="background1"/>
          <w:sz w:val="20"/>
          <w:shd w:val="clear" w:color="auto" w:fill="000000" w:themeFill="text1"/>
        </w:rPr>
        <w:t xml:space="preserve">FOR AN APPLICATION </w:t>
      </w:r>
      <w:r>
        <w:rPr>
          <w:rFonts w:ascii="Arial" w:hAnsi="Arial" w:cs="Arial"/>
          <w:b/>
          <w:bCs/>
          <w:color w:val="FFFFFF" w:themeColor="background1"/>
          <w:sz w:val="20"/>
          <w:shd w:val="clear" w:color="auto" w:fill="000000" w:themeFill="text1"/>
        </w:rPr>
        <w:t>FOR THE MAKING OF AN SEO</w:t>
      </w:r>
    </w:p>
    <w:p w14:paraId="0B26E857" w14:textId="77777777" w:rsidR="00E76EBE" w:rsidRPr="00E76EBE" w:rsidRDefault="00E76EBE" w:rsidP="00E76EBE">
      <w:pPr>
        <w:jc w:val="both"/>
        <w:rPr>
          <w:rFonts w:ascii="Arial" w:hAnsi="Arial" w:cs="Arial"/>
          <w:color w:val="000000"/>
          <w:sz w:val="20"/>
        </w:rPr>
      </w:pPr>
    </w:p>
    <w:p w14:paraId="0715BB4D" w14:textId="58101626" w:rsidR="008D785F" w:rsidRDefault="00BC2A2A">
      <w:pPr>
        <w:pStyle w:val="HeadingTwo"/>
        <w:numPr>
          <w:ilvl w:val="0"/>
          <w:numId w:val="58"/>
        </w:numPr>
        <w:spacing w:after="0"/>
        <w:ind w:left="357" w:hanging="357"/>
        <w:jc w:val="both"/>
        <w:rPr>
          <w:rFonts w:cs="Arial"/>
          <w:bCs/>
          <w:color w:val="auto"/>
          <w:sz w:val="20"/>
          <w:szCs w:val="20"/>
        </w:rPr>
      </w:pPr>
      <w:r w:rsidRPr="00BC2A2A">
        <w:rPr>
          <w:rFonts w:cs="Arial"/>
          <w:bCs/>
          <w:color w:val="auto"/>
          <w:sz w:val="20"/>
          <w:szCs w:val="20"/>
        </w:rPr>
        <w:t>An</w:t>
      </w:r>
      <w:r w:rsidR="00B35279">
        <w:rPr>
          <w:rFonts w:cs="Arial"/>
          <w:bCs/>
          <w:color w:val="auto"/>
          <w:sz w:val="20"/>
          <w:szCs w:val="20"/>
        </w:rPr>
        <w:t xml:space="preserve"> </w:t>
      </w:r>
      <w:r w:rsidRPr="00BC2A2A">
        <w:rPr>
          <w:rFonts w:cs="Arial"/>
          <w:bCs/>
          <w:color w:val="auto"/>
          <w:sz w:val="20"/>
          <w:szCs w:val="20"/>
        </w:rPr>
        <w:t xml:space="preserve">application </w:t>
      </w:r>
      <w:r w:rsidR="00B35279">
        <w:rPr>
          <w:rFonts w:cs="Arial"/>
          <w:bCs/>
          <w:color w:val="auto"/>
          <w:sz w:val="20"/>
          <w:szCs w:val="20"/>
        </w:rPr>
        <w:t xml:space="preserve">to make an SEO for a respondent child </w:t>
      </w:r>
      <w:r w:rsidRPr="00BC2A2A">
        <w:rPr>
          <w:rFonts w:cs="Arial"/>
          <w:bCs/>
          <w:color w:val="auto"/>
          <w:sz w:val="20"/>
          <w:szCs w:val="20"/>
        </w:rPr>
        <w:t>must be</w:t>
      </w:r>
      <w:r w:rsidR="00B35279">
        <w:rPr>
          <w:rFonts w:cs="Arial"/>
          <w:bCs/>
          <w:color w:val="auto"/>
          <w:sz w:val="20"/>
          <w:szCs w:val="20"/>
        </w:rPr>
        <w:t xml:space="preserve"> </w:t>
      </w:r>
      <w:r w:rsidRPr="00BC2A2A">
        <w:rPr>
          <w:rFonts w:cs="Arial"/>
          <w:bCs/>
          <w:color w:val="auto"/>
          <w:sz w:val="20"/>
          <w:szCs w:val="20"/>
        </w:rPr>
        <w:t xml:space="preserve">in writing </w:t>
      </w:r>
      <w:r w:rsidR="00B35279">
        <w:rPr>
          <w:rFonts w:cs="Arial"/>
          <w:bCs/>
          <w:color w:val="auto"/>
          <w:sz w:val="20"/>
          <w:szCs w:val="20"/>
        </w:rPr>
        <w:t xml:space="preserve">in Form 1 and </w:t>
      </w:r>
      <w:r w:rsidRPr="00BC2A2A">
        <w:rPr>
          <w:rFonts w:cs="Arial"/>
          <w:bCs/>
          <w:color w:val="auto"/>
          <w:sz w:val="20"/>
          <w:szCs w:val="20"/>
        </w:rPr>
        <w:t>supported by a</w:t>
      </w:r>
      <w:r w:rsidR="00D3037B">
        <w:rPr>
          <w:rFonts w:cs="Arial"/>
          <w:bCs/>
          <w:color w:val="auto"/>
          <w:sz w:val="20"/>
          <w:szCs w:val="20"/>
        </w:rPr>
        <w:t xml:space="preserve">n </w:t>
      </w:r>
      <w:r w:rsidRPr="00BC2A2A">
        <w:rPr>
          <w:rFonts w:cs="Arial"/>
          <w:bCs/>
          <w:color w:val="auto"/>
          <w:sz w:val="20"/>
          <w:szCs w:val="20"/>
        </w:rPr>
        <w:t xml:space="preserve">affidavit </w:t>
      </w:r>
      <w:r w:rsidR="00D3037B">
        <w:rPr>
          <w:rFonts w:cs="Arial"/>
          <w:bCs/>
          <w:color w:val="auto"/>
          <w:sz w:val="20"/>
          <w:szCs w:val="20"/>
        </w:rPr>
        <w:t xml:space="preserve">by the applicant </w:t>
      </w:r>
      <w:r w:rsidRPr="00BC2A2A">
        <w:rPr>
          <w:rFonts w:cs="Arial"/>
          <w:bCs/>
          <w:color w:val="auto"/>
          <w:sz w:val="20"/>
          <w:szCs w:val="20"/>
        </w:rPr>
        <w:t xml:space="preserve">that sets out </w:t>
      </w:r>
      <w:r w:rsidR="002B5656">
        <w:rPr>
          <w:rFonts w:cs="Arial"/>
          <w:bCs/>
          <w:color w:val="auto"/>
          <w:sz w:val="20"/>
          <w:szCs w:val="20"/>
        </w:rPr>
        <w:t xml:space="preserve">various </w:t>
      </w:r>
      <w:r w:rsidR="00D3037B">
        <w:rPr>
          <w:rFonts w:cs="Arial"/>
          <w:bCs/>
          <w:color w:val="auto"/>
          <w:sz w:val="20"/>
          <w:szCs w:val="20"/>
        </w:rPr>
        <w:t>specifi</w:t>
      </w:r>
      <w:r w:rsidR="002B5656">
        <w:rPr>
          <w:rFonts w:cs="Arial"/>
          <w:bCs/>
          <w:color w:val="auto"/>
          <w:sz w:val="20"/>
          <w:szCs w:val="20"/>
        </w:rPr>
        <w:t xml:space="preserve">ed details, including </w:t>
      </w:r>
      <w:r w:rsidRPr="00BC2A2A">
        <w:rPr>
          <w:rFonts w:cs="Arial"/>
          <w:bCs/>
          <w:color w:val="auto"/>
          <w:sz w:val="20"/>
          <w:szCs w:val="20"/>
        </w:rPr>
        <w:t xml:space="preserve">the grounds on which the applicant considers that the SEO should be made </w:t>
      </w:r>
      <w:r w:rsidR="002B5656">
        <w:rPr>
          <w:rFonts w:cs="Arial"/>
          <w:bCs/>
          <w:color w:val="auto"/>
          <w:sz w:val="20"/>
          <w:szCs w:val="20"/>
        </w:rPr>
        <w:t>[</w:t>
      </w:r>
      <w:r w:rsidR="002B5656" w:rsidRPr="003517E7">
        <w:rPr>
          <w:rFonts w:cs="Arial"/>
          <w:bCs/>
          <w:color w:val="auto"/>
          <w:sz w:val="20"/>
          <w:szCs w:val="20"/>
        </w:rPr>
        <w:t>s.</w:t>
      </w:r>
      <w:r w:rsidR="002B5656" w:rsidRPr="003517E7">
        <w:rPr>
          <w:rFonts w:cs="Arial"/>
          <w:b/>
          <w:color w:val="auto"/>
          <w:sz w:val="20"/>
          <w:szCs w:val="20"/>
        </w:rPr>
        <w:t>22CL</w:t>
      </w:r>
      <w:r w:rsidR="002B5656">
        <w:rPr>
          <w:rFonts w:cs="Arial"/>
          <w:bCs/>
          <w:color w:val="auto"/>
          <w:sz w:val="20"/>
          <w:szCs w:val="20"/>
        </w:rPr>
        <w:t>].</w:t>
      </w:r>
    </w:p>
    <w:p w14:paraId="478D15E6" w14:textId="2B2A742F" w:rsidR="00BC2A2A" w:rsidRDefault="00B35279">
      <w:pPr>
        <w:pStyle w:val="HeadingTwo"/>
        <w:numPr>
          <w:ilvl w:val="0"/>
          <w:numId w:val="58"/>
        </w:numPr>
        <w:spacing w:before="120" w:after="0"/>
        <w:ind w:left="357" w:hanging="357"/>
        <w:jc w:val="both"/>
        <w:rPr>
          <w:rFonts w:cs="Arial"/>
          <w:bCs/>
          <w:color w:val="auto"/>
          <w:sz w:val="20"/>
          <w:szCs w:val="20"/>
        </w:rPr>
      </w:pPr>
      <w:r>
        <w:rPr>
          <w:rFonts w:cs="Arial"/>
          <w:bCs/>
          <w:color w:val="auto"/>
          <w:sz w:val="20"/>
          <w:szCs w:val="20"/>
        </w:rPr>
        <w:t xml:space="preserve">This documentation must be electronically filed with the Melbourne Children’s Court registry: see </w:t>
      </w:r>
      <w:r w:rsidRPr="00B35279">
        <w:rPr>
          <w:rFonts w:cs="Arial"/>
          <w:color w:val="000000"/>
          <w:sz w:val="20"/>
        </w:rPr>
        <w:t xml:space="preserve">paragraph </w:t>
      </w:r>
      <w:r>
        <w:rPr>
          <w:rFonts w:cs="Arial"/>
          <w:color w:val="000000"/>
          <w:sz w:val="20"/>
        </w:rPr>
        <w:t>57</w:t>
      </w:r>
      <w:r w:rsidRPr="00B35279">
        <w:rPr>
          <w:rFonts w:cs="Arial"/>
          <w:color w:val="000000"/>
          <w:sz w:val="20"/>
        </w:rPr>
        <w:t xml:space="preserve"> of Practice Direction No.2 of 2022 dated 02/09/2022</w:t>
      </w:r>
      <w:r>
        <w:rPr>
          <w:rFonts w:cs="Arial"/>
          <w:color w:val="000000"/>
          <w:sz w:val="20"/>
        </w:rPr>
        <w:t>.</w:t>
      </w:r>
    </w:p>
    <w:p w14:paraId="0A8DF997" w14:textId="50ACE927" w:rsidR="00BC2A2A" w:rsidRPr="00BC2A2A" w:rsidRDefault="00BC2A2A">
      <w:pPr>
        <w:pStyle w:val="HeadingTwo"/>
        <w:numPr>
          <w:ilvl w:val="0"/>
          <w:numId w:val="58"/>
        </w:numPr>
        <w:spacing w:before="120" w:after="0"/>
        <w:ind w:left="357" w:hanging="357"/>
        <w:jc w:val="both"/>
        <w:rPr>
          <w:rFonts w:cs="Arial"/>
          <w:bCs/>
          <w:color w:val="auto"/>
          <w:sz w:val="20"/>
          <w:szCs w:val="20"/>
        </w:rPr>
      </w:pPr>
      <w:r w:rsidRPr="00BC2A2A">
        <w:rPr>
          <w:rFonts w:cs="Arial"/>
          <w:bCs/>
          <w:color w:val="auto"/>
          <w:sz w:val="20"/>
          <w:szCs w:val="20"/>
        </w:rPr>
        <w:t>Notice of the application must be served on the respondent. The applicant must also give a copy of the application to the Secretary</w:t>
      </w:r>
      <w:r w:rsidR="002B5656">
        <w:rPr>
          <w:rFonts w:cs="Arial"/>
          <w:bCs/>
          <w:color w:val="auto"/>
          <w:sz w:val="20"/>
          <w:szCs w:val="20"/>
        </w:rPr>
        <w:t xml:space="preserve"> [s.</w:t>
      </w:r>
      <w:r w:rsidR="002B5656" w:rsidRPr="003517E7">
        <w:rPr>
          <w:rFonts w:cs="Arial"/>
          <w:b/>
          <w:color w:val="auto"/>
          <w:sz w:val="20"/>
          <w:szCs w:val="20"/>
        </w:rPr>
        <w:t>22CM</w:t>
      </w:r>
      <w:r w:rsidR="002B5656">
        <w:rPr>
          <w:rFonts w:cs="Arial"/>
          <w:bCs/>
          <w:color w:val="auto"/>
          <w:sz w:val="20"/>
          <w:szCs w:val="20"/>
        </w:rPr>
        <w:t>].</w:t>
      </w:r>
    </w:p>
    <w:p w14:paraId="03ACD1F4" w14:textId="587CAA1D" w:rsidR="00BC2A2A" w:rsidRPr="00BC2A2A" w:rsidRDefault="00BC2A2A">
      <w:pPr>
        <w:pStyle w:val="HeadingTwo"/>
        <w:numPr>
          <w:ilvl w:val="0"/>
          <w:numId w:val="58"/>
        </w:numPr>
        <w:spacing w:before="120" w:after="0"/>
        <w:ind w:left="357" w:hanging="357"/>
        <w:jc w:val="both"/>
        <w:rPr>
          <w:rFonts w:cs="Arial"/>
          <w:bCs/>
          <w:color w:val="auto"/>
          <w:sz w:val="20"/>
          <w:szCs w:val="20"/>
        </w:rPr>
      </w:pPr>
      <w:r w:rsidRPr="00BC2A2A">
        <w:rPr>
          <w:rFonts w:cs="Arial"/>
          <w:bCs/>
          <w:color w:val="auto"/>
          <w:sz w:val="20"/>
          <w:szCs w:val="20"/>
        </w:rPr>
        <w:t xml:space="preserve">Upon receiving the application, the Secretary must file </w:t>
      </w:r>
      <w:r w:rsidR="000D3252">
        <w:rPr>
          <w:rFonts w:cs="Arial"/>
          <w:bCs/>
          <w:color w:val="auto"/>
          <w:sz w:val="20"/>
          <w:szCs w:val="20"/>
        </w:rPr>
        <w:t>within a reasonable time</w:t>
      </w:r>
      <w:r w:rsidR="00013698">
        <w:rPr>
          <w:rFonts w:cs="Arial"/>
          <w:bCs/>
          <w:color w:val="000000" w:themeColor="text1"/>
          <w:sz w:val="20"/>
          <w:szCs w:val="20"/>
        </w:rPr>
        <w:t>–</w:t>
      </w:r>
    </w:p>
    <w:p w14:paraId="17FF24AE" w14:textId="6EFCC8E1" w:rsidR="00BC2A2A" w:rsidRPr="00BC2A2A" w:rsidRDefault="00BC2A2A">
      <w:pPr>
        <w:pStyle w:val="HeadingTwo"/>
        <w:numPr>
          <w:ilvl w:val="1"/>
          <w:numId w:val="58"/>
        </w:numPr>
        <w:spacing w:before="60" w:after="60"/>
        <w:ind w:left="714" w:hanging="357"/>
        <w:jc w:val="both"/>
        <w:rPr>
          <w:rFonts w:cs="Arial"/>
          <w:bCs/>
          <w:color w:val="auto"/>
          <w:sz w:val="20"/>
          <w:szCs w:val="20"/>
        </w:rPr>
      </w:pPr>
      <w:r w:rsidRPr="00BC2A2A">
        <w:rPr>
          <w:rFonts w:cs="Arial"/>
          <w:bCs/>
          <w:color w:val="auto"/>
          <w:sz w:val="20"/>
          <w:szCs w:val="20"/>
        </w:rPr>
        <w:t xml:space="preserve">a report </w:t>
      </w:r>
      <w:r w:rsidR="000D3252">
        <w:rPr>
          <w:rFonts w:cs="Arial"/>
          <w:bCs/>
          <w:color w:val="auto"/>
          <w:sz w:val="20"/>
          <w:szCs w:val="20"/>
        </w:rPr>
        <w:t xml:space="preserve">that </w:t>
      </w:r>
      <w:r w:rsidRPr="00BC2A2A">
        <w:rPr>
          <w:rFonts w:cs="Arial"/>
          <w:bCs/>
          <w:color w:val="auto"/>
          <w:sz w:val="20"/>
          <w:szCs w:val="20"/>
        </w:rPr>
        <w:t>describ</w:t>
      </w:r>
      <w:r w:rsidR="000D3252">
        <w:rPr>
          <w:rFonts w:cs="Arial"/>
          <w:bCs/>
          <w:color w:val="auto"/>
          <w:sz w:val="20"/>
          <w:szCs w:val="20"/>
        </w:rPr>
        <w:t>es</w:t>
      </w:r>
      <w:r w:rsidRPr="00BC2A2A">
        <w:rPr>
          <w:rFonts w:cs="Arial"/>
          <w:bCs/>
          <w:color w:val="auto"/>
          <w:sz w:val="20"/>
          <w:szCs w:val="20"/>
        </w:rPr>
        <w:t xml:space="preserve"> the behaviours and needs of the respondent that are relevant to the application, and, if the respondent has previously been a participant of a voluntary case management plan, </w:t>
      </w:r>
      <w:r w:rsidR="000D3252">
        <w:rPr>
          <w:rFonts w:cs="Arial"/>
          <w:bCs/>
          <w:color w:val="auto"/>
          <w:sz w:val="20"/>
          <w:szCs w:val="20"/>
        </w:rPr>
        <w:t xml:space="preserve">that </w:t>
      </w:r>
      <w:r w:rsidRPr="00BC2A2A">
        <w:rPr>
          <w:rFonts w:cs="Arial"/>
          <w:bCs/>
          <w:color w:val="auto"/>
          <w:sz w:val="20"/>
          <w:szCs w:val="20"/>
        </w:rPr>
        <w:t>describe</w:t>
      </w:r>
      <w:r w:rsidR="000D3252">
        <w:rPr>
          <w:rFonts w:cs="Arial"/>
          <w:bCs/>
          <w:color w:val="auto"/>
          <w:sz w:val="20"/>
          <w:szCs w:val="20"/>
        </w:rPr>
        <w:t>s</w:t>
      </w:r>
      <w:r w:rsidRPr="00BC2A2A">
        <w:rPr>
          <w:rFonts w:cs="Arial"/>
          <w:bCs/>
          <w:color w:val="auto"/>
          <w:sz w:val="20"/>
          <w:szCs w:val="20"/>
        </w:rPr>
        <w:t xml:space="preserve"> the engagement of the respondent with programs and services under that plan</w:t>
      </w:r>
      <w:r w:rsidR="005F0ACD">
        <w:rPr>
          <w:rFonts w:cs="Arial"/>
          <w:bCs/>
          <w:color w:val="auto"/>
          <w:sz w:val="20"/>
          <w:szCs w:val="20"/>
        </w:rPr>
        <w:t>; and</w:t>
      </w:r>
    </w:p>
    <w:p w14:paraId="322EF30A" w14:textId="03DB5DDC" w:rsidR="00BC2A2A" w:rsidRPr="00BC2A2A" w:rsidRDefault="00BC2A2A">
      <w:pPr>
        <w:pStyle w:val="HeadingTwo"/>
        <w:numPr>
          <w:ilvl w:val="1"/>
          <w:numId w:val="58"/>
        </w:numPr>
        <w:spacing w:after="0"/>
        <w:ind w:left="714" w:hanging="357"/>
        <w:jc w:val="both"/>
        <w:rPr>
          <w:rFonts w:cs="Arial"/>
          <w:bCs/>
          <w:color w:val="auto"/>
          <w:sz w:val="20"/>
          <w:szCs w:val="20"/>
        </w:rPr>
      </w:pPr>
      <w:r w:rsidRPr="00BC2A2A">
        <w:rPr>
          <w:rFonts w:cs="Arial"/>
          <w:bCs/>
          <w:color w:val="auto"/>
          <w:sz w:val="20"/>
          <w:szCs w:val="20"/>
        </w:rPr>
        <w:t xml:space="preserve">a proposed </w:t>
      </w:r>
      <w:r w:rsidR="005F0ACD">
        <w:rPr>
          <w:rFonts w:cs="Arial"/>
          <w:bCs/>
          <w:color w:val="auto"/>
          <w:sz w:val="20"/>
          <w:szCs w:val="20"/>
        </w:rPr>
        <w:t xml:space="preserve">SEP </w:t>
      </w:r>
      <w:r w:rsidRPr="00BC2A2A">
        <w:rPr>
          <w:rFonts w:cs="Arial"/>
          <w:bCs/>
          <w:color w:val="auto"/>
          <w:sz w:val="20"/>
          <w:szCs w:val="20"/>
        </w:rPr>
        <w:t xml:space="preserve">for the respondent </w:t>
      </w:r>
      <w:r w:rsidR="005F0ACD">
        <w:rPr>
          <w:rFonts w:cs="Arial"/>
          <w:bCs/>
          <w:color w:val="auto"/>
          <w:sz w:val="20"/>
          <w:szCs w:val="20"/>
        </w:rPr>
        <w:t>[s.</w:t>
      </w:r>
      <w:r w:rsidR="005F0ACD" w:rsidRPr="000D3252">
        <w:rPr>
          <w:rFonts w:cs="Arial"/>
          <w:b/>
          <w:color w:val="auto"/>
          <w:sz w:val="20"/>
          <w:szCs w:val="20"/>
        </w:rPr>
        <w:t>22CN</w:t>
      </w:r>
      <w:r w:rsidR="005F0ACD">
        <w:rPr>
          <w:rFonts w:cs="Arial"/>
          <w:bCs/>
          <w:color w:val="auto"/>
          <w:sz w:val="20"/>
          <w:szCs w:val="20"/>
        </w:rPr>
        <w:t>].</w:t>
      </w:r>
    </w:p>
    <w:p w14:paraId="36211E03" w14:textId="7909A23A" w:rsidR="005F0ACD" w:rsidRPr="008878C2" w:rsidRDefault="00BC2A2A">
      <w:pPr>
        <w:pStyle w:val="HeadingTwo"/>
        <w:numPr>
          <w:ilvl w:val="0"/>
          <w:numId w:val="58"/>
        </w:numPr>
        <w:spacing w:before="120" w:after="0"/>
        <w:ind w:left="357" w:hanging="357"/>
        <w:jc w:val="both"/>
        <w:rPr>
          <w:rFonts w:cs="Arial"/>
          <w:b/>
          <w:color w:val="000000" w:themeColor="text1"/>
          <w:sz w:val="20"/>
          <w:szCs w:val="20"/>
        </w:rPr>
      </w:pPr>
      <w:r w:rsidRPr="00BC2A2A">
        <w:rPr>
          <w:rFonts w:cs="Arial"/>
          <w:bCs/>
          <w:color w:val="auto"/>
          <w:sz w:val="20"/>
          <w:szCs w:val="20"/>
        </w:rPr>
        <w:t xml:space="preserve">The SEP must set out the services and programs with which the respondent is required to </w:t>
      </w:r>
      <w:r w:rsidRPr="008878C2">
        <w:rPr>
          <w:rFonts w:cs="Arial"/>
          <w:bCs/>
          <w:color w:val="000000" w:themeColor="text1"/>
          <w:sz w:val="20"/>
          <w:szCs w:val="20"/>
        </w:rPr>
        <w:t>engage in order to achieve a therapeutic purpose for the person</w:t>
      </w:r>
      <w:r w:rsidR="005F0ACD" w:rsidRPr="008878C2">
        <w:rPr>
          <w:rFonts w:cs="Arial"/>
          <w:bCs/>
          <w:color w:val="000000" w:themeColor="text1"/>
          <w:sz w:val="20"/>
          <w:szCs w:val="20"/>
        </w:rPr>
        <w:t xml:space="preserve"> and</w:t>
      </w:r>
      <w:r w:rsidRPr="008878C2">
        <w:rPr>
          <w:rFonts w:cs="Arial"/>
          <w:bCs/>
          <w:color w:val="000000" w:themeColor="text1"/>
          <w:sz w:val="20"/>
          <w:szCs w:val="20"/>
        </w:rPr>
        <w:t xml:space="preserve"> how often or when that engagement must occur</w:t>
      </w:r>
      <w:r w:rsidR="005F0ACD" w:rsidRPr="008878C2">
        <w:rPr>
          <w:rFonts w:cs="Arial"/>
          <w:bCs/>
          <w:color w:val="000000" w:themeColor="text1"/>
          <w:sz w:val="20"/>
          <w:szCs w:val="20"/>
        </w:rPr>
        <w:t xml:space="preserve"> [s.</w:t>
      </w:r>
      <w:r w:rsidR="005F0ACD" w:rsidRPr="000D3252">
        <w:rPr>
          <w:rFonts w:cs="Arial"/>
          <w:b/>
          <w:color w:val="000000" w:themeColor="text1"/>
          <w:sz w:val="20"/>
          <w:szCs w:val="20"/>
        </w:rPr>
        <w:t>22AJ(2)</w:t>
      </w:r>
      <w:r w:rsidR="005F0ACD" w:rsidRPr="008878C2">
        <w:rPr>
          <w:rFonts w:cs="Arial"/>
          <w:bCs/>
          <w:color w:val="000000" w:themeColor="text1"/>
          <w:sz w:val="20"/>
          <w:szCs w:val="20"/>
        </w:rPr>
        <w:t xml:space="preserve">].  It may also set out </w:t>
      </w:r>
      <w:r w:rsidR="008878C2" w:rsidRPr="008878C2">
        <w:rPr>
          <w:rFonts w:cs="Arial"/>
          <w:bCs/>
          <w:color w:val="000000" w:themeColor="text1"/>
          <w:sz w:val="20"/>
          <w:szCs w:val="20"/>
        </w:rPr>
        <w:t>required or permissible modes of engagement with those services and programs and outcomes that constitute satisfactory engagement with those services and programs [s.</w:t>
      </w:r>
      <w:r w:rsidR="008878C2" w:rsidRPr="000D3252">
        <w:rPr>
          <w:rFonts w:cs="Arial"/>
          <w:b/>
          <w:color w:val="000000" w:themeColor="text1"/>
          <w:sz w:val="20"/>
          <w:szCs w:val="20"/>
        </w:rPr>
        <w:t>22AJ(3)</w:t>
      </w:r>
      <w:r w:rsidR="008878C2" w:rsidRPr="008878C2">
        <w:rPr>
          <w:rFonts w:cs="Arial"/>
          <w:bCs/>
          <w:color w:val="000000" w:themeColor="text1"/>
          <w:sz w:val="20"/>
          <w:szCs w:val="20"/>
        </w:rPr>
        <w:t xml:space="preserve">].  And it may also provide that completion of </w:t>
      </w:r>
      <w:r w:rsidR="008878C2" w:rsidRPr="008878C2">
        <w:rPr>
          <w:rFonts w:cs="Arial"/>
          <w:color w:val="000000" w:themeColor="text1"/>
          <w:sz w:val="20"/>
          <w:szCs w:val="20"/>
        </w:rPr>
        <w:t>a service or program to the satisfaction of the provider of the service or program is to constitute satisfactory engagement with the service or program.</w:t>
      </w:r>
      <w:r w:rsidR="008878C2" w:rsidRPr="008878C2">
        <w:rPr>
          <w:rFonts w:cs="Arial"/>
          <w:bCs/>
          <w:color w:val="000000" w:themeColor="text1"/>
          <w:sz w:val="20"/>
          <w:szCs w:val="20"/>
        </w:rPr>
        <w:t xml:space="preserve"> [s.</w:t>
      </w:r>
      <w:r w:rsidR="008878C2" w:rsidRPr="000D3252">
        <w:rPr>
          <w:rFonts w:cs="Arial"/>
          <w:b/>
          <w:color w:val="000000" w:themeColor="text1"/>
          <w:sz w:val="20"/>
          <w:szCs w:val="20"/>
        </w:rPr>
        <w:t>22AJ(4)</w:t>
      </w:r>
      <w:r w:rsidR="008878C2" w:rsidRPr="008878C2">
        <w:rPr>
          <w:rFonts w:cs="Arial"/>
          <w:bCs/>
          <w:color w:val="000000" w:themeColor="text1"/>
          <w:sz w:val="20"/>
          <w:szCs w:val="20"/>
        </w:rPr>
        <w:t>].</w:t>
      </w:r>
    </w:p>
    <w:p w14:paraId="6618766F" w14:textId="27057C54" w:rsidR="000D3252" w:rsidRDefault="00DB637E">
      <w:pPr>
        <w:pStyle w:val="HeadingTwo"/>
        <w:numPr>
          <w:ilvl w:val="0"/>
          <w:numId w:val="58"/>
        </w:numPr>
        <w:spacing w:before="120" w:after="0"/>
        <w:ind w:left="357" w:hanging="357"/>
        <w:jc w:val="both"/>
        <w:rPr>
          <w:rFonts w:cs="Arial"/>
          <w:bCs/>
          <w:color w:val="auto"/>
          <w:sz w:val="20"/>
          <w:szCs w:val="20"/>
        </w:rPr>
      </w:pPr>
      <w:r>
        <w:rPr>
          <w:rFonts w:cs="Arial"/>
          <w:bCs/>
          <w:color w:val="auto"/>
          <w:sz w:val="20"/>
          <w:szCs w:val="20"/>
        </w:rPr>
        <w:t>The court may direct a</w:t>
      </w:r>
      <w:r w:rsidR="00E70446">
        <w:rPr>
          <w:rFonts w:cs="Arial"/>
          <w:bCs/>
          <w:color w:val="auto"/>
          <w:sz w:val="20"/>
          <w:szCs w:val="20"/>
        </w:rPr>
        <w:t xml:space="preserve"> person</w:t>
      </w:r>
      <w:r w:rsidR="00BC2A2A" w:rsidRPr="00BC2A2A">
        <w:rPr>
          <w:rFonts w:cs="Arial"/>
          <w:bCs/>
          <w:color w:val="auto"/>
          <w:sz w:val="20"/>
          <w:szCs w:val="20"/>
        </w:rPr>
        <w:t xml:space="preserve"> to attend and give evidence on the report </w:t>
      </w:r>
      <w:r w:rsidR="00E70446">
        <w:rPr>
          <w:rFonts w:cs="Arial"/>
          <w:bCs/>
          <w:color w:val="auto"/>
          <w:sz w:val="20"/>
          <w:szCs w:val="20"/>
        </w:rPr>
        <w:t xml:space="preserve">given under </w:t>
      </w:r>
      <w:r w:rsidR="00E70446" w:rsidRPr="00E70446">
        <w:rPr>
          <w:rFonts w:cs="Arial"/>
          <w:b/>
          <w:color w:val="auto"/>
          <w:sz w:val="20"/>
          <w:szCs w:val="20"/>
        </w:rPr>
        <w:t>s.22CN(1)(a)</w:t>
      </w:r>
      <w:r w:rsidR="00E70446">
        <w:rPr>
          <w:rFonts w:cs="Arial"/>
          <w:bCs/>
          <w:color w:val="auto"/>
          <w:sz w:val="20"/>
          <w:szCs w:val="20"/>
        </w:rPr>
        <w:t xml:space="preserve"> </w:t>
      </w:r>
      <w:r w:rsidR="00BC2A2A" w:rsidRPr="00BC2A2A">
        <w:rPr>
          <w:rFonts w:cs="Arial"/>
          <w:bCs/>
          <w:color w:val="auto"/>
          <w:sz w:val="20"/>
          <w:szCs w:val="20"/>
        </w:rPr>
        <w:t>and/or the proposed SEP</w:t>
      </w:r>
      <w:r w:rsidR="00E70446">
        <w:rPr>
          <w:rFonts w:cs="Arial"/>
          <w:bCs/>
          <w:color w:val="auto"/>
          <w:sz w:val="20"/>
          <w:szCs w:val="20"/>
        </w:rPr>
        <w:t xml:space="preserve"> under </w:t>
      </w:r>
      <w:r w:rsidR="00E70446" w:rsidRPr="00E70446">
        <w:rPr>
          <w:rFonts w:cs="Arial"/>
          <w:b/>
          <w:color w:val="auto"/>
          <w:sz w:val="20"/>
          <w:szCs w:val="20"/>
        </w:rPr>
        <w:t>s.22CN(1)(b)</w:t>
      </w:r>
      <w:r w:rsidR="00BC2A2A" w:rsidRPr="00BC2A2A">
        <w:rPr>
          <w:rFonts w:cs="Arial"/>
          <w:bCs/>
          <w:color w:val="auto"/>
          <w:sz w:val="20"/>
          <w:szCs w:val="20"/>
        </w:rPr>
        <w:t xml:space="preserve">. If </w:t>
      </w:r>
      <w:r w:rsidR="00E70446">
        <w:rPr>
          <w:rFonts w:cs="Arial"/>
          <w:bCs/>
          <w:color w:val="auto"/>
          <w:sz w:val="20"/>
          <w:szCs w:val="20"/>
        </w:rPr>
        <w:t xml:space="preserve">the Secretary is given a direction under </w:t>
      </w:r>
      <w:r w:rsidR="00E70446" w:rsidRPr="00E70446">
        <w:rPr>
          <w:rFonts w:cs="Arial"/>
          <w:b/>
          <w:color w:val="auto"/>
          <w:sz w:val="20"/>
          <w:szCs w:val="20"/>
        </w:rPr>
        <w:t>s.22CP(1)</w:t>
      </w:r>
      <w:r w:rsidR="00BC2A2A" w:rsidRPr="00BC2A2A">
        <w:rPr>
          <w:rFonts w:cs="Arial"/>
          <w:bCs/>
          <w:color w:val="auto"/>
          <w:sz w:val="20"/>
          <w:szCs w:val="20"/>
        </w:rPr>
        <w:t xml:space="preserve">, the Secretary </w:t>
      </w:r>
      <w:r w:rsidR="00E70446">
        <w:rPr>
          <w:rFonts w:cs="Arial"/>
          <w:bCs/>
          <w:color w:val="auto"/>
          <w:sz w:val="20"/>
          <w:szCs w:val="20"/>
        </w:rPr>
        <w:t xml:space="preserve">may determine that a particular member of the </w:t>
      </w:r>
      <w:r w:rsidR="00284BB9">
        <w:rPr>
          <w:rFonts w:cs="Arial"/>
          <w:bCs/>
          <w:color w:val="auto"/>
          <w:sz w:val="20"/>
          <w:szCs w:val="20"/>
        </w:rPr>
        <w:t xml:space="preserve">CVE MAP </w:t>
      </w:r>
      <w:r w:rsidR="00E70446">
        <w:rPr>
          <w:rFonts w:cs="Arial"/>
          <w:bCs/>
          <w:color w:val="auto"/>
          <w:sz w:val="20"/>
          <w:szCs w:val="20"/>
        </w:rPr>
        <w:t xml:space="preserve">is to </w:t>
      </w:r>
      <w:r w:rsidR="00AB38E3">
        <w:rPr>
          <w:rFonts w:cs="Arial"/>
          <w:bCs/>
          <w:color w:val="auto"/>
          <w:sz w:val="20"/>
          <w:szCs w:val="20"/>
        </w:rPr>
        <w:t>attend and give evidence</w:t>
      </w:r>
      <w:r w:rsidR="00E70446">
        <w:rPr>
          <w:rFonts w:cs="Arial"/>
          <w:bCs/>
          <w:color w:val="auto"/>
          <w:sz w:val="20"/>
          <w:szCs w:val="20"/>
        </w:rPr>
        <w:t>,</w:t>
      </w:r>
      <w:r w:rsidR="00AB38E3">
        <w:rPr>
          <w:rFonts w:cs="Arial"/>
          <w:bCs/>
          <w:color w:val="auto"/>
          <w:sz w:val="20"/>
          <w:szCs w:val="20"/>
        </w:rPr>
        <w:t xml:space="preserve"> in the Secretary’s place</w:t>
      </w:r>
      <w:r w:rsidR="00E70446">
        <w:rPr>
          <w:rFonts w:cs="Arial"/>
          <w:bCs/>
          <w:color w:val="auto"/>
          <w:sz w:val="20"/>
          <w:szCs w:val="20"/>
        </w:rPr>
        <w:t>, in response to that direction.</w:t>
      </w:r>
      <w:r w:rsidR="00AB38E3">
        <w:rPr>
          <w:rFonts w:cs="Arial"/>
          <w:bCs/>
          <w:color w:val="auto"/>
          <w:sz w:val="20"/>
          <w:szCs w:val="20"/>
        </w:rPr>
        <w:t xml:space="preserve"> [s.</w:t>
      </w:r>
      <w:r w:rsidR="00AB38E3" w:rsidRPr="00AB38E3">
        <w:rPr>
          <w:rFonts w:cs="Arial"/>
          <w:b/>
          <w:color w:val="auto"/>
          <w:sz w:val="20"/>
          <w:szCs w:val="20"/>
        </w:rPr>
        <w:t>22CP</w:t>
      </w:r>
      <w:r w:rsidR="00AB38E3">
        <w:rPr>
          <w:rFonts w:cs="Arial"/>
          <w:bCs/>
          <w:color w:val="auto"/>
          <w:sz w:val="20"/>
          <w:szCs w:val="20"/>
        </w:rPr>
        <w:t>].</w:t>
      </w:r>
    </w:p>
    <w:p w14:paraId="0DC5C29C" w14:textId="67EC51E4" w:rsidR="005F0ACD" w:rsidRDefault="005F0ACD" w:rsidP="005F0ACD">
      <w:pPr>
        <w:jc w:val="both"/>
        <w:rPr>
          <w:rFonts w:ascii="Arial" w:hAnsi="Arial" w:cs="Arial"/>
          <w:sz w:val="20"/>
          <w:szCs w:val="20"/>
        </w:rPr>
      </w:pPr>
    </w:p>
    <w:p w14:paraId="76C7A0BA" w14:textId="4D4C240C" w:rsidR="005F0ACD" w:rsidRDefault="005F0ACD" w:rsidP="005F0ACD">
      <w:pPr>
        <w:jc w:val="center"/>
        <w:rPr>
          <w:rFonts w:ascii="Arial" w:hAnsi="Arial" w:cs="Arial"/>
          <w:b/>
          <w:bCs/>
          <w:color w:val="FFFFFF" w:themeColor="background1"/>
          <w:sz w:val="20"/>
          <w:shd w:val="clear" w:color="auto" w:fill="000000" w:themeFill="text1"/>
        </w:rPr>
      </w:pPr>
      <w:r>
        <w:rPr>
          <w:rFonts w:ascii="Arial" w:hAnsi="Arial" w:cs="Arial"/>
          <w:b/>
          <w:bCs/>
          <w:color w:val="FFFFFF" w:themeColor="background1"/>
          <w:sz w:val="20"/>
          <w:shd w:val="clear" w:color="auto" w:fill="000000" w:themeFill="text1"/>
        </w:rPr>
        <w:t>DETERMINATION OF AN APPLICATION FOR AN SEO</w:t>
      </w:r>
    </w:p>
    <w:p w14:paraId="7D0FBC38" w14:textId="77777777" w:rsidR="00E76EBE" w:rsidRPr="00E76EBE" w:rsidRDefault="00E76EBE" w:rsidP="00E76EBE">
      <w:pPr>
        <w:jc w:val="both"/>
        <w:rPr>
          <w:rFonts w:ascii="Arial" w:hAnsi="Arial" w:cs="Arial"/>
          <w:color w:val="000000"/>
          <w:sz w:val="20"/>
        </w:rPr>
      </w:pPr>
    </w:p>
    <w:p w14:paraId="76B866DA" w14:textId="2CD21FF3" w:rsidR="00284BB9" w:rsidRPr="005C378C" w:rsidRDefault="003517E7">
      <w:pPr>
        <w:pStyle w:val="HeadingTwo"/>
        <w:numPr>
          <w:ilvl w:val="0"/>
          <w:numId w:val="61"/>
        </w:numPr>
        <w:spacing w:after="0"/>
        <w:ind w:left="357" w:hanging="357"/>
        <w:jc w:val="both"/>
        <w:rPr>
          <w:rFonts w:cs="Arial"/>
          <w:bCs/>
          <w:color w:val="auto"/>
          <w:sz w:val="20"/>
          <w:szCs w:val="20"/>
        </w:rPr>
      </w:pPr>
      <w:r w:rsidRPr="009D1700">
        <w:rPr>
          <w:rFonts w:cs="Arial"/>
          <w:bCs/>
          <w:color w:val="000000" w:themeColor="text1"/>
          <w:sz w:val="20"/>
          <w:szCs w:val="20"/>
        </w:rPr>
        <w:t>The</w:t>
      </w:r>
      <w:r w:rsidR="00193BF2">
        <w:rPr>
          <w:rFonts w:cs="Arial"/>
          <w:bCs/>
          <w:color w:val="000000" w:themeColor="text1"/>
          <w:sz w:val="20"/>
          <w:szCs w:val="20"/>
        </w:rPr>
        <w:t xml:space="preserve"> 2021 amending Act</w:t>
      </w:r>
      <w:r w:rsidRPr="009D1700">
        <w:rPr>
          <w:rFonts w:cs="Arial"/>
          <w:bCs/>
          <w:color w:val="000000" w:themeColor="text1"/>
          <w:sz w:val="20"/>
          <w:szCs w:val="20"/>
        </w:rPr>
        <w:t xml:space="preserve"> authorises a Court to make SEOs</w:t>
      </w:r>
      <w:r w:rsidRPr="009D1700">
        <w:rPr>
          <w:rFonts w:cs="Arial"/>
          <w:color w:val="000000" w:themeColor="text1"/>
          <w:sz w:val="20"/>
          <w:szCs w:val="20"/>
        </w:rPr>
        <w:t xml:space="preserve"> to address the underlying causes of persons who are radicalising towards violent extremism.  </w:t>
      </w:r>
      <w:r w:rsidR="00815D00" w:rsidRPr="009D1700">
        <w:rPr>
          <w:rFonts w:cs="Arial"/>
          <w:color w:val="000000" w:themeColor="text1"/>
          <w:sz w:val="20"/>
          <w:szCs w:val="20"/>
        </w:rPr>
        <w:t>Pursuant to ss.</w:t>
      </w:r>
      <w:r w:rsidR="00815D00" w:rsidRPr="009D1700">
        <w:rPr>
          <w:rFonts w:cs="Arial"/>
          <w:b/>
          <w:bCs/>
          <w:color w:val="000000" w:themeColor="text1"/>
          <w:sz w:val="20"/>
          <w:szCs w:val="20"/>
        </w:rPr>
        <w:t>22CJ &amp; 22CO(1)</w:t>
      </w:r>
      <w:r w:rsidR="00815D00" w:rsidRPr="009D1700">
        <w:rPr>
          <w:rFonts w:cs="Arial"/>
          <w:color w:val="000000" w:themeColor="text1"/>
          <w:sz w:val="20"/>
          <w:szCs w:val="20"/>
        </w:rPr>
        <w:t xml:space="preserve">, in </w:t>
      </w:r>
      <w:r w:rsidRPr="009D1700">
        <w:rPr>
          <w:rFonts w:cs="Arial"/>
          <w:bCs/>
          <w:color w:val="000000" w:themeColor="text1"/>
          <w:sz w:val="20"/>
          <w:szCs w:val="20"/>
        </w:rPr>
        <w:t xml:space="preserve">order to make an SEO the </w:t>
      </w:r>
      <w:r w:rsidR="00433B20">
        <w:rPr>
          <w:rFonts w:cs="Arial"/>
          <w:bCs/>
          <w:color w:val="000000" w:themeColor="text1"/>
          <w:sz w:val="20"/>
          <w:szCs w:val="20"/>
        </w:rPr>
        <w:t>c</w:t>
      </w:r>
      <w:r w:rsidRPr="009D1700">
        <w:rPr>
          <w:rFonts w:cs="Arial"/>
          <w:bCs/>
          <w:color w:val="000000" w:themeColor="text1"/>
          <w:sz w:val="20"/>
          <w:szCs w:val="20"/>
        </w:rPr>
        <w:t>ourt must make a finding, on the balance of probabilities, that</w:t>
      </w:r>
      <w:r w:rsidR="00013698">
        <w:rPr>
          <w:rFonts w:cs="Arial"/>
          <w:bCs/>
          <w:color w:val="000000" w:themeColor="text1"/>
          <w:sz w:val="20"/>
          <w:szCs w:val="20"/>
        </w:rPr>
        <w:t>–</w:t>
      </w:r>
    </w:p>
    <w:p w14:paraId="051F7F50" w14:textId="2FB4E4DA" w:rsidR="005C378C" w:rsidRDefault="005C378C">
      <w:pPr>
        <w:pStyle w:val="HeadingTwo"/>
        <w:numPr>
          <w:ilvl w:val="0"/>
          <w:numId w:val="62"/>
        </w:numPr>
        <w:spacing w:before="60" w:after="0"/>
        <w:ind w:left="714" w:hanging="357"/>
        <w:jc w:val="both"/>
        <w:rPr>
          <w:rFonts w:cs="Arial"/>
          <w:bCs/>
          <w:color w:val="000000" w:themeColor="text1"/>
          <w:sz w:val="20"/>
          <w:szCs w:val="20"/>
        </w:rPr>
      </w:pPr>
      <w:r w:rsidRPr="003517E7">
        <w:rPr>
          <w:rFonts w:cs="Arial"/>
          <w:bCs/>
          <w:color w:val="000000" w:themeColor="text1"/>
          <w:sz w:val="20"/>
          <w:szCs w:val="20"/>
        </w:rPr>
        <w:t>the respondent is radicalising towards violent extremism</w:t>
      </w:r>
      <w:r>
        <w:rPr>
          <w:rFonts w:cs="Arial"/>
          <w:bCs/>
          <w:color w:val="000000" w:themeColor="text1"/>
          <w:sz w:val="20"/>
          <w:szCs w:val="20"/>
        </w:rPr>
        <w:t>; and</w:t>
      </w:r>
    </w:p>
    <w:p w14:paraId="49BC4015" w14:textId="3B4BE558" w:rsidR="005C378C" w:rsidRDefault="005C378C">
      <w:pPr>
        <w:pStyle w:val="HeadingTwo"/>
        <w:numPr>
          <w:ilvl w:val="0"/>
          <w:numId w:val="62"/>
        </w:numPr>
        <w:spacing w:before="60" w:after="0"/>
        <w:ind w:left="714" w:hanging="357"/>
        <w:jc w:val="both"/>
        <w:rPr>
          <w:rFonts w:cs="Arial"/>
          <w:bCs/>
          <w:color w:val="000000" w:themeColor="text1"/>
          <w:sz w:val="20"/>
          <w:szCs w:val="20"/>
        </w:rPr>
      </w:pPr>
      <w:r>
        <w:rPr>
          <w:rFonts w:cs="Arial"/>
          <w:bCs/>
          <w:color w:val="auto"/>
          <w:sz w:val="20"/>
          <w:szCs w:val="20"/>
        </w:rPr>
        <w:t xml:space="preserve">the </w:t>
      </w:r>
      <w:r w:rsidR="00433B20">
        <w:rPr>
          <w:rFonts w:cs="Arial"/>
          <w:bCs/>
          <w:color w:val="auto"/>
          <w:sz w:val="20"/>
          <w:szCs w:val="20"/>
        </w:rPr>
        <w:t>c</w:t>
      </w:r>
      <w:r>
        <w:rPr>
          <w:rFonts w:cs="Arial"/>
          <w:bCs/>
          <w:color w:val="auto"/>
          <w:sz w:val="20"/>
          <w:szCs w:val="20"/>
        </w:rPr>
        <w:t>ourt is satisfied that the making of an SEO is an appropriate way to achieve a therapeutic purpose for the respondent.</w:t>
      </w:r>
    </w:p>
    <w:p w14:paraId="20321BA1" w14:textId="7E10A8FF" w:rsidR="00184EDB" w:rsidRPr="003517E7" w:rsidRDefault="00815D00">
      <w:pPr>
        <w:pStyle w:val="HeadingTwo"/>
        <w:numPr>
          <w:ilvl w:val="0"/>
          <w:numId w:val="60"/>
        </w:numPr>
        <w:spacing w:before="120" w:after="0"/>
        <w:ind w:left="357" w:hanging="357"/>
        <w:jc w:val="both"/>
        <w:rPr>
          <w:rFonts w:cs="Arial"/>
          <w:bCs/>
          <w:color w:val="000000" w:themeColor="text1"/>
          <w:sz w:val="20"/>
          <w:szCs w:val="20"/>
        </w:rPr>
      </w:pPr>
      <w:r>
        <w:rPr>
          <w:rFonts w:cs="Arial"/>
          <w:bCs/>
          <w:color w:val="000000" w:themeColor="text1"/>
          <w:sz w:val="20"/>
          <w:szCs w:val="20"/>
        </w:rPr>
        <w:lastRenderedPageBreak/>
        <w:t>Pursuant to s.</w:t>
      </w:r>
      <w:r w:rsidRPr="00815D00">
        <w:rPr>
          <w:rFonts w:cs="Arial"/>
          <w:b/>
          <w:color w:val="000000" w:themeColor="text1"/>
          <w:sz w:val="20"/>
          <w:szCs w:val="20"/>
        </w:rPr>
        <w:t>22AG</w:t>
      </w:r>
      <w:r>
        <w:rPr>
          <w:rFonts w:cs="Arial"/>
          <w:bCs/>
          <w:color w:val="000000" w:themeColor="text1"/>
          <w:sz w:val="20"/>
          <w:szCs w:val="20"/>
        </w:rPr>
        <w:t xml:space="preserve"> </w:t>
      </w:r>
      <w:r w:rsidR="00184EDB" w:rsidRPr="003517E7">
        <w:rPr>
          <w:rFonts w:cs="Arial"/>
          <w:bCs/>
          <w:color w:val="000000" w:themeColor="text1"/>
          <w:sz w:val="20"/>
          <w:szCs w:val="20"/>
        </w:rPr>
        <w:t>“</w:t>
      </w:r>
      <w:r>
        <w:rPr>
          <w:rFonts w:cs="Arial"/>
          <w:bCs/>
          <w:color w:val="000000" w:themeColor="text1"/>
          <w:sz w:val="20"/>
          <w:szCs w:val="20"/>
        </w:rPr>
        <w:t>r</w:t>
      </w:r>
      <w:r w:rsidR="00184EDB" w:rsidRPr="003517E7">
        <w:rPr>
          <w:rFonts w:cs="Arial"/>
          <w:bCs/>
          <w:color w:val="000000" w:themeColor="text1"/>
          <w:sz w:val="20"/>
          <w:szCs w:val="20"/>
        </w:rPr>
        <w:t>adicalising toward violent extremism” means the process of coming to support the commission of a</w:t>
      </w:r>
      <w:r w:rsidR="00D31B89">
        <w:rPr>
          <w:rFonts w:cs="Arial"/>
          <w:bCs/>
          <w:color w:val="000000" w:themeColor="text1"/>
          <w:sz w:val="20"/>
          <w:szCs w:val="20"/>
        </w:rPr>
        <w:t xml:space="preserve"> terrorist</w:t>
      </w:r>
      <w:r w:rsidR="00184EDB" w:rsidRPr="003517E7">
        <w:rPr>
          <w:rFonts w:cs="Arial"/>
          <w:bCs/>
          <w:color w:val="000000" w:themeColor="text1"/>
          <w:sz w:val="20"/>
          <w:szCs w:val="20"/>
        </w:rPr>
        <w:t xml:space="preserve"> act under s</w:t>
      </w:r>
      <w:r w:rsidR="00184EDB">
        <w:rPr>
          <w:rFonts w:cs="Arial"/>
          <w:bCs/>
          <w:color w:val="000000" w:themeColor="text1"/>
          <w:sz w:val="20"/>
          <w:szCs w:val="20"/>
        </w:rPr>
        <w:t>.</w:t>
      </w:r>
      <w:r w:rsidR="00184EDB" w:rsidRPr="00184EDB">
        <w:rPr>
          <w:rFonts w:cs="Arial"/>
          <w:b/>
          <w:color w:val="000000" w:themeColor="text1"/>
          <w:sz w:val="20"/>
          <w:szCs w:val="20"/>
        </w:rPr>
        <w:t>4(2)</w:t>
      </w:r>
      <w:r w:rsidR="00184EDB" w:rsidRPr="003517E7">
        <w:rPr>
          <w:rFonts w:cs="Arial"/>
          <w:bCs/>
          <w:color w:val="000000" w:themeColor="text1"/>
          <w:sz w:val="20"/>
          <w:szCs w:val="20"/>
        </w:rPr>
        <w:t xml:space="preserve">, as a means of advancing a political religious or ideological cause, coercing or influencing a government or intimidating the public. A person does not need to have identified or considered a particular </w:t>
      </w:r>
      <w:r w:rsidR="00184EDB">
        <w:rPr>
          <w:rFonts w:cs="Arial"/>
          <w:bCs/>
          <w:color w:val="000000" w:themeColor="text1"/>
          <w:sz w:val="20"/>
          <w:szCs w:val="20"/>
        </w:rPr>
        <w:t>a</w:t>
      </w:r>
      <w:r w:rsidR="00184EDB" w:rsidRPr="003517E7">
        <w:rPr>
          <w:rFonts w:cs="Arial"/>
          <w:bCs/>
          <w:color w:val="000000" w:themeColor="text1"/>
          <w:sz w:val="20"/>
          <w:szCs w:val="20"/>
        </w:rPr>
        <w:t>ct in order to be considered to be radicalising towards violent extremism</w:t>
      </w:r>
      <w:r w:rsidR="00715FDB">
        <w:rPr>
          <w:rFonts w:cs="Arial"/>
          <w:bCs/>
          <w:color w:val="000000" w:themeColor="text1"/>
          <w:sz w:val="20"/>
          <w:szCs w:val="20"/>
        </w:rPr>
        <w:t xml:space="preserve"> [s.</w:t>
      </w:r>
      <w:r w:rsidR="00715FDB" w:rsidRPr="003D7C6E">
        <w:rPr>
          <w:rFonts w:cs="Arial"/>
          <w:b/>
          <w:color w:val="000000" w:themeColor="text1"/>
          <w:sz w:val="20"/>
          <w:szCs w:val="20"/>
        </w:rPr>
        <w:t>22AG(2)</w:t>
      </w:r>
      <w:r w:rsidR="00715FDB">
        <w:rPr>
          <w:rFonts w:cs="Arial"/>
          <w:bCs/>
          <w:color w:val="000000" w:themeColor="text1"/>
          <w:sz w:val="20"/>
          <w:szCs w:val="20"/>
        </w:rPr>
        <w:t>]</w:t>
      </w:r>
      <w:r w:rsidR="00184EDB" w:rsidRPr="003517E7">
        <w:rPr>
          <w:rFonts w:cs="Arial"/>
          <w:bCs/>
          <w:color w:val="000000" w:themeColor="text1"/>
          <w:sz w:val="20"/>
          <w:szCs w:val="20"/>
        </w:rPr>
        <w:t>.</w:t>
      </w:r>
      <w:r w:rsidR="00715FDB">
        <w:rPr>
          <w:rFonts w:cs="Arial"/>
          <w:bCs/>
          <w:color w:val="000000" w:themeColor="text1"/>
          <w:sz w:val="20"/>
          <w:szCs w:val="20"/>
        </w:rPr>
        <w:t xml:space="preserve">  </w:t>
      </w:r>
      <w:r w:rsidR="003D7C6E">
        <w:rPr>
          <w:rFonts w:cs="Arial"/>
          <w:bCs/>
          <w:color w:val="000000" w:themeColor="text1"/>
          <w:sz w:val="20"/>
          <w:szCs w:val="20"/>
        </w:rPr>
        <w:t xml:space="preserve">Further, the </w:t>
      </w:r>
      <w:r w:rsidR="00433B20">
        <w:rPr>
          <w:rFonts w:cs="Arial"/>
          <w:bCs/>
          <w:color w:val="000000" w:themeColor="text1"/>
          <w:sz w:val="20"/>
          <w:szCs w:val="20"/>
        </w:rPr>
        <w:t>c</w:t>
      </w:r>
      <w:r w:rsidR="003D7C6E">
        <w:rPr>
          <w:rFonts w:cs="Arial"/>
          <w:bCs/>
          <w:color w:val="000000" w:themeColor="text1"/>
          <w:sz w:val="20"/>
          <w:szCs w:val="20"/>
        </w:rPr>
        <w:t xml:space="preserve">ourt may find that a person is radicalising towards violent extremism whether or not the </w:t>
      </w:r>
      <w:r w:rsidR="00433B20">
        <w:rPr>
          <w:rFonts w:cs="Arial"/>
          <w:bCs/>
          <w:color w:val="000000" w:themeColor="text1"/>
          <w:sz w:val="20"/>
          <w:szCs w:val="20"/>
        </w:rPr>
        <w:t>c</w:t>
      </w:r>
      <w:r w:rsidR="003D7C6E">
        <w:rPr>
          <w:rFonts w:cs="Arial"/>
          <w:bCs/>
          <w:color w:val="000000" w:themeColor="text1"/>
          <w:sz w:val="20"/>
          <w:szCs w:val="20"/>
        </w:rPr>
        <w:t>ourt finds that the person is preparing to commit a terrorist act [s.</w:t>
      </w:r>
      <w:r w:rsidR="003D7C6E" w:rsidRPr="003D7C6E">
        <w:rPr>
          <w:rFonts w:cs="Arial"/>
          <w:b/>
          <w:color w:val="000000" w:themeColor="text1"/>
          <w:sz w:val="20"/>
          <w:szCs w:val="20"/>
        </w:rPr>
        <w:t>22CI(4)</w:t>
      </w:r>
      <w:r w:rsidR="003D7C6E">
        <w:rPr>
          <w:rFonts w:cs="Arial"/>
          <w:bCs/>
          <w:color w:val="000000" w:themeColor="text1"/>
          <w:sz w:val="20"/>
          <w:szCs w:val="20"/>
        </w:rPr>
        <w:t>].</w:t>
      </w:r>
    </w:p>
    <w:p w14:paraId="5621A4A3" w14:textId="2790F6AB" w:rsidR="003D7C6E" w:rsidRDefault="00184EDB">
      <w:pPr>
        <w:pStyle w:val="HeadingTwo"/>
        <w:numPr>
          <w:ilvl w:val="0"/>
          <w:numId w:val="60"/>
        </w:numPr>
        <w:spacing w:before="120" w:after="0"/>
        <w:ind w:left="357" w:hanging="357"/>
        <w:jc w:val="both"/>
        <w:rPr>
          <w:rFonts w:cs="Arial"/>
          <w:bCs/>
          <w:color w:val="000000" w:themeColor="text1"/>
          <w:sz w:val="20"/>
          <w:szCs w:val="20"/>
        </w:rPr>
      </w:pPr>
      <w:r w:rsidRPr="003517E7">
        <w:rPr>
          <w:rFonts w:cs="Arial"/>
          <w:bCs/>
          <w:color w:val="000000" w:themeColor="text1"/>
          <w:sz w:val="20"/>
          <w:szCs w:val="20"/>
        </w:rPr>
        <w:t>A</w:t>
      </w:r>
      <w:r w:rsidR="002A0B1E">
        <w:rPr>
          <w:rFonts w:cs="Arial"/>
          <w:bCs/>
          <w:color w:val="000000" w:themeColor="text1"/>
          <w:sz w:val="20"/>
          <w:szCs w:val="20"/>
        </w:rPr>
        <w:t>s defined in s.</w:t>
      </w:r>
      <w:r w:rsidR="002A0B1E" w:rsidRPr="002A0B1E">
        <w:rPr>
          <w:rFonts w:cs="Arial"/>
          <w:b/>
          <w:color w:val="000000" w:themeColor="text1"/>
          <w:sz w:val="20"/>
          <w:szCs w:val="20"/>
        </w:rPr>
        <w:t>4</w:t>
      </w:r>
      <w:r w:rsidR="002A0B1E">
        <w:rPr>
          <w:rFonts w:cs="Arial"/>
          <w:bCs/>
          <w:color w:val="000000" w:themeColor="text1"/>
          <w:sz w:val="20"/>
          <w:szCs w:val="20"/>
        </w:rPr>
        <w:t>, a</w:t>
      </w:r>
      <w:r w:rsidRPr="003517E7">
        <w:rPr>
          <w:rFonts w:cs="Arial"/>
          <w:bCs/>
          <w:color w:val="000000" w:themeColor="text1"/>
          <w:sz w:val="20"/>
          <w:szCs w:val="20"/>
        </w:rPr>
        <w:t xml:space="preserve"> </w:t>
      </w:r>
      <w:r w:rsidR="003D7C6E">
        <w:rPr>
          <w:rFonts w:cs="Arial"/>
          <w:bCs/>
          <w:color w:val="000000" w:themeColor="text1"/>
          <w:sz w:val="20"/>
          <w:szCs w:val="20"/>
        </w:rPr>
        <w:t>“</w:t>
      </w:r>
      <w:r w:rsidRPr="003517E7">
        <w:rPr>
          <w:rFonts w:cs="Arial"/>
          <w:bCs/>
          <w:color w:val="000000" w:themeColor="text1"/>
          <w:sz w:val="20"/>
          <w:szCs w:val="20"/>
        </w:rPr>
        <w:t>terrorist act</w:t>
      </w:r>
      <w:r w:rsidR="003D7C6E">
        <w:rPr>
          <w:rFonts w:cs="Arial"/>
          <w:bCs/>
          <w:color w:val="000000" w:themeColor="text1"/>
          <w:sz w:val="20"/>
          <w:szCs w:val="20"/>
        </w:rPr>
        <w:t>”</w:t>
      </w:r>
      <w:r w:rsidRPr="003517E7">
        <w:rPr>
          <w:rFonts w:cs="Arial"/>
          <w:bCs/>
          <w:color w:val="000000" w:themeColor="text1"/>
          <w:sz w:val="20"/>
          <w:szCs w:val="20"/>
        </w:rPr>
        <w:t xml:space="preserve"> includes</w:t>
      </w:r>
      <w:r w:rsidR="002A0B1E">
        <w:rPr>
          <w:rFonts w:cs="Arial"/>
          <w:bCs/>
          <w:color w:val="000000" w:themeColor="text1"/>
          <w:sz w:val="20"/>
          <w:szCs w:val="20"/>
        </w:rPr>
        <w:t xml:space="preserve"> </w:t>
      </w:r>
      <w:r w:rsidRPr="003517E7">
        <w:rPr>
          <w:rFonts w:cs="Arial"/>
          <w:bCs/>
          <w:color w:val="000000" w:themeColor="text1"/>
          <w:sz w:val="20"/>
          <w:szCs w:val="20"/>
        </w:rPr>
        <w:t>an action or threat of an action</w:t>
      </w:r>
      <w:r w:rsidR="003D7C6E">
        <w:rPr>
          <w:rFonts w:cs="Arial"/>
          <w:bCs/>
          <w:color w:val="000000" w:themeColor="text1"/>
          <w:sz w:val="20"/>
          <w:szCs w:val="20"/>
        </w:rPr>
        <w:t xml:space="preserve"> where</w:t>
      </w:r>
      <w:r w:rsidR="00013698">
        <w:rPr>
          <w:rFonts w:cs="Arial"/>
          <w:bCs/>
          <w:color w:val="000000" w:themeColor="text1"/>
          <w:sz w:val="20"/>
          <w:szCs w:val="20"/>
        </w:rPr>
        <w:t>–</w:t>
      </w:r>
    </w:p>
    <w:p w14:paraId="6DA75684" w14:textId="6ECC0938" w:rsidR="003D7C6E" w:rsidRPr="003D7C6E" w:rsidRDefault="003D7C6E">
      <w:pPr>
        <w:pStyle w:val="ListParagraph"/>
        <w:numPr>
          <w:ilvl w:val="0"/>
          <w:numId w:val="56"/>
        </w:numPr>
        <w:ind w:left="714" w:hanging="357"/>
        <w:jc w:val="both"/>
        <w:rPr>
          <w:rFonts w:ascii="Arial" w:hAnsi="Arial" w:cs="Arial"/>
          <w:color w:val="000000"/>
          <w:sz w:val="20"/>
        </w:rPr>
      </w:pPr>
      <w:r w:rsidRPr="003D7C6E">
        <w:rPr>
          <w:rFonts w:ascii="Arial" w:hAnsi="Arial" w:cs="Arial"/>
          <w:bCs/>
          <w:color w:val="000000" w:themeColor="text1"/>
          <w:sz w:val="20"/>
        </w:rPr>
        <w:t xml:space="preserve">serious </w:t>
      </w:r>
      <w:r>
        <w:rPr>
          <w:rFonts w:ascii="Arial" w:hAnsi="Arial" w:cs="Arial"/>
          <w:bCs/>
          <w:color w:val="000000" w:themeColor="text1"/>
          <w:sz w:val="20"/>
        </w:rPr>
        <w:t xml:space="preserve">physical </w:t>
      </w:r>
      <w:r w:rsidRPr="003D7C6E">
        <w:rPr>
          <w:rFonts w:ascii="Arial" w:hAnsi="Arial" w:cs="Arial"/>
          <w:bCs/>
          <w:color w:val="000000" w:themeColor="text1"/>
          <w:sz w:val="20"/>
        </w:rPr>
        <w:t xml:space="preserve">harm </w:t>
      </w:r>
      <w:r>
        <w:rPr>
          <w:rFonts w:ascii="Arial" w:hAnsi="Arial" w:cs="Arial"/>
          <w:bCs/>
          <w:color w:val="000000" w:themeColor="text1"/>
          <w:sz w:val="20"/>
        </w:rPr>
        <w:t xml:space="preserve">or death is caused to a person; </w:t>
      </w:r>
      <w:r w:rsidRPr="003D7C6E">
        <w:rPr>
          <w:rFonts w:ascii="Arial" w:hAnsi="Arial" w:cs="Arial"/>
          <w:bCs/>
          <w:color w:val="000000" w:themeColor="text1"/>
          <w:sz w:val="20"/>
        </w:rPr>
        <w:t>or</w:t>
      </w:r>
    </w:p>
    <w:p w14:paraId="2CE18CFC" w14:textId="534AA155" w:rsidR="003D7C6E" w:rsidRPr="003D7C6E" w:rsidRDefault="003D7C6E">
      <w:pPr>
        <w:pStyle w:val="ListParagraph"/>
        <w:numPr>
          <w:ilvl w:val="0"/>
          <w:numId w:val="56"/>
        </w:numPr>
        <w:ind w:left="714" w:hanging="357"/>
        <w:jc w:val="both"/>
        <w:rPr>
          <w:rFonts w:ascii="Arial" w:hAnsi="Arial" w:cs="Arial"/>
          <w:color w:val="000000"/>
          <w:sz w:val="20"/>
        </w:rPr>
      </w:pPr>
      <w:r>
        <w:rPr>
          <w:rFonts w:ascii="Arial" w:hAnsi="Arial" w:cs="Arial"/>
          <w:bCs/>
          <w:color w:val="000000" w:themeColor="text1"/>
          <w:sz w:val="20"/>
        </w:rPr>
        <w:t xml:space="preserve">serious </w:t>
      </w:r>
      <w:r w:rsidRPr="003D7C6E">
        <w:rPr>
          <w:rFonts w:ascii="Arial" w:hAnsi="Arial" w:cs="Arial"/>
          <w:bCs/>
          <w:color w:val="000000" w:themeColor="text1"/>
          <w:sz w:val="20"/>
        </w:rPr>
        <w:t>damage</w:t>
      </w:r>
      <w:r>
        <w:rPr>
          <w:rFonts w:ascii="Arial" w:hAnsi="Arial" w:cs="Arial"/>
          <w:bCs/>
          <w:color w:val="000000" w:themeColor="text1"/>
          <w:sz w:val="20"/>
        </w:rPr>
        <w:t xml:space="preserve"> </w:t>
      </w:r>
      <w:r w:rsidRPr="003D7C6E">
        <w:rPr>
          <w:rFonts w:ascii="Arial" w:hAnsi="Arial" w:cs="Arial"/>
          <w:bCs/>
          <w:color w:val="000000" w:themeColor="text1"/>
          <w:sz w:val="20"/>
        </w:rPr>
        <w:t>is caused</w:t>
      </w:r>
      <w:r>
        <w:rPr>
          <w:rFonts w:ascii="Arial" w:hAnsi="Arial" w:cs="Arial"/>
          <w:bCs/>
          <w:color w:val="000000" w:themeColor="text1"/>
          <w:sz w:val="20"/>
        </w:rPr>
        <w:t xml:space="preserve"> to property; or</w:t>
      </w:r>
    </w:p>
    <w:p w14:paraId="711C23FA" w14:textId="5001BB3B" w:rsidR="003D7C6E" w:rsidRPr="0005775A" w:rsidRDefault="003D7C6E">
      <w:pPr>
        <w:pStyle w:val="ListParagraph"/>
        <w:numPr>
          <w:ilvl w:val="0"/>
          <w:numId w:val="56"/>
        </w:numPr>
        <w:ind w:left="714" w:hanging="357"/>
        <w:jc w:val="both"/>
        <w:rPr>
          <w:rFonts w:ascii="Arial" w:hAnsi="Arial" w:cs="Arial"/>
          <w:color w:val="000000"/>
          <w:sz w:val="20"/>
        </w:rPr>
      </w:pPr>
      <w:r w:rsidRPr="0005775A">
        <w:rPr>
          <w:rFonts w:ascii="Arial" w:hAnsi="Arial" w:cs="Arial"/>
          <w:bCs/>
          <w:color w:val="000000" w:themeColor="text1"/>
          <w:sz w:val="20"/>
        </w:rPr>
        <w:t>a serious risk is caused to health and safety</w:t>
      </w:r>
      <w:r w:rsidR="0005775A">
        <w:rPr>
          <w:rFonts w:ascii="Arial" w:hAnsi="Arial" w:cs="Arial"/>
          <w:bCs/>
          <w:color w:val="000000" w:themeColor="text1"/>
          <w:sz w:val="20"/>
        </w:rPr>
        <w:t xml:space="preserve"> of the public or a section of the public; or</w:t>
      </w:r>
    </w:p>
    <w:p w14:paraId="6D78B6E6" w14:textId="0EFD8DC5" w:rsidR="0005775A" w:rsidRPr="0005775A" w:rsidRDefault="0005775A">
      <w:pPr>
        <w:pStyle w:val="ListParagraph"/>
        <w:numPr>
          <w:ilvl w:val="0"/>
          <w:numId w:val="56"/>
        </w:numPr>
        <w:ind w:left="714" w:hanging="357"/>
        <w:jc w:val="both"/>
        <w:rPr>
          <w:rFonts w:ascii="Arial" w:hAnsi="Arial" w:cs="Arial"/>
          <w:color w:val="000000"/>
          <w:sz w:val="20"/>
        </w:rPr>
      </w:pPr>
      <w:r w:rsidRPr="0005775A">
        <w:rPr>
          <w:rFonts w:ascii="Arial" w:hAnsi="Arial" w:cs="Arial"/>
          <w:bCs/>
          <w:color w:val="000000" w:themeColor="text1"/>
          <w:sz w:val="20"/>
        </w:rPr>
        <w:t xml:space="preserve">a serious disruption or destruction </w:t>
      </w:r>
      <w:r>
        <w:rPr>
          <w:rFonts w:ascii="Arial" w:hAnsi="Arial" w:cs="Arial"/>
          <w:bCs/>
          <w:color w:val="000000" w:themeColor="text1"/>
          <w:sz w:val="20"/>
        </w:rPr>
        <w:t xml:space="preserve">is caused to </w:t>
      </w:r>
      <w:r w:rsidRPr="0005775A">
        <w:rPr>
          <w:rFonts w:ascii="Arial" w:hAnsi="Arial" w:cs="Arial"/>
          <w:bCs/>
          <w:color w:val="000000" w:themeColor="text1"/>
          <w:sz w:val="20"/>
        </w:rPr>
        <w:t>a</w:t>
      </w:r>
      <w:r w:rsidR="00966DCD">
        <w:rPr>
          <w:rFonts w:ascii="Arial" w:hAnsi="Arial" w:cs="Arial"/>
          <w:bCs/>
          <w:color w:val="000000" w:themeColor="text1"/>
          <w:sz w:val="20"/>
        </w:rPr>
        <w:t>n electronic s</w:t>
      </w:r>
      <w:r w:rsidRPr="0005775A">
        <w:rPr>
          <w:rFonts w:ascii="Arial" w:hAnsi="Arial" w:cs="Arial"/>
          <w:bCs/>
          <w:color w:val="000000" w:themeColor="text1"/>
          <w:sz w:val="20"/>
        </w:rPr>
        <w:t>ystem such as a</w:t>
      </w:r>
      <w:r w:rsidR="00966DCD">
        <w:rPr>
          <w:rFonts w:ascii="Arial" w:hAnsi="Arial" w:cs="Arial"/>
          <w:bCs/>
          <w:color w:val="000000" w:themeColor="text1"/>
          <w:sz w:val="20"/>
        </w:rPr>
        <w:t>n</w:t>
      </w:r>
      <w:r w:rsidRPr="0005775A">
        <w:rPr>
          <w:rFonts w:ascii="Arial" w:hAnsi="Arial" w:cs="Arial"/>
          <w:bCs/>
          <w:color w:val="000000" w:themeColor="text1"/>
          <w:sz w:val="20"/>
        </w:rPr>
        <w:t xml:space="preserve"> </w:t>
      </w:r>
      <w:r w:rsidR="00966DCD">
        <w:rPr>
          <w:rFonts w:ascii="Arial" w:hAnsi="Arial" w:cs="Arial"/>
          <w:bCs/>
          <w:color w:val="000000" w:themeColor="text1"/>
          <w:sz w:val="20"/>
        </w:rPr>
        <w:t xml:space="preserve">information system or a </w:t>
      </w:r>
      <w:r w:rsidRPr="0005775A">
        <w:rPr>
          <w:rFonts w:ascii="Arial" w:hAnsi="Arial" w:cs="Arial"/>
          <w:bCs/>
          <w:color w:val="000000" w:themeColor="text1"/>
          <w:sz w:val="20"/>
        </w:rPr>
        <w:t>telecommunication</w:t>
      </w:r>
      <w:r w:rsidR="00966DCD">
        <w:rPr>
          <w:rFonts w:ascii="Arial" w:hAnsi="Arial" w:cs="Arial"/>
          <w:bCs/>
          <w:color w:val="000000" w:themeColor="text1"/>
          <w:sz w:val="20"/>
        </w:rPr>
        <w:t>s</w:t>
      </w:r>
      <w:r w:rsidRPr="0005775A">
        <w:rPr>
          <w:rFonts w:ascii="Arial" w:hAnsi="Arial" w:cs="Arial"/>
          <w:bCs/>
          <w:color w:val="000000" w:themeColor="text1"/>
          <w:sz w:val="20"/>
        </w:rPr>
        <w:t xml:space="preserve"> system</w:t>
      </w:r>
      <w:r w:rsidR="00966DCD">
        <w:rPr>
          <w:rFonts w:ascii="Arial" w:hAnsi="Arial" w:cs="Arial"/>
          <w:bCs/>
          <w:color w:val="000000" w:themeColor="text1"/>
          <w:sz w:val="20"/>
        </w:rPr>
        <w:t xml:space="preserve"> etc</w:t>
      </w:r>
      <w:r>
        <w:rPr>
          <w:rFonts w:ascii="Arial" w:hAnsi="Arial" w:cs="Arial"/>
          <w:bCs/>
          <w:color w:val="000000" w:themeColor="text1"/>
          <w:sz w:val="20"/>
        </w:rPr>
        <w:t>-</w:t>
      </w:r>
    </w:p>
    <w:p w14:paraId="3D5AC069" w14:textId="12C0C1DE" w:rsidR="00184EDB" w:rsidRPr="0005775A" w:rsidRDefault="00184EDB" w:rsidP="005C378C">
      <w:pPr>
        <w:pStyle w:val="HeadingTwo"/>
        <w:spacing w:after="0"/>
        <w:ind w:left="357"/>
        <w:jc w:val="both"/>
        <w:rPr>
          <w:rFonts w:cs="Arial"/>
          <w:bCs/>
          <w:color w:val="000000" w:themeColor="text1"/>
          <w:sz w:val="20"/>
          <w:szCs w:val="20"/>
        </w:rPr>
      </w:pPr>
      <w:r w:rsidRPr="0005775A">
        <w:rPr>
          <w:rFonts w:cs="Arial"/>
          <w:bCs/>
          <w:color w:val="000000" w:themeColor="text1"/>
          <w:sz w:val="20"/>
          <w:szCs w:val="20"/>
        </w:rPr>
        <w:t>with the intention of advancing a political, religious or ideological cause</w:t>
      </w:r>
      <w:r w:rsidR="0005775A">
        <w:rPr>
          <w:rFonts w:cs="Arial"/>
          <w:bCs/>
          <w:color w:val="000000" w:themeColor="text1"/>
          <w:sz w:val="20"/>
          <w:szCs w:val="20"/>
        </w:rPr>
        <w:t xml:space="preserve"> or o</w:t>
      </w:r>
      <w:r w:rsidRPr="0005775A">
        <w:rPr>
          <w:rFonts w:cs="Arial"/>
          <w:bCs/>
          <w:color w:val="000000" w:themeColor="text1"/>
          <w:sz w:val="20"/>
          <w:szCs w:val="20"/>
        </w:rPr>
        <w:t xml:space="preserve">f coercing the government or intimidating the public. </w:t>
      </w:r>
      <w:r w:rsidR="0098304F">
        <w:rPr>
          <w:rFonts w:cs="Arial"/>
          <w:bCs/>
          <w:color w:val="000000" w:themeColor="text1"/>
          <w:sz w:val="20"/>
          <w:szCs w:val="20"/>
        </w:rPr>
        <w:t>However, s.</w:t>
      </w:r>
      <w:r w:rsidRPr="0005775A">
        <w:rPr>
          <w:rFonts w:cs="Arial"/>
          <w:b/>
          <w:color w:val="000000" w:themeColor="text1"/>
          <w:sz w:val="20"/>
          <w:szCs w:val="20"/>
        </w:rPr>
        <w:t>4(3)</w:t>
      </w:r>
      <w:r w:rsidRPr="0005775A">
        <w:rPr>
          <w:rFonts w:cs="Arial"/>
          <w:bCs/>
          <w:color w:val="000000" w:themeColor="text1"/>
          <w:sz w:val="20"/>
          <w:szCs w:val="20"/>
        </w:rPr>
        <w:t xml:space="preserve"> provides that action will not be considered a terrorist act if it </w:t>
      </w:r>
      <w:r w:rsidR="00D31B89" w:rsidRPr="0005775A">
        <w:rPr>
          <w:rFonts w:cs="Arial"/>
          <w:bCs/>
          <w:color w:val="000000" w:themeColor="text1"/>
          <w:sz w:val="20"/>
          <w:szCs w:val="20"/>
        </w:rPr>
        <w:t xml:space="preserve">is </w:t>
      </w:r>
      <w:r w:rsidRPr="0005775A">
        <w:rPr>
          <w:rFonts w:cs="Arial"/>
          <w:bCs/>
          <w:color w:val="000000" w:themeColor="text1"/>
          <w:sz w:val="20"/>
          <w:szCs w:val="20"/>
        </w:rPr>
        <w:t xml:space="preserve">advocacy, protest, dissent or industrial action and it is not intended to cause serious harm or risk. </w:t>
      </w:r>
    </w:p>
    <w:p w14:paraId="214EA209" w14:textId="4E79CB13" w:rsidR="0098304F" w:rsidRDefault="002A0B1E">
      <w:pPr>
        <w:pStyle w:val="HeadingTwo"/>
        <w:numPr>
          <w:ilvl w:val="0"/>
          <w:numId w:val="60"/>
        </w:numPr>
        <w:spacing w:before="120" w:after="0"/>
        <w:ind w:left="357" w:hanging="357"/>
        <w:jc w:val="both"/>
        <w:rPr>
          <w:rFonts w:cs="Arial"/>
          <w:bCs/>
          <w:color w:val="000000" w:themeColor="text1"/>
          <w:sz w:val="20"/>
          <w:szCs w:val="20"/>
        </w:rPr>
      </w:pPr>
      <w:r>
        <w:rPr>
          <w:rFonts w:cs="Arial"/>
          <w:bCs/>
          <w:color w:val="000000" w:themeColor="text1"/>
          <w:sz w:val="20"/>
          <w:szCs w:val="20"/>
        </w:rPr>
        <w:t>Pursuant to s.</w:t>
      </w:r>
      <w:r w:rsidRPr="002A0B1E">
        <w:rPr>
          <w:rFonts w:cs="Arial"/>
          <w:b/>
          <w:color w:val="000000" w:themeColor="text1"/>
          <w:sz w:val="20"/>
          <w:szCs w:val="20"/>
        </w:rPr>
        <w:t>22</w:t>
      </w:r>
      <w:r w:rsidR="00966DCD">
        <w:rPr>
          <w:rFonts w:cs="Arial"/>
          <w:b/>
          <w:color w:val="000000" w:themeColor="text1"/>
          <w:sz w:val="20"/>
          <w:szCs w:val="20"/>
        </w:rPr>
        <w:t>AK</w:t>
      </w:r>
      <w:r w:rsidRPr="002A0B1E">
        <w:rPr>
          <w:rFonts w:cs="Arial"/>
          <w:b/>
          <w:color w:val="000000" w:themeColor="text1"/>
          <w:sz w:val="20"/>
          <w:szCs w:val="20"/>
        </w:rPr>
        <w:t>(1)</w:t>
      </w:r>
      <w:r>
        <w:rPr>
          <w:rFonts w:cs="Arial"/>
          <w:bCs/>
          <w:color w:val="000000" w:themeColor="text1"/>
          <w:sz w:val="20"/>
          <w:szCs w:val="20"/>
        </w:rPr>
        <w:t xml:space="preserve">, </w:t>
      </w:r>
      <w:r w:rsidR="008A1744" w:rsidRPr="003517E7">
        <w:rPr>
          <w:rFonts w:cs="Arial"/>
          <w:bCs/>
          <w:color w:val="000000" w:themeColor="text1"/>
          <w:sz w:val="20"/>
          <w:szCs w:val="20"/>
        </w:rPr>
        <w:t>a thing is done or designed to achieve a “therapeutic purpose” if (amongst other matters) it is done or designed</w:t>
      </w:r>
      <w:r w:rsidR="00013698">
        <w:rPr>
          <w:rFonts w:cs="Arial"/>
          <w:bCs/>
          <w:color w:val="000000" w:themeColor="text1"/>
          <w:sz w:val="20"/>
          <w:szCs w:val="20"/>
        </w:rPr>
        <w:t>–</w:t>
      </w:r>
    </w:p>
    <w:p w14:paraId="53FE4E8B" w14:textId="5B858CF3" w:rsidR="0098304F" w:rsidRDefault="0098304F">
      <w:pPr>
        <w:pStyle w:val="HeadingTwo"/>
        <w:numPr>
          <w:ilvl w:val="1"/>
          <w:numId w:val="60"/>
        </w:numPr>
        <w:spacing w:before="60" w:after="0"/>
        <w:ind w:left="714" w:hanging="357"/>
        <w:jc w:val="both"/>
        <w:rPr>
          <w:rFonts w:cs="Arial"/>
          <w:bCs/>
          <w:color w:val="auto"/>
          <w:sz w:val="20"/>
          <w:szCs w:val="20"/>
        </w:rPr>
      </w:pPr>
      <w:r>
        <w:rPr>
          <w:rFonts w:cs="Arial"/>
          <w:bCs/>
          <w:color w:val="auto"/>
          <w:sz w:val="20"/>
          <w:szCs w:val="20"/>
        </w:rPr>
        <w:t>to address the underlying cause of the person’s radicalisation and other factors which may make the person more susceptible to radicalisation; and</w:t>
      </w:r>
    </w:p>
    <w:p w14:paraId="020202C8" w14:textId="07DA26D0" w:rsidR="0098304F" w:rsidRDefault="0098304F">
      <w:pPr>
        <w:pStyle w:val="HeadingTwo"/>
        <w:numPr>
          <w:ilvl w:val="1"/>
          <w:numId w:val="60"/>
        </w:numPr>
        <w:spacing w:before="60" w:after="0"/>
        <w:ind w:left="714" w:hanging="357"/>
        <w:jc w:val="both"/>
        <w:rPr>
          <w:rFonts w:cs="Arial"/>
          <w:bCs/>
          <w:color w:val="auto"/>
          <w:sz w:val="20"/>
          <w:szCs w:val="20"/>
        </w:rPr>
      </w:pPr>
      <w:r>
        <w:rPr>
          <w:rFonts w:cs="Arial"/>
          <w:bCs/>
          <w:color w:val="auto"/>
          <w:sz w:val="20"/>
          <w:szCs w:val="20"/>
        </w:rPr>
        <w:t>by doing so, to prevent the person from radicalising and have the person become less radicalised.</w:t>
      </w:r>
    </w:p>
    <w:p w14:paraId="570F9FC6" w14:textId="3D5ABC21" w:rsidR="0098304F" w:rsidRPr="00184EDB" w:rsidRDefault="0098304F" w:rsidP="005C378C">
      <w:pPr>
        <w:pStyle w:val="HeadingTwo"/>
        <w:spacing w:before="60" w:after="0"/>
        <w:ind w:left="357"/>
        <w:jc w:val="both"/>
        <w:rPr>
          <w:rFonts w:cs="Arial"/>
          <w:bCs/>
          <w:color w:val="auto"/>
          <w:sz w:val="20"/>
          <w:szCs w:val="20"/>
        </w:rPr>
      </w:pPr>
      <w:r>
        <w:rPr>
          <w:rFonts w:cs="Arial"/>
          <w:bCs/>
          <w:color w:val="auto"/>
          <w:sz w:val="20"/>
          <w:szCs w:val="20"/>
        </w:rPr>
        <w:t>See s.</w:t>
      </w:r>
      <w:r w:rsidRPr="0098304F">
        <w:rPr>
          <w:rFonts w:cs="Arial"/>
          <w:b/>
          <w:color w:val="auto"/>
          <w:sz w:val="20"/>
          <w:szCs w:val="20"/>
        </w:rPr>
        <w:t>22AL</w:t>
      </w:r>
      <w:r>
        <w:rPr>
          <w:rFonts w:cs="Arial"/>
          <w:bCs/>
          <w:color w:val="auto"/>
          <w:sz w:val="20"/>
          <w:szCs w:val="20"/>
        </w:rPr>
        <w:t xml:space="preserve"> for the meaning of “</w:t>
      </w:r>
      <w:r w:rsidRPr="0098304F">
        <w:rPr>
          <w:rFonts w:cs="Arial"/>
          <w:bCs/>
          <w:i/>
          <w:iCs/>
          <w:color w:val="auto"/>
          <w:sz w:val="20"/>
          <w:szCs w:val="20"/>
        </w:rPr>
        <w:t>underlying cause</w:t>
      </w:r>
      <w:r>
        <w:rPr>
          <w:rFonts w:cs="Arial"/>
          <w:bCs/>
          <w:color w:val="auto"/>
          <w:sz w:val="20"/>
          <w:szCs w:val="20"/>
        </w:rPr>
        <w:t xml:space="preserve"> of radicalisation</w:t>
      </w:r>
      <w:r w:rsidR="00715822">
        <w:rPr>
          <w:rFonts w:cs="Arial"/>
          <w:bCs/>
          <w:color w:val="auto"/>
          <w:sz w:val="20"/>
          <w:szCs w:val="20"/>
        </w:rPr>
        <w:t>”</w:t>
      </w:r>
      <w:r>
        <w:rPr>
          <w:rFonts w:cs="Arial"/>
          <w:bCs/>
          <w:color w:val="auto"/>
          <w:sz w:val="20"/>
          <w:szCs w:val="20"/>
        </w:rPr>
        <w:t>.</w:t>
      </w:r>
    </w:p>
    <w:p w14:paraId="5EAE1463" w14:textId="328656DB" w:rsidR="009F5266" w:rsidRDefault="009F5266">
      <w:pPr>
        <w:pStyle w:val="HeadingTwo"/>
        <w:numPr>
          <w:ilvl w:val="0"/>
          <w:numId w:val="60"/>
        </w:numPr>
        <w:spacing w:before="120" w:after="0"/>
        <w:ind w:left="357" w:hanging="357"/>
        <w:jc w:val="both"/>
        <w:rPr>
          <w:rFonts w:cs="Arial"/>
          <w:bCs/>
          <w:color w:val="000000" w:themeColor="text1"/>
          <w:sz w:val="20"/>
          <w:szCs w:val="20"/>
        </w:rPr>
      </w:pPr>
      <w:r>
        <w:rPr>
          <w:rFonts w:cs="Arial"/>
          <w:bCs/>
          <w:color w:val="000000" w:themeColor="text1"/>
          <w:sz w:val="20"/>
          <w:szCs w:val="20"/>
        </w:rPr>
        <w:t xml:space="preserve">Section </w:t>
      </w:r>
      <w:r w:rsidRPr="009F5266">
        <w:rPr>
          <w:rFonts w:cs="Arial"/>
          <w:b/>
          <w:color w:val="000000" w:themeColor="text1"/>
          <w:sz w:val="20"/>
          <w:szCs w:val="20"/>
        </w:rPr>
        <w:t>22CO(3)</w:t>
      </w:r>
      <w:r>
        <w:rPr>
          <w:rFonts w:cs="Arial"/>
          <w:bCs/>
          <w:color w:val="000000" w:themeColor="text1"/>
          <w:sz w:val="20"/>
          <w:szCs w:val="20"/>
        </w:rPr>
        <w:t xml:space="preserve"> provides that </w:t>
      </w:r>
      <w:r w:rsidR="008A1744" w:rsidRPr="003517E7">
        <w:rPr>
          <w:rFonts w:cs="Arial"/>
          <w:bCs/>
          <w:color w:val="000000" w:themeColor="text1"/>
          <w:sz w:val="20"/>
          <w:szCs w:val="20"/>
        </w:rPr>
        <w:t xml:space="preserve">In determining whether to make an SEO the </w:t>
      </w:r>
      <w:r w:rsidR="00433B20">
        <w:rPr>
          <w:rFonts w:cs="Arial"/>
          <w:bCs/>
          <w:color w:val="000000" w:themeColor="text1"/>
          <w:sz w:val="20"/>
          <w:szCs w:val="20"/>
        </w:rPr>
        <w:t>c</w:t>
      </w:r>
      <w:r w:rsidR="008A1744" w:rsidRPr="003517E7">
        <w:rPr>
          <w:rFonts w:cs="Arial"/>
          <w:bCs/>
          <w:color w:val="000000" w:themeColor="text1"/>
          <w:sz w:val="20"/>
          <w:szCs w:val="20"/>
        </w:rPr>
        <w:t>ourt must have regard to</w:t>
      </w:r>
      <w:r w:rsidR="00013698">
        <w:rPr>
          <w:rFonts w:cs="Arial"/>
          <w:bCs/>
          <w:color w:val="000000" w:themeColor="text1"/>
          <w:sz w:val="20"/>
          <w:szCs w:val="20"/>
        </w:rPr>
        <w:t>–</w:t>
      </w:r>
    </w:p>
    <w:p w14:paraId="241AC33F" w14:textId="74A575AD" w:rsidR="009F5266" w:rsidRDefault="009F5266">
      <w:pPr>
        <w:pStyle w:val="HeadingTwo"/>
        <w:numPr>
          <w:ilvl w:val="1"/>
          <w:numId w:val="71"/>
        </w:numPr>
        <w:spacing w:before="60" w:after="0"/>
        <w:ind w:left="714" w:hanging="357"/>
        <w:jc w:val="both"/>
        <w:rPr>
          <w:rFonts w:cs="Arial"/>
          <w:bCs/>
          <w:color w:val="auto"/>
          <w:sz w:val="20"/>
          <w:szCs w:val="20"/>
        </w:rPr>
      </w:pPr>
      <w:r>
        <w:rPr>
          <w:rFonts w:cs="Arial"/>
          <w:bCs/>
          <w:color w:val="auto"/>
          <w:sz w:val="20"/>
          <w:szCs w:val="20"/>
        </w:rPr>
        <w:t>whether endeavours to obtain informed consent in respect of voluntary case management of the respondent [see ss.</w:t>
      </w:r>
      <w:r w:rsidRPr="00D40A27">
        <w:rPr>
          <w:rFonts w:cs="Arial"/>
          <w:b/>
          <w:color w:val="auto"/>
          <w:sz w:val="20"/>
          <w:szCs w:val="20"/>
        </w:rPr>
        <w:t>22BP &amp; 22BV</w:t>
      </w:r>
      <w:r>
        <w:rPr>
          <w:rFonts w:cs="Arial"/>
          <w:bCs/>
          <w:color w:val="auto"/>
          <w:sz w:val="20"/>
          <w:szCs w:val="20"/>
        </w:rPr>
        <w:t>] have previously failed; and</w:t>
      </w:r>
    </w:p>
    <w:p w14:paraId="46F8456D" w14:textId="5EE7177C" w:rsidR="009F5266" w:rsidRPr="00D40A27" w:rsidRDefault="00D40A27">
      <w:pPr>
        <w:pStyle w:val="HeadingTwo"/>
        <w:numPr>
          <w:ilvl w:val="1"/>
          <w:numId w:val="71"/>
        </w:numPr>
        <w:spacing w:before="60" w:after="0"/>
        <w:ind w:left="714" w:hanging="357"/>
        <w:jc w:val="both"/>
        <w:rPr>
          <w:rFonts w:cs="Arial"/>
          <w:bCs/>
          <w:color w:val="auto"/>
          <w:sz w:val="20"/>
          <w:szCs w:val="20"/>
        </w:rPr>
      </w:pPr>
      <w:r w:rsidRPr="00D40A27">
        <w:rPr>
          <w:color w:val="000000" w:themeColor="text1"/>
          <w:sz w:val="20"/>
          <w:szCs w:val="20"/>
        </w:rPr>
        <w:t>whether such informed consent has been withdrawn</w:t>
      </w:r>
      <w:r>
        <w:rPr>
          <w:color w:val="000000" w:themeColor="text1"/>
          <w:sz w:val="20"/>
          <w:szCs w:val="20"/>
        </w:rPr>
        <w:t xml:space="preserve"> [see </w:t>
      </w:r>
      <w:r w:rsidRPr="00715822">
        <w:rPr>
          <w:color w:val="000000" w:themeColor="text1"/>
          <w:sz w:val="20"/>
          <w:szCs w:val="20"/>
        </w:rPr>
        <w:t>s.</w:t>
      </w:r>
      <w:r w:rsidRPr="00D40A27">
        <w:rPr>
          <w:b/>
          <w:bCs/>
          <w:color w:val="000000" w:themeColor="text1"/>
          <w:sz w:val="20"/>
          <w:szCs w:val="20"/>
        </w:rPr>
        <w:t>22BX</w:t>
      </w:r>
      <w:r>
        <w:rPr>
          <w:color w:val="000000" w:themeColor="text1"/>
          <w:sz w:val="20"/>
          <w:szCs w:val="20"/>
        </w:rPr>
        <w:t>]; and</w:t>
      </w:r>
    </w:p>
    <w:p w14:paraId="627CD978" w14:textId="453B4292" w:rsidR="00D40A27" w:rsidRPr="00D40A27" w:rsidRDefault="00D40A27">
      <w:pPr>
        <w:pStyle w:val="HeadingTwo"/>
        <w:numPr>
          <w:ilvl w:val="1"/>
          <w:numId w:val="71"/>
        </w:numPr>
        <w:spacing w:before="60" w:after="0"/>
        <w:ind w:left="714" w:hanging="357"/>
        <w:jc w:val="both"/>
        <w:rPr>
          <w:rFonts w:cs="Arial"/>
          <w:bCs/>
          <w:color w:val="auto"/>
          <w:sz w:val="20"/>
          <w:szCs w:val="20"/>
        </w:rPr>
      </w:pPr>
      <w:r w:rsidRPr="00D40A27">
        <w:rPr>
          <w:color w:val="000000" w:themeColor="text1"/>
          <w:sz w:val="20"/>
          <w:szCs w:val="20"/>
        </w:rPr>
        <w:t>whether the respondent has otherwise previously declined or ceased to voluntarily engage with services and programs of the kind that a</w:t>
      </w:r>
      <w:r>
        <w:rPr>
          <w:color w:val="000000" w:themeColor="text1"/>
          <w:sz w:val="20"/>
          <w:szCs w:val="20"/>
        </w:rPr>
        <w:t xml:space="preserve">n SEP </w:t>
      </w:r>
      <w:r w:rsidRPr="00D40A27">
        <w:rPr>
          <w:color w:val="000000" w:themeColor="text1"/>
          <w:sz w:val="20"/>
          <w:szCs w:val="20"/>
        </w:rPr>
        <w:t>can require a person to engage with; and</w:t>
      </w:r>
    </w:p>
    <w:p w14:paraId="0D75BAE0" w14:textId="6452F7B6" w:rsidR="00D40A27" w:rsidRPr="00D40A27" w:rsidRDefault="00D40A27">
      <w:pPr>
        <w:pStyle w:val="HeadingTwo"/>
        <w:numPr>
          <w:ilvl w:val="1"/>
          <w:numId w:val="71"/>
        </w:numPr>
        <w:spacing w:before="60" w:after="0"/>
        <w:ind w:left="714" w:hanging="357"/>
        <w:jc w:val="both"/>
        <w:rPr>
          <w:rFonts w:cs="Arial"/>
          <w:bCs/>
          <w:color w:val="auto"/>
          <w:sz w:val="20"/>
          <w:szCs w:val="20"/>
        </w:rPr>
      </w:pPr>
      <w:r w:rsidRPr="00D40A27">
        <w:rPr>
          <w:color w:val="000000" w:themeColor="text1"/>
          <w:sz w:val="20"/>
          <w:szCs w:val="20"/>
        </w:rPr>
        <w:t>whether the respondent is likely to continue to be radicalised towards violent extremism if the order is not made; and</w:t>
      </w:r>
    </w:p>
    <w:p w14:paraId="5DF5DEC7" w14:textId="433DF48C" w:rsidR="00D40A27" w:rsidRPr="00D40A27" w:rsidRDefault="00D40A27">
      <w:pPr>
        <w:pStyle w:val="HeadingTwo"/>
        <w:numPr>
          <w:ilvl w:val="1"/>
          <w:numId w:val="71"/>
        </w:numPr>
        <w:spacing w:before="60" w:after="0"/>
        <w:ind w:left="714" w:hanging="357"/>
        <w:jc w:val="both"/>
        <w:rPr>
          <w:rFonts w:cs="Arial"/>
          <w:bCs/>
          <w:color w:val="auto"/>
          <w:sz w:val="20"/>
          <w:szCs w:val="20"/>
        </w:rPr>
      </w:pPr>
      <w:r w:rsidRPr="00D40A27">
        <w:rPr>
          <w:color w:val="000000" w:themeColor="text1"/>
          <w:sz w:val="20"/>
          <w:szCs w:val="20"/>
        </w:rPr>
        <w:t xml:space="preserve">the frequency and seriousness of the behaviour in respect of which the </w:t>
      </w:r>
      <w:r w:rsidR="00433B20">
        <w:rPr>
          <w:color w:val="000000" w:themeColor="text1"/>
          <w:sz w:val="20"/>
          <w:szCs w:val="20"/>
        </w:rPr>
        <w:t>c</w:t>
      </w:r>
      <w:r w:rsidRPr="00D40A27">
        <w:rPr>
          <w:color w:val="000000" w:themeColor="text1"/>
          <w:sz w:val="20"/>
          <w:szCs w:val="20"/>
        </w:rPr>
        <w:t>ourt made a finding under s</w:t>
      </w:r>
      <w:r>
        <w:rPr>
          <w:color w:val="000000" w:themeColor="text1"/>
          <w:sz w:val="20"/>
          <w:szCs w:val="20"/>
        </w:rPr>
        <w:t>.</w:t>
      </w:r>
      <w:r w:rsidRPr="00D40A27">
        <w:rPr>
          <w:b/>
          <w:bCs/>
          <w:color w:val="000000" w:themeColor="text1"/>
          <w:sz w:val="20"/>
          <w:szCs w:val="20"/>
        </w:rPr>
        <w:t>22CI(2)</w:t>
      </w:r>
      <w:r w:rsidRPr="00D40A27">
        <w:rPr>
          <w:color w:val="000000" w:themeColor="text1"/>
          <w:sz w:val="20"/>
          <w:szCs w:val="20"/>
        </w:rPr>
        <w:t xml:space="preserve"> that </w:t>
      </w:r>
      <w:r w:rsidR="00341C47">
        <w:rPr>
          <w:color w:val="000000" w:themeColor="text1"/>
          <w:sz w:val="20"/>
          <w:szCs w:val="20"/>
        </w:rPr>
        <w:t>the behaviour has been engaged in by the respondent and indicates that the respondent is radicalising towards violent extremism</w:t>
      </w:r>
      <w:r w:rsidRPr="00D40A27">
        <w:rPr>
          <w:color w:val="000000" w:themeColor="text1"/>
          <w:sz w:val="20"/>
          <w:szCs w:val="20"/>
        </w:rPr>
        <w:t>;</w:t>
      </w:r>
    </w:p>
    <w:p w14:paraId="1D27C20D" w14:textId="1F85C345" w:rsidR="00D40A27" w:rsidRPr="00341C47" w:rsidRDefault="00341C47">
      <w:pPr>
        <w:pStyle w:val="HeadingTwo"/>
        <w:numPr>
          <w:ilvl w:val="1"/>
          <w:numId w:val="71"/>
        </w:numPr>
        <w:spacing w:before="60" w:after="0"/>
        <w:ind w:left="714" w:hanging="357"/>
        <w:jc w:val="both"/>
        <w:rPr>
          <w:rFonts w:cs="Arial"/>
          <w:bCs/>
          <w:color w:val="auto"/>
          <w:sz w:val="20"/>
          <w:szCs w:val="20"/>
        </w:rPr>
      </w:pPr>
      <w:r w:rsidRPr="00D40A27">
        <w:rPr>
          <w:color w:val="000000" w:themeColor="text1"/>
          <w:sz w:val="20"/>
          <w:szCs w:val="20"/>
        </w:rPr>
        <w:t>whether the order is likely to have a significant adverse impact on the respondent; and</w:t>
      </w:r>
    </w:p>
    <w:p w14:paraId="69A0DEC5" w14:textId="125309F3" w:rsidR="00341C47" w:rsidRDefault="00341C47">
      <w:pPr>
        <w:pStyle w:val="HeadingTwo"/>
        <w:numPr>
          <w:ilvl w:val="1"/>
          <w:numId w:val="71"/>
        </w:numPr>
        <w:spacing w:before="60" w:after="0"/>
        <w:ind w:left="714" w:hanging="357"/>
        <w:jc w:val="both"/>
        <w:rPr>
          <w:rFonts w:cs="Arial"/>
          <w:bCs/>
          <w:color w:val="auto"/>
          <w:sz w:val="20"/>
          <w:szCs w:val="20"/>
        </w:rPr>
      </w:pPr>
      <w:r w:rsidRPr="00D40A27">
        <w:rPr>
          <w:color w:val="000000" w:themeColor="text1"/>
          <w:sz w:val="20"/>
          <w:szCs w:val="20"/>
        </w:rPr>
        <w:t xml:space="preserve">any other matters the </w:t>
      </w:r>
      <w:r w:rsidR="00433B20">
        <w:rPr>
          <w:color w:val="000000" w:themeColor="text1"/>
          <w:sz w:val="20"/>
          <w:szCs w:val="20"/>
        </w:rPr>
        <w:t>c</w:t>
      </w:r>
      <w:r w:rsidRPr="00D40A27">
        <w:rPr>
          <w:color w:val="000000" w:themeColor="text1"/>
          <w:sz w:val="20"/>
          <w:szCs w:val="20"/>
        </w:rPr>
        <w:t>ourt considers relevant.</w:t>
      </w:r>
    </w:p>
    <w:p w14:paraId="3F926ED3" w14:textId="3084DC80" w:rsidR="009F5266" w:rsidRDefault="005C378C">
      <w:pPr>
        <w:pStyle w:val="HeadingTwo"/>
        <w:numPr>
          <w:ilvl w:val="0"/>
          <w:numId w:val="60"/>
        </w:numPr>
        <w:spacing w:before="120" w:after="0"/>
        <w:ind w:left="357" w:hanging="357"/>
        <w:jc w:val="both"/>
        <w:rPr>
          <w:rFonts w:cs="Arial"/>
          <w:bCs/>
          <w:color w:val="000000" w:themeColor="text1"/>
          <w:sz w:val="20"/>
          <w:szCs w:val="20"/>
        </w:rPr>
      </w:pPr>
      <w:r>
        <w:rPr>
          <w:rFonts w:cs="Arial"/>
          <w:bCs/>
          <w:color w:val="000000" w:themeColor="text1"/>
          <w:sz w:val="20"/>
          <w:szCs w:val="20"/>
        </w:rPr>
        <w:t xml:space="preserve">Section </w:t>
      </w:r>
      <w:r w:rsidRPr="005C378C">
        <w:rPr>
          <w:rFonts w:cs="Arial"/>
          <w:b/>
          <w:color w:val="000000" w:themeColor="text1"/>
          <w:sz w:val="20"/>
          <w:szCs w:val="20"/>
        </w:rPr>
        <w:t>22CQ(1)</w:t>
      </w:r>
      <w:r>
        <w:rPr>
          <w:rFonts w:cs="Arial"/>
          <w:bCs/>
          <w:color w:val="000000" w:themeColor="text1"/>
          <w:sz w:val="20"/>
          <w:szCs w:val="20"/>
        </w:rPr>
        <w:t xml:space="preserve"> provides that i</w:t>
      </w:r>
      <w:r w:rsidRPr="003517E7">
        <w:rPr>
          <w:rFonts w:cs="Arial"/>
          <w:bCs/>
          <w:color w:val="000000" w:themeColor="text1"/>
          <w:sz w:val="20"/>
          <w:szCs w:val="20"/>
        </w:rPr>
        <w:t xml:space="preserve">n making an SEO the </w:t>
      </w:r>
      <w:r w:rsidR="00433B20">
        <w:rPr>
          <w:rFonts w:cs="Arial"/>
          <w:bCs/>
          <w:color w:val="000000" w:themeColor="text1"/>
          <w:sz w:val="20"/>
          <w:szCs w:val="20"/>
        </w:rPr>
        <w:t>c</w:t>
      </w:r>
      <w:r w:rsidRPr="003517E7">
        <w:rPr>
          <w:rFonts w:cs="Arial"/>
          <w:bCs/>
          <w:color w:val="000000" w:themeColor="text1"/>
          <w:sz w:val="20"/>
          <w:szCs w:val="20"/>
        </w:rPr>
        <w:t>ourt must</w:t>
      </w:r>
      <w:r w:rsidR="00013698">
        <w:rPr>
          <w:rFonts w:cs="Arial"/>
          <w:bCs/>
          <w:color w:val="000000" w:themeColor="text1"/>
          <w:sz w:val="20"/>
          <w:szCs w:val="20"/>
        </w:rPr>
        <w:t>–</w:t>
      </w:r>
    </w:p>
    <w:p w14:paraId="091E6972" w14:textId="709422CF" w:rsidR="005C378C" w:rsidRPr="005C378C" w:rsidRDefault="005C378C">
      <w:pPr>
        <w:pStyle w:val="HeadingTwo"/>
        <w:numPr>
          <w:ilvl w:val="1"/>
          <w:numId w:val="60"/>
        </w:numPr>
        <w:spacing w:before="60" w:after="0"/>
        <w:ind w:left="714" w:hanging="357"/>
        <w:jc w:val="both"/>
        <w:rPr>
          <w:rFonts w:cs="Arial"/>
          <w:bCs/>
          <w:color w:val="auto"/>
          <w:sz w:val="20"/>
          <w:szCs w:val="20"/>
        </w:rPr>
      </w:pPr>
      <w:r w:rsidRPr="003517E7">
        <w:rPr>
          <w:rFonts w:cs="Arial"/>
          <w:bCs/>
          <w:color w:val="000000" w:themeColor="text1"/>
          <w:sz w:val="20"/>
          <w:szCs w:val="20"/>
        </w:rPr>
        <w:t>attach to the SEO the SEP</w:t>
      </w:r>
      <w:r>
        <w:rPr>
          <w:rFonts w:cs="Arial"/>
          <w:bCs/>
          <w:color w:val="000000" w:themeColor="text1"/>
          <w:sz w:val="20"/>
          <w:szCs w:val="20"/>
        </w:rPr>
        <w:t xml:space="preserve"> given to the </w:t>
      </w:r>
      <w:r w:rsidR="00433B20">
        <w:rPr>
          <w:rFonts w:cs="Arial"/>
          <w:bCs/>
          <w:color w:val="000000" w:themeColor="text1"/>
          <w:sz w:val="20"/>
          <w:szCs w:val="20"/>
        </w:rPr>
        <w:t>c</w:t>
      </w:r>
      <w:r>
        <w:rPr>
          <w:rFonts w:cs="Arial"/>
          <w:bCs/>
          <w:color w:val="000000" w:themeColor="text1"/>
          <w:sz w:val="20"/>
          <w:szCs w:val="20"/>
        </w:rPr>
        <w:t>ourt under s.</w:t>
      </w:r>
      <w:r w:rsidRPr="005C378C">
        <w:rPr>
          <w:rFonts w:cs="Arial"/>
          <w:b/>
          <w:color w:val="000000" w:themeColor="text1"/>
          <w:sz w:val="20"/>
          <w:szCs w:val="20"/>
        </w:rPr>
        <w:t>22CN</w:t>
      </w:r>
      <w:r w:rsidRPr="003517E7">
        <w:rPr>
          <w:rFonts w:cs="Arial"/>
          <w:bCs/>
          <w:color w:val="000000" w:themeColor="text1"/>
          <w:sz w:val="20"/>
          <w:szCs w:val="20"/>
        </w:rPr>
        <w:t xml:space="preserve"> (with any variations that the </w:t>
      </w:r>
      <w:r w:rsidR="00433B20">
        <w:rPr>
          <w:rFonts w:cs="Arial"/>
          <w:bCs/>
          <w:color w:val="000000" w:themeColor="text1"/>
          <w:sz w:val="20"/>
          <w:szCs w:val="20"/>
        </w:rPr>
        <w:t>c</w:t>
      </w:r>
      <w:r w:rsidRPr="003517E7">
        <w:rPr>
          <w:rFonts w:cs="Arial"/>
          <w:bCs/>
          <w:color w:val="000000" w:themeColor="text1"/>
          <w:sz w:val="20"/>
          <w:szCs w:val="20"/>
        </w:rPr>
        <w:t>ourt thinks fit)</w:t>
      </w:r>
      <w:r w:rsidR="00715822">
        <w:rPr>
          <w:rFonts w:cs="Arial"/>
          <w:bCs/>
          <w:color w:val="000000" w:themeColor="text1"/>
          <w:sz w:val="20"/>
          <w:szCs w:val="20"/>
        </w:rPr>
        <w:t>;</w:t>
      </w:r>
      <w:r>
        <w:rPr>
          <w:rFonts w:cs="Arial"/>
          <w:bCs/>
          <w:color w:val="000000" w:themeColor="text1"/>
          <w:sz w:val="20"/>
          <w:szCs w:val="20"/>
        </w:rPr>
        <w:t xml:space="preserve"> and</w:t>
      </w:r>
    </w:p>
    <w:p w14:paraId="55359F14" w14:textId="0AF6B940" w:rsidR="005C378C" w:rsidRPr="005C378C" w:rsidRDefault="005C378C">
      <w:pPr>
        <w:pStyle w:val="HeadingTwo"/>
        <w:numPr>
          <w:ilvl w:val="1"/>
          <w:numId w:val="60"/>
        </w:numPr>
        <w:spacing w:before="60" w:after="0"/>
        <w:ind w:left="714" w:hanging="357"/>
        <w:jc w:val="both"/>
        <w:rPr>
          <w:rFonts w:cs="Arial"/>
          <w:bCs/>
          <w:color w:val="auto"/>
          <w:sz w:val="20"/>
          <w:szCs w:val="20"/>
        </w:rPr>
      </w:pPr>
      <w:r w:rsidRPr="003517E7">
        <w:rPr>
          <w:rFonts w:cs="Arial"/>
          <w:bCs/>
          <w:color w:val="000000" w:themeColor="text1"/>
          <w:sz w:val="20"/>
          <w:szCs w:val="20"/>
        </w:rPr>
        <w:t>specify in the SEO the period for which the SEO operates</w:t>
      </w:r>
      <w:r>
        <w:rPr>
          <w:rFonts w:cs="Arial"/>
          <w:bCs/>
          <w:color w:val="000000" w:themeColor="text1"/>
          <w:sz w:val="20"/>
          <w:szCs w:val="20"/>
        </w:rPr>
        <w:t>;</w:t>
      </w:r>
      <w:r w:rsidRPr="003517E7">
        <w:rPr>
          <w:rFonts w:cs="Arial"/>
          <w:bCs/>
          <w:color w:val="000000" w:themeColor="text1"/>
          <w:sz w:val="20"/>
          <w:szCs w:val="20"/>
        </w:rPr>
        <w:t xml:space="preserve"> and</w:t>
      </w:r>
    </w:p>
    <w:p w14:paraId="362D8DAA" w14:textId="2FA0DE0E" w:rsidR="005C378C" w:rsidRDefault="005C378C">
      <w:pPr>
        <w:pStyle w:val="HeadingTwo"/>
        <w:numPr>
          <w:ilvl w:val="1"/>
          <w:numId w:val="60"/>
        </w:numPr>
        <w:spacing w:before="60" w:after="0"/>
        <w:ind w:left="714" w:hanging="357"/>
        <w:jc w:val="both"/>
        <w:rPr>
          <w:rFonts w:cs="Arial"/>
          <w:bCs/>
          <w:color w:val="auto"/>
          <w:sz w:val="20"/>
          <w:szCs w:val="20"/>
        </w:rPr>
      </w:pPr>
      <w:r w:rsidRPr="003517E7">
        <w:rPr>
          <w:rFonts w:cs="Arial"/>
          <w:bCs/>
          <w:color w:val="000000" w:themeColor="text1"/>
          <w:sz w:val="20"/>
          <w:szCs w:val="20"/>
        </w:rPr>
        <w:t xml:space="preserve">specify </w:t>
      </w:r>
      <w:r>
        <w:rPr>
          <w:rFonts w:cs="Arial"/>
          <w:bCs/>
          <w:color w:val="000000" w:themeColor="text1"/>
          <w:sz w:val="20"/>
          <w:szCs w:val="20"/>
        </w:rPr>
        <w:t>the days on which</w:t>
      </w:r>
      <w:r w:rsidRPr="003517E7">
        <w:rPr>
          <w:rFonts w:cs="Arial"/>
          <w:bCs/>
          <w:color w:val="000000" w:themeColor="text1"/>
          <w:sz w:val="20"/>
          <w:szCs w:val="20"/>
        </w:rPr>
        <w:t xml:space="preserve"> the Secretary is required to provide a report in respect to the SEO</w:t>
      </w:r>
      <w:r>
        <w:rPr>
          <w:rFonts w:cs="Arial"/>
          <w:bCs/>
          <w:color w:val="000000" w:themeColor="text1"/>
          <w:sz w:val="20"/>
          <w:szCs w:val="20"/>
        </w:rPr>
        <w:t xml:space="preserve"> under s.</w:t>
      </w:r>
      <w:r w:rsidRPr="005C378C">
        <w:rPr>
          <w:rFonts w:cs="Arial"/>
          <w:b/>
          <w:color w:val="000000" w:themeColor="text1"/>
          <w:sz w:val="20"/>
          <w:szCs w:val="20"/>
        </w:rPr>
        <w:t>22CV</w:t>
      </w:r>
      <w:r>
        <w:rPr>
          <w:rFonts w:cs="Arial"/>
          <w:bCs/>
          <w:color w:val="000000" w:themeColor="text1"/>
          <w:sz w:val="20"/>
          <w:szCs w:val="20"/>
        </w:rPr>
        <w:t>.</w:t>
      </w:r>
    </w:p>
    <w:p w14:paraId="434E4FD5" w14:textId="4B13F6AF" w:rsidR="00C60C5F" w:rsidRPr="00F06AC8" w:rsidRDefault="00C60C5F">
      <w:pPr>
        <w:pStyle w:val="HeadingTwo"/>
        <w:numPr>
          <w:ilvl w:val="0"/>
          <w:numId w:val="60"/>
        </w:numPr>
        <w:spacing w:before="120" w:after="0"/>
        <w:ind w:left="357" w:hanging="357"/>
        <w:jc w:val="both"/>
        <w:rPr>
          <w:rFonts w:cs="Arial"/>
          <w:bCs/>
          <w:color w:val="000000" w:themeColor="text1"/>
          <w:sz w:val="20"/>
          <w:szCs w:val="20"/>
        </w:rPr>
      </w:pPr>
      <w:r w:rsidRPr="00F06AC8">
        <w:rPr>
          <w:rFonts w:cs="Arial"/>
          <w:color w:val="000000" w:themeColor="text1"/>
          <w:sz w:val="20"/>
          <w:szCs w:val="20"/>
        </w:rPr>
        <w:t xml:space="preserve">Section </w:t>
      </w:r>
      <w:r w:rsidRPr="00F06AC8">
        <w:rPr>
          <w:rFonts w:cs="Arial"/>
          <w:b/>
          <w:bCs/>
          <w:color w:val="000000" w:themeColor="text1"/>
          <w:sz w:val="20"/>
          <w:szCs w:val="20"/>
        </w:rPr>
        <w:t>22CR(1)</w:t>
      </w:r>
      <w:r w:rsidRPr="00F06AC8">
        <w:rPr>
          <w:rFonts w:cs="Arial"/>
          <w:color w:val="000000" w:themeColor="text1"/>
          <w:sz w:val="20"/>
          <w:szCs w:val="20"/>
        </w:rPr>
        <w:t xml:space="preserve"> provides that the </w:t>
      </w:r>
      <w:r w:rsidR="00433B20">
        <w:rPr>
          <w:rFonts w:cs="Arial"/>
          <w:color w:val="000000" w:themeColor="text1"/>
          <w:sz w:val="20"/>
          <w:szCs w:val="20"/>
        </w:rPr>
        <w:t>c</w:t>
      </w:r>
      <w:r w:rsidRPr="00F06AC8">
        <w:rPr>
          <w:rFonts w:cs="Arial"/>
          <w:color w:val="000000" w:themeColor="text1"/>
          <w:sz w:val="20"/>
          <w:szCs w:val="20"/>
        </w:rPr>
        <w:t xml:space="preserve">ourt may attach further conditions to the SEO provided the </w:t>
      </w:r>
      <w:r w:rsidR="00433B20">
        <w:rPr>
          <w:rFonts w:cs="Arial"/>
          <w:color w:val="000000" w:themeColor="text1"/>
          <w:sz w:val="20"/>
          <w:szCs w:val="20"/>
        </w:rPr>
        <w:t>c</w:t>
      </w:r>
      <w:r w:rsidRPr="00F06AC8">
        <w:rPr>
          <w:rFonts w:cs="Arial"/>
          <w:color w:val="000000" w:themeColor="text1"/>
          <w:sz w:val="20"/>
          <w:szCs w:val="20"/>
        </w:rPr>
        <w:t xml:space="preserve">ourt considers it an appropriate way to achieve a therapeutic purpose and the condition is no more restrictive than necessary to achieve that purpose.  Section </w:t>
      </w:r>
      <w:r w:rsidRPr="00F06AC8">
        <w:rPr>
          <w:rFonts w:cs="Arial"/>
          <w:b/>
          <w:bCs/>
          <w:color w:val="000000" w:themeColor="text1"/>
          <w:sz w:val="20"/>
          <w:szCs w:val="20"/>
        </w:rPr>
        <w:t>22CR(2)</w:t>
      </w:r>
      <w:r w:rsidRPr="00F06AC8">
        <w:rPr>
          <w:rFonts w:cs="Arial"/>
          <w:color w:val="000000" w:themeColor="text1"/>
          <w:sz w:val="20"/>
          <w:szCs w:val="20"/>
        </w:rPr>
        <w:t xml:space="preserve"> requires the </w:t>
      </w:r>
      <w:r w:rsidR="00433B20">
        <w:rPr>
          <w:rFonts w:cs="Arial"/>
          <w:color w:val="000000" w:themeColor="text1"/>
          <w:sz w:val="20"/>
          <w:szCs w:val="20"/>
        </w:rPr>
        <w:t>c</w:t>
      </w:r>
      <w:r w:rsidRPr="00F06AC8">
        <w:rPr>
          <w:rFonts w:cs="Arial"/>
          <w:color w:val="000000" w:themeColor="text1"/>
          <w:sz w:val="20"/>
          <w:szCs w:val="20"/>
        </w:rPr>
        <w:t>ourt to have regard to the age and vulnerability of a respondent child when imposing a condition under s.</w:t>
      </w:r>
      <w:r w:rsidRPr="008D785F">
        <w:rPr>
          <w:rFonts w:cs="Arial"/>
          <w:b/>
          <w:bCs/>
          <w:color w:val="000000" w:themeColor="text1"/>
          <w:sz w:val="20"/>
          <w:szCs w:val="20"/>
        </w:rPr>
        <w:t>22CR(1)</w:t>
      </w:r>
      <w:r w:rsidRPr="00F06AC8">
        <w:rPr>
          <w:rFonts w:cs="Arial"/>
          <w:color w:val="000000" w:themeColor="text1"/>
          <w:sz w:val="20"/>
          <w:szCs w:val="20"/>
        </w:rPr>
        <w:t>.  See s</w:t>
      </w:r>
      <w:r>
        <w:rPr>
          <w:rFonts w:cs="Arial"/>
          <w:color w:val="000000" w:themeColor="text1"/>
          <w:sz w:val="20"/>
          <w:szCs w:val="20"/>
        </w:rPr>
        <w:t>.</w:t>
      </w:r>
      <w:r w:rsidRPr="00112E2B">
        <w:rPr>
          <w:rFonts w:cs="Arial"/>
          <w:b/>
          <w:bCs/>
          <w:color w:val="000000" w:themeColor="text1"/>
          <w:sz w:val="20"/>
          <w:szCs w:val="20"/>
        </w:rPr>
        <w:t>22CR(3)</w:t>
      </w:r>
      <w:r w:rsidRPr="00F06AC8">
        <w:rPr>
          <w:rFonts w:cs="Arial"/>
          <w:color w:val="000000" w:themeColor="text1"/>
          <w:sz w:val="20"/>
          <w:szCs w:val="20"/>
        </w:rPr>
        <w:t xml:space="preserve"> for a non-</w:t>
      </w:r>
      <w:r w:rsidR="003023FF">
        <w:rPr>
          <w:rFonts w:cs="Arial"/>
          <w:color w:val="000000" w:themeColor="text1"/>
          <w:sz w:val="20"/>
          <w:szCs w:val="20"/>
        </w:rPr>
        <w:t>exhaust</w:t>
      </w:r>
      <w:r w:rsidRPr="00F06AC8">
        <w:rPr>
          <w:rFonts w:cs="Arial"/>
          <w:color w:val="000000" w:themeColor="text1"/>
          <w:sz w:val="20"/>
          <w:szCs w:val="20"/>
        </w:rPr>
        <w:t>ive list of sample conditions.</w:t>
      </w:r>
    </w:p>
    <w:p w14:paraId="3EE74F68" w14:textId="3DA987C7" w:rsidR="00F06AC8" w:rsidRPr="00F06AC8" w:rsidRDefault="00F06AC8">
      <w:pPr>
        <w:pStyle w:val="ListParagraph"/>
        <w:numPr>
          <w:ilvl w:val="0"/>
          <w:numId w:val="60"/>
        </w:numPr>
        <w:spacing w:before="120"/>
        <w:ind w:left="357" w:hanging="357"/>
        <w:jc w:val="both"/>
        <w:rPr>
          <w:rFonts w:ascii="Arial" w:hAnsi="Arial" w:cs="Arial"/>
          <w:color w:val="000000"/>
          <w:sz w:val="20"/>
        </w:rPr>
      </w:pPr>
      <w:r w:rsidRPr="00F06AC8">
        <w:rPr>
          <w:rFonts w:ascii="Arial" w:hAnsi="Arial" w:cs="Arial"/>
          <w:color w:val="000000"/>
          <w:sz w:val="20"/>
        </w:rPr>
        <w:t>Pursuant to s.</w:t>
      </w:r>
      <w:r w:rsidRPr="00F06AC8">
        <w:rPr>
          <w:rFonts w:ascii="Arial" w:hAnsi="Arial" w:cs="Arial"/>
          <w:b/>
          <w:bCs/>
          <w:color w:val="000000"/>
          <w:sz w:val="20"/>
        </w:rPr>
        <w:t>22CQ(2)</w:t>
      </w:r>
      <w:r w:rsidRPr="00F06AC8">
        <w:rPr>
          <w:rFonts w:ascii="Arial" w:hAnsi="Arial" w:cs="Arial"/>
          <w:color w:val="000000"/>
          <w:sz w:val="20"/>
        </w:rPr>
        <w:t xml:space="preserve"> the maximum period for which an SEO operates</w:t>
      </w:r>
      <w:r w:rsidR="00013698">
        <w:rPr>
          <w:rFonts w:ascii="Arial" w:hAnsi="Arial" w:cs="Arial"/>
          <w:color w:val="000000"/>
          <w:sz w:val="20"/>
        </w:rPr>
        <w:t>–</w:t>
      </w:r>
    </w:p>
    <w:p w14:paraId="7190918F" w14:textId="262C52F1" w:rsidR="00F06AC8" w:rsidRPr="00F06AC8" w:rsidRDefault="00F06AC8">
      <w:pPr>
        <w:pStyle w:val="HeadingTwo"/>
        <w:numPr>
          <w:ilvl w:val="1"/>
          <w:numId w:val="60"/>
        </w:numPr>
        <w:spacing w:before="60" w:after="0"/>
        <w:ind w:left="714" w:hanging="357"/>
        <w:jc w:val="both"/>
        <w:rPr>
          <w:rFonts w:cs="Arial"/>
          <w:bCs/>
          <w:color w:val="auto"/>
          <w:sz w:val="20"/>
          <w:szCs w:val="20"/>
        </w:rPr>
      </w:pPr>
      <w:r>
        <w:rPr>
          <w:rFonts w:cs="Arial"/>
          <w:color w:val="000000"/>
          <w:sz w:val="20"/>
        </w:rPr>
        <w:t>must not be so long that, at the end of that period, the total period during which the supported person will have been subject to an SEO is 2 years or more; and</w:t>
      </w:r>
    </w:p>
    <w:p w14:paraId="0D76B2A2" w14:textId="6C476A9B" w:rsidR="00F06AC8" w:rsidRPr="005C378C" w:rsidRDefault="00F06AC8">
      <w:pPr>
        <w:pStyle w:val="HeadingTwo"/>
        <w:numPr>
          <w:ilvl w:val="1"/>
          <w:numId w:val="60"/>
        </w:numPr>
        <w:spacing w:before="60" w:after="0"/>
        <w:ind w:left="714" w:hanging="357"/>
        <w:jc w:val="both"/>
        <w:rPr>
          <w:rFonts w:cs="Arial"/>
          <w:bCs/>
          <w:color w:val="auto"/>
          <w:sz w:val="20"/>
          <w:szCs w:val="20"/>
        </w:rPr>
      </w:pPr>
      <w:r>
        <w:rPr>
          <w:rFonts w:cs="Arial"/>
          <w:color w:val="000000"/>
          <w:sz w:val="20"/>
        </w:rPr>
        <w:t>in any event, must not be longer than 1 year.</w:t>
      </w:r>
    </w:p>
    <w:p w14:paraId="47361F13" w14:textId="09FF0CA0" w:rsidR="00C60C5F" w:rsidRPr="003517E7" w:rsidRDefault="00D45A15">
      <w:pPr>
        <w:pStyle w:val="HeadingTwo"/>
        <w:numPr>
          <w:ilvl w:val="0"/>
          <w:numId w:val="60"/>
        </w:numPr>
        <w:spacing w:before="120" w:after="0"/>
        <w:ind w:left="357" w:hanging="357"/>
        <w:jc w:val="both"/>
        <w:rPr>
          <w:rFonts w:cs="Arial"/>
          <w:bCs/>
          <w:color w:val="000000" w:themeColor="text1"/>
          <w:sz w:val="20"/>
          <w:szCs w:val="20"/>
        </w:rPr>
      </w:pPr>
      <w:r w:rsidRPr="00D45A15">
        <w:rPr>
          <w:rFonts w:cs="Arial"/>
          <w:bCs/>
          <w:color w:val="000000" w:themeColor="text1"/>
          <w:sz w:val="20"/>
          <w:szCs w:val="20"/>
        </w:rPr>
        <w:lastRenderedPageBreak/>
        <w:t>A</w:t>
      </w:r>
      <w:r w:rsidR="00C60C5F" w:rsidRPr="003517E7">
        <w:rPr>
          <w:rFonts w:cs="Arial"/>
          <w:bCs/>
          <w:color w:val="000000" w:themeColor="text1"/>
          <w:sz w:val="20"/>
          <w:szCs w:val="20"/>
        </w:rPr>
        <w:t xml:space="preserve">n SEO commences on the day the respondent is given the </w:t>
      </w:r>
      <w:r w:rsidR="00C60C5F">
        <w:rPr>
          <w:rFonts w:cs="Arial"/>
          <w:bCs/>
          <w:color w:val="000000" w:themeColor="text1"/>
          <w:sz w:val="20"/>
          <w:szCs w:val="20"/>
        </w:rPr>
        <w:t>o</w:t>
      </w:r>
      <w:r w:rsidR="00C60C5F" w:rsidRPr="003517E7">
        <w:rPr>
          <w:rFonts w:cs="Arial"/>
          <w:bCs/>
          <w:color w:val="000000" w:themeColor="text1"/>
          <w:sz w:val="20"/>
          <w:szCs w:val="20"/>
        </w:rPr>
        <w:t xml:space="preserve">rder and ceases to operate at the end of the period specified in the </w:t>
      </w:r>
      <w:r w:rsidR="00C60C5F">
        <w:rPr>
          <w:rFonts w:cs="Arial"/>
          <w:bCs/>
          <w:color w:val="000000" w:themeColor="text1"/>
          <w:sz w:val="20"/>
          <w:szCs w:val="20"/>
        </w:rPr>
        <w:t>o</w:t>
      </w:r>
      <w:r w:rsidR="00C60C5F" w:rsidRPr="003517E7">
        <w:rPr>
          <w:rFonts w:cs="Arial"/>
          <w:bCs/>
          <w:color w:val="000000" w:themeColor="text1"/>
          <w:sz w:val="20"/>
          <w:szCs w:val="20"/>
        </w:rPr>
        <w:t>rder unless it is revoked sooner</w:t>
      </w:r>
      <w:r>
        <w:rPr>
          <w:rFonts w:cs="Arial"/>
          <w:bCs/>
          <w:color w:val="000000" w:themeColor="text1"/>
          <w:sz w:val="20"/>
          <w:szCs w:val="20"/>
        </w:rPr>
        <w:t xml:space="preserve"> [s.</w:t>
      </w:r>
      <w:r w:rsidRPr="00D45A15">
        <w:rPr>
          <w:rFonts w:cs="Arial"/>
          <w:b/>
          <w:color w:val="000000" w:themeColor="text1"/>
          <w:sz w:val="20"/>
          <w:szCs w:val="20"/>
        </w:rPr>
        <w:t>22CS</w:t>
      </w:r>
      <w:r>
        <w:rPr>
          <w:rFonts w:cs="Arial"/>
          <w:bCs/>
          <w:color w:val="000000" w:themeColor="text1"/>
          <w:sz w:val="20"/>
          <w:szCs w:val="20"/>
        </w:rPr>
        <w:t>]</w:t>
      </w:r>
      <w:r w:rsidR="00C60C5F" w:rsidRPr="003517E7">
        <w:rPr>
          <w:rFonts w:cs="Arial"/>
          <w:bCs/>
          <w:color w:val="000000" w:themeColor="text1"/>
          <w:sz w:val="20"/>
          <w:szCs w:val="20"/>
        </w:rPr>
        <w:t>.</w:t>
      </w:r>
    </w:p>
    <w:p w14:paraId="359E7637" w14:textId="2FA419A0" w:rsidR="00284BB9" w:rsidRDefault="00112E2B">
      <w:pPr>
        <w:pStyle w:val="HeadingTwo"/>
        <w:numPr>
          <w:ilvl w:val="0"/>
          <w:numId w:val="60"/>
        </w:numPr>
        <w:spacing w:before="120" w:after="0"/>
        <w:ind w:left="357" w:hanging="357"/>
        <w:jc w:val="both"/>
        <w:rPr>
          <w:rFonts w:cs="Arial"/>
          <w:bCs/>
          <w:color w:val="000000" w:themeColor="text1"/>
          <w:sz w:val="20"/>
          <w:szCs w:val="20"/>
        </w:rPr>
      </w:pPr>
      <w:r w:rsidRPr="003517E7">
        <w:rPr>
          <w:rFonts w:cs="Arial"/>
          <w:bCs/>
          <w:color w:val="000000" w:themeColor="text1"/>
          <w:sz w:val="20"/>
          <w:szCs w:val="20"/>
        </w:rPr>
        <w:t xml:space="preserve">A supported person subject to an SEO </w:t>
      </w:r>
      <w:r w:rsidR="003023FF">
        <w:rPr>
          <w:rFonts w:cs="Arial"/>
          <w:bCs/>
          <w:color w:val="000000" w:themeColor="text1"/>
          <w:sz w:val="20"/>
          <w:szCs w:val="20"/>
        </w:rPr>
        <w:t xml:space="preserve">made by the Magistrates’ Court </w:t>
      </w:r>
      <w:r w:rsidRPr="003517E7">
        <w:rPr>
          <w:rFonts w:cs="Arial"/>
          <w:bCs/>
          <w:color w:val="000000" w:themeColor="text1"/>
          <w:sz w:val="20"/>
          <w:szCs w:val="20"/>
        </w:rPr>
        <w:t xml:space="preserve">must not contravene the </w:t>
      </w:r>
      <w:r w:rsidR="00715822">
        <w:rPr>
          <w:rFonts w:cs="Arial"/>
          <w:bCs/>
          <w:color w:val="000000" w:themeColor="text1"/>
          <w:sz w:val="20"/>
          <w:szCs w:val="20"/>
        </w:rPr>
        <w:t>o</w:t>
      </w:r>
      <w:r w:rsidRPr="003517E7">
        <w:rPr>
          <w:rFonts w:cs="Arial"/>
          <w:bCs/>
          <w:color w:val="000000" w:themeColor="text1"/>
          <w:sz w:val="20"/>
          <w:szCs w:val="20"/>
        </w:rPr>
        <w:t>rder without a reasonable excuse.</w:t>
      </w:r>
      <w:r w:rsidR="00715822">
        <w:rPr>
          <w:rFonts w:cs="Arial"/>
          <w:bCs/>
          <w:color w:val="000000" w:themeColor="text1"/>
          <w:sz w:val="20"/>
          <w:szCs w:val="20"/>
        </w:rPr>
        <w:t xml:space="preserve"> </w:t>
      </w:r>
      <w:r w:rsidRPr="003517E7">
        <w:rPr>
          <w:rFonts w:cs="Arial"/>
          <w:bCs/>
          <w:color w:val="000000" w:themeColor="text1"/>
          <w:sz w:val="20"/>
          <w:szCs w:val="20"/>
        </w:rPr>
        <w:t xml:space="preserve"> </w:t>
      </w:r>
      <w:r w:rsidRPr="003517E7">
        <w:rPr>
          <w:rFonts w:cs="Arial"/>
          <w:b/>
          <w:color w:val="000000" w:themeColor="text1"/>
          <w:sz w:val="20"/>
          <w:szCs w:val="20"/>
        </w:rPr>
        <w:t>22CU</w:t>
      </w:r>
      <w:r w:rsidRPr="003517E7">
        <w:rPr>
          <w:rFonts w:cs="Arial"/>
          <w:bCs/>
          <w:color w:val="000000" w:themeColor="text1"/>
          <w:sz w:val="20"/>
          <w:szCs w:val="20"/>
        </w:rPr>
        <w:t xml:space="preserve"> makes </w:t>
      </w:r>
      <w:r w:rsidR="00715822">
        <w:rPr>
          <w:rFonts w:cs="Arial"/>
          <w:bCs/>
          <w:color w:val="000000" w:themeColor="text1"/>
          <w:sz w:val="20"/>
          <w:szCs w:val="20"/>
        </w:rPr>
        <w:t>such contravention</w:t>
      </w:r>
      <w:r w:rsidRPr="003517E7">
        <w:rPr>
          <w:rFonts w:cs="Arial"/>
          <w:bCs/>
          <w:color w:val="000000" w:themeColor="text1"/>
          <w:sz w:val="20"/>
          <w:szCs w:val="20"/>
        </w:rPr>
        <w:t xml:space="preserve"> an offence</w:t>
      </w:r>
      <w:r>
        <w:rPr>
          <w:rFonts w:cs="Arial"/>
          <w:bCs/>
          <w:color w:val="000000" w:themeColor="text1"/>
          <w:sz w:val="20"/>
          <w:szCs w:val="20"/>
        </w:rPr>
        <w:t xml:space="preserve"> which</w:t>
      </w:r>
      <w:r w:rsidRPr="003517E7">
        <w:rPr>
          <w:rFonts w:cs="Arial"/>
          <w:bCs/>
          <w:color w:val="000000" w:themeColor="text1"/>
          <w:sz w:val="20"/>
          <w:szCs w:val="20"/>
        </w:rPr>
        <w:t xml:space="preserve"> attracts a fine of </w:t>
      </w:r>
      <w:r w:rsidRPr="00112E2B">
        <w:rPr>
          <w:rFonts w:cs="Arial"/>
          <w:bCs/>
          <w:color w:val="000000" w:themeColor="text1"/>
          <w:sz w:val="20"/>
          <w:szCs w:val="20"/>
        </w:rPr>
        <w:t>10 penalty units</w:t>
      </w:r>
      <w:r>
        <w:rPr>
          <w:rFonts w:cs="Arial"/>
          <w:bCs/>
          <w:color w:val="000000" w:themeColor="text1"/>
          <w:sz w:val="20"/>
          <w:szCs w:val="20"/>
        </w:rPr>
        <w:t>.</w:t>
      </w:r>
      <w:r w:rsidR="003023FF">
        <w:rPr>
          <w:rFonts w:cs="Arial"/>
          <w:bCs/>
          <w:color w:val="000000" w:themeColor="text1"/>
          <w:sz w:val="20"/>
          <w:szCs w:val="20"/>
        </w:rPr>
        <w:t xml:space="preserve">  Contravention of an SEO made by the Children’s Court is not an offence.</w:t>
      </w:r>
    </w:p>
    <w:p w14:paraId="6455350A" w14:textId="77777777" w:rsidR="003023FF" w:rsidRDefault="003023FF" w:rsidP="00E76EBE">
      <w:pPr>
        <w:jc w:val="both"/>
        <w:rPr>
          <w:rFonts w:ascii="Arial" w:hAnsi="Arial" w:cs="Arial"/>
          <w:sz w:val="20"/>
          <w:szCs w:val="20"/>
        </w:rPr>
      </w:pPr>
    </w:p>
    <w:p w14:paraId="2EFFE499" w14:textId="4BF21797" w:rsidR="00E76EBE" w:rsidRPr="00220B9E" w:rsidRDefault="00E76EBE" w:rsidP="00E76EBE">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t>REVIEW OF AN SEO</w:t>
      </w:r>
    </w:p>
    <w:p w14:paraId="29F19EF2" w14:textId="77777777" w:rsidR="00E76EBE" w:rsidRDefault="00E76EBE" w:rsidP="00E76EBE">
      <w:pPr>
        <w:jc w:val="both"/>
        <w:rPr>
          <w:rFonts w:ascii="Arial" w:hAnsi="Arial" w:cs="Arial"/>
          <w:sz w:val="20"/>
          <w:szCs w:val="20"/>
        </w:rPr>
      </w:pPr>
    </w:p>
    <w:p w14:paraId="177ED6EE" w14:textId="7E92FF5E" w:rsidR="00E76EBE" w:rsidRPr="004E4FE6" w:rsidRDefault="003C4FA5" w:rsidP="00C45F3B">
      <w:pPr>
        <w:jc w:val="both"/>
        <w:rPr>
          <w:rFonts w:ascii="Arial" w:hAnsi="Arial" w:cs="Arial"/>
          <w:sz w:val="20"/>
          <w:szCs w:val="20"/>
        </w:rPr>
      </w:pPr>
      <w:r w:rsidRPr="004E4FE6">
        <w:rPr>
          <w:rFonts w:ascii="Arial" w:hAnsi="Arial" w:cs="Arial"/>
          <w:sz w:val="20"/>
          <w:szCs w:val="20"/>
        </w:rPr>
        <w:t xml:space="preserve">Section </w:t>
      </w:r>
      <w:r w:rsidRPr="004E4FE6">
        <w:rPr>
          <w:rFonts w:ascii="Arial" w:hAnsi="Arial" w:cs="Arial"/>
          <w:b/>
          <w:bCs/>
          <w:sz w:val="20"/>
          <w:szCs w:val="20"/>
        </w:rPr>
        <w:t>22CW</w:t>
      </w:r>
      <w:r w:rsidRPr="004E4FE6">
        <w:rPr>
          <w:rFonts w:ascii="Arial" w:hAnsi="Arial" w:cs="Arial"/>
          <w:sz w:val="20"/>
          <w:szCs w:val="20"/>
        </w:rPr>
        <w:t xml:space="preserve"> provides that on receiving a report from the Secretary in accordance</w:t>
      </w:r>
      <w:r w:rsidR="004E4FE6" w:rsidRPr="004E4FE6">
        <w:rPr>
          <w:rFonts w:ascii="Arial" w:hAnsi="Arial" w:cs="Arial"/>
          <w:sz w:val="20"/>
          <w:szCs w:val="20"/>
        </w:rPr>
        <w:t xml:space="preserve"> with s.</w:t>
      </w:r>
      <w:r w:rsidR="004E4FE6" w:rsidRPr="004E4FE6">
        <w:rPr>
          <w:rFonts w:ascii="Arial" w:hAnsi="Arial" w:cs="Arial"/>
          <w:b/>
          <w:bCs/>
          <w:sz w:val="20"/>
          <w:szCs w:val="20"/>
        </w:rPr>
        <w:t>22CV</w:t>
      </w:r>
      <w:r w:rsidR="004E4FE6" w:rsidRPr="004E4FE6">
        <w:rPr>
          <w:rFonts w:ascii="Arial" w:hAnsi="Arial" w:cs="Arial"/>
          <w:sz w:val="20"/>
          <w:szCs w:val="20"/>
        </w:rPr>
        <w:t xml:space="preserve"> on the progress of the supported person (SP) under an SEO, the </w:t>
      </w:r>
      <w:r w:rsidR="00DB637E">
        <w:rPr>
          <w:rFonts w:ascii="Arial" w:hAnsi="Arial" w:cs="Arial"/>
          <w:sz w:val="20"/>
          <w:szCs w:val="20"/>
        </w:rPr>
        <w:t>c</w:t>
      </w:r>
      <w:r w:rsidR="004E4FE6" w:rsidRPr="004E4FE6">
        <w:rPr>
          <w:rFonts w:ascii="Arial" w:hAnsi="Arial" w:cs="Arial"/>
          <w:sz w:val="20"/>
          <w:szCs w:val="20"/>
        </w:rPr>
        <w:t xml:space="preserve">ourt may direct that a review hearing is to be held if, on the basis of the report, the </w:t>
      </w:r>
      <w:r w:rsidR="00433B20">
        <w:rPr>
          <w:rFonts w:ascii="Arial" w:hAnsi="Arial" w:cs="Arial"/>
          <w:sz w:val="20"/>
          <w:szCs w:val="20"/>
        </w:rPr>
        <w:t>c</w:t>
      </w:r>
      <w:r w:rsidR="004E4FE6" w:rsidRPr="004E4FE6">
        <w:rPr>
          <w:rFonts w:ascii="Arial" w:hAnsi="Arial" w:cs="Arial"/>
          <w:sz w:val="20"/>
          <w:szCs w:val="20"/>
        </w:rPr>
        <w:t>ourt considers that</w:t>
      </w:r>
      <w:r w:rsidR="00013698">
        <w:rPr>
          <w:rFonts w:cs="Arial"/>
          <w:bCs/>
          <w:color w:val="000000" w:themeColor="text1"/>
          <w:sz w:val="20"/>
          <w:szCs w:val="20"/>
        </w:rPr>
        <w:t>–</w:t>
      </w:r>
    </w:p>
    <w:p w14:paraId="2691910E" w14:textId="16F7536C" w:rsidR="004E4FE6" w:rsidRPr="004E4FE6" w:rsidRDefault="004E4FE6">
      <w:pPr>
        <w:pStyle w:val="HeadingTwo"/>
        <w:numPr>
          <w:ilvl w:val="1"/>
          <w:numId w:val="60"/>
        </w:numPr>
        <w:spacing w:before="60" w:after="0"/>
        <w:ind w:left="357" w:hanging="357"/>
        <w:jc w:val="both"/>
        <w:rPr>
          <w:rFonts w:cs="Arial"/>
          <w:bCs/>
          <w:color w:val="auto"/>
          <w:sz w:val="20"/>
          <w:szCs w:val="20"/>
        </w:rPr>
      </w:pPr>
      <w:r w:rsidRPr="004E4FE6">
        <w:rPr>
          <w:rFonts w:cs="Arial"/>
          <w:bCs/>
          <w:color w:val="auto"/>
          <w:sz w:val="20"/>
          <w:szCs w:val="20"/>
        </w:rPr>
        <w:t xml:space="preserve">the SP </w:t>
      </w:r>
      <w:r w:rsidRPr="004E4FE6">
        <w:rPr>
          <w:rFonts w:cs="Arial"/>
          <w:color w:val="auto"/>
          <w:sz w:val="20"/>
          <w:szCs w:val="20"/>
        </w:rPr>
        <w:t>may not be satisfactorily complying with or progressing under the SEO; or</w:t>
      </w:r>
    </w:p>
    <w:p w14:paraId="294809A3" w14:textId="243640FC" w:rsidR="004E4FE6" w:rsidRPr="004E4FE6" w:rsidRDefault="004E4FE6">
      <w:pPr>
        <w:pStyle w:val="HeadingTwo"/>
        <w:numPr>
          <w:ilvl w:val="1"/>
          <w:numId w:val="60"/>
        </w:numPr>
        <w:spacing w:before="60" w:after="0"/>
        <w:ind w:left="357" w:hanging="357"/>
        <w:jc w:val="both"/>
        <w:rPr>
          <w:rFonts w:cs="Arial"/>
          <w:bCs/>
          <w:color w:val="auto"/>
          <w:sz w:val="20"/>
          <w:szCs w:val="20"/>
        </w:rPr>
      </w:pPr>
      <w:r w:rsidRPr="004E4FE6">
        <w:rPr>
          <w:rFonts w:cs="Arial"/>
          <w:color w:val="auto"/>
          <w:sz w:val="20"/>
          <w:szCs w:val="20"/>
        </w:rPr>
        <w:t>varying or extending the SEO or varying the attached SEP may be an appropriate way to achieve a therapeutic purpose for the SP; or</w:t>
      </w:r>
    </w:p>
    <w:p w14:paraId="5067D212" w14:textId="6922FC79" w:rsidR="004E4FE6" w:rsidRPr="004E4FE6" w:rsidRDefault="004E4FE6">
      <w:pPr>
        <w:pStyle w:val="HeadingTwo"/>
        <w:numPr>
          <w:ilvl w:val="1"/>
          <w:numId w:val="60"/>
        </w:numPr>
        <w:spacing w:before="60" w:after="0"/>
        <w:ind w:left="357" w:hanging="357"/>
        <w:jc w:val="both"/>
        <w:rPr>
          <w:rFonts w:cs="Arial"/>
          <w:bCs/>
          <w:color w:val="auto"/>
          <w:sz w:val="20"/>
          <w:szCs w:val="20"/>
        </w:rPr>
      </w:pPr>
      <w:r w:rsidRPr="004E4FE6">
        <w:rPr>
          <w:rFonts w:cs="Arial"/>
          <w:color w:val="auto"/>
          <w:sz w:val="20"/>
          <w:szCs w:val="20"/>
        </w:rPr>
        <w:t>it may be appropriate to revoke the SEO.</w:t>
      </w:r>
    </w:p>
    <w:p w14:paraId="6D88B0CD" w14:textId="063165F3" w:rsidR="00E76EBE" w:rsidRDefault="00E76EBE" w:rsidP="00C45F3B">
      <w:pPr>
        <w:jc w:val="both"/>
        <w:rPr>
          <w:rFonts w:ascii="Arial" w:hAnsi="Arial" w:cs="Arial"/>
          <w:sz w:val="20"/>
          <w:szCs w:val="20"/>
        </w:rPr>
      </w:pPr>
    </w:p>
    <w:p w14:paraId="111B1502" w14:textId="0D87DEB9" w:rsidR="004E4FE6" w:rsidRDefault="00BB0091" w:rsidP="004E4FE6">
      <w:pPr>
        <w:pStyle w:val="HeadingTwo"/>
        <w:spacing w:after="0"/>
        <w:jc w:val="both"/>
        <w:rPr>
          <w:rFonts w:cs="Arial"/>
          <w:bCs/>
          <w:color w:val="auto"/>
          <w:sz w:val="20"/>
          <w:szCs w:val="20"/>
        </w:rPr>
      </w:pPr>
      <w:r>
        <w:rPr>
          <w:rFonts w:cs="Arial"/>
          <w:color w:val="auto"/>
          <w:sz w:val="20"/>
          <w:szCs w:val="20"/>
        </w:rPr>
        <w:t xml:space="preserve">At a review hearing </w:t>
      </w:r>
      <w:r w:rsidR="004E4FE6">
        <w:rPr>
          <w:rFonts w:cs="Arial"/>
          <w:color w:val="auto"/>
          <w:sz w:val="20"/>
          <w:szCs w:val="20"/>
        </w:rPr>
        <w:t>t</w:t>
      </w:r>
      <w:r w:rsidR="003C4FA5" w:rsidRPr="004E4FE6">
        <w:rPr>
          <w:rFonts w:cs="Arial"/>
          <w:color w:val="auto"/>
          <w:sz w:val="20"/>
          <w:szCs w:val="20"/>
        </w:rPr>
        <w:t xml:space="preserve">he </w:t>
      </w:r>
      <w:r w:rsidR="00433B20">
        <w:rPr>
          <w:rFonts w:cs="Arial"/>
          <w:color w:val="auto"/>
          <w:sz w:val="20"/>
          <w:szCs w:val="20"/>
        </w:rPr>
        <w:t>c</w:t>
      </w:r>
      <w:r w:rsidR="003C4FA5" w:rsidRPr="004E4FE6">
        <w:rPr>
          <w:rFonts w:cs="Arial"/>
          <w:color w:val="auto"/>
          <w:sz w:val="20"/>
          <w:szCs w:val="20"/>
        </w:rPr>
        <w:t xml:space="preserve">ourt </w:t>
      </w:r>
      <w:r w:rsidR="004E4FE6">
        <w:rPr>
          <w:rFonts w:cs="Arial"/>
          <w:color w:val="auto"/>
          <w:sz w:val="20"/>
          <w:szCs w:val="20"/>
        </w:rPr>
        <w:t>may</w:t>
      </w:r>
      <w:r w:rsidR="003C4FA5" w:rsidRPr="004E4FE6">
        <w:rPr>
          <w:rFonts w:cs="Arial"/>
          <w:color w:val="auto"/>
          <w:sz w:val="20"/>
          <w:szCs w:val="20"/>
        </w:rPr>
        <w:t xml:space="preserve"> vary</w:t>
      </w:r>
      <w:r w:rsidR="004E4FE6">
        <w:rPr>
          <w:rFonts w:cs="Arial"/>
          <w:color w:val="auto"/>
          <w:sz w:val="20"/>
          <w:szCs w:val="20"/>
        </w:rPr>
        <w:t xml:space="preserve"> or</w:t>
      </w:r>
      <w:r w:rsidR="003C4FA5" w:rsidRPr="004E4FE6">
        <w:rPr>
          <w:rFonts w:cs="Arial"/>
          <w:color w:val="auto"/>
          <w:sz w:val="20"/>
          <w:szCs w:val="20"/>
        </w:rPr>
        <w:t xml:space="preserve"> extend</w:t>
      </w:r>
      <w:r w:rsidR="004E4FE6">
        <w:rPr>
          <w:rFonts w:cs="Arial"/>
          <w:color w:val="auto"/>
          <w:sz w:val="20"/>
          <w:szCs w:val="20"/>
        </w:rPr>
        <w:t xml:space="preserve"> </w:t>
      </w:r>
      <w:r w:rsidR="003C4FA5" w:rsidRPr="004E4FE6">
        <w:rPr>
          <w:rFonts w:cs="Arial"/>
          <w:color w:val="auto"/>
          <w:sz w:val="20"/>
          <w:szCs w:val="20"/>
        </w:rPr>
        <w:t xml:space="preserve">an SEO </w:t>
      </w:r>
      <w:r>
        <w:rPr>
          <w:rFonts w:cs="Arial"/>
          <w:color w:val="auto"/>
          <w:sz w:val="20"/>
          <w:szCs w:val="20"/>
        </w:rPr>
        <w:t>or vary the attached SEP</w:t>
      </w:r>
      <w:r w:rsidR="003C4FA5" w:rsidRPr="004E4FE6">
        <w:rPr>
          <w:rFonts w:cs="Arial"/>
          <w:color w:val="auto"/>
          <w:sz w:val="20"/>
          <w:szCs w:val="20"/>
        </w:rPr>
        <w:t xml:space="preserve"> if the </w:t>
      </w:r>
      <w:r w:rsidR="00433B20">
        <w:rPr>
          <w:rFonts w:cs="Arial"/>
          <w:color w:val="auto"/>
          <w:sz w:val="20"/>
          <w:szCs w:val="20"/>
        </w:rPr>
        <w:t>c</w:t>
      </w:r>
      <w:r w:rsidR="003C4FA5" w:rsidRPr="004E4FE6">
        <w:rPr>
          <w:rFonts w:cs="Arial"/>
          <w:color w:val="auto"/>
          <w:sz w:val="20"/>
          <w:szCs w:val="20"/>
        </w:rPr>
        <w:t xml:space="preserve">ourt is </w:t>
      </w:r>
      <w:r w:rsidR="003C4FA5" w:rsidRPr="004E4FE6">
        <w:rPr>
          <w:rFonts w:cs="Arial"/>
          <w:bCs/>
          <w:color w:val="auto"/>
          <w:sz w:val="20"/>
          <w:szCs w:val="20"/>
        </w:rPr>
        <w:t xml:space="preserve">satisfied it is appropriate to do so to </w:t>
      </w:r>
      <w:r>
        <w:rPr>
          <w:rFonts w:cs="Arial"/>
          <w:bCs/>
          <w:color w:val="auto"/>
          <w:sz w:val="20"/>
          <w:szCs w:val="20"/>
        </w:rPr>
        <w:t>achieve</w:t>
      </w:r>
      <w:r w:rsidR="003C4FA5" w:rsidRPr="004E4FE6">
        <w:rPr>
          <w:rFonts w:cs="Arial"/>
          <w:bCs/>
          <w:color w:val="auto"/>
          <w:sz w:val="20"/>
          <w:szCs w:val="20"/>
        </w:rPr>
        <w:t xml:space="preserve"> a therapeutic</w:t>
      </w:r>
      <w:r w:rsidR="004E4FE6">
        <w:rPr>
          <w:rFonts w:cs="Arial"/>
          <w:bCs/>
          <w:color w:val="auto"/>
          <w:sz w:val="20"/>
          <w:szCs w:val="20"/>
        </w:rPr>
        <w:t xml:space="preserve"> purpose for the SP</w:t>
      </w:r>
      <w:r>
        <w:rPr>
          <w:rFonts w:cs="Arial"/>
          <w:bCs/>
          <w:color w:val="auto"/>
          <w:sz w:val="20"/>
          <w:szCs w:val="20"/>
        </w:rPr>
        <w:t xml:space="preserve"> [</w:t>
      </w:r>
      <w:r>
        <w:rPr>
          <w:rFonts w:cs="Arial"/>
          <w:color w:val="auto"/>
          <w:sz w:val="20"/>
          <w:szCs w:val="20"/>
        </w:rPr>
        <w:t>s.</w:t>
      </w:r>
      <w:r w:rsidRPr="004E4FE6">
        <w:rPr>
          <w:rFonts w:cs="Arial"/>
          <w:b/>
          <w:bCs/>
          <w:color w:val="auto"/>
          <w:sz w:val="20"/>
          <w:szCs w:val="20"/>
        </w:rPr>
        <w:t>22CY(1)</w:t>
      </w:r>
      <w:r w:rsidRPr="00BB0091">
        <w:rPr>
          <w:rFonts w:cs="Arial"/>
          <w:color w:val="auto"/>
          <w:sz w:val="20"/>
          <w:szCs w:val="20"/>
        </w:rPr>
        <w:t>]</w:t>
      </w:r>
      <w:r w:rsidR="004E4FE6">
        <w:rPr>
          <w:rFonts w:cs="Arial"/>
          <w:bCs/>
          <w:color w:val="auto"/>
          <w:sz w:val="20"/>
          <w:szCs w:val="20"/>
        </w:rPr>
        <w:t>.</w:t>
      </w:r>
    </w:p>
    <w:p w14:paraId="73F9C06A" w14:textId="77777777" w:rsidR="004E4FE6" w:rsidRDefault="004E4FE6" w:rsidP="004E4FE6">
      <w:pPr>
        <w:pStyle w:val="HeadingTwo"/>
        <w:spacing w:after="0"/>
        <w:jc w:val="both"/>
        <w:rPr>
          <w:rFonts w:cs="Arial"/>
          <w:bCs/>
          <w:color w:val="auto"/>
          <w:sz w:val="20"/>
          <w:szCs w:val="20"/>
        </w:rPr>
      </w:pPr>
    </w:p>
    <w:p w14:paraId="6E3566DE" w14:textId="08BC7D66" w:rsidR="004E4FE6" w:rsidRDefault="004E4FE6" w:rsidP="004E4FE6">
      <w:pPr>
        <w:pStyle w:val="HeadingTwo"/>
        <w:spacing w:after="0"/>
        <w:jc w:val="both"/>
        <w:rPr>
          <w:rFonts w:cs="Arial"/>
          <w:bCs/>
          <w:color w:val="auto"/>
          <w:sz w:val="20"/>
          <w:szCs w:val="20"/>
        </w:rPr>
      </w:pPr>
      <w:r>
        <w:rPr>
          <w:rFonts w:cs="Arial"/>
          <w:bCs/>
          <w:color w:val="auto"/>
          <w:sz w:val="20"/>
          <w:szCs w:val="20"/>
        </w:rPr>
        <w:t>Under s.</w:t>
      </w:r>
      <w:r w:rsidRPr="004E4FE6">
        <w:rPr>
          <w:rFonts w:cs="Arial"/>
          <w:b/>
          <w:color w:val="auto"/>
          <w:sz w:val="20"/>
          <w:szCs w:val="20"/>
        </w:rPr>
        <w:t>22CY(6)</w:t>
      </w:r>
      <w:r>
        <w:rPr>
          <w:rFonts w:cs="Arial"/>
          <w:bCs/>
          <w:color w:val="auto"/>
          <w:sz w:val="20"/>
          <w:szCs w:val="20"/>
        </w:rPr>
        <w:t xml:space="preserve"> the Court may revoke an SEO if </w:t>
      </w:r>
      <w:r w:rsidR="00416328">
        <w:rPr>
          <w:rFonts w:cs="Arial"/>
          <w:bCs/>
          <w:color w:val="auto"/>
          <w:sz w:val="20"/>
          <w:szCs w:val="20"/>
        </w:rPr>
        <w:t xml:space="preserve">the </w:t>
      </w:r>
      <w:r w:rsidR="00433B20">
        <w:rPr>
          <w:rFonts w:cs="Arial"/>
          <w:bCs/>
          <w:color w:val="auto"/>
          <w:sz w:val="20"/>
          <w:szCs w:val="20"/>
        </w:rPr>
        <w:t>c</w:t>
      </w:r>
      <w:r w:rsidR="00416328">
        <w:rPr>
          <w:rFonts w:cs="Arial"/>
          <w:bCs/>
          <w:color w:val="auto"/>
          <w:sz w:val="20"/>
          <w:szCs w:val="20"/>
        </w:rPr>
        <w:t>ourt</w:t>
      </w:r>
      <w:r w:rsidR="00013698">
        <w:rPr>
          <w:rFonts w:cs="Arial"/>
          <w:bCs/>
          <w:color w:val="000000" w:themeColor="text1"/>
          <w:sz w:val="20"/>
          <w:szCs w:val="20"/>
        </w:rPr>
        <w:t>–</w:t>
      </w:r>
    </w:p>
    <w:p w14:paraId="40A65F55" w14:textId="76E1641D" w:rsidR="00416328" w:rsidRPr="00851FA1" w:rsidRDefault="00416328">
      <w:pPr>
        <w:pStyle w:val="ListParagraph"/>
        <w:numPr>
          <w:ilvl w:val="0"/>
          <w:numId w:val="56"/>
        </w:numPr>
        <w:ind w:left="357" w:hanging="357"/>
        <w:jc w:val="both"/>
        <w:rPr>
          <w:rFonts w:ascii="Arial" w:hAnsi="Arial" w:cs="Arial"/>
          <w:color w:val="000000"/>
          <w:sz w:val="20"/>
        </w:rPr>
      </w:pPr>
      <w:r w:rsidRPr="00851FA1">
        <w:rPr>
          <w:rFonts w:ascii="Arial" w:hAnsi="Arial" w:cs="Arial"/>
          <w:bCs/>
          <w:sz w:val="20"/>
        </w:rPr>
        <w:t>finds, in accordance with s.</w:t>
      </w:r>
      <w:r w:rsidRPr="00851FA1">
        <w:rPr>
          <w:rFonts w:ascii="Arial" w:hAnsi="Arial" w:cs="Arial"/>
          <w:b/>
          <w:sz w:val="20"/>
        </w:rPr>
        <w:t>22CI</w:t>
      </w:r>
      <w:r w:rsidR="00FC2445">
        <w:rPr>
          <w:rFonts w:ascii="Arial" w:hAnsi="Arial" w:cs="Arial"/>
          <w:bCs/>
          <w:sz w:val="20"/>
        </w:rPr>
        <w:t xml:space="preserve">, </w:t>
      </w:r>
      <w:r w:rsidRPr="00851FA1">
        <w:rPr>
          <w:rFonts w:ascii="Arial" w:hAnsi="Arial" w:cs="Arial"/>
          <w:bCs/>
          <w:sz w:val="20"/>
        </w:rPr>
        <w:t>that the SP is no longer radicalising towards violent extremism; or</w:t>
      </w:r>
    </w:p>
    <w:p w14:paraId="3616637F" w14:textId="3857A231" w:rsidR="00416328" w:rsidRPr="00851FA1" w:rsidRDefault="00416328">
      <w:pPr>
        <w:pStyle w:val="ListParagraph"/>
        <w:numPr>
          <w:ilvl w:val="0"/>
          <w:numId w:val="56"/>
        </w:numPr>
        <w:ind w:left="357" w:hanging="357"/>
        <w:jc w:val="both"/>
        <w:rPr>
          <w:rFonts w:ascii="Arial" w:hAnsi="Arial" w:cs="Arial"/>
          <w:color w:val="000000"/>
          <w:sz w:val="20"/>
        </w:rPr>
      </w:pPr>
      <w:r w:rsidRPr="00851FA1">
        <w:rPr>
          <w:rFonts w:ascii="Arial" w:hAnsi="Arial" w:cs="Arial"/>
          <w:bCs/>
          <w:sz w:val="20"/>
        </w:rPr>
        <w:t xml:space="preserve">is not satisfied that an SEO remains an appropriate way to </w:t>
      </w:r>
      <w:r w:rsidR="00FC2445">
        <w:rPr>
          <w:rFonts w:ascii="Arial" w:hAnsi="Arial" w:cs="Arial"/>
          <w:bCs/>
          <w:sz w:val="20"/>
        </w:rPr>
        <w:t>a</w:t>
      </w:r>
      <w:r w:rsidRPr="00851FA1">
        <w:rPr>
          <w:rFonts w:ascii="Arial" w:hAnsi="Arial" w:cs="Arial"/>
          <w:bCs/>
          <w:sz w:val="20"/>
        </w:rPr>
        <w:t>chieve a therapeutic purpose for the SP; and</w:t>
      </w:r>
    </w:p>
    <w:p w14:paraId="182F299D" w14:textId="1592E0E0" w:rsidR="00416328" w:rsidRPr="00851FA1" w:rsidRDefault="00851FA1">
      <w:pPr>
        <w:pStyle w:val="ListParagraph"/>
        <w:numPr>
          <w:ilvl w:val="0"/>
          <w:numId w:val="56"/>
        </w:numPr>
        <w:ind w:left="357" w:hanging="357"/>
        <w:jc w:val="both"/>
        <w:rPr>
          <w:rFonts w:ascii="Arial" w:hAnsi="Arial" w:cs="Arial"/>
          <w:color w:val="000000"/>
          <w:sz w:val="20"/>
        </w:rPr>
      </w:pPr>
      <w:r w:rsidRPr="00851FA1">
        <w:rPr>
          <w:rFonts w:ascii="Arial" w:hAnsi="Arial" w:cs="Arial"/>
          <w:bCs/>
          <w:sz w:val="20"/>
        </w:rPr>
        <w:t xml:space="preserve">is satisfied that </w:t>
      </w:r>
      <w:r>
        <w:rPr>
          <w:rFonts w:ascii="Arial" w:hAnsi="Arial" w:cs="Arial"/>
          <w:bCs/>
          <w:sz w:val="20"/>
        </w:rPr>
        <w:t>it is appropriate to revoke the SEO.</w:t>
      </w:r>
    </w:p>
    <w:p w14:paraId="3C66D5B4" w14:textId="77777777" w:rsidR="003C4FA5" w:rsidRDefault="003C4FA5" w:rsidP="00C45F3B">
      <w:pPr>
        <w:jc w:val="both"/>
        <w:rPr>
          <w:rFonts w:ascii="Arial" w:hAnsi="Arial" w:cs="Arial"/>
          <w:sz w:val="20"/>
          <w:szCs w:val="20"/>
        </w:rPr>
      </w:pPr>
    </w:p>
    <w:p w14:paraId="282EDCAE" w14:textId="6CB2F9D2" w:rsidR="00C45F3B" w:rsidRPr="00220B9E" w:rsidRDefault="00C45F3B" w:rsidP="002B5656">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t>JURISDICTION OF THE CHILDREN’S COURT TO VARY, REVOKE OR EXTEND AN SEO</w:t>
      </w:r>
    </w:p>
    <w:p w14:paraId="28D4D3F5" w14:textId="77777777" w:rsidR="00C45F3B" w:rsidRDefault="00C45F3B" w:rsidP="00C45F3B">
      <w:pPr>
        <w:jc w:val="both"/>
        <w:rPr>
          <w:rFonts w:ascii="Arial" w:hAnsi="Arial" w:cs="Arial"/>
          <w:sz w:val="20"/>
          <w:szCs w:val="20"/>
        </w:rPr>
      </w:pPr>
    </w:p>
    <w:p w14:paraId="224689DD" w14:textId="77777777" w:rsidR="00851FA1" w:rsidRDefault="002E62A4" w:rsidP="002E62A4">
      <w:pPr>
        <w:jc w:val="both"/>
        <w:rPr>
          <w:rFonts w:ascii="Arial" w:hAnsi="Arial" w:cs="Arial"/>
          <w:sz w:val="20"/>
          <w:szCs w:val="20"/>
        </w:rPr>
      </w:pPr>
      <w:r>
        <w:rPr>
          <w:rFonts w:ascii="Arial" w:hAnsi="Arial" w:cs="Arial"/>
          <w:sz w:val="20"/>
          <w:szCs w:val="20"/>
        </w:rPr>
        <w:t xml:space="preserve">The Children’s Court also has associated powers to </w:t>
      </w:r>
      <w:r w:rsidRPr="002E62A4">
        <w:rPr>
          <w:rFonts w:ascii="Arial" w:hAnsi="Arial" w:cs="Arial"/>
          <w:b/>
          <w:bCs/>
          <w:sz w:val="20"/>
          <w:szCs w:val="20"/>
        </w:rPr>
        <w:t>vary, revoke or extend an SEO</w:t>
      </w:r>
      <w:r>
        <w:rPr>
          <w:rFonts w:ascii="Arial" w:hAnsi="Arial" w:cs="Arial"/>
          <w:sz w:val="20"/>
          <w:szCs w:val="20"/>
        </w:rPr>
        <w:t xml:space="preserve"> made in the Children’s Court.</w:t>
      </w:r>
    </w:p>
    <w:p w14:paraId="00942C61" w14:textId="0A62E6F3" w:rsidR="00851FA1" w:rsidRDefault="00851FA1" w:rsidP="002E62A4">
      <w:pPr>
        <w:jc w:val="both"/>
        <w:rPr>
          <w:rFonts w:ascii="Arial" w:hAnsi="Arial" w:cs="Arial"/>
          <w:sz w:val="20"/>
          <w:szCs w:val="20"/>
        </w:rPr>
      </w:pPr>
    </w:p>
    <w:p w14:paraId="40F27D27" w14:textId="5EB40428" w:rsidR="00851FA1" w:rsidRDefault="00851FA1" w:rsidP="00851FA1">
      <w:pPr>
        <w:jc w:val="both"/>
        <w:rPr>
          <w:rFonts w:ascii="Arial" w:hAnsi="Arial" w:cs="Arial"/>
          <w:sz w:val="20"/>
          <w:szCs w:val="20"/>
        </w:rPr>
      </w:pPr>
      <w:r>
        <w:rPr>
          <w:rFonts w:ascii="Arial" w:hAnsi="Arial" w:cs="Arial"/>
          <w:color w:val="000000"/>
          <w:sz w:val="20"/>
        </w:rPr>
        <w:t xml:space="preserve">It is not expressly </w:t>
      </w:r>
      <w:r w:rsidR="00D45A15">
        <w:rPr>
          <w:rFonts w:ascii="Arial" w:hAnsi="Arial" w:cs="Arial"/>
          <w:color w:val="000000"/>
          <w:sz w:val="20"/>
        </w:rPr>
        <w:t>stated</w:t>
      </w:r>
      <w:r>
        <w:rPr>
          <w:rFonts w:ascii="Arial" w:hAnsi="Arial" w:cs="Arial"/>
          <w:color w:val="000000"/>
          <w:sz w:val="20"/>
        </w:rPr>
        <w:t xml:space="preserve"> whether an application to vary</w:t>
      </w:r>
      <w:r w:rsidR="00D45A15">
        <w:rPr>
          <w:rFonts w:ascii="Arial" w:hAnsi="Arial" w:cs="Arial"/>
          <w:color w:val="000000"/>
          <w:sz w:val="20"/>
        </w:rPr>
        <w:t>, revoke or extend</w:t>
      </w:r>
      <w:r>
        <w:rPr>
          <w:rFonts w:ascii="Arial" w:hAnsi="Arial" w:cs="Arial"/>
          <w:color w:val="000000"/>
          <w:sz w:val="20"/>
        </w:rPr>
        <w:t xml:space="preserve"> an SEO should be filed in the Children’s Court or the Magistrates’ Court if the SP has already turned 18 at the time the relevant application is made.  However, the writer prefers an interpretation that once an SEO has been made in the Children’s Court, that Court retains </w:t>
      </w:r>
      <w:r w:rsidR="003F3B7C">
        <w:rPr>
          <w:rFonts w:ascii="Arial" w:hAnsi="Arial" w:cs="Arial"/>
          <w:color w:val="000000"/>
          <w:sz w:val="20"/>
        </w:rPr>
        <w:t xml:space="preserve">exclusive </w:t>
      </w:r>
      <w:r>
        <w:rPr>
          <w:rFonts w:ascii="Arial" w:hAnsi="Arial" w:cs="Arial"/>
          <w:color w:val="000000"/>
          <w:sz w:val="20"/>
        </w:rPr>
        <w:t xml:space="preserve">jurisdiction in relation to any subsequent application to vary, revoke or extend </w:t>
      </w:r>
      <w:r w:rsidR="00F94941">
        <w:rPr>
          <w:rFonts w:ascii="Arial" w:hAnsi="Arial" w:cs="Arial"/>
          <w:color w:val="000000"/>
          <w:sz w:val="20"/>
        </w:rPr>
        <w:t>it</w:t>
      </w:r>
      <w:r>
        <w:rPr>
          <w:rFonts w:ascii="Arial" w:hAnsi="Arial" w:cs="Arial"/>
          <w:color w:val="000000"/>
          <w:sz w:val="20"/>
        </w:rPr>
        <w:t>, irrespective of whether the SP has already turned 18.</w:t>
      </w:r>
    </w:p>
    <w:p w14:paraId="31B8220D" w14:textId="5686C87C" w:rsidR="00851FA1" w:rsidRDefault="00851FA1" w:rsidP="00851FA1">
      <w:pPr>
        <w:jc w:val="both"/>
        <w:rPr>
          <w:rFonts w:ascii="Arial" w:hAnsi="Arial" w:cs="Arial"/>
          <w:color w:val="000000"/>
          <w:sz w:val="20"/>
        </w:rPr>
      </w:pPr>
    </w:p>
    <w:p w14:paraId="14FB7350" w14:textId="6193943E" w:rsidR="00FC2445" w:rsidRPr="00D3037B" w:rsidRDefault="00A50E43" w:rsidP="008D785F">
      <w:pPr>
        <w:jc w:val="both"/>
        <w:rPr>
          <w:rFonts w:ascii="Arial" w:hAnsi="Arial" w:cs="Arial"/>
          <w:sz w:val="20"/>
          <w:szCs w:val="20"/>
        </w:rPr>
      </w:pPr>
      <w:r w:rsidRPr="008D785F">
        <w:rPr>
          <w:rFonts w:ascii="Arial" w:hAnsi="Arial" w:cs="Arial"/>
          <w:b/>
          <w:bCs/>
          <w:color w:val="FFFFFF" w:themeColor="background1"/>
          <w:sz w:val="20"/>
          <w:szCs w:val="20"/>
          <w:u w:val="single"/>
          <w:shd w:val="clear" w:color="auto" w:fill="000000" w:themeFill="text1"/>
        </w:rPr>
        <w:t>Variation</w:t>
      </w:r>
      <w:r w:rsidRPr="00A50E43">
        <w:rPr>
          <w:rFonts w:ascii="Arial" w:hAnsi="Arial" w:cs="Arial"/>
          <w:b/>
          <w:bCs/>
          <w:color w:val="000000"/>
          <w:sz w:val="20"/>
          <w:szCs w:val="20"/>
        </w:rPr>
        <w:t xml:space="preserve">:  </w:t>
      </w:r>
      <w:r w:rsidRPr="00A50E43">
        <w:rPr>
          <w:rFonts w:ascii="Arial" w:hAnsi="Arial" w:cs="Arial"/>
          <w:sz w:val="20"/>
          <w:szCs w:val="20"/>
        </w:rPr>
        <w:t xml:space="preserve">An APO or a SP may apply to the </w:t>
      </w:r>
      <w:r w:rsidR="00433B20">
        <w:rPr>
          <w:rFonts w:ascii="Arial" w:hAnsi="Arial" w:cs="Arial"/>
          <w:sz w:val="20"/>
          <w:szCs w:val="20"/>
        </w:rPr>
        <w:t>c</w:t>
      </w:r>
      <w:r w:rsidRPr="00A50E43">
        <w:rPr>
          <w:rFonts w:ascii="Arial" w:hAnsi="Arial" w:cs="Arial"/>
          <w:sz w:val="20"/>
          <w:szCs w:val="20"/>
        </w:rPr>
        <w:t xml:space="preserve">ourt </w:t>
      </w:r>
      <w:r>
        <w:rPr>
          <w:rFonts w:ascii="Arial" w:hAnsi="Arial" w:cs="Arial"/>
          <w:sz w:val="20"/>
          <w:szCs w:val="20"/>
        </w:rPr>
        <w:t xml:space="preserve">in writing </w:t>
      </w:r>
      <w:r w:rsidR="003F3B7C">
        <w:rPr>
          <w:rFonts w:ascii="Arial" w:hAnsi="Arial" w:cs="Arial"/>
          <w:sz w:val="20"/>
          <w:szCs w:val="20"/>
        </w:rPr>
        <w:t xml:space="preserve">in Form 2 </w:t>
      </w:r>
      <w:r w:rsidRPr="00A50E43">
        <w:rPr>
          <w:rFonts w:ascii="Arial" w:hAnsi="Arial" w:cs="Arial"/>
          <w:sz w:val="20"/>
          <w:szCs w:val="20"/>
        </w:rPr>
        <w:t xml:space="preserve">for a variation of an </w:t>
      </w:r>
      <w:r w:rsidRPr="00D3037B">
        <w:rPr>
          <w:rFonts w:ascii="Arial" w:hAnsi="Arial" w:cs="Arial"/>
          <w:sz w:val="20"/>
          <w:szCs w:val="20"/>
        </w:rPr>
        <w:t xml:space="preserve">SEO or the attached SEP, supported by an affidavit </w:t>
      </w:r>
      <w:r w:rsidR="00D3037B" w:rsidRPr="00D3037B">
        <w:rPr>
          <w:rFonts w:ascii="Arial" w:hAnsi="Arial" w:cs="Arial"/>
          <w:bCs/>
          <w:sz w:val="20"/>
          <w:szCs w:val="20"/>
        </w:rPr>
        <w:t>by the applicant</w:t>
      </w:r>
      <w:r w:rsidR="00D3037B" w:rsidRPr="00D3037B">
        <w:rPr>
          <w:rFonts w:ascii="Arial" w:hAnsi="Arial" w:cs="Arial"/>
          <w:sz w:val="20"/>
          <w:szCs w:val="20"/>
        </w:rPr>
        <w:t xml:space="preserve"> </w:t>
      </w:r>
      <w:r w:rsidR="00D3037B" w:rsidRPr="00D3037B">
        <w:rPr>
          <w:rFonts w:ascii="Arial" w:hAnsi="Arial" w:cs="Arial"/>
          <w:bCs/>
          <w:sz w:val="20"/>
          <w:szCs w:val="20"/>
        </w:rPr>
        <w:t xml:space="preserve">that sets out </w:t>
      </w:r>
      <w:r w:rsidRPr="00D3037B">
        <w:rPr>
          <w:rFonts w:ascii="Arial" w:hAnsi="Arial" w:cs="Arial"/>
          <w:sz w:val="20"/>
          <w:szCs w:val="20"/>
        </w:rPr>
        <w:t xml:space="preserve">the grounds </w:t>
      </w:r>
      <w:r w:rsidR="00D3037B" w:rsidRPr="00D3037B">
        <w:rPr>
          <w:rFonts w:ascii="Arial" w:hAnsi="Arial" w:cs="Arial"/>
          <w:sz w:val="20"/>
          <w:szCs w:val="20"/>
        </w:rPr>
        <w:t>for the variation sought</w:t>
      </w:r>
      <w:r w:rsidRPr="00D3037B">
        <w:rPr>
          <w:rFonts w:ascii="Arial" w:hAnsi="Arial" w:cs="Arial"/>
          <w:sz w:val="20"/>
          <w:szCs w:val="20"/>
        </w:rPr>
        <w:t xml:space="preserve"> </w:t>
      </w:r>
      <w:r w:rsidR="00D3037B">
        <w:rPr>
          <w:rFonts w:ascii="Arial" w:hAnsi="Arial" w:cs="Arial"/>
          <w:sz w:val="20"/>
          <w:szCs w:val="20"/>
        </w:rPr>
        <w:t xml:space="preserve">and includes the prescribed information </w:t>
      </w:r>
      <w:r w:rsidRPr="00D3037B">
        <w:rPr>
          <w:rFonts w:ascii="Arial" w:hAnsi="Arial" w:cs="Arial"/>
          <w:sz w:val="20"/>
          <w:szCs w:val="20"/>
        </w:rPr>
        <w:t>[ss.</w:t>
      </w:r>
      <w:r w:rsidRPr="00D3037B">
        <w:rPr>
          <w:rFonts w:ascii="Arial" w:hAnsi="Arial" w:cs="Arial"/>
          <w:b/>
          <w:bCs/>
          <w:sz w:val="20"/>
          <w:szCs w:val="20"/>
        </w:rPr>
        <w:t>22DA</w:t>
      </w:r>
      <w:r w:rsidRPr="00D3037B">
        <w:rPr>
          <w:rFonts w:ascii="Arial" w:hAnsi="Arial" w:cs="Arial"/>
          <w:sz w:val="20"/>
          <w:szCs w:val="20"/>
        </w:rPr>
        <w:t xml:space="preserve"> &amp; </w:t>
      </w:r>
      <w:r w:rsidRPr="00D3037B">
        <w:rPr>
          <w:rFonts w:ascii="Arial" w:hAnsi="Arial" w:cs="Arial"/>
          <w:b/>
          <w:bCs/>
          <w:sz w:val="20"/>
          <w:szCs w:val="20"/>
        </w:rPr>
        <w:t>22DB</w:t>
      </w:r>
      <w:r w:rsidRPr="00D3037B">
        <w:rPr>
          <w:rFonts w:ascii="Arial" w:hAnsi="Arial" w:cs="Arial"/>
          <w:sz w:val="20"/>
          <w:szCs w:val="20"/>
        </w:rPr>
        <w:t>].</w:t>
      </w:r>
    </w:p>
    <w:p w14:paraId="0FD6A55B" w14:textId="77777777" w:rsidR="00FC2445" w:rsidRDefault="00FC2445" w:rsidP="008D785F">
      <w:pPr>
        <w:jc w:val="both"/>
        <w:rPr>
          <w:rFonts w:ascii="Arial" w:hAnsi="Arial" w:cs="Arial"/>
          <w:sz w:val="20"/>
          <w:szCs w:val="20"/>
        </w:rPr>
      </w:pPr>
    </w:p>
    <w:p w14:paraId="5B0868CB" w14:textId="00C4900B" w:rsidR="000F5D4E" w:rsidRDefault="000F5D4E" w:rsidP="008D785F">
      <w:pPr>
        <w:jc w:val="both"/>
        <w:rPr>
          <w:rFonts w:ascii="Arial" w:hAnsi="Arial" w:cs="Arial"/>
          <w:color w:val="000000"/>
          <w:sz w:val="20"/>
          <w:szCs w:val="20"/>
        </w:rPr>
      </w:pPr>
      <w:r>
        <w:rPr>
          <w:rFonts w:ascii="Arial" w:hAnsi="Arial" w:cs="Arial"/>
          <w:sz w:val="20"/>
          <w:szCs w:val="20"/>
        </w:rPr>
        <w:t>In relation to an SEO originally made in the Children’s Court, t</w:t>
      </w:r>
      <w:r w:rsidR="008D785F" w:rsidRPr="008D785F">
        <w:rPr>
          <w:rFonts w:ascii="Arial" w:hAnsi="Arial" w:cs="Arial"/>
          <w:sz w:val="20"/>
          <w:szCs w:val="20"/>
        </w:rPr>
        <w:t xml:space="preserve">his documentation </w:t>
      </w:r>
      <w:r w:rsidR="008D785F" w:rsidRPr="008D785F">
        <w:rPr>
          <w:rFonts w:ascii="Arial" w:hAnsi="Arial" w:cs="Arial"/>
          <w:bCs/>
          <w:sz w:val="20"/>
          <w:szCs w:val="20"/>
        </w:rPr>
        <w:t xml:space="preserve">must be electronically filed with the Melbourne Children’s Court registry: see </w:t>
      </w:r>
      <w:r w:rsidR="008D785F" w:rsidRPr="008D785F">
        <w:rPr>
          <w:rFonts w:ascii="Arial" w:hAnsi="Arial" w:cs="Arial"/>
          <w:color w:val="000000"/>
          <w:sz w:val="20"/>
          <w:szCs w:val="20"/>
        </w:rPr>
        <w:t>paragraph 57 of Practice Direction No.2 of 2022 dated 02/09/2022.</w:t>
      </w:r>
    </w:p>
    <w:p w14:paraId="2C6F85AF" w14:textId="77777777" w:rsidR="000F5D4E" w:rsidRDefault="000F5D4E" w:rsidP="008D785F">
      <w:pPr>
        <w:jc w:val="both"/>
        <w:rPr>
          <w:rFonts w:ascii="Arial" w:hAnsi="Arial" w:cs="Arial"/>
          <w:color w:val="000000"/>
          <w:sz w:val="20"/>
          <w:szCs w:val="20"/>
        </w:rPr>
      </w:pPr>
    </w:p>
    <w:p w14:paraId="36A7DE60" w14:textId="3B054DE9" w:rsidR="008D785F" w:rsidRDefault="008D785F" w:rsidP="008D785F">
      <w:pPr>
        <w:jc w:val="both"/>
        <w:rPr>
          <w:rFonts w:ascii="Arial" w:hAnsi="Arial" w:cs="Arial"/>
          <w:sz w:val="20"/>
          <w:szCs w:val="20"/>
        </w:rPr>
      </w:pPr>
      <w:r w:rsidRPr="008D785F">
        <w:rPr>
          <w:rFonts w:ascii="Arial" w:hAnsi="Arial" w:cs="Arial"/>
          <w:color w:val="000000"/>
          <w:sz w:val="20"/>
          <w:szCs w:val="20"/>
        </w:rPr>
        <w:t>Under s.</w:t>
      </w:r>
      <w:r w:rsidRPr="008D785F">
        <w:rPr>
          <w:rFonts w:ascii="Arial" w:hAnsi="Arial" w:cs="Arial"/>
          <w:b/>
          <w:bCs/>
          <w:color w:val="000000"/>
          <w:sz w:val="20"/>
          <w:szCs w:val="20"/>
        </w:rPr>
        <w:t>22DE</w:t>
      </w:r>
      <w:r w:rsidRPr="008D785F">
        <w:rPr>
          <w:rFonts w:ascii="Arial" w:hAnsi="Arial" w:cs="Arial"/>
          <w:color w:val="000000"/>
          <w:sz w:val="20"/>
          <w:szCs w:val="20"/>
        </w:rPr>
        <w:t xml:space="preserve"> </w:t>
      </w:r>
      <w:r w:rsidRPr="008D785F">
        <w:rPr>
          <w:rFonts w:ascii="Arial" w:hAnsi="Arial" w:cs="Arial"/>
          <w:sz w:val="20"/>
          <w:szCs w:val="20"/>
        </w:rPr>
        <w:t xml:space="preserve">the </w:t>
      </w:r>
      <w:r w:rsidR="00433B20">
        <w:rPr>
          <w:rFonts w:ascii="Arial" w:hAnsi="Arial" w:cs="Arial"/>
          <w:sz w:val="20"/>
          <w:szCs w:val="20"/>
        </w:rPr>
        <w:t>c</w:t>
      </w:r>
      <w:r w:rsidRPr="008D785F">
        <w:rPr>
          <w:rFonts w:ascii="Arial" w:hAnsi="Arial" w:cs="Arial"/>
          <w:sz w:val="20"/>
          <w:szCs w:val="20"/>
        </w:rPr>
        <w:t>ourt</w:t>
      </w:r>
      <w:r w:rsidR="00013698">
        <w:rPr>
          <w:rFonts w:cs="Arial"/>
          <w:bCs/>
          <w:color w:val="000000" w:themeColor="text1"/>
          <w:sz w:val="20"/>
          <w:szCs w:val="20"/>
        </w:rPr>
        <w:t>–</w:t>
      </w:r>
    </w:p>
    <w:p w14:paraId="58FADC40" w14:textId="77777777" w:rsidR="005B21BB" w:rsidRPr="005B21BB" w:rsidRDefault="008D785F">
      <w:pPr>
        <w:pStyle w:val="ListParagraph"/>
        <w:numPr>
          <w:ilvl w:val="0"/>
          <w:numId w:val="56"/>
        </w:numPr>
        <w:ind w:left="357" w:hanging="357"/>
        <w:jc w:val="both"/>
        <w:rPr>
          <w:rFonts w:ascii="Arial" w:hAnsi="Arial" w:cs="Arial"/>
          <w:color w:val="000000"/>
          <w:sz w:val="20"/>
        </w:rPr>
      </w:pPr>
      <w:r w:rsidRPr="008D785F">
        <w:rPr>
          <w:rFonts w:ascii="Arial" w:hAnsi="Arial" w:cs="Arial"/>
          <w:sz w:val="20"/>
        </w:rPr>
        <w:t>may vary the SEO or the SEP if satisfied it is an appropriate way to achieve a therapeutic purpose for the SP</w:t>
      </w:r>
      <w:r w:rsidR="005B21BB">
        <w:rPr>
          <w:rFonts w:ascii="Arial" w:hAnsi="Arial" w:cs="Arial"/>
          <w:sz w:val="20"/>
        </w:rPr>
        <w:t>; and/or</w:t>
      </w:r>
    </w:p>
    <w:p w14:paraId="7551DEE1" w14:textId="4735087A" w:rsidR="008D785F" w:rsidRPr="005B21BB" w:rsidRDefault="005B21BB">
      <w:pPr>
        <w:pStyle w:val="ListParagraph"/>
        <w:numPr>
          <w:ilvl w:val="0"/>
          <w:numId w:val="56"/>
        </w:numPr>
        <w:ind w:left="357" w:hanging="357"/>
        <w:jc w:val="both"/>
        <w:rPr>
          <w:rFonts w:ascii="Arial" w:hAnsi="Arial" w:cs="Arial"/>
          <w:color w:val="000000"/>
          <w:sz w:val="20"/>
        </w:rPr>
      </w:pPr>
      <w:r w:rsidRPr="005B21BB">
        <w:rPr>
          <w:rFonts w:ascii="Arial" w:hAnsi="Arial" w:cs="Arial"/>
          <w:sz w:val="20"/>
        </w:rPr>
        <w:t>may vary one or more conditions under</w:t>
      </w:r>
      <w:r>
        <w:rPr>
          <w:rFonts w:ascii="Arial" w:hAnsi="Arial" w:cs="Arial"/>
          <w:sz w:val="20"/>
        </w:rPr>
        <w:t xml:space="preserve"> s.</w:t>
      </w:r>
      <w:r w:rsidRPr="005B21BB">
        <w:rPr>
          <w:rFonts w:ascii="Arial" w:hAnsi="Arial" w:cs="Arial"/>
          <w:b/>
          <w:bCs/>
          <w:sz w:val="20"/>
        </w:rPr>
        <w:t>22CR</w:t>
      </w:r>
      <w:r w:rsidRPr="005B21BB">
        <w:rPr>
          <w:rFonts w:ascii="Arial" w:hAnsi="Arial" w:cs="Arial"/>
          <w:sz w:val="20"/>
        </w:rPr>
        <w:t xml:space="preserve"> provided the </w:t>
      </w:r>
      <w:r w:rsidR="00433B20">
        <w:rPr>
          <w:rFonts w:ascii="Arial" w:hAnsi="Arial" w:cs="Arial"/>
          <w:sz w:val="20"/>
        </w:rPr>
        <w:t>c</w:t>
      </w:r>
      <w:r w:rsidRPr="005B21BB">
        <w:rPr>
          <w:rFonts w:ascii="Arial" w:hAnsi="Arial" w:cs="Arial"/>
          <w:sz w:val="20"/>
        </w:rPr>
        <w:t>ourt considers that it would be appropriate to achieve a therapeutic purpose, and that the condition as varied would be no more restrictive than is necessary to achieve that purpose</w:t>
      </w:r>
      <w:r w:rsidR="000F5D4E">
        <w:rPr>
          <w:rFonts w:ascii="Arial" w:hAnsi="Arial" w:cs="Arial"/>
          <w:sz w:val="20"/>
        </w:rPr>
        <w:t>.</w:t>
      </w:r>
    </w:p>
    <w:p w14:paraId="70FA43A3" w14:textId="77777777" w:rsidR="00A50E43" w:rsidRDefault="00A50E43" w:rsidP="00851FA1">
      <w:pPr>
        <w:jc w:val="both"/>
        <w:rPr>
          <w:rFonts w:ascii="Arial" w:hAnsi="Arial" w:cs="Arial"/>
          <w:color w:val="000000"/>
          <w:sz w:val="20"/>
        </w:rPr>
      </w:pPr>
    </w:p>
    <w:p w14:paraId="5DA43D64" w14:textId="1BD15A61" w:rsidR="00FC2445" w:rsidRDefault="005B21BB" w:rsidP="000F5D4E">
      <w:pPr>
        <w:jc w:val="both"/>
        <w:rPr>
          <w:rFonts w:ascii="Arial" w:hAnsi="Arial" w:cs="Arial"/>
          <w:sz w:val="20"/>
          <w:szCs w:val="20"/>
        </w:rPr>
      </w:pPr>
      <w:r>
        <w:rPr>
          <w:rFonts w:ascii="Arial" w:hAnsi="Arial" w:cs="Arial"/>
          <w:b/>
          <w:bCs/>
          <w:color w:val="FFFFFF" w:themeColor="background1"/>
          <w:sz w:val="20"/>
          <w:szCs w:val="20"/>
          <w:u w:val="single"/>
          <w:shd w:val="clear" w:color="auto" w:fill="000000" w:themeFill="text1"/>
        </w:rPr>
        <w:t>Revoc</w:t>
      </w:r>
      <w:r w:rsidRPr="008D785F">
        <w:rPr>
          <w:rFonts w:ascii="Arial" w:hAnsi="Arial" w:cs="Arial"/>
          <w:b/>
          <w:bCs/>
          <w:color w:val="FFFFFF" w:themeColor="background1"/>
          <w:sz w:val="20"/>
          <w:szCs w:val="20"/>
          <w:u w:val="single"/>
          <w:shd w:val="clear" w:color="auto" w:fill="000000" w:themeFill="text1"/>
        </w:rPr>
        <w:t>ation</w:t>
      </w:r>
      <w:r w:rsidRPr="00A50E43">
        <w:rPr>
          <w:rFonts w:ascii="Arial" w:hAnsi="Arial" w:cs="Arial"/>
          <w:b/>
          <w:bCs/>
          <w:color w:val="000000"/>
          <w:sz w:val="20"/>
          <w:szCs w:val="20"/>
        </w:rPr>
        <w:t xml:space="preserve">:  </w:t>
      </w:r>
      <w:r w:rsidRPr="00A50E43">
        <w:rPr>
          <w:rFonts w:ascii="Arial" w:hAnsi="Arial" w:cs="Arial"/>
          <w:sz w:val="20"/>
          <w:szCs w:val="20"/>
        </w:rPr>
        <w:t xml:space="preserve">An APO or a SP may apply to the </w:t>
      </w:r>
      <w:r w:rsidR="00433B20">
        <w:rPr>
          <w:rFonts w:ascii="Arial" w:hAnsi="Arial" w:cs="Arial"/>
          <w:sz w:val="20"/>
          <w:szCs w:val="20"/>
        </w:rPr>
        <w:t>c</w:t>
      </w:r>
      <w:r w:rsidRPr="00A50E43">
        <w:rPr>
          <w:rFonts w:ascii="Arial" w:hAnsi="Arial" w:cs="Arial"/>
          <w:sz w:val="20"/>
          <w:szCs w:val="20"/>
        </w:rPr>
        <w:t xml:space="preserve">ourt </w:t>
      </w:r>
      <w:r>
        <w:rPr>
          <w:rFonts w:ascii="Arial" w:hAnsi="Arial" w:cs="Arial"/>
          <w:sz w:val="20"/>
          <w:szCs w:val="20"/>
        </w:rPr>
        <w:t xml:space="preserve">in writing </w:t>
      </w:r>
      <w:r w:rsidR="003F3B7C">
        <w:rPr>
          <w:rFonts w:ascii="Arial" w:hAnsi="Arial" w:cs="Arial"/>
          <w:sz w:val="20"/>
          <w:szCs w:val="20"/>
        </w:rPr>
        <w:t xml:space="preserve">in Form 2 </w:t>
      </w:r>
      <w:r w:rsidRPr="00A50E43">
        <w:rPr>
          <w:rFonts w:ascii="Arial" w:hAnsi="Arial" w:cs="Arial"/>
          <w:sz w:val="20"/>
          <w:szCs w:val="20"/>
        </w:rPr>
        <w:t xml:space="preserve">for a </w:t>
      </w:r>
      <w:r w:rsidR="000F5D4E">
        <w:rPr>
          <w:rFonts w:ascii="Arial" w:hAnsi="Arial" w:cs="Arial"/>
          <w:sz w:val="20"/>
          <w:szCs w:val="20"/>
        </w:rPr>
        <w:t>revoc</w:t>
      </w:r>
      <w:r w:rsidRPr="00A50E43">
        <w:rPr>
          <w:rFonts w:ascii="Arial" w:hAnsi="Arial" w:cs="Arial"/>
          <w:sz w:val="20"/>
          <w:szCs w:val="20"/>
        </w:rPr>
        <w:t>ation of an SEO</w:t>
      </w:r>
      <w:r w:rsidR="000F5D4E">
        <w:rPr>
          <w:rFonts w:ascii="Arial" w:hAnsi="Arial" w:cs="Arial"/>
          <w:sz w:val="20"/>
          <w:szCs w:val="20"/>
        </w:rPr>
        <w:t xml:space="preserve">, </w:t>
      </w:r>
      <w:r w:rsidR="000F5D4E" w:rsidRPr="008D785F">
        <w:rPr>
          <w:rFonts w:ascii="Arial" w:hAnsi="Arial" w:cs="Arial"/>
          <w:sz w:val="20"/>
          <w:szCs w:val="20"/>
        </w:rPr>
        <w:t>supported by an affidavit</w:t>
      </w:r>
      <w:r w:rsidR="00D3037B">
        <w:rPr>
          <w:rFonts w:ascii="Arial" w:hAnsi="Arial" w:cs="Arial"/>
          <w:sz w:val="20"/>
          <w:szCs w:val="20"/>
        </w:rPr>
        <w:t xml:space="preserve"> </w:t>
      </w:r>
      <w:r w:rsidR="00D3037B" w:rsidRPr="00D3037B">
        <w:rPr>
          <w:rFonts w:ascii="Arial" w:hAnsi="Arial" w:cs="Arial"/>
          <w:bCs/>
          <w:sz w:val="20"/>
          <w:szCs w:val="20"/>
        </w:rPr>
        <w:t>by the applicant</w:t>
      </w:r>
      <w:r w:rsidR="00D3037B" w:rsidRPr="00D3037B">
        <w:rPr>
          <w:rFonts w:ascii="Arial" w:hAnsi="Arial" w:cs="Arial"/>
          <w:sz w:val="20"/>
          <w:szCs w:val="20"/>
        </w:rPr>
        <w:t xml:space="preserve"> </w:t>
      </w:r>
      <w:r w:rsidR="00D3037B" w:rsidRPr="00D3037B">
        <w:rPr>
          <w:rFonts w:ascii="Arial" w:hAnsi="Arial" w:cs="Arial"/>
          <w:bCs/>
          <w:sz w:val="20"/>
          <w:szCs w:val="20"/>
        </w:rPr>
        <w:t xml:space="preserve">that sets out </w:t>
      </w:r>
      <w:r w:rsidR="00D3037B" w:rsidRPr="00D3037B">
        <w:rPr>
          <w:rFonts w:ascii="Arial" w:hAnsi="Arial" w:cs="Arial"/>
          <w:sz w:val="20"/>
          <w:szCs w:val="20"/>
        </w:rPr>
        <w:t xml:space="preserve">the grounds for the </w:t>
      </w:r>
      <w:r w:rsidR="00D3037B">
        <w:rPr>
          <w:rFonts w:ascii="Arial" w:hAnsi="Arial" w:cs="Arial"/>
          <w:sz w:val="20"/>
          <w:szCs w:val="20"/>
        </w:rPr>
        <w:t>revoc</w:t>
      </w:r>
      <w:r w:rsidR="00D3037B" w:rsidRPr="00D3037B">
        <w:rPr>
          <w:rFonts w:ascii="Arial" w:hAnsi="Arial" w:cs="Arial"/>
          <w:sz w:val="20"/>
          <w:szCs w:val="20"/>
        </w:rPr>
        <w:t xml:space="preserve">ation sought </w:t>
      </w:r>
      <w:r w:rsidR="00D3037B">
        <w:rPr>
          <w:rFonts w:ascii="Arial" w:hAnsi="Arial" w:cs="Arial"/>
          <w:sz w:val="20"/>
          <w:szCs w:val="20"/>
        </w:rPr>
        <w:t>and includes the prescribed information</w:t>
      </w:r>
      <w:r w:rsidR="00D3037B" w:rsidRPr="008D785F">
        <w:rPr>
          <w:rFonts w:ascii="Arial" w:hAnsi="Arial" w:cs="Arial"/>
          <w:sz w:val="20"/>
          <w:szCs w:val="20"/>
        </w:rPr>
        <w:t xml:space="preserve"> </w:t>
      </w:r>
      <w:r w:rsidR="000F5D4E" w:rsidRPr="008D785F">
        <w:rPr>
          <w:rFonts w:ascii="Arial" w:hAnsi="Arial" w:cs="Arial"/>
          <w:sz w:val="20"/>
          <w:szCs w:val="20"/>
        </w:rPr>
        <w:t>[ss.</w:t>
      </w:r>
      <w:r w:rsidR="000F5D4E" w:rsidRPr="008D785F">
        <w:rPr>
          <w:rFonts w:ascii="Arial" w:hAnsi="Arial" w:cs="Arial"/>
          <w:b/>
          <w:bCs/>
          <w:sz w:val="20"/>
          <w:szCs w:val="20"/>
        </w:rPr>
        <w:t>22D</w:t>
      </w:r>
      <w:r w:rsidR="000F5D4E">
        <w:rPr>
          <w:rFonts w:ascii="Arial" w:hAnsi="Arial" w:cs="Arial"/>
          <w:b/>
          <w:bCs/>
          <w:sz w:val="20"/>
          <w:szCs w:val="20"/>
        </w:rPr>
        <w:t>R</w:t>
      </w:r>
      <w:r w:rsidR="000F5D4E" w:rsidRPr="008D785F">
        <w:rPr>
          <w:rFonts w:ascii="Arial" w:hAnsi="Arial" w:cs="Arial"/>
          <w:sz w:val="20"/>
          <w:szCs w:val="20"/>
        </w:rPr>
        <w:t xml:space="preserve"> &amp; </w:t>
      </w:r>
      <w:r w:rsidR="000F5D4E" w:rsidRPr="008D785F">
        <w:rPr>
          <w:rFonts w:ascii="Arial" w:hAnsi="Arial" w:cs="Arial"/>
          <w:b/>
          <w:bCs/>
          <w:sz w:val="20"/>
          <w:szCs w:val="20"/>
        </w:rPr>
        <w:t>22D</w:t>
      </w:r>
      <w:r w:rsidR="000F5D4E">
        <w:rPr>
          <w:rFonts w:ascii="Arial" w:hAnsi="Arial" w:cs="Arial"/>
          <w:b/>
          <w:bCs/>
          <w:sz w:val="20"/>
          <w:szCs w:val="20"/>
        </w:rPr>
        <w:t>S</w:t>
      </w:r>
      <w:r w:rsidR="000F5D4E" w:rsidRPr="008D785F">
        <w:rPr>
          <w:rFonts w:ascii="Arial" w:hAnsi="Arial" w:cs="Arial"/>
          <w:sz w:val="20"/>
          <w:szCs w:val="20"/>
        </w:rPr>
        <w:t>].</w:t>
      </w:r>
    </w:p>
    <w:p w14:paraId="5FAEA312" w14:textId="77777777" w:rsidR="00FC2445" w:rsidRPr="00765B70" w:rsidRDefault="00FC2445" w:rsidP="000F5D4E">
      <w:pPr>
        <w:jc w:val="both"/>
        <w:rPr>
          <w:rFonts w:ascii="Arial" w:hAnsi="Arial" w:cs="Arial"/>
          <w:sz w:val="16"/>
          <w:szCs w:val="16"/>
        </w:rPr>
      </w:pPr>
    </w:p>
    <w:p w14:paraId="52CB45A7" w14:textId="09F0385B" w:rsidR="000F5D4E" w:rsidRDefault="000F5D4E" w:rsidP="000F5D4E">
      <w:pPr>
        <w:jc w:val="both"/>
        <w:rPr>
          <w:rFonts w:ascii="Arial" w:hAnsi="Arial" w:cs="Arial"/>
          <w:color w:val="000000"/>
          <w:sz w:val="20"/>
          <w:szCs w:val="20"/>
        </w:rPr>
      </w:pPr>
      <w:r>
        <w:rPr>
          <w:rFonts w:ascii="Arial" w:hAnsi="Arial" w:cs="Arial"/>
          <w:sz w:val="20"/>
          <w:szCs w:val="20"/>
        </w:rPr>
        <w:lastRenderedPageBreak/>
        <w:t>In relation to an SEO originally made in the Children’s Court, t</w:t>
      </w:r>
      <w:r w:rsidRPr="008D785F">
        <w:rPr>
          <w:rFonts w:ascii="Arial" w:hAnsi="Arial" w:cs="Arial"/>
          <w:sz w:val="20"/>
          <w:szCs w:val="20"/>
        </w:rPr>
        <w:t xml:space="preserve">his documentation </w:t>
      </w:r>
      <w:r w:rsidRPr="008D785F">
        <w:rPr>
          <w:rFonts w:ascii="Arial" w:hAnsi="Arial" w:cs="Arial"/>
          <w:bCs/>
          <w:sz w:val="20"/>
          <w:szCs w:val="20"/>
        </w:rPr>
        <w:t xml:space="preserve">must be electronically filed with the Melbourne Children’s Court registry: see </w:t>
      </w:r>
      <w:r w:rsidRPr="008D785F">
        <w:rPr>
          <w:rFonts w:ascii="Arial" w:hAnsi="Arial" w:cs="Arial"/>
          <w:color w:val="000000"/>
          <w:sz w:val="20"/>
          <w:szCs w:val="20"/>
        </w:rPr>
        <w:t>paragraph 57 of Practice Direction No.2 of 2022 dated 02/09/2022.</w:t>
      </w:r>
    </w:p>
    <w:p w14:paraId="248D66D5" w14:textId="77777777" w:rsidR="000F5D4E" w:rsidRPr="00765B70" w:rsidRDefault="000F5D4E" w:rsidP="000F5D4E">
      <w:pPr>
        <w:jc w:val="both"/>
        <w:rPr>
          <w:rFonts w:ascii="Arial" w:hAnsi="Arial" w:cs="Arial"/>
          <w:color w:val="000000"/>
          <w:sz w:val="16"/>
          <w:szCs w:val="16"/>
        </w:rPr>
      </w:pPr>
    </w:p>
    <w:p w14:paraId="36068C8A" w14:textId="6D03CDE8" w:rsidR="000F5D4E" w:rsidRDefault="000F5D4E" w:rsidP="000F5D4E">
      <w:pPr>
        <w:jc w:val="both"/>
        <w:rPr>
          <w:rFonts w:ascii="Arial" w:hAnsi="Arial" w:cs="Arial"/>
          <w:sz w:val="20"/>
          <w:szCs w:val="20"/>
        </w:rPr>
      </w:pPr>
      <w:r w:rsidRPr="008D785F">
        <w:rPr>
          <w:rFonts w:ascii="Arial" w:hAnsi="Arial" w:cs="Arial"/>
          <w:color w:val="000000"/>
          <w:sz w:val="20"/>
          <w:szCs w:val="20"/>
        </w:rPr>
        <w:t>Under s.</w:t>
      </w:r>
      <w:r w:rsidRPr="008D785F">
        <w:rPr>
          <w:rFonts w:ascii="Arial" w:hAnsi="Arial" w:cs="Arial"/>
          <w:b/>
          <w:bCs/>
          <w:color w:val="000000"/>
          <w:sz w:val="20"/>
          <w:szCs w:val="20"/>
        </w:rPr>
        <w:t>22D</w:t>
      </w:r>
      <w:r>
        <w:rPr>
          <w:rFonts w:ascii="Arial" w:hAnsi="Arial" w:cs="Arial"/>
          <w:b/>
          <w:bCs/>
          <w:color w:val="000000"/>
          <w:sz w:val="20"/>
          <w:szCs w:val="20"/>
        </w:rPr>
        <w:t>V</w:t>
      </w:r>
      <w:r w:rsidRPr="008D785F">
        <w:rPr>
          <w:rFonts w:ascii="Arial" w:hAnsi="Arial" w:cs="Arial"/>
          <w:color w:val="000000"/>
          <w:sz w:val="20"/>
          <w:szCs w:val="20"/>
        </w:rPr>
        <w:t xml:space="preserve"> </w:t>
      </w:r>
      <w:r w:rsidRPr="008D785F">
        <w:rPr>
          <w:rFonts w:ascii="Arial" w:hAnsi="Arial" w:cs="Arial"/>
          <w:sz w:val="20"/>
          <w:szCs w:val="20"/>
        </w:rPr>
        <w:t xml:space="preserve">the </w:t>
      </w:r>
      <w:r w:rsidR="00433B20">
        <w:rPr>
          <w:rFonts w:ascii="Arial" w:hAnsi="Arial" w:cs="Arial"/>
          <w:sz w:val="20"/>
          <w:szCs w:val="20"/>
        </w:rPr>
        <w:t>c</w:t>
      </w:r>
      <w:r w:rsidRPr="008D785F">
        <w:rPr>
          <w:rFonts w:ascii="Arial" w:hAnsi="Arial" w:cs="Arial"/>
          <w:sz w:val="20"/>
          <w:szCs w:val="20"/>
        </w:rPr>
        <w:t>ourt</w:t>
      </w:r>
      <w:r>
        <w:rPr>
          <w:rFonts w:ascii="Arial" w:hAnsi="Arial" w:cs="Arial"/>
          <w:sz w:val="20"/>
          <w:szCs w:val="20"/>
        </w:rPr>
        <w:t xml:space="preserve"> must revoke the SEO if both the applicant and</w:t>
      </w:r>
      <w:r w:rsidR="00013698">
        <w:rPr>
          <w:rFonts w:cs="Arial"/>
          <w:bCs/>
          <w:color w:val="000000" w:themeColor="text1"/>
          <w:sz w:val="20"/>
          <w:szCs w:val="20"/>
        </w:rPr>
        <w:t>–</w:t>
      </w:r>
    </w:p>
    <w:p w14:paraId="42D380FA" w14:textId="70276245" w:rsidR="000F5D4E" w:rsidRDefault="000F5D4E">
      <w:pPr>
        <w:pStyle w:val="HeadingTwo"/>
        <w:numPr>
          <w:ilvl w:val="0"/>
          <w:numId w:val="64"/>
        </w:numPr>
        <w:spacing w:after="0"/>
        <w:ind w:left="357" w:hanging="357"/>
        <w:jc w:val="both"/>
        <w:rPr>
          <w:rFonts w:cs="Arial"/>
          <w:bCs/>
          <w:color w:val="auto"/>
          <w:sz w:val="20"/>
          <w:szCs w:val="20"/>
        </w:rPr>
      </w:pPr>
      <w:r>
        <w:rPr>
          <w:rFonts w:cs="Arial"/>
          <w:bCs/>
          <w:color w:val="auto"/>
          <w:sz w:val="20"/>
          <w:szCs w:val="20"/>
        </w:rPr>
        <w:t>if the applicant is an APO, the SP; or</w:t>
      </w:r>
    </w:p>
    <w:p w14:paraId="31F1EE33" w14:textId="1010F0BA" w:rsidR="000F5D4E" w:rsidRPr="004E4FE6" w:rsidRDefault="000F5D4E">
      <w:pPr>
        <w:pStyle w:val="HeadingTwo"/>
        <w:numPr>
          <w:ilvl w:val="0"/>
          <w:numId w:val="64"/>
        </w:numPr>
        <w:spacing w:after="0"/>
        <w:ind w:left="357" w:hanging="357"/>
        <w:jc w:val="both"/>
        <w:rPr>
          <w:rFonts w:cs="Arial"/>
          <w:bCs/>
          <w:color w:val="auto"/>
          <w:sz w:val="20"/>
          <w:szCs w:val="20"/>
        </w:rPr>
      </w:pPr>
      <w:r>
        <w:rPr>
          <w:rFonts w:cs="Arial"/>
          <w:bCs/>
          <w:color w:val="auto"/>
          <w:sz w:val="20"/>
          <w:szCs w:val="20"/>
        </w:rPr>
        <w:t>if the applicant is the SP, the Chief Commissioner of Police-</w:t>
      </w:r>
    </w:p>
    <w:p w14:paraId="0F42AB4F" w14:textId="0E9B1391" w:rsidR="00851FA1" w:rsidRDefault="000F5D4E" w:rsidP="002E62A4">
      <w:pPr>
        <w:jc w:val="both"/>
        <w:rPr>
          <w:rFonts w:ascii="Arial" w:hAnsi="Arial" w:cs="Arial"/>
          <w:sz w:val="20"/>
          <w:szCs w:val="20"/>
        </w:rPr>
      </w:pPr>
      <w:r>
        <w:rPr>
          <w:rFonts w:ascii="Arial" w:hAnsi="Arial" w:cs="Arial"/>
          <w:sz w:val="20"/>
          <w:szCs w:val="20"/>
        </w:rPr>
        <w:t xml:space="preserve">agree that the </w:t>
      </w:r>
      <w:r w:rsidR="00FC2445">
        <w:rPr>
          <w:rFonts w:ascii="Arial" w:hAnsi="Arial" w:cs="Arial"/>
          <w:sz w:val="20"/>
          <w:szCs w:val="20"/>
        </w:rPr>
        <w:t xml:space="preserve">SEO should be revoked.  If there is no such agreement the </w:t>
      </w:r>
      <w:r w:rsidR="00433B20">
        <w:rPr>
          <w:rFonts w:ascii="Arial" w:hAnsi="Arial" w:cs="Arial"/>
          <w:sz w:val="20"/>
          <w:szCs w:val="20"/>
        </w:rPr>
        <w:t>c</w:t>
      </w:r>
      <w:r w:rsidR="00FC2445">
        <w:rPr>
          <w:rFonts w:ascii="Arial" w:hAnsi="Arial" w:cs="Arial"/>
          <w:sz w:val="20"/>
          <w:szCs w:val="20"/>
        </w:rPr>
        <w:t xml:space="preserve">ourt may revoke the SPO if the </w:t>
      </w:r>
      <w:r w:rsidR="00433B20">
        <w:rPr>
          <w:rFonts w:ascii="Arial" w:hAnsi="Arial" w:cs="Arial"/>
          <w:sz w:val="20"/>
          <w:szCs w:val="20"/>
        </w:rPr>
        <w:t>c</w:t>
      </w:r>
      <w:r w:rsidR="00FC2445">
        <w:rPr>
          <w:rFonts w:ascii="Arial" w:hAnsi="Arial" w:cs="Arial"/>
          <w:sz w:val="20"/>
          <w:szCs w:val="20"/>
        </w:rPr>
        <w:t>ourt-</w:t>
      </w:r>
    </w:p>
    <w:p w14:paraId="466F8981" w14:textId="1E192681" w:rsidR="00FC2445" w:rsidRPr="00851FA1" w:rsidRDefault="00FC2445">
      <w:pPr>
        <w:pStyle w:val="ListParagraph"/>
        <w:numPr>
          <w:ilvl w:val="0"/>
          <w:numId w:val="56"/>
        </w:numPr>
        <w:ind w:left="357" w:hanging="357"/>
        <w:jc w:val="both"/>
        <w:rPr>
          <w:rFonts w:ascii="Arial" w:hAnsi="Arial" w:cs="Arial"/>
          <w:color w:val="000000"/>
          <w:sz w:val="20"/>
        </w:rPr>
      </w:pPr>
      <w:r w:rsidRPr="00851FA1">
        <w:rPr>
          <w:rFonts w:ascii="Arial" w:hAnsi="Arial" w:cs="Arial"/>
          <w:bCs/>
          <w:sz w:val="20"/>
        </w:rPr>
        <w:t>finds, in accordance with s.</w:t>
      </w:r>
      <w:r w:rsidRPr="00851FA1">
        <w:rPr>
          <w:rFonts w:ascii="Arial" w:hAnsi="Arial" w:cs="Arial"/>
          <w:b/>
          <w:sz w:val="20"/>
        </w:rPr>
        <w:t>22CI</w:t>
      </w:r>
      <w:r>
        <w:rPr>
          <w:rFonts w:ascii="Arial" w:hAnsi="Arial" w:cs="Arial"/>
          <w:bCs/>
          <w:sz w:val="20"/>
        </w:rPr>
        <w:t xml:space="preserve">, </w:t>
      </w:r>
      <w:r w:rsidRPr="00851FA1">
        <w:rPr>
          <w:rFonts w:ascii="Arial" w:hAnsi="Arial" w:cs="Arial"/>
          <w:bCs/>
          <w:sz w:val="20"/>
        </w:rPr>
        <w:t>that the SP is no longer radicalising towards violent extremism; or</w:t>
      </w:r>
    </w:p>
    <w:p w14:paraId="3FFAFB1F" w14:textId="22BC6E1E" w:rsidR="00FC2445" w:rsidRPr="00851FA1" w:rsidRDefault="00FC2445">
      <w:pPr>
        <w:pStyle w:val="ListParagraph"/>
        <w:numPr>
          <w:ilvl w:val="0"/>
          <w:numId w:val="56"/>
        </w:numPr>
        <w:ind w:left="357" w:hanging="357"/>
        <w:jc w:val="both"/>
        <w:rPr>
          <w:rFonts w:ascii="Arial" w:hAnsi="Arial" w:cs="Arial"/>
          <w:color w:val="000000"/>
          <w:sz w:val="20"/>
        </w:rPr>
      </w:pPr>
      <w:r w:rsidRPr="00851FA1">
        <w:rPr>
          <w:rFonts w:ascii="Arial" w:hAnsi="Arial" w:cs="Arial"/>
          <w:bCs/>
          <w:sz w:val="20"/>
        </w:rPr>
        <w:t xml:space="preserve">is not satisfied that an SEO remains an appropriate way to </w:t>
      </w:r>
      <w:r w:rsidR="00D45A15">
        <w:rPr>
          <w:rFonts w:ascii="Arial" w:hAnsi="Arial" w:cs="Arial"/>
          <w:bCs/>
          <w:sz w:val="20"/>
        </w:rPr>
        <w:t>a</w:t>
      </w:r>
      <w:r w:rsidRPr="00851FA1">
        <w:rPr>
          <w:rFonts w:ascii="Arial" w:hAnsi="Arial" w:cs="Arial"/>
          <w:bCs/>
          <w:sz w:val="20"/>
        </w:rPr>
        <w:t>chieve a therapeutic purpose for the SP; and</w:t>
      </w:r>
    </w:p>
    <w:p w14:paraId="1A80A543" w14:textId="77777777" w:rsidR="00FC2445" w:rsidRPr="00851FA1" w:rsidRDefault="00FC2445">
      <w:pPr>
        <w:pStyle w:val="ListParagraph"/>
        <w:numPr>
          <w:ilvl w:val="0"/>
          <w:numId w:val="56"/>
        </w:numPr>
        <w:ind w:left="357" w:hanging="357"/>
        <w:jc w:val="both"/>
        <w:rPr>
          <w:rFonts w:ascii="Arial" w:hAnsi="Arial" w:cs="Arial"/>
          <w:color w:val="000000"/>
          <w:sz w:val="20"/>
        </w:rPr>
      </w:pPr>
      <w:r w:rsidRPr="00851FA1">
        <w:rPr>
          <w:rFonts w:ascii="Arial" w:hAnsi="Arial" w:cs="Arial"/>
          <w:bCs/>
          <w:sz w:val="20"/>
        </w:rPr>
        <w:t xml:space="preserve">is satisfied that </w:t>
      </w:r>
      <w:r>
        <w:rPr>
          <w:rFonts w:ascii="Arial" w:hAnsi="Arial" w:cs="Arial"/>
          <w:bCs/>
          <w:sz w:val="20"/>
        </w:rPr>
        <w:t>it is appropriate to revoke the SEO.</w:t>
      </w:r>
    </w:p>
    <w:p w14:paraId="75537AF9" w14:textId="77777777" w:rsidR="00FC2445" w:rsidRDefault="00FC2445" w:rsidP="00FC2445">
      <w:pPr>
        <w:jc w:val="both"/>
        <w:rPr>
          <w:rFonts w:ascii="Arial" w:hAnsi="Arial" w:cs="Arial"/>
          <w:color w:val="000000"/>
          <w:sz w:val="20"/>
        </w:rPr>
      </w:pPr>
    </w:p>
    <w:p w14:paraId="5C204F5D" w14:textId="2721870E" w:rsidR="0004634A" w:rsidRDefault="00FC2445" w:rsidP="00FC2445">
      <w:pPr>
        <w:jc w:val="both"/>
        <w:rPr>
          <w:rFonts w:ascii="Arial" w:hAnsi="Arial" w:cs="Arial"/>
          <w:sz w:val="20"/>
          <w:szCs w:val="20"/>
        </w:rPr>
      </w:pPr>
      <w:r>
        <w:rPr>
          <w:rFonts w:ascii="Arial" w:hAnsi="Arial" w:cs="Arial"/>
          <w:b/>
          <w:bCs/>
          <w:color w:val="FFFFFF" w:themeColor="background1"/>
          <w:sz w:val="20"/>
          <w:szCs w:val="20"/>
          <w:u w:val="single"/>
          <w:shd w:val="clear" w:color="auto" w:fill="000000" w:themeFill="text1"/>
        </w:rPr>
        <w:t>Extens</w:t>
      </w:r>
      <w:r w:rsidRPr="008D785F">
        <w:rPr>
          <w:rFonts w:ascii="Arial" w:hAnsi="Arial" w:cs="Arial"/>
          <w:b/>
          <w:bCs/>
          <w:color w:val="FFFFFF" w:themeColor="background1"/>
          <w:sz w:val="20"/>
          <w:szCs w:val="20"/>
          <w:u w:val="single"/>
          <w:shd w:val="clear" w:color="auto" w:fill="000000" w:themeFill="text1"/>
        </w:rPr>
        <w:t>ion</w:t>
      </w:r>
      <w:r w:rsidRPr="00A50E43">
        <w:rPr>
          <w:rFonts w:ascii="Arial" w:hAnsi="Arial" w:cs="Arial"/>
          <w:b/>
          <w:bCs/>
          <w:color w:val="000000"/>
          <w:sz w:val="20"/>
          <w:szCs w:val="20"/>
        </w:rPr>
        <w:t xml:space="preserve">:  </w:t>
      </w:r>
      <w:r w:rsidRPr="00A50E43">
        <w:rPr>
          <w:rFonts w:ascii="Arial" w:hAnsi="Arial" w:cs="Arial"/>
          <w:sz w:val="20"/>
          <w:szCs w:val="20"/>
        </w:rPr>
        <w:t xml:space="preserve">An APO may apply to the </w:t>
      </w:r>
      <w:r w:rsidR="00433B20">
        <w:rPr>
          <w:rFonts w:ascii="Arial" w:hAnsi="Arial" w:cs="Arial"/>
          <w:sz w:val="20"/>
          <w:szCs w:val="20"/>
        </w:rPr>
        <w:t>c</w:t>
      </w:r>
      <w:r w:rsidRPr="00A50E43">
        <w:rPr>
          <w:rFonts w:ascii="Arial" w:hAnsi="Arial" w:cs="Arial"/>
          <w:sz w:val="20"/>
          <w:szCs w:val="20"/>
        </w:rPr>
        <w:t xml:space="preserve">ourt </w:t>
      </w:r>
      <w:r>
        <w:rPr>
          <w:rFonts w:ascii="Arial" w:hAnsi="Arial" w:cs="Arial"/>
          <w:sz w:val="20"/>
          <w:szCs w:val="20"/>
        </w:rPr>
        <w:t xml:space="preserve">in writing </w:t>
      </w:r>
      <w:r w:rsidR="00D75E30">
        <w:rPr>
          <w:rFonts w:ascii="Arial" w:hAnsi="Arial" w:cs="Arial"/>
          <w:sz w:val="20"/>
          <w:szCs w:val="20"/>
        </w:rPr>
        <w:t xml:space="preserve">in Form 3 </w:t>
      </w:r>
      <w:r w:rsidRPr="00A50E43">
        <w:rPr>
          <w:rFonts w:ascii="Arial" w:hAnsi="Arial" w:cs="Arial"/>
          <w:sz w:val="20"/>
          <w:szCs w:val="20"/>
        </w:rPr>
        <w:t xml:space="preserve">for </w:t>
      </w:r>
      <w:r>
        <w:rPr>
          <w:rFonts w:ascii="Arial" w:hAnsi="Arial" w:cs="Arial"/>
          <w:sz w:val="20"/>
          <w:szCs w:val="20"/>
        </w:rPr>
        <w:t>the extension</w:t>
      </w:r>
      <w:r w:rsidRPr="00A50E43">
        <w:rPr>
          <w:rFonts w:ascii="Arial" w:hAnsi="Arial" w:cs="Arial"/>
          <w:sz w:val="20"/>
          <w:szCs w:val="20"/>
        </w:rPr>
        <w:t xml:space="preserve"> of an SEO</w:t>
      </w:r>
      <w:r>
        <w:rPr>
          <w:rFonts w:ascii="Arial" w:hAnsi="Arial" w:cs="Arial"/>
          <w:sz w:val="20"/>
          <w:szCs w:val="20"/>
        </w:rPr>
        <w:t xml:space="preserve">, </w:t>
      </w:r>
      <w:r w:rsidRPr="008D785F">
        <w:rPr>
          <w:rFonts w:ascii="Arial" w:hAnsi="Arial" w:cs="Arial"/>
          <w:sz w:val="20"/>
          <w:szCs w:val="20"/>
        </w:rPr>
        <w:t xml:space="preserve">supported by an affidavit </w:t>
      </w:r>
      <w:r w:rsidR="008664F6">
        <w:rPr>
          <w:rFonts w:ascii="Arial" w:hAnsi="Arial" w:cs="Arial"/>
          <w:sz w:val="20"/>
          <w:szCs w:val="20"/>
        </w:rPr>
        <w:t>by the applicant that sets out the grounds for and the period of the extension sought and includes the prescribed information</w:t>
      </w:r>
      <w:r>
        <w:rPr>
          <w:rFonts w:ascii="Arial" w:hAnsi="Arial" w:cs="Arial"/>
          <w:sz w:val="20"/>
          <w:szCs w:val="20"/>
        </w:rPr>
        <w:t xml:space="preserve"> </w:t>
      </w:r>
      <w:r w:rsidRPr="008D785F">
        <w:rPr>
          <w:rFonts w:ascii="Arial" w:hAnsi="Arial" w:cs="Arial"/>
          <w:sz w:val="20"/>
          <w:szCs w:val="20"/>
        </w:rPr>
        <w:t>[ss.</w:t>
      </w:r>
      <w:r w:rsidRPr="008D785F">
        <w:rPr>
          <w:rFonts w:ascii="Arial" w:hAnsi="Arial" w:cs="Arial"/>
          <w:b/>
          <w:bCs/>
          <w:sz w:val="20"/>
          <w:szCs w:val="20"/>
        </w:rPr>
        <w:t>22D</w:t>
      </w:r>
      <w:r>
        <w:rPr>
          <w:rFonts w:ascii="Arial" w:hAnsi="Arial" w:cs="Arial"/>
          <w:b/>
          <w:bCs/>
          <w:sz w:val="20"/>
          <w:szCs w:val="20"/>
        </w:rPr>
        <w:t>H</w:t>
      </w:r>
      <w:r w:rsidRPr="008D785F">
        <w:rPr>
          <w:rFonts w:ascii="Arial" w:hAnsi="Arial" w:cs="Arial"/>
          <w:sz w:val="20"/>
          <w:szCs w:val="20"/>
        </w:rPr>
        <w:t xml:space="preserve"> &amp; </w:t>
      </w:r>
      <w:r w:rsidRPr="008D785F">
        <w:rPr>
          <w:rFonts w:ascii="Arial" w:hAnsi="Arial" w:cs="Arial"/>
          <w:b/>
          <w:bCs/>
          <w:sz w:val="20"/>
          <w:szCs w:val="20"/>
        </w:rPr>
        <w:t>22D</w:t>
      </w:r>
      <w:r>
        <w:rPr>
          <w:rFonts w:ascii="Arial" w:hAnsi="Arial" w:cs="Arial"/>
          <w:b/>
          <w:bCs/>
          <w:sz w:val="20"/>
          <w:szCs w:val="20"/>
        </w:rPr>
        <w:t>I</w:t>
      </w:r>
      <w:r w:rsidRPr="008D785F">
        <w:rPr>
          <w:rFonts w:ascii="Arial" w:hAnsi="Arial" w:cs="Arial"/>
          <w:sz w:val="20"/>
          <w:szCs w:val="20"/>
        </w:rPr>
        <w:t>].</w:t>
      </w:r>
    </w:p>
    <w:p w14:paraId="11B9B185" w14:textId="77777777" w:rsidR="0004634A" w:rsidRPr="00765B70" w:rsidRDefault="0004634A" w:rsidP="00FC2445">
      <w:pPr>
        <w:jc w:val="both"/>
        <w:rPr>
          <w:rFonts w:ascii="Arial" w:hAnsi="Arial" w:cs="Arial"/>
          <w:sz w:val="16"/>
          <w:szCs w:val="16"/>
        </w:rPr>
      </w:pPr>
    </w:p>
    <w:p w14:paraId="234F31DE" w14:textId="607E66BE" w:rsidR="00FC2445" w:rsidRDefault="00FC2445" w:rsidP="00FC2445">
      <w:pPr>
        <w:jc w:val="both"/>
        <w:rPr>
          <w:rFonts w:ascii="Arial" w:hAnsi="Arial" w:cs="Arial"/>
          <w:sz w:val="20"/>
          <w:szCs w:val="20"/>
        </w:rPr>
      </w:pPr>
      <w:r>
        <w:rPr>
          <w:rFonts w:ascii="Arial" w:hAnsi="Arial" w:cs="Arial"/>
          <w:sz w:val="20"/>
          <w:szCs w:val="20"/>
        </w:rPr>
        <w:t>An application to extend an SEO must not be made after the order has expired [s.</w:t>
      </w:r>
      <w:r w:rsidRPr="00FC2445">
        <w:rPr>
          <w:rFonts w:ascii="Arial" w:hAnsi="Arial" w:cs="Arial"/>
          <w:b/>
          <w:bCs/>
          <w:sz w:val="20"/>
          <w:szCs w:val="20"/>
        </w:rPr>
        <w:t>22DH(2)</w:t>
      </w:r>
      <w:r>
        <w:rPr>
          <w:rFonts w:ascii="Arial" w:hAnsi="Arial" w:cs="Arial"/>
          <w:sz w:val="20"/>
          <w:szCs w:val="20"/>
        </w:rPr>
        <w:t>].</w:t>
      </w:r>
      <w:r w:rsidR="00D75E30">
        <w:rPr>
          <w:rFonts w:ascii="Arial" w:hAnsi="Arial" w:cs="Arial"/>
          <w:sz w:val="20"/>
          <w:szCs w:val="20"/>
        </w:rPr>
        <w:t xml:space="preserve">  However, upon the making of a valid application to extend, the SEO continues until the application is determined [s.</w:t>
      </w:r>
      <w:r w:rsidR="00D75E30" w:rsidRPr="00D75E30">
        <w:rPr>
          <w:rFonts w:ascii="Arial" w:hAnsi="Arial" w:cs="Arial"/>
          <w:b/>
          <w:bCs/>
          <w:sz w:val="20"/>
          <w:szCs w:val="20"/>
        </w:rPr>
        <w:t>22DK</w:t>
      </w:r>
      <w:r w:rsidR="00D75E30">
        <w:rPr>
          <w:rFonts w:ascii="Arial" w:hAnsi="Arial" w:cs="Arial"/>
          <w:sz w:val="20"/>
          <w:szCs w:val="20"/>
        </w:rPr>
        <w:t>].</w:t>
      </w:r>
    </w:p>
    <w:p w14:paraId="1224F24B" w14:textId="77777777" w:rsidR="00FC2445" w:rsidRPr="00765B70" w:rsidRDefault="00FC2445" w:rsidP="00FC2445">
      <w:pPr>
        <w:jc w:val="both"/>
        <w:rPr>
          <w:rFonts w:ascii="Arial" w:hAnsi="Arial" w:cs="Arial"/>
          <w:sz w:val="16"/>
          <w:szCs w:val="16"/>
        </w:rPr>
      </w:pPr>
    </w:p>
    <w:p w14:paraId="1EA197CC" w14:textId="3038E7E4" w:rsidR="00FC2445" w:rsidRDefault="00FC2445" w:rsidP="00FC2445">
      <w:pPr>
        <w:jc w:val="both"/>
        <w:rPr>
          <w:rFonts w:ascii="Arial" w:hAnsi="Arial" w:cs="Arial"/>
          <w:color w:val="000000"/>
          <w:sz w:val="20"/>
          <w:szCs w:val="20"/>
        </w:rPr>
      </w:pPr>
      <w:r>
        <w:rPr>
          <w:rFonts w:ascii="Arial" w:hAnsi="Arial" w:cs="Arial"/>
          <w:sz w:val="20"/>
          <w:szCs w:val="20"/>
        </w:rPr>
        <w:t>In relation to an SEO originally made in the Children’s Court, t</w:t>
      </w:r>
      <w:r w:rsidRPr="008D785F">
        <w:rPr>
          <w:rFonts w:ascii="Arial" w:hAnsi="Arial" w:cs="Arial"/>
          <w:sz w:val="20"/>
          <w:szCs w:val="20"/>
        </w:rPr>
        <w:t xml:space="preserve">his documentation </w:t>
      </w:r>
      <w:r w:rsidRPr="008D785F">
        <w:rPr>
          <w:rFonts w:ascii="Arial" w:hAnsi="Arial" w:cs="Arial"/>
          <w:bCs/>
          <w:sz w:val="20"/>
          <w:szCs w:val="20"/>
        </w:rPr>
        <w:t xml:space="preserve">must be electronically filed with the Melbourne Children’s Court registry: see </w:t>
      </w:r>
      <w:r w:rsidRPr="008D785F">
        <w:rPr>
          <w:rFonts w:ascii="Arial" w:hAnsi="Arial" w:cs="Arial"/>
          <w:color w:val="000000"/>
          <w:sz w:val="20"/>
          <w:szCs w:val="20"/>
        </w:rPr>
        <w:t>paragraph 57 of Practice Direction No.2 of 2022 dated 02/09/2022.</w:t>
      </w:r>
    </w:p>
    <w:p w14:paraId="384931F8" w14:textId="77777777" w:rsidR="00FC2445" w:rsidRPr="00765B70" w:rsidRDefault="00FC2445" w:rsidP="00FC2445">
      <w:pPr>
        <w:jc w:val="both"/>
        <w:rPr>
          <w:rFonts w:ascii="Arial" w:hAnsi="Arial" w:cs="Arial"/>
          <w:color w:val="000000"/>
          <w:sz w:val="16"/>
          <w:szCs w:val="16"/>
        </w:rPr>
      </w:pPr>
    </w:p>
    <w:p w14:paraId="3B140D35" w14:textId="4E6DBAEB" w:rsidR="00D4187A" w:rsidRPr="00407D0E" w:rsidRDefault="00D75E30" w:rsidP="00407D0E">
      <w:pPr>
        <w:jc w:val="both"/>
        <w:rPr>
          <w:rFonts w:ascii="Arial" w:hAnsi="Arial" w:cs="Arial"/>
          <w:sz w:val="16"/>
          <w:szCs w:val="16"/>
        </w:rPr>
      </w:pPr>
      <w:r w:rsidRPr="000B759F">
        <w:rPr>
          <w:rFonts w:ascii="Arial" w:hAnsi="Arial" w:cs="Arial"/>
          <w:sz w:val="20"/>
          <w:szCs w:val="20"/>
        </w:rPr>
        <w:t>The applicant must serve notice of the application to extend on the SP and give a copy of the notice to the Secretary [s.</w:t>
      </w:r>
      <w:r w:rsidRPr="000B759F">
        <w:rPr>
          <w:rFonts w:ascii="Arial" w:hAnsi="Arial" w:cs="Arial"/>
          <w:b/>
          <w:bCs/>
          <w:sz w:val="20"/>
          <w:szCs w:val="20"/>
        </w:rPr>
        <w:t>22DJ</w:t>
      </w:r>
      <w:r w:rsidRPr="000B759F">
        <w:rPr>
          <w:rFonts w:ascii="Arial" w:hAnsi="Arial" w:cs="Arial"/>
          <w:sz w:val="20"/>
          <w:szCs w:val="20"/>
        </w:rPr>
        <w:t xml:space="preserve">].  </w:t>
      </w:r>
      <w:r w:rsidR="000B759F">
        <w:rPr>
          <w:rFonts w:ascii="Arial" w:hAnsi="Arial" w:cs="Arial"/>
          <w:sz w:val="20"/>
          <w:szCs w:val="20"/>
        </w:rPr>
        <w:t>O</w:t>
      </w:r>
      <w:r w:rsidR="000B759F" w:rsidRPr="000B759F">
        <w:rPr>
          <w:rFonts w:ascii="Arial" w:hAnsi="Arial" w:cs="Arial"/>
          <w:sz w:val="20"/>
          <w:szCs w:val="20"/>
        </w:rPr>
        <w:t>n receiving notice of the application to extend</w:t>
      </w:r>
      <w:r w:rsidR="000B759F">
        <w:rPr>
          <w:rFonts w:ascii="Arial" w:hAnsi="Arial" w:cs="Arial"/>
          <w:sz w:val="20"/>
          <w:szCs w:val="20"/>
        </w:rPr>
        <w:t>,</w:t>
      </w:r>
      <w:r w:rsidR="000B759F" w:rsidRPr="000B759F">
        <w:rPr>
          <w:rFonts w:ascii="Arial" w:hAnsi="Arial" w:cs="Arial"/>
          <w:sz w:val="20"/>
          <w:szCs w:val="20"/>
        </w:rPr>
        <w:t xml:space="preserve"> the Secretary </w:t>
      </w:r>
      <w:r w:rsidR="000B759F" w:rsidRPr="00407D0E">
        <w:rPr>
          <w:rFonts w:ascii="Arial" w:hAnsi="Arial" w:cs="Arial"/>
          <w:sz w:val="20"/>
          <w:szCs w:val="20"/>
        </w:rPr>
        <w:t xml:space="preserve">must file a report </w:t>
      </w:r>
      <w:r w:rsidRPr="00407D0E">
        <w:rPr>
          <w:rFonts w:ascii="Arial" w:hAnsi="Arial" w:cs="Arial"/>
          <w:sz w:val="20"/>
          <w:szCs w:val="20"/>
        </w:rPr>
        <w:t xml:space="preserve">regarding the SP’s compliance and </w:t>
      </w:r>
      <w:r w:rsidR="000B759F" w:rsidRPr="00407D0E">
        <w:rPr>
          <w:rFonts w:ascii="Arial" w:hAnsi="Arial" w:cs="Arial"/>
          <w:sz w:val="20"/>
          <w:szCs w:val="20"/>
        </w:rPr>
        <w:t>p</w:t>
      </w:r>
      <w:r w:rsidRPr="00407D0E">
        <w:rPr>
          <w:rFonts w:ascii="Arial" w:hAnsi="Arial" w:cs="Arial"/>
          <w:sz w:val="20"/>
          <w:szCs w:val="20"/>
        </w:rPr>
        <w:t xml:space="preserve">ropose a new SEP if </w:t>
      </w:r>
      <w:r w:rsidR="000B759F" w:rsidRPr="00407D0E">
        <w:rPr>
          <w:rFonts w:ascii="Arial" w:hAnsi="Arial" w:cs="Arial"/>
          <w:sz w:val="20"/>
          <w:szCs w:val="20"/>
        </w:rPr>
        <w:t>the Secretary considers that would be an appropriate way of achieving a therapeutic purpose for the SP [s.</w:t>
      </w:r>
      <w:r w:rsidR="000B759F" w:rsidRPr="00407D0E">
        <w:rPr>
          <w:rFonts w:ascii="Arial" w:hAnsi="Arial" w:cs="Arial"/>
          <w:b/>
          <w:bCs/>
          <w:sz w:val="20"/>
          <w:szCs w:val="20"/>
        </w:rPr>
        <w:t>22DL</w:t>
      </w:r>
      <w:r w:rsidR="000B759F" w:rsidRPr="00407D0E">
        <w:rPr>
          <w:rFonts w:ascii="Arial" w:hAnsi="Arial" w:cs="Arial"/>
          <w:sz w:val="20"/>
          <w:szCs w:val="20"/>
        </w:rPr>
        <w:t>]</w:t>
      </w:r>
      <w:r w:rsidRPr="00407D0E">
        <w:rPr>
          <w:rFonts w:ascii="Arial" w:hAnsi="Arial" w:cs="Arial"/>
          <w:sz w:val="20"/>
          <w:szCs w:val="20"/>
        </w:rPr>
        <w:t xml:space="preserve">. </w:t>
      </w:r>
      <w:r w:rsidR="00DB637E">
        <w:rPr>
          <w:rFonts w:ascii="Arial" w:hAnsi="Arial" w:cs="Arial"/>
          <w:sz w:val="20"/>
          <w:szCs w:val="20"/>
        </w:rPr>
        <w:t xml:space="preserve"> The court may direct a</w:t>
      </w:r>
      <w:r w:rsidR="00407D0E" w:rsidRPr="00407D0E">
        <w:rPr>
          <w:rFonts w:ascii="Arial" w:hAnsi="Arial" w:cs="Arial"/>
          <w:sz w:val="20"/>
          <w:szCs w:val="20"/>
        </w:rPr>
        <w:t xml:space="preserve"> person</w:t>
      </w:r>
      <w:r w:rsidRPr="00407D0E">
        <w:rPr>
          <w:rFonts w:ascii="Arial" w:hAnsi="Arial" w:cs="Arial"/>
          <w:sz w:val="20"/>
          <w:szCs w:val="20"/>
        </w:rPr>
        <w:t xml:space="preserve"> to </w:t>
      </w:r>
      <w:r w:rsidR="000B759F" w:rsidRPr="00407D0E">
        <w:rPr>
          <w:rFonts w:ascii="Arial" w:hAnsi="Arial" w:cs="Arial"/>
          <w:sz w:val="20"/>
          <w:szCs w:val="20"/>
        </w:rPr>
        <w:t xml:space="preserve">attend and </w:t>
      </w:r>
      <w:r w:rsidRPr="00407D0E">
        <w:rPr>
          <w:rFonts w:ascii="Arial" w:hAnsi="Arial" w:cs="Arial"/>
          <w:sz w:val="20"/>
          <w:szCs w:val="20"/>
        </w:rPr>
        <w:t>give evidence</w:t>
      </w:r>
      <w:r w:rsidR="00407D0E">
        <w:rPr>
          <w:rFonts w:ascii="Arial" w:hAnsi="Arial" w:cs="Arial"/>
          <w:sz w:val="20"/>
          <w:szCs w:val="20"/>
        </w:rPr>
        <w:t xml:space="preserve"> as to the SP’s compliance with, and progress under, the SEP.  </w:t>
      </w:r>
      <w:r w:rsidR="00407D0E" w:rsidRPr="00407D0E">
        <w:rPr>
          <w:rFonts w:ascii="Arial" w:hAnsi="Arial" w:cs="Arial"/>
          <w:bCs/>
          <w:sz w:val="20"/>
          <w:szCs w:val="20"/>
        </w:rPr>
        <w:t xml:space="preserve">If the Secretary is given a direction under </w:t>
      </w:r>
      <w:r w:rsidR="00407D0E" w:rsidRPr="00407D0E">
        <w:rPr>
          <w:rFonts w:ascii="Arial" w:hAnsi="Arial" w:cs="Arial"/>
          <w:b/>
          <w:sz w:val="20"/>
          <w:szCs w:val="20"/>
        </w:rPr>
        <w:t>s.22</w:t>
      </w:r>
      <w:r w:rsidR="00407D0E">
        <w:rPr>
          <w:rFonts w:ascii="Arial" w:hAnsi="Arial" w:cs="Arial"/>
          <w:b/>
          <w:sz w:val="20"/>
          <w:szCs w:val="20"/>
        </w:rPr>
        <w:t>DM</w:t>
      </w:r>
      <w:r w:rsidR="00407D0E" w:rsidRPr="00407D0E">
        <w:rPr>
          <w:rFonts w:ascii="Arial" w:hAnsi="Arial" w:cs="Arial"/>
          <w:b/>
          <w:sz w:val="20"/>
          <w:szCs w:val="20"/>
        </w:rPr>
        <w:t>(1)</w:t>
      </w:r>
      <w:r w:rsidR="00407D0E" w:rsidRPr="00407D0E">
        <w:rPr>
          <w:rFonts w:ascii="Arial" w:hAnsi="Arial" w:cs="Arial"/>
          <w:bCs/>
          <w:sz w:val="20"/>
          <w:szCs w:val="20"/>
        </w:rPr>
        <w:t>, the Secretary may determine that a particular member of the CVE MAP is to attend and give evidence, in the Secretary’s place, in response to that direction. [s.</w:t>
      </w:r>
      <w:r w:rsidR="00407D0E" w:rsidRPr="00407D0E">
        <w:rPr>
          <w:rFonts w:ascii="Arial" w:hAnsi="Arial" w:cs="Arial"/>
          <w:b/>
          <w:sz w:val="20"/>
          <w:szCs w:val="20"/>
        </w:rPr>
        <w:t>22DM</w:t>
      </w:r>
      <w:r w:rsidR="00407D0E" w:rsidRPr="00407D0E">
        <w:rPr>
          <w:rFonts w:ascii="Arial" w:hAnsi="Arial" w:cs="Arial"/>
          <w:bCs/>
          <w:sz w:val="20"/>
          <w:szCs w:val="20"/>
        </w:rPr>
        <w:t>].</w:t>
      </w:r>
    </w:p>
    <w:p w14:paraId="4A0EE641" w14:textId="77777777" w:rsidR="00407D0E" w:rsidRPr="00765B70" w:rsidRDefault="00407D0E" w:rsidP="008D774D">
      <w:pPr>
        <w:pStyle w:val="HeadingTwo"/>
        <w:spacing w:after="0"/>
        <w:rPr>
          <w:rFonts w:cs="Arial"/>
          <w:color w:val="auto"/>
          <w:sz w:val="16"/>
          <w:szCs w:val="16"/>
        </w:rPr>
      </w:pPr>
    </w:p>
    <w:p w14:paraId="5AF5F913" w14:textId="2A87FE39" w:rsidR="00D4187A" w:rsidRPr="00D4187A" w:rsidRDefault="00D4187A" w:rsidP="00D4187A">
      <w:pPr>
        <w:pStyle w:val="HeadingTwo"/>
        <w:spacing w:after="0"/>
        <w:rPr>
          <w:rFonts w:cs="Arial"/>
          <w:color w:val="auto"/>
          <w:sz w:val="20"/>
          <w:szCs w:val="20"/>
        </w:rPr>
      </w:pPr>
      <w:r>
        <w:rPr>
          <w:rFonts w:cs="Arial"/>
          <w:color w:val="auto"/>
          <w:sz w:val="20"/>
          <w:szCs w:val="20"/>
        </w:rPr>
        <w:t>Under s.</w:t>
      </w:r>
      <w:r w:rsidRPr="00D4187A">
        <w:rPr>
          <w:rFonts w:cs="Arial"/>
          <w:b/>
          <w:bCs/>
          <w:color w:val="auto"/>
          <w:sz w:val="20"/>
          <w:szCs w:val="20"/>
        </w:rPr>
        <w:t>22DN</w:t>
      </w:r>
      <w:r>
        <w:rPr>
          <w:rFonts w:cs="Arial"/>
          <w:color w:val="auto"/>
          <w:sz w:val="20"/>
          <w:szCs w:val="20"/>
        </w:rPr>
        <w:t xml:space="preserve"> t</w:t>
      </w:r>
      <w:r w:rsidRPr="00D4187A">
        <w:rPr>
          <w:rFonts w:cs="Arial"/>
          <w:color w:val="auto"/>
          <w:sz w:val="20"/>
          <w:szCs w:val="20"/>
        </w:rPr>
        <w:t xml:space="preserve">he </w:t>
      </w:r>
      <w:r w:rsidR="00433B20">
        <w:rPr>
          <w:rFonts w:cs="Arial"/>
          <w:color w:val="auto"/>
          <w:sz w:val="20"/>
          <w:szCs w:val="20"/>
        </w:rPr>
        <w:t>c</w:t>
      </w:r>
      <w:r w:rsidRPr="00D4187A">
        <w:rPr>
          <w:rFonts w:cs="Arial"/>
          <w:color w:val="auto"/>
          <w:sz w:val="20"/>
          <w:szCs w:val="20"/>
        </w:rPr>
        <w:t>ourt may extend the order if</w:t>
      </w:r>
      <w:r w:rsidR="00013698">
        <w:rPr>
          <w:rFonts w:cs="Arial"/>
          <w:bCs/>
          <w:color w:val="000000" w:themeColor="text1"/>
          <w:sz w:val="20"/>
          <w:szCs w:val="20"/>
        </w:rPr>
        <w:t>–</w:t>
      </w:r>
    </w:p>
    <w:p w14:paraId="29613D3F" w14:textId="6B3F77B6" w:rsidR="00D4187A" w:rsidRPr="00D4187A" w:rsidRDefault="00D4187A">
      <w:pPr>
        <w:pStyle w:val="HeadingTwo"/>
        <w:numPr>
          <w:ilvl w:val="1"/>
          <w:numId w:val="63"/>
        </w:numPr>
        <w:spacing w:after="0"/>
        <w:ind w:left="357" w:hanging="357"/>
        <w:rPr>
          <w:rFonts w:cs="Arial"/>
          <w:color w:val="auto"/>
          <w:sz w:val="20"/>
          <w:szCs w:val="20"/>
        </w:rPr>
      </w:pPr>
      <w:r>
        <w:rPr>
          <w:rFonts w:cs="Arial"/>
          <w:color w:val="auto"/>
          <w:sz w:val="20"/>
          <w:szCs w:val="20"/>
        </w:rPr>
        <w:t>t</w:t>
      </w:r>
      <w:r w:rsidRPr="00D4187A">
        <w:rPr>
          <w:rFonts w:cs="Arial"/>
          <w:color w:val="auto"/>
          <w:sz w:val="20"/>
          <w:szCs w:val="20"/>
        </w:rPr>
        <w:t xml:space="preserve">he </w:t>
      </w:r>
      <w:r w:rsidR="00433B20">
        <w:rPr>
          <w:rFonts w:cs="Arial"/>
          <w:color w:val="auto"/>
          <w:sz w:val="20"/>
          <w:szCs w:val="20"/>
        </w:rPr>
        <w:t>c</w:t>
      </w:r>
      <w:r w:rsidRPr="00D4187A">
        <w:rPr>
          <w:rFonts w:cs="Arial"/>
          <w:color w:val="auto"/>
          <w:sz w:val="20"/>
          <w:szCs w:val="20"/>
        </w:rPr>
        <w:t>ourt finds that the SP is still radicalising toward violent extremism</w:t>
      </w:r>
      <w:r>
        <w:rPr>
          <w:rFonts w:cs="Arial"/>
          <w:color w:val="auto"/>
          <w:sz w:val="20"/>
          <w:szCs w:val="20"/>
        </w:rPr>
        <w:t>;</w:t>
      </w:r>
      <w:r w:rsidRPr="00D4187A">
        <w:rPr>
          <w:rFonts w:cs="Arial"/>
          <w:color w:val="auto"/>
          <w:sz w:val="20"/>
          <w:szCs w:val="20"/>
        </w:rPr>
        <w:t xml:space="preserve"> and</w:t>
      </w:r>
    </w:p>
    <w:p w14:paraId="12777095" w14:textId="4997B216" w:rsidR="00D4187A" w:rsidRPr="00D4187A" w:rsidRDefault="00D4187A">
      <w:pPr>
        <w:pStyle w:val="HeadingTwo"/>
        <w:numPr>
          <w:ilvl w:val="1"/>
          <w:numId w:val="63"/>
        </w:numPr>
        <w:spacing w:after="0"/>
        <w:ind w:left="357" w:hanging="357"/>
        <w:jc w:val="both"/>
        <w:rPr>
          <w:rFonts w:cs="Arial"/>
          <w:color w:val="auto"/>
          <w:sz w:val="20"/>
          <w:szCs w:val="20"/>
        </w:rPr>
      </w:pPr>
      <w:r>
        <w:rPr>
          <w:rFonts w:cs="Arial"/>
          <w:color w:val="auto"/>
          <w:sz w:val="20"/>
          <w:szCs w:val="20"/>
        </w:rPr>
        <w:t>t</w:t>
      </w:r>
      <w:r w:rsidRPr="00D4187A">
        <w:rPr>
          <w:rFonts w:cs="Arial"/>
          <w:color w:val="auto"/>
          <w:sz w:val="20"/>
          <w:szCs w:val="20"/>
        </w:rPr>
        <w:t xml:space="preserve">he </w:t>
      </w:r>
      <w:r w:rsidR="00433B20">
        <w:rPr>
          <w:rFonts w:cs="Arial"/>
          <w:color w:val="auto"/>
          <w:sz w:val="20"/>
          <w:szCs w:val="20"/>
        </w:rPr>
        <w:t>c</w:t>
      </w:r>
      <w:r w:rsidRPr="00D4187A">
        <w:rPr>
          <w:rFonts w:cs="Arial"/>
          <w:color w:val="auto"/>
          <w:sz w:val="20"/>
          <w:szCs w:val="20"/>
        </w:rPr>
        <w:t>ourt is satisfied that extending the order is an appropriate way to achieve a therapeutic purpose</w:t>
      </w:r>
      <w:r>
        <w:rPr>
          <w:rFonts w:cs="Arial"/>
          <w:color w:val="auto"/>
          <w:sz w:val="20"/>
          <w:szCs w:val="20"/>
        </w:rPr>
        <w:t xml:space="preserve"> for the SP</w:t>
      </w:r>
      <w:r w:rsidRPr="00D4187A">
        <w:rPr>
          <w:rFonts w:cs="Arial"/>
          <w:color w:val="auto"/>
          <w:sz w:val="20"/>
          <w:szCs w:val="20"/>
        </w:rPr>
        <w:t>.</w:t>
      </w:r>
    </w:p>
    <w:p w14:paraId="35AB9F26" w14:textId="1405576A" w:rsidR="00D75E30" w:rsidRPr="00765B70" w:rsidRDefault="00D75E30" w:rsidP="002E62A4">
      <w:pPr>
        <w:jc w:val="both"/>
        <w:rPr>
          <w:rFonts w:ascii="Arial" w:hAnsi="Arial" w:cs="Arial"/>
          <w:sz w:val="16"/>
          <w:szCs w:val="16"/>
        </w:rPr>
      </w:pPr>
    </w:p>
    <w:p w14:paraId="2B8D969A" w14:textId="4287DCBB" w:rsidR="00851FA1" w:rsidRDefault="008D774D" w:rsidP="00851FA1">
      <w:pPr>
        <w:jc w:val="both"/>
        <w:rPr>
          <w:rFonts w:ascii="Arial" w:hAnsi="Arial" w:cs="Arial"/>
          <w:color w:val="000000"/>
          <w:sz w:val="20"/>
        </w:rPr>
      </w:pPr>
      <w:r>
        <w:rPr>
          <w:rFonts w:ascii="Arial" w:hAnsi="Arial" w:cs="Arial"/>
          <w:color w:val="000000"/>
          <w:sz w:val="20"/>
        </w:rPr>
        <w:t>However, p</w:t>
      </w:r>
      <w:r w:rsidR="00851FA1">
        <w:rPr>
          <w:rFonts w:ascii="Arial" w:hAnsi="Arial" w:cs="Arial"/>
          <w:color w:val="000000"/>
          <w:sz w:val="20"/>
        </w:rPr>
        <w:t>ursuant to s.</w:t>
      </w:r>
      <w:r w:rsidR="00851FA1" w:rsidRPr="008D774D">
        <w:rPr>
          <w:rFonts w:ascii="Arial" w:hAnsi="Arial" w:cs="Arial"/>
          <w:b/>
          <w:bCs/>
          <w:color w:val="000000"/>
          <w:sz w:val="20"/>
        </w:rPr>
        <w:t>22DO(2)</w:t>
      </w:r>
      <w:r w:rsidR="00851FA1">
        <w:rPr>
          <w:rFonts w:ascii="Arial" w:hAnsi="Arial" w:cs="Arial"/>
          <w:color w:val="000000"/>
          <w:sz w:val="20"/>
        </w:rPr>
        <w:t xml:space="preserve"> the extension of an SEO</w:t>
      </w:r>
      <w:r w:rsidR="00013698">
        <w:rPr>
          <w:rFonts w:cs="Arial"/>
          <w:bCs/>
          <w:color w:val="000000" w:themeColor="text1"/>
          <w:sz w:val="20"/>
          <w:szCs w:val="20"/>
        </w:rPr>
        <w:t>–</w:t>
      </w:r>
    </w:p>
    <w:p w14:paraId="1B2E3ACF" w14:textId="3962C838" w:rsidR="008664F6" w:rsidRDefault="008664F6">
      <w:pPr>
        <w:pStyle w:val="ListParagraph"/>
        <w:numPr>
          <w:ilvl w:val="0"/>
          <w:numId w:val="65"/>
        </w:numPr>
        <w:ind w:left="357" w:hanging="357"/>
        <w:jc w:val="both"/>
        <w:rPr>
          <w:rFonts w:ascii="Arial" w:hAnsi="Arial" w:cs="Arial"/>
          <w:color w:val="000000"/>
          <w:sz w:val="20"/>
        </w:rPr>
      </w:pPr>
      <w:r>
        <w:rPr>
          <w:rFonts w:ascii="Arial" w:hAnsi="Arial" w:cs="Arial"/>
          <w:color w:val="000000"/>
          <w:sz w:val="20"/>
        </w:rPr>
        <w:t>must not result in the period of the order exceeding 2 years; or</w:t>
      </w:r>
    </w:p>
    <w:p w14:paraId="1DA7E80F" w14:textId="4F192C4B" w:rsidR="008664F6" w:rsidRPr="008664F6" w:rsidRDefault="008664F6">
      <w:pPr>
        <w:pStyle w:val="ListParagraph"/>
        <w:numPr>
          <w:ilvl w:val="0"/>
          <w:numId w:val="65"/>
        </w:numPr>
        <w:ind w:left="357" w:hanging="357"/>
        <w:jc w:val="both"/>
        <w:rPr>
          <w:rFonts w:ascii="Arial" w:hAnsi="Arial" w:cs="Arial"/>
          <w:color w:val="000000"/>
          <w:sz w:val="20"/>
        </w:rPr>
      </w:pPr>
      <w:r w:rsidRPr="00C16E97">
        <w:rPr>
          <w:rFonts w:ascii="Arial" w:hAnsi="Arial" w:cs="Arial"/>
          <w:sz w:val="20"/>
        </w:rPr>
        <w:t>must not be so long that, at the end of the extended period, the total period during which the supported person will have been subject to a</w:t>
      </w:r>
      <w:r>
        <w:rPr>
          <w:rFonts w:ascii="Arial" w:hAnsi="Arial" w:cs="Arial"/>
          <w:sz w:val="20"/>
        </w:rPr>
        <w:t xml:space="preserve">n SEO </w:t>
      </w:r>
      <w:r w:rsidRPr="00C16E97">
        <w:rPr>
          <w:rFonts w:ascii="Arial" w:hAnsi="Arial" w:cs="Arial"/>
          <w:sz w:val="20"/>
        </w:rPr>
        <w:t>is 2 years or more.</w:t>
      </w:r>
    </w:p>
    <w:p w14:paraId="2C48E212" w14:textId="3CEC6EB6" w:rsidR="008D774D" w:rsidRDefault="008D774D" w:rsidP="008D774D">
      <w:pPr>
        <w:jc w:val="both"/>
        <w:rPr>
          <w:rFonts w:ascii="Arial" w:hAnsi="Arial" w:cs="Arial"/>
          <w:sz w:val="20"/>
          <w:szCs w:val="20"/>
        </w:rPr>
      </w:pPr>
    </w:p>
    <w:p w14:paraId="416B20C0" w14:textId="02B2B1B7" w:rsidR="008D774D" w:rsidRPr="00220B9E" w:rsidRDefault="008D774D" w:rsidP="008D774D">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t>RESTRICTIONS ON PUBLICATION</w:t>
      </w:r>
    </w:p>
    <w:p w14:paraId="5560082B" w14:textId="60264178" w:rsidR="008D774D" w:rsidRDefault="008D774D" w:rsidP="008D774D">
      <w:pPr>
        <w:jc w:val="both"/>
        <w:rPr>
          <w:rFonts w:ascii="Arial" w:hAnsi="Arial" w:cs="Arial"/>
          <w:sz w:val="20"/>
          <w:szCs w:val="20"/>
        </w:rPr>
      </w:pPr>
    </w:p>
    <w:p w14:paraId="718A6F07" w14:textId="354CBE19" w:rsidR="00B37FF0" w:rsidRDefault="00B37FF0" w:rsidP="007C03CD">
      <w:pPr>
        <w:pStyle w:val="HeadingTwo"/>
        <w:spacing w:after="0"/>
        <w:jc w:val="both"/>
        <w:rPr>
          <w:rFonts w:cs="Arial"/>
          <w:bCs/>
          <w:color w:val="auto"/>
          <w:sz w:val="20"/>
          <w:szCs w:val="20"/>
        </w:rPr>
      </w:pPr>
      <w:r>
        <w:rPr>
          <w:rFonts w:cs="Arial"/>
          <w:bCs/>
          <w:color w:val="auto"/>
          <w:sz w:val="20"/>
          <w:szCs w:val="20"/>
        </w:rPr>
        <w:t>In relation to a proceeding</w:t>
      </w:r>
      <w:r w:rsidR="00013698">
        <w:rPr>
          <w:rFonts w:cs="Arial"/>
          <w:bCs/>
          <w:color w:val="000000" w:themeColor="text1"/>
          <w:sz w:val="20"/>
          <w:szCs w:val="20"/>
        </w:rPr>
        <w:t>–</w:t>
      </w:r>
    </w:p>
    <w:p w14:paraId="17D9FDDB" w14:textId="78C287F6" w:rsidR="00B37FF0" w:rsidRPr="007C03CD" w:rsidRDefault="00B37FF0">
      <w:pPr>
        <w:pStyle w:val="ListParagraph"/>
        <w:numPr>
          <w:ilvl w:val="0"/>
          <w:numId w:val="56"/>
        </w:numPr>
        <w:ind w:left="357" w:hanging="357"/>
        <w:jc w:val="both"/>
        <w:rPr>
          <w:rFonts w:ascii="Arial" w:hAnsi="Arial" w:cs="Arial"/>
          <w:color w:val="000000"/>
          <w:sz w:val="20"/>
        </w:rPr>
      </w:pPr>
      <w:r w:rsidRPr="007C03CD">
        <w:rPr>
          <w:rFonts w:ascii="Arial" w:hAnsi="Arial" w:cs="Arial"/>
          <w:bCs/>
          <w:sz w:val="20"/>
        </w:rPr>
        <w:t xml:space="preserve">on an </w:t>
      </w:r>
      <w:r>
        <w:rPr>
          <w:rFonts w:ascii="Arial" w:hAnsi="Arial" w:cs="Arial"/>
          <w:bCs/>
          <w:sz w:val="20"/>
        </w:rPr>
        <w:t xml:space="preserve">SEO </w:t>
      </w:r>
      <w:r w:rsidRPr="007C03CD">
        <w:rPr>
          <w:rFonts w:ascii="Arial" w:hAnsi="Arial" w:cs="Arial"/>
          <w:bCs/>
          <w:sz w:val="20"/>
        </w:rPr>
        <w:t xml:space="preserve">application </w:t>
      </w:r>
      <w:r>
        <w:rPr>
          <w:rFonts w:ascii="Arial" w:hAnsi="Arial" w:cs="Arial"/>
          <w:bCs/>
          <w:sz w:val="20"/>
        </w:rPr>
        <w:t>or an SEO review hearing</w:t>
      </w:r>
      <w:r w:rsidRPr="007C03CD">
        <w:rPr>
          <w:rFonts w:ascii="Arial" w:hAnsi="Arial" w:cs="Arial"/>
          <w:bCs/>
          <w:sz w:val="20"/>
        </w:rPr>
        <w:t>; or</w:t>
      </w:r>
    </w:p>
    <w:p w14:paraId="4D1900C5" w14:textId="77777777" w:rsidR="00B37FF0" w:rsidRPr="007C03CD" w:rsidRDefault="00B37FF0">
      <w:pPr>
        <w:pStyle w:val="ListParagraph"/>
        <w:numPr>
          <w:ilvl w:val="0"/>
          <w:numId w:val="56"/>
        </w:numPr>
        <w:ind w:left="357" w:hanging="357"/>
        <w:jc w:val="both"/>
        <w:rPr>
          <w:rFonts w:ascii="Arial" w:hAnsi="Arial" w:cs="Arial"/>
          <w:color w:val="000000"/>
          <w:sz w:val="20"/>
        </w:rPr>
      </w:pPr>
      <w:r>
        <w:rPr>
          <w:rFonts w:ascii="Arial" w:hAnsi="Arial" w:cs="Arial"/>
          <w:color w:val="000000"/>
          <w:sz w:val="20"/>
        </w:rPr>
        <w:t>for an offence against s.</w:t>
      </w:r>
      <w:r w:rsidRPr="007C03CD">
        <w:rPr>
          <w:rFonts w:ascii="Arial" w:hAnsi="Arial" w:cs="Arial"/>
          <w:b/>
          <w:bCs/>
          <w:color w:val="000000"/>
          <w:sz w:val="20"/>
        </w:rPr>
        <w:t>22CU</w:t>
      </w:r>
      <w:r w:rsidRPr="00BB0091">
        <w:rPr>
          <w:rFonts w:ascii="Arial" w:hAnsi="Arial" w:cs="Arial"/>
          <w:color w:val="000000"/>
          <w:sz w:val="20"/>
        </w:rPr>
        <w:t xml:space="preserve"> (only relevant to an SEO made by the Magistrates’ Court)</w:t>
      </w:r>
      <w:r>
        <w:rPr>
          <w:rFonts w:ascii="Arial" w:hAnsi="Arial" w:cs="Arial"/>
          <w:color w:val="000000"/>
          <w:sz w:val="20"/>
        </w:rPr>
        <w:t>-</w:t>
      </w:r>
    </w:p>
    <w:p w14:paraId="63D4608B" w14:textId="56D3A972" w:rsidR="002E7E9D" w:rsidRDefault="00B37FF0" w:rsidP="004A5A5D">
      <w:pPr>
        <w:pStyle w:val="HeadingTwo"/>
        <w:spacing w:after="0"/>
        <w:jc w:val="both"/>
        <w:rPr>
          <w:rFonts w:cs="Arial"/>
          <w:bCs/>
          <w:color w:val="auto"/>
          <w:sz w:val="20"/>
          <w:szCs w:val="20"/>
        </w:rPr>
      </w:pPr>
      <w:r>
        <w:rPr>
          <w:rFonts w:cs="Arial"/>
          <w:bCs/>
          <w:color w:val="auto"/>
          <w:sz w:val="20"/>
          <w:szCs w:val="20"/>
        </w:rPr>
        <w:t xml:space="preserve">a </w:t>
      </w:r>
      <w:r w:rsidRPr="008D774D">
        <w:rPr>
          <w:rFonts w:cs="Arial"/>
          <w:bCs/>
          <w:color w:val="auto"/>
          <w:sz w:val="20"/>
          <w:szCs w:val="20"/>
        </w:rPr>
        <w:t xml:space="preserve">person must not publish, or cause to be published, a report of </w:t>
      </w:r>
      <w:r>
        <w:rPr>
          <w:rFonts w:cs="Arial"/>
          <w:bCs/>
          <w:color w:val="auto"/>
          <w:sz w:val="20"/>
          <w:szCs w:val="20"/>
        </w:rPr>
        <w:t xml:space="preserve">the proceeding or about the SEO that contains any particulars </w:t>
      </w:r>
      <w:r w:rsidRPr="007C03CD">
        <w:rPr>
          <w:rFonts w:cs="Arial"/>
          <w:bCs/>
          <w:color w:val="auto"/>
          <w:sz w:val="20"/>
          <w:szCs w:val="20"/>
        </w:rPr>
        <w:t xml:space="preserve">likely to lead to the identification of </w:t>
      </w:r>
      <w:r>
        <w:rPr>
          <w:rFonts w:cs="Arial"/>
          <w:bCs/>
          <w:color w:val="auto"/>
          <w:sz w:val="20"/>
          <w:szCs w:val="20"/>
        </w:rPr>
        <w:t xml:space="preserve">– and/or pictures of – </w:t>
      </w:r>
      <w:r w:rsidRPr="007C03CD">
        <w:rPr>
          <w:rFonts w:cs="Arial"/>
          <w:bCs/>
          <w:color w:val="auto"/>
          <w:sz w:val="20"/>
          <w:szCs w:val="20"/>
        </w:rPr>
        <w:t>the</w:t>
      </w:r>
      <w:r>
        <w:rPr>
          <w:rFonts w:cs="Arial"/>
          <w:bCs/>
          <w:color w:val="auto"/>
          <w:sz w:val="20"/>
          <w:szCs w:val="20"/>
        </w:rPr>
        <w:t xml:space="preserve"> </w:t>
      </w:r>
      <w:r w:rsidRPr="007C03CD">
        <w:rPr>
          <w:rFonts w:cs="Arial"/>
          <w:bCs/>
          <w:color w:val="auto"/>
          <w:sz w:val="20"/>
          <w:szCs w:val="20"/>
        </w:rPr>
        <w:t>SP, another party to the proceeding or a person giving evidence</w:t>
      </w:r>
      <w:r>
        <w:rPr>
          <w:rFonts w:cs="Arial"/>
          <w:bCs/>
          <w:color w:val="auto"/>
          <w:sz w:val="20"/>
          <w:szCs w:val="20"/>
        </w:rPr>
        <w:t xml:space="preserve"> u</w:t>
      </w:r>
      <w:r w:rsidR="002E7E9D">
        <w:rPr>
          <w:rFonts w:cs="Arial"/>
          <w:bCs/>
          <w:color w:val="auto"/>
          <w:sz w:val="20"/>
          <w:szCs w:val="20"/>
        </w:rPr>
        <w:t xml:space="preserve">nless the </w:t>
      </w:r>
      <w:r w:rsidR="00433B20">
        <w:rPr>
          <w:rFonts w:cs="Arial"/>
          <w:bCs/>
          <w:color w:val="auto"/>
          <w:sz w:val="20"/>
          <w:szCs w:val="20"/>
        </w:rPr>
        <w:t>c</w:t>
      </w:r>
      <w:r w:rsidR="002E7E9D">
        <w:rPr>
          <w:rFonts w:cs="Arial"/>
          <w:bCs/>
          <w:color w:val="auto"/>
          <w:sz w:val="20"/>
          <w:szCs w:val="20"/>
        </w:rPr>
        <w:t>ourt orders that publication is permitted</w:t>
      </w:r>
      <w:r>
        <w:rPr>
          <w:rFonts w:cs="Arial"/>
          <w:bCs/>
          <w:color w:val="auto"/>
          <w:sz w:val="20"/>
          <w:szCs w:val="20"/>
        </w:rPr>
        <w:t xml:space="preserve"> [s.</w:t>
      </w:r>
      <w:r w:rsidRPr="007C03CD">
        <w:rPr>
          <w:rFonts w:cs="Arial"/>
          <w:b/>
          <w:color w:val="auto"/>
          <w:sz w:val="20"/>
          <w:szCs w:val="20"/>
        </w:rPr>
        <w:t>22EB</w:t>
      </w:r>
      <w:r w:rsidRPr="004A5A5D">
        <w:rPr>
          <w:rFonts w:cs="Arial"/>
          <w:bCs/>
          <w:color w:val="auto"/>
          <w:sz w:val="20"/>
          <w:szCs w:val="20"/>
        </w:rPr>
        <w:t>]</w:t>
      </w:r>
      <w:r>
        <w:rPr>
          <w:rFonts w:cs="Arial"/>
          <w:bCs/>
          <w:color w:val="auto"/>
          <w:sz w:val="20"/>
          <w:szCs w:val="20"/>
        </w:rPr>
        <w:t xml:space="preserve">. </w:t>
      </w:r>
      <w:r w:rsidR="002E7E9D">
        <w:rPr>
          <w:rFonts w:cs="Arial"/>
          <w:bCs/>
          <w:color w:val="auto"/>
          <w:sz w:val="20"/>
          <w:szCs w:val="20"/>
        </w:rPr>
        <w:t>A non-exhaustive list of identifying particulars is contained in s.</w:t>
      </w:r>
      <w:r w:rsidR="002E7E9D" w:rsidRPr="001F7EDE">
        <w:rPr>
          <w:rFonts w:cs="Arial"/>
          <w:b/>
          <w:color w:val="auto"/>
          <w:sz w:val="20"/>
          <w:szCs w:val="20"/>
        </w:rPr>
        <w:t>22ED</w:t>
      </w:r>
      <w:r w:rsidR="002E7E9D">
        <w:rPr>
          <w:rFonts w:cs="Arial"/>
          <w:bCs/>
          <w:color w:val="auto"/>
          <w:sz w:val="20"/>
          <w:szCs w:val="20"/>
        </w:rPr>
        <w:t>.</w:t>
      </w:r>
    </w:p>
    <w:p w14:paraId="45220FE3" w14:textId="77777777" w:rsidR="002E7E9D" w:rsidRPr="009974FF" w:rsidRDefault="002E7E9D" w:rsidP="004A5A5D">
      <w:pPr>
        <w:pStyle w:val="HeadingTwo"/>
        <w:spacing w:after="0"/>
        <w:jc w:val="both"/>
        <w:rPr>
          <w:rFonts w:cs="Arial"/>
          <w:bCs/>
          <w:color w:val="auto"/>
          <w:sz w:val="16"/>
          <w:szCs w:val="16"/>
        </w:rPr>
      </w:pPr>
    </w:p>
    <w:p w14:paraId="4E23CC0E" w14:textId="0DD2D65E" w:rsidR="008D774D" w:rsidRDefault="00D45A15" w:rsidP="004A5A5D">
      <w:pPr>
        <w:pStyle w:val="HeadingTwo"/>
        <w:spacing w:after="0"/>
        <w:jc w:val="both"/>
        <w:rPr>
          <w:rFonts w:cs="Arial"/>
          <w:bCs/>
          <w:color w:val="auto"/>
          <w:sz w:val="20"/>
          <w:szCs w:val="20"/>
        </w:rPr>
      </w:pPr>
      <w:r>
        <w:rPr>
          <w:rFonts w:cs="Arial"/>
          <w:bCs/>
          <w:color w:val="auto"/>
          <w:sz w:val="20"/>
          <w:szCs w:val="20"/>
        </w:rPr>
        <w:t>T</w:t>
      </w:r>
      <w:r w:rsidR="002E7E9D">
        <w:rPr>
          <w:rFonts w:cs="Arial"/>
          <w:bCs/>
          <w:color w:val="auto"/>
          <w:sz w:val="20"/>
          <w:szCs w:val="20"/>
        </w:rPr>
        <w:t>his penalty provision does not apply to information sharing in accordance with Division 6 [s.</w:t>
      </w:r>
      <w:r w:rsidR="002E7E9D" w:rsidRPr="002E7E9D">
        <w:rPr>
          <w:rFonts w:cs="Arial"/>
          <w:b/>
          <w:color w:val="auto"/>
          <w:sz w:val="20"/>
          <w:szCs w:val="20"/>
        </w:rPr>
        <w:t>22EC</w:t>
      </w:r>
      <w:r w:rsidR="002E7E9D">
        <w:rPr>
          <w:rFonts w:cs="Arial"/>
          <w:bCs/>
          <w:color w:val="auto"/>
          <w:sz w:val="20"/>
          <w:szCs w:val="20"/>
        </w:rPr>
        <w:t>].</w:t>
      </w:r>
      <w:r w:rsidR="003218CF">
        <w:rPr>
          <w:rFonts w:cs="Arial"/>
          <w:bCs/>
          <w:color w:val="auto"/>
          <w:sz w:val="20"/>
          <w:szCs w:val="20"/>
        </w:rPr>
        <w:t xml:space="preserve">  </w:t>
      </w:r>
      <w:r w:rsidR="002E7E9D">
        <w:rPr>
          <w:rFonts w:cs="Arial"/>
          <w:bCs/>
          <w:color w:val="auto"/>
          <w:sz w:val="20"/>
          <w:szCs w:val="20"/>
        </w:rPr>
        <w:t xml:space="preserve">Further, </w:t>
      </w:r>
      <w:r w:rsidR="001F7EDE">
        <w:rPr>
          <w:rFonts w:cs="Arial"/>
          <w:bCs/>
          <w:color w:val="auto"/>
          <w:sz w:val="20"/>
          <w:szCs w:val="20"/>
        </w:rPr>
        <w:t>t</w:t>
      </w:r>
      <w:r w:rsidR="008D774D" w:rsidRPr="008D774D">
        <w:rPr>
          <w:rFonts w:cs="Arial"/>
          <w:bCs/>
          <w:color w:val="auto"/>
          <w:sz w:val="20"/>
          <w:szCs w:val="20"/>
        </w:rPr>
        <w:t xml:space="preserve">he </w:t>
      </w:r>
      <w:r w:rsidR="00433B20">
        <w:rPr>
          <w:rFonts w:cs="Arial"/>
          <w:bCs/>
          <w:color w:val="auto"/>
          <w:sz w:val="20"/>
          <w:szCs w:val="20"/>
        </w:rPr>
        <w:t>c</w:t>
      </w:r>
      <w:r w:rsidR="008D774D" w:rsidRPr="008D774D">
        <w:rPr>
          <w:rFonts w:cs="Arial"/>
          <w:bCs/>
          <w:color w:val="auto"/>
          <w:sz w:val="20"/>
          <w:szCs w:val="20"/>
        </w:rPr>
        <w:t xml:space="preserve">ourt may make an order permitting the publication if the </w:t>
      </w:r>
      <w:r w:rsidR="00433B20">
        <w:rPr>
          <w:rFonts w:cs="Arial"/>
          <w:bCs/>
          <w:color w:val="auto"/>
          <w:sz w:val="20"/>
          <w:szCs w:val="20"/>
        </w:rPr>
        <w:t>c</w:t>
      </w:r>
      <w:r w:rsidR="008D774D" w:rsidRPr="008D774D">
        <w:rPr>
          <w:rFonts w:cs="Arial"/>
          <w:bCs/>
          <w:color w:val="auto"/>
          <w:sz w:val="20"/>
          <w:szCs w:val="20"/>
        </w:rPr>
        <w:t>ourt reasonably considers it is in the public interest and that it is just to allow the publication in the circumstances</w:t>
      </w:r>
      <w:r w:rsidR="002E7E9D">
        <w:rPr>
          <w:rFonts w:cs="Arial"/>
          <w:bCs/>
          <w:color w:val="auto"/>
          <w:sz w:val="20"/>
          <w:szCs w:val="20"/>
        </w:rPr>
        <w:t xml:space="preserve"> [</w:t>
      </w:r>
      <w:r w:rsidR="002E7E9D" w:rsidRPr="002E7E9D">
        <w:rPr>
          <w:rFonts w:cs="Arial"/>
          <w:bCs/>
          <w:color w:val="auto"/>
          <w:sz w:val="20"/>
          <w:szCs w:val="20"/>
        </w:rPr>
        <w:t>s.</w:t>
      </w:r>
      <w:r w:rsidR="002E7E9D" w:rsidRPr="001F7EDE">
        <w:rPr>
          <w:rFonts w:cs="Arial"/>
          <w:b/>
          <w:color w:val="auto"/>
          <w:sz w:val="20"/>
          <w:szCs w:val="20"/>
        </w:rPr>
        <w:t>22EE</w:t>
      </w:r>
      <w:r w:rsidR="002E7E9D" w:rsidRPr="002E7E9D">
        <w:rPr>
          <w:rFonts w:cs="Arial"/>
          <w:bCs/>
          <w:color w:val="auto"/>
          <w:sz w:val="20"/>
          <w:szCs w:val="20"/>
        </w:rPr>
        <w:t>]</w:t>
      </w:r>
      <w:r w:rsidR="008D774D" w:rsidRPr="002E7E9D">
        <w:rPr>
          <w:rFonts w:cs="Arial"/>
          <w:bCs/>
          <w:color w:val="auto"/>
          <w:sz w:val="20"/>
          <w:szCs w:val="20"/>
        </w:rPr>
        <w:t>.</w:t>
      </w:r>
      <w:r w:rsidR="008D774D" w:rsidRPr="008D774D">
        <w:rPr>
          <w:rFonts w:cs="Arial"/>
          <w:bCs/>
          <w:color w:val="auto"/>
          <w:sz w:val="20"/>
          <w:szCs w:val="20"/>
        </w:rPr>
        <w:t xml:space="preserve"> </w:t>
      </w:r>
      <w:r w:rsidR="001F7EDE">
        <w:rPr>
          <w:rFonts w:cs="Arial"/>
          <w:bCs/>
          <w:color w:val="auto"/>
          <w:sz w:val="20"/>
          <w:szCs w:val="20"/>
        </w:rPr>
        <w:t>However, n</w:t>
      </w:r>
      <w:r w:rsidR="008D774D" w:rsidRPr="008D774D">
        <w:rPr>
          <w:rFonts w:cs="Arial"/>
          <w:bCs/>
          <w:color w:val="auto"/>
          <w:sz w:val="20"/>
          <w:szCs w:val="20"/>
        </w:rPr>
        <w:t>o publication is allowed in respect of protected counter-terrorism intelligence matters.</w:t>
      </w:r>
    </w:p>
    <w:p w14:paraId="01822A50" w14:textId="77777777" w:rsidR="003218CF" w:rsidRDefault="003218CF" w:rsidP="003218CF">
      <w:pPr>
        <w:jc w:val="both"/>
        <w:rPr>
          <w:rFonts w:ascii="Arial" w:hAnsi="Arial" w:cs="Arial"/>
          <w:sz w:val="20"/>
          <w:szCs w:val="20"/>
        </w:rPr>
      </w:pPr>
    </w:p>
    <w:p w14:paraId="799DEBF1" w14:textId="799AA3F7" w:rsidR="003218CF" w:rsidRPr="00220B9E" w:rsidRDefault="003218CF" w:rsidP="003218CF">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lastRenderedPageBreak/>
        <w:t xml:space="preserve">FLOWCHARTS FOR CHILDREN’S COURT SEO PROCESSES </w:t>
      </w:r>
    </w:p>
    <w:p w14:paraId="52901A90" w14:textId="78BFE37F" w:rsidR="003218CF" w:rsidRDefault="003218CF" w:rsidP="009974FF">
      <w:pPr>
        <w:spacing w:before="120" w:after="120"/>
        <w:jc w:val="both"/>
        <w:rPr>
          <w:rFonts w:ascii="Arial" w:hAnsi="Arial" w:cs="Arial"/>
          <w:sz w:val="20"/>
          <w:szCs w:val="20"/>
        </w:rPr>
      </w:pPr>
      <w:r w:rsidRPr="004743DB">
        <w:rPr>
          <w:rFonts w:ascii="Arial" w:hAnsi="Arial" w:cs="Arial"/>
          <w:b/>
          <w:bCs/>
          <w:sz w:val="20"/>
          <w:szCs w:val="20"/>
        </w:rPr>
        <w:t>Flowcharts 1A &amp; 1B</w:t>
      </w:r>
      <w:r>
        <w:rPr>
          <w:rFonts w:ascii="Arial" w:hAnsi="Arial" w:cs="Arial"/>
          <w:sz w:val="20"/>
          <w:szCs w:val="20"/>
        </w:rPr>
        <w:t xml:space="preserve"> below depict the processes in the Children’s Court for applications and orders to make, vary, revoke and extend SEOs.</w:t>
      </w:r>
    </w:p>
    <w:p w14:paraId="12493B10" w14:textId="66D0099E" w:rsidR="006C1AE0" w:rsidRDefault="003178FE" w:rsidP="006C1AE0">
      <w:pPr>
        <w:ind w:left="-1134" w:right="-1134"/>
        <w:jc w:val="center"/>
        <w:rPr>
          <w:rFonts w:ascii="Arial" w:hAnsi="Arial" w:cs="Arial"/>
          <w:sz w:val="20"/>
        </w:rPr>
      </w:pPr>
      <w:r>
        <w:rPr>
          <w:rFonts w:ascii="Arial" w:hAnsi="Arial" w:cs="Arial"/>
          <w:b/>
          <w:bCs/>
          <w:noProof/>
          <w:sz w:val="20"/>
          <w:szCs w:val="20"/>
        </w:rPr>
        <mc:AlternateContent>
          <mc:Choice Requires="wps">
            <w:drawing>
              <wp:anchor distT="45720" distB="45720" distL="114300" distR="114300" simplePos="0" relativeHeight="251716608" behindDoc="0" locked="0" layoutInCell="1" allowOverlap="1" wp14:anchorId="52C3D9BF" wp14:editId="4D9EF955">
                <wp:simplePos x="0" y="0"/>
                <wp:positionH relativeFrom="column">
                  <wp:posOffset>-56515</wp:posOffset>
                </wp:positionH>
                <wp:positionV relativeFrom="paragraph">
                  <wp:posOffset>2486025</wp:posOffset>
                </wp:positionV>
                <wp:extent cx="443865" cy="431165"/>
                <wp:effectExtent l="8255" t="8255" r="5080" b="8255"/>
                <wp:wrapNone/>
                <wp:docPr id="1445715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431165"/>
                        </a:xfrm>
                        <a:prstGeom prst="rect">
                          <a:avLst/>
                        </a:prstGeom>
                        <a:solidFill>
                          <a:srgbClr val="FFFFFF"/>
                        </a:solidFill>
                        <a:ln w="9525">
                          <a:solidFill>
                            <a:srgbClr val="FFFFFF"/>
                          </a:solidFill>
                          <a:miter lim="800000"/>
                          <a:headEnd/>
                          <a:tailEnd/>
                        </a:ln>
                      </wps:spPr>
                      <wps:txbx>
                        <w:txbxContent>
                          <w:p w14:paraId="70A4B41F" w14:textId="77777777" w:rsidR="00CE09D6" w:rsidRDefault="00CE09D6" w:rsidP="00CE09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3D9BF" id="Text Box 2" o:spid="_x0000_s1028" type="#_x0000_t202" style="position:absolute;left:0;text-align:left;margin-left:-4.45pt;margin-top:195.75pt;width:34.95pt;height:33.9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" strokecolor="white">
                <v:textbox>
                  <w:txbxContent>
                    <w:p w14:paraId="70A4B41F" w14:textId="77777777" w:rsidR="00CE09D6" w:rsidRDefault="00CE09D6" w:rsidP="00CE09D6"/>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58A886C2" wp14:editId="08EA48ED">
                <wp:simplePos x="0" y="0"/>
                <wp:positionH relativeFrom="column">
                  <wp:posOffset>-118110</wp:posOffset>
                </wp:positionH>
                <wp:positionV relativeFrom="paragraph">
                  <wp:posOffset>2738120</wp:posOffset>
                </wp:positionV>
                <wp:extent cx="183515" cy="251460"/>
                <wp:effectExtent l="0" t="0" r="0" b="0"/>
                <wp:wrapNone/>
                <wp:docPr id="1036930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 cy="251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4D2C1C" id="Rectangle 3" o:spid="_x0000_s1026" style="position:absolute;margin-left:-9.3pt;margin-top:215.6pt;width:14.45pt;height:19.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" fillcolor="white [3212]" stroked="f" strokeweight="1pt"/>
            </w:pict>
          </mc:Fallback>
        </mc:AlternateContent>
      </w:r>
      <w:r w:rsidR="006C1AE0" w:rsidRPr="006C1AE0">
        <w:rPr>
          <w:rFonts w:ascii="Arial" w:hAnsi="Arial" w:cs="Arial"/>
          <w:noProof/>
          <w:sz w:val="20"/>
          <w:bdr w:val="single" w:sz="8" w:space="0" w:color="auto"/>
        </w:rPr>
        <w:drawing>
          <wp:inline distT="0" distB="0" distL="0" distR="0" wp14:anchorId="7048F9A4" wp14:editId="3F5FD602">
            <wp:extent cx="5868000" cy="824861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68000" cy="8248612"/>
                    </a:xfrm>
                    <a:prstGeom prst="rect">
                      <a:avLst/>
                    </a:prstGeom>
                  </pic:spPr>
                </pic:pic>
              </a:graphicData>
            </a:graphic>
          </wp:inline>
        </w:drawing>
      </w:r>
    </w:p>
    <w:p w14:paraId="28041C6B" w14:textId="41B3A9DF" w:rsidR="00F52117" w:rsidRDefault="00F52117" w:rsidP="00F52117">
      <w:pPr>
        <w:ind w:left="-1134" w:right="-1134"/>
        <w:jc w:val="center"/>
        <w:rPr>
          <w:rFonts w:ascii="Arial" w:hAnsi="Arial" w:cs="Arial"/>
          <w:b/>
          <w:bCs/>
        </w:rPr>
      </w:pPr>
      <w:bookmarkStart w:id="376" w:name="_4.4_Definitions_of"/>
      <w:bookmarkStart w:id="377" w:name="B44"/>
      <w:bookmarkStart w:id="378" w:name="_Toc30644239"/>
      <w:bookmarkStart w:id="379" w:name="_Toc30644642"/>
      <w:bookmarkStart w:id="380" w:name="_Toc30645192"/>
      <w:bookmarkStart w:id="381" w:name="_Toc30646403"/>
      <w:bookmarkStart w:id="382" w:name="_Toc30646698"/>
      <w:bookmarkStart w:id="383" w:name="_Toc30646809"/>
      <w:bookmarkStart w:id="384" w:name="_Toc30648166"/>
      <w:bookmarkStart w:id="385" w:name="_Toc30649064"/>
      <w:bookmarkStart w:id="386" w:name="_Toc30649140"/>
      <w:bookmarkStart w:id="387" w:name="_Toc30649401"/>
      <w:bookmarkStart w:id="388" w:name="_Toc30649726"/>
      <w:bookmarkStart w:id="389" w:name="_Toc30651666"/>
      <w:bookmarkStart w:id="390" w:name="_Toc30652656"/>
      <w:bookmarkStart w:id="391" w:name="_Toc30652752"/>
      <w:bookmarkStart w:id="392" w:name="_Toc30654097"/>
      <w:bookmarkStart w:id="393" w:name="_Toc30654448"/>
      <w:bookmarkStart w:id="394" w:name="_Toc30655067"/>
      <w:bookmarkStart w:id="395" w:name="_Toc30655324"/>
      <w:bookmarkStart w:id="396" w:name="_Toc30657002"/>
      <w:bookmarkStart w:id="397" w:name="_Toc30661751"/>
      <w:bookmarkStart w:id="398" w:name="_Toc30666439"/>
      <w:bookmarkStart w:id="399" w:name="_Toc30666669"/>
      <w:bookmarkStart w:id="400" w:name="_Toc30667844"/>
      <w:bookmarkStart w:id="401" w:name="_Toc30669222"/>
      <w:bookmarkStart w:id="402" w:name="_Toc30671438"/>
      <w:bookmarkStart w:id="403" w:name="_Toc30673965"/>
      <w:bookmarkStart w:id="404" w:name="_Toc30691187"/>
      <w:bookmarkStart w:id="405" w:name="_Toc30691560"/>
      <w:bookmarkStart w:id="406" w:name="_Toc30691940"/>
      <w:bookmarkStart w:id="407" w:name="_Toc30692699"/>
      <w:bookmarkStart w:id="408" w:name="_Toc30693078"/>
      <w:bookmarkStart w:id="409" w:name="_Toc30693456"/>
      <w:bookmarkStart w:id="410" w:name="_Toc30693834"/>
      <w:bookmarkStart w:id="411" w:name="_Toc30694215"/>
      <w:bookmarkStart w:id="412" w:name="_Toc30698804"/>
      <w:bookmarkStart w:id="413" w:name="_Toc30699182"/>
      <w:bookmarkStart w:id="414" w:name="_Toc30699567"/>
      <w:bookmarkStart w:id="415" w:name="_Toc30700722"/>
      <w:bookmarkStart w:id="416" w:name="_Toc30701109"/>
      <w:bookmarkStart w:id="417" w:name="_Toc30743718"/>
      <w:bookmarkStart w:id="418" w:name="_Toc30754541"/>
      <w:bookmarkStart w:id="419" w:name="_Toc30756981"/>
      <w:bookmarkStart w:id="420" w:name="_Toc30757530"/>
      <w:bookmarkStart w:id="421" w:name="_Toc30757930"/>
      <w:bookmarkStart w:id="422" w:name="_Toc30762691"/>
      <w:bookmarkStart w:id="423" w:name="_Toc30767345"/>
      <w:bookmarkStart w:id="424" w:name="_Toc34823361"/>
      <w:bookmarkStart w:id="425" w:name="_Toc60399996"/>
      <w:bookmarkEnd w:id="376"/>
      <w:bookmarkEnd w:id="377"/>
      <w:r w:rsidRPr="00F52117">
        <w:rPr>
          <w:rFonts w:ascii="Arial" w:hAnsi="Arial" w:cs="Arial"/>
          <w:b/>
          <w:bCs/>
          <w:noProof/>
          <w:bdr w:val="single" w:sz="8" w:space="0" w:color="auto"/>
        </w:rPr>
        <w:lastRenderedPageBreak/>
        <w:drawing>
          <wp:inline distT="0" distB="0" distL="0" distR="0" wp14:anchorId="2488A6D9" wp14:editId="12EED8FF">
            <wp:extent cx="6321600" cy="8848800"/>
            <wp:effectExtent l="0" t="0" r="317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21600" cy="8848800"/>
                    </a:xfrm>
                    <a:prstGeom prst="rect">
                      <a:avLst/>
                    </a:prstGeom>
                  </pic:spPr>
                </pic:pic>
              </a:graphicData>
            </a:graphic>
          </wp:inline>
        </w:drawing>
      </w:r>
    </w:p>
    <w:p w14:paraId="62414DC4" w14:textId="77777777" w:rsidR="008664F6" w:rsidRDefault="008664F6" w:rsidP="008664F6">
      <w:pPr>
        <w:jc w:val="both"/>
        <w:rPr>
          <w:rFonts w:ascii="Arial" w:hAnsi="Arial" w:cs="Arial"/>
          <w:sz w:val="20"/>
          <w:szCs w:val="20"/>
        </w:rPr>
      </w:pPr>
    </w:p>
    <w:p w14:paraId="7E513111" w14:textId="41AF44FC" w:rsidR="008664F6" w:rsidRDefault="008664F6" w:rsidP="00C15FCF">
      <w:pPr>
        <w:jc w:val="center"/>
        <w:rPr>
          <w:rFonts w:ascii="Arial" w:hAnsi="Arial" w:cs="Arial"/>
          <w:b/>
          <w:bCs/>
          <w:color w:val="FFFFFF" w:themeColor="background1"/>
          <w:sz w:val="20"/>
          <w:shd w:val="clear" w:color="auto" w:fill="000000" w:themeFill="text1"/>
        </w:rPr>
      </w:pPr>
      <w:r>
        <w:rPr>
          <w:rFonts w:ascii="Arial" w:hAnsi="Arial" w:cs="Arial"/>
          <w:b/>
          <w:bCs/>
          <w:color w:val="FFFFFF" w:themeColor="background1"/>
          <w:sz w:val="20"/>
          <w:shd w:val="clear" w:color="auto" w:fill="000000" w:themeFill="text1"/>
        </w:rPr>
        <w:lastRenderedPageBreak/>
        <w:t>COUNTER-TERRORISM INTELLIGENCE PROTECTION ORDERS</w:t>
      </w:r>
      <w:r w:rsidR="004F6FB1">
        <w:rPr>
          <w:rFonts w:ascii="Arial" w:hAnsi="Arial" w:cs="Arial"/>
          <w:b/>
          <w:bCs/>
          <w:color w:val="FFFFFF" w:themeColor="background1"/>
          <w:sz w:val="20"/>
          <w:shd w:val="clear" w:color="auto" w:fill="000000" w:themeFill="text1"/>
        </w:rPr>
        <w:t xml:space="preserve"> (CTIPOs)</w:t>
      </w:r>
      <w:r>
        <w:rPr>
          <w:rFonts w:ascii="Arial" w:hAnsi="Arial" w:cs="Arial"/>
          <w:b/>
          <w:bCs/>
          <w:color w:val="FFFFFF" w:themeColor="background1"/>
          <w:sz w:val="20"/>
          <w:shd w:val="clear" w:color="auto" w:fill="000000" w:themeFill="text1"/>
        </w:rPr>
        <w:t xml:space="preserve"> </w:t>
      </w:r>
    </w:p>
    <w:p w14:paraId="0BD4435A" w14:textId="2623B1A2" w:rsidR="008664F6" w:rsidRPr="00220B9E" w:rsidRDefault="008664F6" w:rsidP="008664F6">
      <w:pPr>
        <w:jc w:val="center"/>
        <w:rPr>
          <w:rFonts w:ascii="Arial" w:hAnsi="Arial" w:cs="Arial"/>
          <w:b/>
          <w:bCs/>
          <w:color w:val="000000"/>
          <w:sz w:val="20"/>
        </w:rPr>
      </w:pPr>
      <w:r>
        <w:rPr>
          <w:rFonts w:ascii="Arial" w:hAnsi="Arial" w:cs="Arial"/>
          <w:b/>
          <w:bCs/>
          <w:color w:val="FFFFFF" w:themeColor="background1"/>
          <w:sz w:val="20"/>
          <w:shd w:val="clear" w:color="auto" w:fill="000000" w:themeFill="text1"/>
        </w:rPr>
        <w:t>IN THE SUPREME COURT</w:t>
      </w:r>
      <w:r w:rsidR="006E3AE6">
        <w:rPr>
          <w:rFonts w:ascii="Arial" w:hAnsi="Arial" w:cs="Arial"/>
          <w:b/>
          <w:bCs/>
          <w:color w:val="FFFFFF" w:themeColor="background1"/>
          <w:sz w:val="20"/>
          <w:shd w:val="clear" w:color="auto" w:fill="000000" w:themeFill="text1"/>
        </w:rPr>
        <w:t xml:space="preserve"> AND THEIR IMPACT ON THE CHILDREN’S COURT</w:t>
      </w:r>
    </w:p>
    <w:p w14:paraId="69289601" w14:textId="77777777" w:rsidR="008664F6" w:rsidRDefault="008664F6" w:rsidP="008664F6">
      <w:pPr>
        <w:jc w:val="both"/>
        <w:rPr>
          <w:rFonts w:ascii="Arial" w:hAnsi="Arial" w:cs="Arial"/>
          <w:sz w:val="20"/>
          <w:szCs w:val="20"/>
        </w:rPr>
      </w:pPr>
    </w:p>
    <w:p w14:paraId="6B1233CC" w14:textId="4A9A748C" w:rsidR="008664F6" w:rsidRPr="00C15FCF" w:rsidRDefault="008664F6">
      <w:pPr>
        <w:pStyle w:val="HeadingTwo"/>
        <w:numPr>
          <w:ilvl w:val="0"/>
          <w:numId w:val="66"/>
        </w:numPr>
        <w:spacing w:after="0"/>
        <w:ind w:left="357" w:hanging="357"/>
        <w:jc w:val="both"/>
        <w:rPr>
          <w:rFonts w:cs="Arial"/>
          <w:bCs/>
          <w:color w:val="000000" w:themeColor="text1"/>
          <w:sz w:val="20"/>
          <w:szCs w:val="20"/>
        </w:rPr>
      </w:pPr>
      <w:r w:rsidRPr="00C15FCF">
        <w:rPr>
          <w:rFonts w:cs="Arial"/>
          <w:bCs/>
          <w:color w:val="000000" w:themeColor="text1"/>
          <w:sz w:val="20"/>
          <w:szCs w:val="20"/>
        </w:rPr>
        <w:t>The</w:t>
      </w:r>
      <w:r w:rsidR="00193BF2">
        <w:rPr>
          <w:rFonts w:cs="Arial"/>
          <w:bCs/>
          <w:color w:val="000000" w:themeColor="text1"/>
          <w:sz w:val="20"/>
          <w:szCs w:val="20"/>
        </w:rPr>
        <w:t xml:space="preserve"> 2021 amending Act</w:t>
      </w:r>
      <w:r w:rsidR="0004634A">
        <w:rPr>
          <w:rFonts w:cs="Arial"/>
          <w:bCs/>
          <w:color w:val="000000" w:themeColor="text1"/>
          <w:sz w:val="20"/>
          <w:szCs w:val="20"/>
        </w:rPr>
        <w:t xml:space="preserve"> </w:t>
      </w:r>
      <w:r w:rsidR="00C15FCF" w:rsidRPr="00C15FCF">
        <w:rPr>
          <w:rFonts w:cs="Arial"/>
          <w:bCs/>
          <w:color w:val="000000" w:themeColor="text1"/>
          <w:sz w:val="20"/>
          <w:szCs w:val="20"/>
        </w:rPr>
        <w:t xml:space="preserve">expands the existing </w:t>
      </w:r>
      <w:r w:rsidR="00C15FCF" w:rsidRPr="00C15FCF">
        <w:rPr>
          <w:rFonts w:cs="Arial"/>
          <w:bCs/>
          <w:color w:val="000000" w:themeColor="text1"/>
          <w:sz w:val="20"/>
          <w:szCs w:val="18"/>
          <w:shd w:val="clear" w:color="auto" w:fill="FFFFFF"/>
        </w:rPr>
        <w:t>counter-terrorism intelligence protection order scheme (CTIPO)</w:t>
      </w:r>
      <w:r w:rsidR="00C15FCF">
        <w:rPr>
          <w:rFonts w:cs="Arial"/>
          <w:bCs/>
          <w:color w:val="000000" w:themeColor="text1"/>
          <w:sz w:val="20"/>
          <w:szCs w:val="18"/>
          <w:shd w:val="clear" w:color="auto" w:fill="FFFFFF"/>
        </w:rPr>
        <w:t xml:space="preserve"> in </w:t>
      </w:r>
      <w:r w:rsidR="00C15FCF" w:rsidRPr="003868C1">
        <w:rPr>
          <w:rFonts w:cs="Arial"/>
          <w:b/>
          <w:color w:val="000000" w:themeColor="text1"/>
          <w:sz w:val="20"/>
          <w:szCs w:val="18"/>
          <w:shd w:val="clear" w:color="auto" w:fill="FFFFFF"/>
        </w:rPr>
        <w:t>Part 5</w:t>
      </w:r>
      <w:r w:rsidR="00C15FCF">
        <w:rPr>
          <w:rFonts w:cs="Arial"/>
          <w:bCs/>
          <w:color w:val="000000" w:themeColor="text1"/>
          <w:sz w:val="20"/>
          <w:szCs w:val="18"/>
          <w:shd w:val="clear" w:color="auto" w:fill="FFFFFF"/>
        </w:rPr>
        <w:t xml:space="preserve"> of the TCPA</w:t>
      </w:r>
      <w:r w:rsidR="003868C1">
        <w:rPr>
          <w:rFonts w:cs="Arial"/>
          <w:bCs/>
          <w:color w:val="000000" w:themeColor="text1"/>
          <w:sz w:val="20"/>
          <w:szCs w:val="18"/>
          <w:shd w:val="clear" w:color="auto" w:fill="FFFFFF"/>
        </w:rPr>
        <w:t>.  Amended s.</w:t>
      </w:r>
      <w:r w:rsidR="003868C1" w:rsidRPr="003868C1">
        <w:rPr>
          <w:rFonts w:cs="Arial"/>
          <w:b/>
          <w:color w:val="000000" w:themeColor="text1"/>
          <w:sz w:val="20"/>
          <w:szCs w:val="18"/>
          <w:shd w:val="clear" w:color="auto" w:fill="FFFFFF"/>
        </w:rPr>
        <w:t>25</w:t>
      </w:r>
      <w:r w:rsidR="00C15FCF">
        <w:rPr>
          <w:rFonts w:cs="Arial"/>
          <w:bCs/>
          <w:color w:val="000000" w:themeColor="text1"/>
          <w:sz w:val="20"/>
          <w:szCs w:val="18"/>
          <w:shd w:val="clear" w:color="auto" w:fill="FFFFFF"/>
        </w:rPr>
        <w:t xml:space="preserve"> allow</w:t>
      </w:r>
      <w:r w:rsidR="003868C1">
        <w:rPr>
          <w:rFonts w:cs="Arial"/>
          <w:bCs/>
          <w:color w:val="000000" w:themeColor="text1"/>
          <w:sz w:val="20"/>
          <w:szCs w:val="18"/>
          <w:shd w:val="clear" w:color="auto" w:fill="FFFFFF"/>
        </w:rPr>
        <w:t>s</w:t>
      </w:r>
      <w:r w:rsidR="00C15FCF">
        <w:rPr>
          <w:rFonts w:cs="Arial"/>
          <w:bCs/>
          <w:color w:val="000000" w:themeColor="text1"/>
          <w:sz w:val="20"/>
          <w:szCs w:val="18"/>
          <w:shd w:val="clear" w:color="auto" w:fill="FFFFFF"/>
        </w:rPr>
        <w:t xml:space="preserve"> an APO who is making an SEO application to apply to the Supreme Court for a CTIPO in relation to any information</w:t>
      </w:r>
      <w:r w:rsidR="003868C1">
        <w:rPr>
          <w:rFonts w:cs="Arial"/>
          <w:bCs/>
          <w:color w:val="000000" w:themeColor="text1"/>
          <w:sz w:val="20"/>
          <w:szCs w:val="18"/>
          <w:shd w:val="clear" w:color="auto" w:fill="FFFFFF"/>
        </w:rPr>
        <w:t>,</w:t>
      </w:r>
      <w:r w:rsidR="00C15FCF">
        <w:rPr>
          <w:rFonts w:cs="Arial"/>
          <w:bCs/>
          <w:color w:val="000000" w:themeColor="text1"/>
          <w:sz w:val="20"/>
          <w:szCs w:val="18"/>
          <w:shd w:val="clear" w:color="auto" w:fill="FFFFFF"/>
        </w:rPr>
        <w:t xml:space="preserve"> document or other thing related to the SEO hearing that the APO believes on reasonable grounds is counter-terrorism intelligence.</w:t>
      </w:r>
    </w:p>
    <w:p w14:paraId="5A5FEAA2" w14:textId="2ACFE367" w:rsidR="00C15FCF" w:rsidRPr="00F3187F" w:rsidRDefault="00C15FCF">
      <w:pPr>
        <w:pStyle w:val="HeadingTwo"/>
        <w:numPr>
          <w:ilvl w:val="0"/>
          <w:numId w:val="66"/>
        </w:numPr>
        <w:spacing w:before="120" w:after="0"/>
        <w:ind w:left="357" w:hanging="357"/>
        <w:jc w:val="both"/>
        <w:rPr>
          <w:rFonts w:cs="Arial"/>
          <w:bCs/>
          <w:color w:val="000000" w:themeColor="text1"/>
          <w:sz w:val="20"/>
          <w:szCs w:val="20"/>
        </w:rPr>
      </w:pPr>
      <w:r>
        <w:rPr>
          <w:rFonts w:cs="Arial"/>
          <w:bCs/>
          <w:color w:val="000000" w:themeColor="text1"/>
          <w:sz w:val="20"/>
          <w:szCs w:val="20"/>
        </w:rPr>
        <w:t>A CTIPO application that relates to</w:t>
      </w:r>
      <w:r w:rsidR="00F3187F">
        <w:rPr>
          <w:rFonts w:cs="Arial"/>
          <w:bCs/>
          <w:color w:val="000000" w:themeColor="text1"/>
          <w:sz w:val="20"/>
          <w:szCs w:val="20"/>
        </w:rPr>
        <w:t xml:space="preserve"> </w:t>
      </w:r>
      <w:r w:rsidR="00F3187F">
        <w:rPr>
          <w:rFonts w:cs="Arial"/>
          <w:color w:val="000000"/>
          <w:sz w:val="20"/>
        </w:rPr>
        <w:t>an application for an SEO or an APO application for the variation or extension of an SEO must be made no later than 3 days after the substantive application is made [s.</w:t>
      </w:r>
      <w:r w:rsidR="00F3187F" w:rsidRPr="00F3187F">
        <w:rPr>
          <w:rFonts w:cs="Arial"/>
          <w:b/>
          <w:bCs/>
          <w:color w:val="000000"/>
          <w:sz w:val="20"/>
        </w:rPr>
        <w:t>2</w:t>
      </w:r>
      <w:r w:rsidR="00F3187F">
        <w:rPr>
          <w:rFonts w:cs="Arial"/>
          <w:b/>
          <w:bCs/>
          <w:color w:val="000000"/>
          <w:sz w:val="20"/>
        </w:rPr>
        <w:t>5</w:t>
      </w:r>
      <w:r w:rsidR="00F3187F" w:rsidRPr="00F3187F">
        <w:rPr>
          <w:rFonts w:cs="Arial"/>
          <w:b/>
          <w:bCs/>
          <w:color w:val="000000"/>
          <w:sz w:val="20"/>
        </w:rPr>
        <w:t>(1C)</w:t>
      </w:r>
      <w:r w:rsidR="00F3187F">
        <w:rPr>
          <w:rFonts w:cs="Arial"/>
          <w:color w:val="000000"/>
          <w:sz w:val="20"/>
        </w:rPr>
        <w:t>].</w:t>
      </w:r>
    </w:p>
    <w:p w14:paraId="0453BAB7" w14:textId="3C266FD4" w:rsidR="00F3187F" w:rsidRDefault="00F3187F">
      <w:pPr>
        <w:pStyle w:val="HeadingTwo"/>
        <w:numPr>
          <w:ilvl w:val="0"/>
          <w:numId w:val="66"/>
        </w:numPr>
        <w:spacing w:before="120" w:after="0"/>
        <w:ind w:left="357" w:hanging="357"/>
        <w:jc w:val="both"/>
        <w:rPr>
          <w:rFonts w:cs="Arial"/>
          <w:bCs/>
          <w:color w:val="000000" w:themeColor="text1"/>
          <w:sz w:val="20"/>
          <w:szCs w:val="20"/>
        </w:rPr>
      </w:pPr>
      <w:r>
        <w:rPr>
          <w:rFonts w:cs="Arial"/>
          <w:bCs/>
          <w:color w:val="000000" w:themeColor="text1"/>
          <w:sz w:val="20"/>
          <w:szCs w:val="20"/>
        </w:rPr>
        <w:t>A CTIPO application that relates to an application by an SP for the variation, extension or revocation of an SEO must be made as soon as practicable after the substantive application is made [s.</w:t>
      </w:r>
      <w:r w:rsidRPr="00F3187F">
        <w:rPr>
          <w:rFonts w:cs="Arial"/>
          <w:b/>
          <w:color w:val="000000" w:themeColor="text1"/>
          <w:sz w:val="20"/>
          <w:szCs w:val="20"/>
        </w:rPr>
        <w:t>25(1D)</w:t>
      </w:r>
      <w:r>
        <w:rPr>
          <w:rFonts w:cs="Arial"/>
          <w:bCs/>
          <w:color w:val="000000" w:themeColor="text1"/>
          <w:sz w:val="20"/>
          <w:szCs w:val="20"/>
        </w:rPr>
        <w:t>].</w:t>
      </w:r>
    </w:p>
    <w:p w14:paraId="299CF501" w14:textId="384995EC" w:rsidR="00F3187F" w:rsidRDefault="00F3187F">
      <w:pPr>
        <w:pStyle w:val="HeadingTwo"/>
        <w:numPr>
          <w:ilvl w:val="0"/>
          <w:numId w:val="66"/>
        </w:numPr>
        <w:spacing w:before="120" w:after="0"/>
        <w:ind w:left="357" w:hanging="357"/>
        <w:jc w:val="both"/>
        <w:rPr>
          <w:rFonts w:cs="Arial"/>
          <w:bCs/>
          <w:color w:val="000000" w:themeColor="text1"/>
          <w:sz w:val="20"/>
          <w:szCs w:val="20"/>
        </w:rPr>
      </w:pPr>
      <w:r>
        <w:rPr>
          <w:rFonts w:cs="Arial"/>
          <w:bCs/>
          <w:color w:val="000000" w:themeColor="text1"/>
          <w:sz w:val="20"/>
          <w:szCs w:val="20"/>
        </w:rPr>
        <w:t>A CTIPO application that relates to an SEO review hearing must be made as soon as practicable after the lower court has directed under s.</w:t>
      </w:r>
      <w:r w:rsidRPr="00F3187F">
        <w:rPr>
          <w:rFonts w:cs="Arial"/>
          <w:b/>
          <w:color w:val="000000" w:themeColor="text1"/>
          <w:sz w:val="20"/>
          <w:szCs w:val="20"/>
        </w:rPr>
        <w:t>22CW(1)</w:t>
      </w:r>
      <w:r>
        <w:rPr>
          <w:rFonts w:cs="Arial"/>
          <w:bCs/>
          <w:color w:val="000000" w:themeColor="text1"/>
          <w:sz w:val="20"/>
          <w:szCs w:val="20"/>
        </w:rPr>
        <w:t xml:space="preserve"> that a review hearing is to be held [s.</w:t>
      </w:r>
      <w:r w:rsidRPr="00F3187F">
        <w:rPr>
          <w:rFonts w:cs="Arial"/>
          <w:b/>
          <w:color w:val="000000" w:themeColor="text1"/>
          <w:sz w:val="20"/>
          <w:szCs w:val="20"/>
        </w:rPr>
        <w:t>25(1E)</w:t>
      </w:r>
      <w:r>
        <w:rPr>
          <w:rFonts w:cs="Arial"/>
          <w:bCs/>
          <w:color w:val="000000" w:themeColor="text1"/>
          <w:sz w:val="20"/>
          <w:szCs w:val="20"/>
        </w:rPr>
        <w:t>].</w:t>
      </w:r>
    </w:p>
    <w:p w14:paraId="7A0961DC" w14:textId="584671AC" w:rsidR="00F3187F" w:rsidRDefault="00F3187F">
      <w:pPr>
        <w:pStyle w:val="HeadingTwo"/>
        <w:numPr>
          <w:ilvl w:val="0"/>
          <w:numId w:val="66"/>
        </w:numPr>
        <w:spacing w:before="120" w:after="0"/>
        <w:ind w:left="357" w:hanging="357"/>
        <w:jc w:val="both"/>
        <w:rPr>
          <w:rFonts w:cs="Arial"/>
          <w:bCs/>
          <w:color w:val="000000" w:themeColor="text1"/>
          <w:sz w:val="20"/>
          <w:szCs w:val="20"/>
        </w:rPr>
      </w:pPr>
      <w:r>
        <w:rPr>
          <w:rFonts w:cs="Arial"/>
          <w:bCs/>
          <w:color w:val="000000" w:themeColor="text1"/>
          <w:sz w:val="20"/>
          <w:szCs w:val="20"/>
        </w:rPr>
        <w:t xml:space="preserve">Section </w:t>
      </w:r>
      <w:r w:rsidRPr="00A752FB">
        <w:rPr>
          <w:rFonts w:cs="Arial"/>
          <w:b/>
          <w:color w:val="000000" w:themeColor="text1"/>
          <w:sz w:val="20"/>
          <w:szCs w:val="20"/>
        </w:rPr>
        <w:t>27(1)</w:t>
      </w:r>
      <w:r>
        <w:rPr>
          <w:rFonts w:cs="Arial"/>
          <w:bCs/>
          <w:color w:val="000000" w:themeColor="text1"/>
          <w:sz w:val="20"/>
          <w:szCs w:val="20"/>
        </w:rPr>
        <w:t xml:space="preserve"> provides that the Supreme Court may make a CTIPO in respect of all or part of the information, document or other thing to which the application relates if the </w:t>
      </w:r>
      <w:r w:rsidR="009B7030">
        <w:rPr>
          <w:rFonts w:cs="Arial"/>
          <w:bCs/>
          <w:color w:val="000000" w:themeColor="text1"/>
          <w:sz w:val="20"/>
          <w:szCs w:val="20"/>
        </w:rPr>
        <w:t>c</w:t>
      </w:r>
      <w:r>
        <w:rPr>
          <w:rFonts w:cs="Arial"/>
          <w:bCs/>
          <w:color w:val="000000" w:themeColor="text1"/>
          <w:sz w:val="20"/>
          <w:szCs w:val="20"/>
        </w:rPr>
        <w:t>ourt is satisfied that</w:t>
      </w:r>
      <w:r w:rsidR="00013698">
        <w:rPr>
          <w:rFonts w:cs="Arial"/>
          <w:bCs/>
          <w:color w:val="000000" w:themeColor="text1"/>
          <w:sz w:val="20"/>
          <w:szCs w:val="20"/>
        </w:rPr>
        <w:t>–</w:t>
      </w:r>
    </w:p>
    <w:p w14:paraId="126F703C" w14:textId="0D440C59" w:rsidR="00A752FB" w:rsidRDefault="00A752FB">
      <w:pPr>
        <w:pStyle w:val="ListParagraph"/>
        <w:numPr>
          <w:ilvl w:val="0"/>
          <w:numId w:val="67"/>
        </w:numPr>
        <w:jc w:val="both"/>
        <w:rPr>
          <w:rFonts w:ascii="Arial" w:hAnsi="Arial" w:cs="Arial"/>
          <w:color w:val="000000"/>
          <w:sz w:val="20"/>
        </w:rPr>
      </w:pPr>
      <w:r>
        <w:rPr>
          <w:rFonts w:ascii="Arial" w:hAnsi="Arial" w:cs="Arial"/>
          <w:color w:val="000000"/>
          <w:sz w:val="20"/>
        </w:rPr>
        <w:t>the information, document, thing or part is counter-terrorism intelligence; and</w:t>
      </w:r>
    </w:p>
    <w:p w14:paraId="4A1065E3" w14:textId="06C46F6F" w:rsidR="00A752FB" w:rsidRDefault="00A752FB">
      <w:pPr>
        <w:pStyle w:val="ListParagraph"/>
        <w:numPr>
          <w:ilvl w:val="0"/>
          <w:numId w:val="67"/>
        </w:numPr>
        <w:jc w:val="both"/>
        <w:rPr>
          <w:rFonts w:ascii="Arial" w:hAnsi="Arial" w:cs="Arial"/>
          <w:color w:val="000000"/>
          <w:sz w:val="20"/>
        </w:rPr>
      </w:pPr>
      <w:r>
        <w:rPr>
          <w:rFonts w:ascii="Arial" w:hAnsi="Arial" w:cs="Arial"/>
          <w:color w:val="000000"/>
          <w:sz w:val="20"/>
        </w:rPr>
        <w:t xml:space="preserve">the reasons for maintaining the confidentiality of the intelligence outweigh any prejudice or unfairness to the subject of the substantive </w:t>
      </w:r>
      <w:r w:rsidR="00862742">
        <w:rPr>
          <w:rFonts w:ascii="Arial" w:hAnsi="Arial" w:cs="Arial"/>
          <w:color w:val="000000"/>
          <w:sz w:val="20"/>
        </w:rPr>
        <w:t xml:space="preserve">SEO </w:t>
      </w:r>
      <w:r>
        <w:rPr>
          <w:rFonts w:ascii="Arial" w:hAnsi="Arial" w:cs="Arial"/>
          <w:color w:val="000000"/>
          <w:sz w:val="20"/>
        </w:rPr>
        <w:t>application.</w:t>
      </w:r>
    </w:p>
    <w:p w14:paraId="09D10004" w14:textId="29E3161A" w:rsidR="0032173E" w:rsidRDefault="0032173E">
      <w:pPr>
        <w:pStyle w:val="HeadingTwo"/>
        <w:numPr>
          <w:ilvl w:val="0"/>
          <w:numId w:val="66"/>
        </w:numPr>
        <w:spacing w:before="120" w:after="0"/>
        <w:ind w:left="357" w:hanging="357"/>
        <w:jc w:val="both"/>
        <w:rPr>
          <w:rFonts w:cs="Arial"/>
          <w:bCs/>
          <w:color w:val="000000" w:themeColor="text1"/>
          <w:sz w:val="20"/>
          <w:szCs w:val="20"/>
        </w:rPr>
      </w:pPr>
      <w:r>
        <w:rPr>
          <w:rFonts w:cs="Arial"/>
          <w:bCs/>
          <w:color w:val="000000" w:themeColor="text1"/>
          <w:sz w:val="20"/>
          <w:szCs w:val="20"/>
        </w:rPr>
        <w:t>The making of a CTIPO is not determinative of the admissibility of the protected counter-terrorism intelligence in evidence in the proceeding on the substantive application or hearing [s.</w:t>
      </w:r>
      <w:r w:rsidRPr="0032173E">
        <w:rPr>
          <w:rFonts w:cs="Arial"/>
          <w:b/>
          <w:color w:val="000000" w:themeColor="text1"/>
          <w:sz w:val="20"/>
          <w:szCs w:val="20"/>
        </w:rPr>
        <w:t>29</w:t>
      </w:r>
      <w:r>
        <w:rPr>
          <w:rFonts w:cs="Arial"/>
          <w:bCs/>
          <w:color w:val="000000" w:themeColor="text1"/>
          <w:sz w:val="20"/>
          <w:szCs w:val="20"/>
        </w:rPr>
        <w:t>].</w:t>
      </w:r>
    </w:p>
    <w:p w14:paraId="07D3A1A4" w14:textId="56F7A2BE" w:rsidR="0032173E" w:rsidRDefault="0032173E">
      <w:pPr>
        <w:pStyle w:val="HeadingTwo"/>
        <w:numPr>
          <w:ilvl w:val="0"/>
          <w:numId w:val="66"/>
        </w:numPr>
        <w:spacing w:before="120" w:after="0"/>
        <w:ind w:left="357" w:hanging="357"/>
        <w:jc w:val="both"/>
        <w:rPr>
          <w:rFonts w:cs="Arial"/>
          <w:bCs/>
          <w:color w:val="000000" w:themeColor="text1"/>
          <w:sz w:val="20"/>
          <w:szCs w:val="20"/>
        </w:rPr>
      </w:pPr>
      <w:r>
        <w:rPr>
          <w:rFonts w:cs="Arial"/>
          <w:bCs/>
          <w:color w:val="000000" w:themeColor="text1"/>
          <w:sz w:val="20"/>
          <w:szCs w:val="20"/>
        </w:rPr>
        <w:t xml:space="preserve">However, </w:t>
      </w:r>
      <w:r w:rsidR="00425497">
        <w:rPr>
          <w:rFonts w:cs="Arial"/>
          <w:bCs/>
          <w:color w:val="000000" w:themeColor="text1"/>
          <w:sz w:val="20"/>
          <w:szCs w:val="20"/>
        </w:rPr>
        <w:t>s.</w:t>
      </w:r>
      <w:r w:rsidR="00425497" w:rsidRPr="00425497">
        <w:rPr>
          <w:rFonts w:cs="Arial"/>
          <w:b/>
          <w:color w:val="000000" w:themeColor="text1"/>
          <w:sz w:val="20"/>
          <w:szCs w:val="20"/>
        </w:rPr>
        <w:t>31A</w:t>
      </w:r>
      <w:r w:rsidR="00425497">
        <w:rPr>
          <w:rFonts w:cs="Arial"/>
          <w:bCs/>
          <w:color w:val="000000" w:themeColor="text1"/>
          <w:sz w:val="20"/>
          <w:szCs w:val="20"/>
        </w:rPr>
        <w:t xml:space="preserve"> requires that </w:t>
      </w:r>
      <w:r>
        <w:rPr>
          <w:rFonts w:cs="Arial"/>
          <w:bCs/>
          <w:color w:val="000000" w:themeColor="text1"/>
          <w:sz w:val="20"/>
          <w:szCs w:val="20"/>
        </w:rPr>
        <w:t xml:space="preserve">unless the </w:t>
      </w:r>
      <w:r w:rsidR="00425497">
        <w:rPr>
          <w:rFonts w:cs="Arial"/>
          <w:bCs/>
          <w:color w:val="000000" w:themeColor="text1"/>
          <w:sz w:val="20"/>
          <w:szCs w:val="20"/>
        </w:rPr>
        <w:t>Supreme Court orders otherwise, the relevant part of</w:t>
      </w:r>
      <w:r w:rsidR="00013698">
        <w:rPr>
          <w:rFonts w:cs="Arial"/>
          <w:bCs/>
          <w:color w:val="000000" w:themeColor="text1"/>
          <w:sz w:val="20"/>
          <w:szCs w:val="20"/>
        </w:rPr>
        <w:t>–</w:t>
      </w:r>
    </w:p>
    <w:p w14:paraId="32261355" w14:textId="3E914AFF" w:rsidR="00425497" w:rsidRDefault="00425497">
      <w:pPr>
        <w:pStyle w:val="ListParagraph"/>
        <w:numPr>
          <w:ilvl w:val="0"/>
          <w:numId w:val="68"/>
        </w:numPr>
        <w:jc w:val="both"/>
        <w:rPr>
          <w:rFonts w:ascii="Arial" w:hAnsi="Arial" w:cs="Arial"/>
          <w:color w:val="000000"/>
          <w:sz w:val="20"/>
        </w:rPr>
      </w:pPr>
      <w:r>
        <w:rPr>
          <w:rFonts w:ascii="Arial" w:hAnsi="Arial" w:cs="Arial"/>
          <w:color w:val="000000"/>
          <w:sz w:val="20"/>
        </w:rPr>
        <w:t>the hearing of the substantive SEO application; or</w:t>
      </w:r>
    </w:p>
    <w:p w14:paraId="090F523D" w14:textId="530F3C11" w:rsidR="00425497" w:rsidRDefault="00425497">
      <w:pPr>
        <w:pStyle w:val="ListParagraph"/>
        <w:numPr>
          <w:ilvl w:val="0"/>
          <w:numId w:val="68"/>
        </w:numPr>
        <w:jc w:val="both"/>
        <w:rPr>
          <w:rFonts w:ascii="Arial" w:hAnsi="Arial" w:cs="Arial"/>
          <w:color w:val="000000"/>
          <w:sz w:val="20"/>
        </w:rPr>
      </w:pPr>
      <w:r>
        <w:rPr>
          <w:rFonts w:ascii="Arial" w:hAnsi="Arial" w:cs="Arial"/>
          <w:color w:val="000000"/>
          <w:sz w:val="20"/>
        </w:rPr>
        <w:t>an SEO review hearing-</w:t>
      </w:r>
    </w:p>
    <w:p w14:paraId="7B234087" w14:textId="13BC5D31" w:rsidR="00A752FB" w:rsidRDefault="00425497" w:rsidP="00425497">
      <w:pPr>
        <w:pStyle w:val="HeadingTwo"/>
        <w:spacing w:after="0"/>
        <w:ind w:left="357"/>
        <w:jc w:val="both"/>
        <w:rPr>
          <w:rFonts w:cs="Arial"/>
          <w:bCs/>
          <w:color w:val="000000" w:themeColor="text1"/>
          <w:sz w:val="20"/>
          <w:szCs w:val="20"/>
        </w:rPr>
      </w:pPr>
      <w:r>
        <w:rPr>
          <w:rFonts w:cs="Arial"/>
          <w:bCs/>
          <w:color w:val="000000" w:themeColor="text1"/>
          <w:sz w:val="20"/>
          <w:szCs w:val="20"/>
        </w:rPr>
        <w:t>must be heard in closed court.  If the relevant part is heard in closed court, the only persons who may be present are-</w:t>
      </w:r>
    </w:p>
    <w:p w14:paraId="1A0DD514" w14:textId="0767F81C" w:rsidR="00425497" w:rsidRDefault="00425497">
      <w:pPr>
        <w:pStyle w:val="ListParagraph"/>
        <w:numPr>
          <w:ilvl w:val="0"/>
          <w:numId w:val="56"/>
        </w:numPr>
        <w:ind w:left="714" w:hanging="357"/>
        <w:jc w:val="both"/>
        <w:rPr>
          <w:rFonts w:ascii="Arial" w:hAnsi="Arial" w:cs="Arial"/>
          <w:color w:val="000000"/>
          <w:sz w:val="20"/>
        </w:rPr>
      </w:pPr>
      <w:r>
        <w:rPr>
          <w:rFonts w:ascii="Arial" w:hAnsi="Arial" w:cs="Arial"/>
          <w:color w:val="000000"/>
          <w:sz w:val="20"/>
        </w:rPr>
        <w:t>the APO who made the CTIPO application and his or her legal representatives;</w:t>
      </w:r>
    </w:p>
    <w:p w14:paraId="37AA2292" w14:textId="2CE224DE" w:rsidR="00425497" w:rsidRPr="00425497" w:rsidRDefault="00425497">
      <w:pPr>
        <w:pStyle w:val="ListParagraph"/>
        <w:numPr>
          <w:ilvl w:val="0"/>
          <w:numId w:val="56"/>
        </w:numPr>
        <w:ind w:left="714" w:hanging="357"/>
        <w:jc w:val="both"/>
        <w:rPr>
          <w:rFonts w:ascii="Arial" w:hAnsi="Arial" w:cs="Arial"/>
          <w:color w:val="000000"/>
          <w:sz w:val="20"/>
        </w:rPr>
      </w:pPr>
      <w:r w:rsidRPr="00425497">
        <w:rPr>
          <w:rFonts w:ascii="Arial" w:hAnsi="Arial" w:cs="Arial"/>
          <w:color w:val="000000"/>
          <w:sz w:val="20"/>
        </w:rPr>
        <w:t>a</w:t>
      </w:r>
      <w:r>
        <w:rPr>
          <w:rFonts w:ascii="Arial" w:hAnsi="Arial" w:cs="Arial"/>
          <w:color w:val="000000"/>
          <w:sz w:val="20"/>
        </w:rPr>
        <w:t>ny</w:t>
      </w:r>
      <w:r w:rsidRPr="00425497">
        <w:rPr>
          <w:rFonts w:ascii="Arial" w:hAnsi="Arial" w:cs="Arial"/>
          <w:color w:val="000000"/>
          <w:sz w:val="20"/>
        </w:rPr>
        <w:t xml:space="preserve"> special counsel appointed under s.</w:t>
      </w:r>
      <w:r w:rsidRPr="00425497">
        <w:rPr>
          <w:rFonts w:ascii="Arial" w:hAnsi="Arial" w:cs="Arial"/>
          <w:b/>
          <w:bCs/>
          <w:color w:val="000000"/>
          <w:sz w:val="20"/>
        </w:rPr>
        <w:t>32</w:t>
      </w:r>
      <w:r w:rsidRPr="00425497">
        <w:rPr>
          <w:rFonts w:ascii="Arial" w:hAnsi="Arial" w:cs="Arial"/>
          <w:color w:val="000000"/>
          <w:sz w:val="20"/>
        </w:rPr>
        <w:t xml:space="preserve"> to </w:t>
      </w:r>
      <w:r w:rsidRPr="00425497">
        <w:rPr>
          <w:rFonts w:ascii="Arial" w:hAnsi="Arial" w:cs="Arial"/>
          <w:sz w:val="20"/>
        </w:rPr>
        <w:t>represent the interests of the subject of the substantive application at the hearing of a protection application and the relevant part of the proceeding on the substantive application</w:t>
      </w:r>
      <w:r>
        <w:rPr>
          <w:rFonts w:ascii="Arial" w:hAnsi="Arial" w:cs="Arial"/>
          <w:sz w:val="20"/>
        </w:rPr>
        <w:t>;</w:t>
      </w:r>
    </w:p>
    <w:p w14:paraId="7AAD30C3" w14:textId="1720CBB5" w:rsidR="00425497" w:rsidRPr="00425497" w:rsidRDefault="00425497">
      <w:pPr>
        <w:pStyle w:val="ListParagraph"/>
        <w:numPr>
          <w:ilvl w:val="0"/>
          <w:numId w:val="56"/>
        </w:numPr>
        <w:ind w:left="714" w:hanging="357"/>
        <w:jc w:val="both"/>
        <w:rPr>
          <w:rFonts w:ascii="Arial" w:hAnsi="Arial" w:cs="Arial"/>
          <w:color w:val="000000"/>
          <w:sz w:val="20"/>
        </w:rPr>
      </w:pPr>
      <w:r>
        <w:rPr>
          <w:rFonts w:ascii="Arial" w:hAnsi="Arial" w:cs="Arial"/>
          <w:sz w:val="20"/>
        </w:rPr>
        <w:t>any witnesses who may be called to give evidence;</w:t>
      </w:r>
    </w:p>
    <w:p w14:paraId="6033A260" w14:textId="1116F995" w:rsidR="00425497" w:rsidRPr="00425497" w:rsidRDefault="00425497">
      <w:pPr>
        <w:pStyle w:val="ListParagraph"/>
        <w:numPr>
          <w:ilvl w:val="0"/>
          <w:numId w:val="56"/>
        </w:numPr>
        <w:ind w:left="714" w:hanging="357"/>
        <w:jc w:val="both"/>
        <w:rPr>
          <w:rFonts w:ascii="Arial" w:hAnsi="Arial" w:cs="Arial"/>
          <w:color w:val="000000"/>
          <w:sz w:val="20"/>
        </w:rPr>
      </w:pPr>
      <w:r>
        <w:rPr>
          <w:rFonts w:ascii="Arial" w:hAnsi="Arial" w:cs="Arial"/>
          <w:sz w:val="20"/>
        </w:rPr>
        <w:t>the presiding judicial officer and any necessary court staff; and</w:t>
      </w:r>
    </w:p>
    <w:p w14:paraId="3971739D" w14:textId="7A73DA61" w:rsidR="00425497" w:rsidRPr="00862742" w:rsidRDefault="00862742">
      <w:pPr>
        <w:pStyle w:val="ListParagraph"/>
        <w:numPr>
          <w:ilvl w:val="0"/>
          <w:numId w:val="56"/>
        </w:numPr>
        <w:ind w:left="714" w:hanging="357"/>
        <w:jc w:val="both"/>
        <w:rPr>
          <w:rFonts w:ascii="Arial" w:hAnsi="Arial" w:cs="Arial"/>
          <w:color w:val="000000"/>
          <w:sz w:val="20"/>
        </w:rPr>
      </w:pPr>
      <w:r>
        <w:rPr>
          <w:rFonts w:ascii="Arial" w:hAnsi="Arial" w:cs="Arial"/>
          <w:sz w:val="20"/>
        </w:rPr>
        <w:t>the</w:t>
      </w:r>
      <w:r w:rsidR="00425497">
        <w:rPr>
          <w:rFonts w:ascii="Arial" w:hAnsi="Arial" w:cs="Arial"/>
          <w:sz w:val="20"/>
        </w:rPr>
        <w:t xml:space="preserve"> Public Interest Monitor </w:t>
      </w:r>
      <w:r>
        <w:rPr>
          <w:rFonts w:ascii="Arial" w:hAnsi="Arial" w:cs="Arial"/>
          <w:sz w:val="20"/>
        </w:rPr>
        <w:t>notified under s.</w:t>
      </w:r>
      <w:r w:rsidRPr="00862742">
        <w:rPr>
          <w:rFonts w:ascii="Arial" w:hAnsi="Arial" w:cs="Arial"/>
          <w:b/>
          <w:bCs/>
          <w:sz w:val="20"/>
        </w:rPr>
        <w:t>26</w:t>
      </w:r>
      <w:r>
        <w:rPr>
          <w:rFonts w:ascii="Arial" w:hAnsi="Arial" w:cs="Arial"/>
          <w:sz w:val="20"/>
        </w:rPr>
        <w:t>.</w:t>
      </w:r>
    </w:p>
    <w:p w14:paraId="34BE77D6" w14:textId="585902A2" w:rsidR="00350F3B" w:rsidRDefault="00350F3B" w:rsidP="00350F3B">
      <w:pPr>
        <w:pStyle w:val="HeadingTwo"/>
        <w:spacing w:after="0"/>
        <w:ind w:left="357"/>
        <w:jc w:val="both"/>
        <w:rPr>
          <w:rFonts w:cs="Arial"/>
          <w:bCs/>
          <w:color w:val="000000" w:themeColor="text1"/>
          <w:sz w:val="20"/>
          <w:szCs w:val="20"/>
        </w:rPr>
      </w:pPr>
      <w:r>
        <w:rPr>
          <w:rFonts w:cs="Arial"/>
          <w:bCs/>
          <w:color w:val="000000" w:themeColor="text1"/>
          <w:sz w:val="20"/>
          <w:szCs w:val="20"/>
        </w:rPr>
        <w:t xml:space="preserve">This list of persons entitled to be present does not include the respondent or his or her legal representative, the respondent’s interests </w:t>
      </w:r>
      <w:r w:rsidR="00D45A15">
        <w:rPr>
          <w:rFonts w:cs="Arial"/>
          <w:bCs/>
          <w:color w:val="000000" w:themeColor="text1"/>
          <w:sz w:val="20"/>
          <w:szCs w:val="20"/>
        </w:rPr>
        <w:t xml:space="preserve">in the relevant part </w:t>
      </w:r>
      <w:r>
        <w:rPr>
          <w:rFonts w:cs="Arial"/>
          <w:bCs/>
          <w:color w:val="000000" w:themeColor="text1"/>
          <w:sz w:val="20"/>
          <w:szCs w:val="20"/>
        </w:rPr>
        <w:t>being represented by a special counsel.</w:t>
      </w:r>
    </w:p>
    <w:p w14:paraId="4BFC20D1" w14:textId="0FED07AA" w:rsidR="00862742" w:rsidRPr="00862742" w:rsidRDefault="003218CF">
      <w:pPr>
        <w:pStyle w:val="HeadingTwo"/>
        <w:numPr>
          <w:ilvl w:val="0"/>
          <w:numId w:val="69"/>
        </w:numPr>
        <w:spacing w:before="120" w:after="0"/>
        <w:ind w:left="357" w:hanging="357"/>
        <w:jc w:val="both"/>
        <w:rPr>
          <w:rFonts w:cs="Arial"/>
          <w:bCs/>
          <w:color w:val="000000" w:themeColor="text1"/>
          <w:sz w:val="16"/>
          <w:szCs w:val="16"/>
        </w:rPr>
      </w:pPr>
      <w:r>
        <w:rPr>
          <w:rFonts w:cs="Arial"/>
          <w:color w:val="000000" w:themeColor="text1"/>
          <w:sz w:val="20"/>
          <w:szCs w:val="18"/>
        </w:rPr>
        <w:t>I</w:t>
      </w:r>
      <w:r w:rsidR="00862742" w:rsidRPr="00862742">
        <w:rPr>
          <w:rFonts w:cs="Arial"/>
          <w:color w:val="000000" w:themeColor="text1"/>
          <w:sz w:val="20"/>
          <w:szCs w:val="18"/>
        </w:rPr>
        <w:t>t is an offence to disclose, receive or solicit any information document or other thing if the person knows or is reckless as to the fact that the thing is protected counter</w:t>
      </w:r>
      <w:r>
        <w:rPr>
          <w:rFonts w:cs="Arial"/>
          <w:color w:val="000000" w:themeColor="text1"/>
          <w:sz w:val="20"/>
          <w:szCs w:val="18"/>
        </w:rPr>
        <w:t>-</w:t>
      </w:r>
      <w:r w:rsidR="00862742" w:rsidRPr="00862742">
        <w:rPr>
          <w:rFonts w:cs="Arial"/>
          <w:color w:val="000000" w:themeColor="text1"/>
          <w:sz w:val="20"/>
          <w:szCs w:val="18"/>
        </w:rPr>
        <w:t>terrorism intelligence</w:t>
      </w:r>
      <w:r>
        <w:rPr>
          <w:rFonts w:cs="Arial"/>
          <w:color w:val="000000" w:themeColor="text1"/>
          <w:sz w:val="20"/>
          <w:szCs w:val="18"/>
        </w:rPr>
        <w:t xml:space="preserve"> [s.</w:t>
      </w:r>
      <w:r w:rsidRPr="003218CF">
        <w:rPr>
          <w:rFonts w:cs="Arial"/>
          <w:b/>
          <w:bCs/>
          <w:color w:val="000000" w:themeColor="text1"/>
          <w:sz w:val="20"/>
          <w:szCs w:val="18"/>
        </w:rPr>
        <w:t>37</w:t>
      </w:r>
      <w:r>
        <w:rPr>
          <w:rFonts w:cs="Arial"/>
          <w:color w:val="000000" w:themeColor="text1"/>
          <w:sz w:val="20"/>
          <w:szCs w:val="18"/>
        </w:rPr>
        <w:t>]</w:t>
      </w:r>
      <w:r w:rsidR="00862742" w:rsidRPr="00862742">
        <w:rPr>
          <w:rFonts w:cs="Arial"/>
          <w:color w:val="000000" w:themeColor="text1"/>
          <w:sz w:val="20"/>
          <w:szCs w:val="18"/>
        </w:rPr>
        <w:t>.</w:t>
      </w:r>
    </w:p>
    <w:p w14:paraId="48F8ABC1" w14:textId="16F44E79" w:rsidR="00862742" w:rsidRPr="00862742" w:rsidRDefault="00862742">
      <w:pPr>
        <w:pStyle w:val="HeadingTwo"/>
        <w:numPr>
          <w:ilvl w:val="0"/>
          <w:numId w:val="69"/>
        </w:numPr>
        <w:spacing w:before="120" w:after="0"/>
        <w:ind w:left="357" w:hanging="357"/>
        <w:jc w:val="both"/>
        <w:rPr>
          <w:rFonts w:cs="Arial"/>
          <w:bCs/>
          <w:color w:val="000000" w:themeColor="text1"/>
          <w:sz w:val="16"/>
          <w:szCs w:val="16"/>
        </w:rPr>
      </w:pPr>
      <w:r>
        <w:rPr>
          <w:rFonts w:cs="Arial"/>
          <w:color w:val="000000" w:themeColor="text1"/>
          <w:sz w:val="20"/>
          <w:szCs w:val="18"/>
        </w:rPr>
        <w:t>Under s.</w:t>
      </w:r>
      <w:r w:rsidRPr="00862742">
        <w:rPr>
          <w:rFonts w:cs="Arial"/>
          <w:b/>
          <w:bCs/>
          <w:color w:val="000000" w:themeColor="text1"/>
          <w:sz w:val="20"/>
          <w:szCs w:val="18"/>
        </w:rPr>
        <w:t>27(3)</w:t>
      </w:r>
      <w:r>
        <w:rPr>
          <w:rFonts w:cs="Arial"/>
          <w:color w:val="000000" w:themeColor="text1"/>
          <w:sz w:val="20"/>
          <w:szCs w:val="18"/>
        </w:rPr>
        <w:t>, if the Supreme Court declines to make a CTIPO in respect of all or any part of the information, document or other thing</w:t>
      </w:r>
      <w:r w:rsidR="00013698">
        <w:rPr>
          <w:rFonts w:cs="Arial"/>
          <w:bCs/>
          <w:color w:val="000000" w:themeColor="text1"/>
          <w:sz w:val="20"/>
          <w:szCs w:val="20"/>
        </w:rPr>
        <w:t>–</w:t>
      </w:r>
    </w:p>
    <w:p w14:paraId="0E625404" w14:textId="1EC690F9" w:rsidR="00862742" w:rsidRDefault="00862742">
      <w:pPr>
        <w:pStyle w:val="ListParagraph"/>
        <w:numPr>
          <w:ilvl w:val="0"/>
          <w:numId w:val="70"/>
        </w:numPr>
        <w:jc w:val="both"/>
        <w:rPr>
          <w:rFonts w:ascii="Arial" w:hAnsi="Arial" w:cs="Arial"/>
          <w:color w:val="000000"/>
          <w:sz w:val="20"/>
        </w:rPr>
      </w:pPr>
      <w:r>
        <w:rPr>
          <w:rFonts w:ascii="Arial" w:hAnsi="Arial" w:cs="Arial"/>
          <w:color w:val="000000"/>
          <w:sz w:val="20"/>
        </w:rPr>
        <w:t>no party to the substantive application or hearing is obliged to adduce that material in evidence in the SEO proceeding or hearing; and</w:t>
      </w:r>
    </w:p>
    <w:p w14:paraId="42B46C82" w14:textId="643A29D3" w:rsidR="00862742" w:rsidRDefault="00862742">
      <w:pPr>
        <w:pStyle w:val="ListParagraph"/>
        <w:numPr>
          <w:ilvl w:val="0"/>
          <w:numId w:val="70"/>
        </w:numPr>
        <w:jc w:val="both"/>
        <w:rPr>
          <w:rFonts w:ascii="Arial" w:hAnsi="Arial" w:cs="Arial"/>
          <w:color w:val="000000"/>
          <w:sz w:val="20"/>
        </w:rPr>
      </w:pPr>
      <w:r>
        <w:rPr>
          <w:rFonts w:ascii="Arial" w:hAnsi="Arial" w:cs="Arial"/>
          <w:color w:val="000000"/>
          <w:sz w:val="20"/>
        </w:rPr>
        <w:t>if the application for a CTIPO was made in respect of a substantive application, the applicant may withdraw the substantive application.</w:t>
      </w:r>
    </w:p>
    <w:p w14:paraId="36DD7F69" w14:textId="5E80974B" w:rsidR="008664F6" w:rsidRPr="00E63D32" w:rsidRDefault="00D2723C">
      <w:pPr>
        <w:pStyle w:val="HeadingTwo"/>
        <w:numPr>
          <w:ilvl w:val="0"/>
          <w:numId w:val="69"/>
        </w:numPr>
        <w:spacing w:before="120" w:after="0"/>
        <w:ind w:left="357" w:hanging="357"/>
        <w:jc w:val="both"/>
        <w:rPr>
          <w:rFonts w:cs="Arial"/>
          <w:bCs/>
          <w:color w:val="000000" w:themeColor="text1"/>
          <w:sz w:val="16"/>
          <w:szCs w:val="16"/>
        </w:rPr>
      </w:pPr>
      <w:r w:rsidRPr="00E63D32">
        <w:rPr>
          <w:rFonts w:cs="Arial"/>
          <w:b/>
          <w:bCs/>
          <w:color w:val="000000" w:themeColor="text1"/>
          <w:sz w:val="20"/>
          <w:szCs w:val="20"/>
        </w:rPr>
        <w:t>Flowchart 2</w:t>
      </w:r>
      <w:r w:rsidRPr="00E63D32">
        <w:rPr>
          <w:rFonts w:cs="Arial"/>
          <w:color w:val="000000" w:themeColor="text1"/>
          <w:sz w:val="20"/>
          <w:szCs w:val="20"/>
        </w:rPr>
        <w:t xml:space="preserve"> below depicts the processes in the Children’s Court </w:t>
      </w:r>
      <w:r w:rsidR="003218CF">
        <w:rPr>
          <w:rFonts w:cs="Arial"/>
          <w:color w:val="000000" w:themeColor="text1"/>
          <w:sz w:val="20"/>
          <w:szCs w:val="20"/>
        </w:rPr>
        <w:t xml:space="preserve">where an application has been made </w:t>
      </w:r>
      <w:r w:rsidR="003218CF" w:rsidRPr="00E63D32">
        <w:rPr>
          <w:rFonts w:cs="Arial"/>
          <w:color w:val="000000" w:themeColor="text1"/>
          <w:sz w:val="20"/>
          <w:szCs w:val="20"/>
        </w:rPr>
        <w:t xml:space="preserve">to make, vary, revoke </w:t>
      </w:r>
      <w:r w:rsidR="003218CF">
        <w:rPr>
          <w:rFonts w:cs="Arial"/>
          <w:color w:val="000000" w:themeColor="text1"/>
          <w:sz w:val="20"/>
          <w:szCs w:val="20"/>
        </w:rPr>
        <w:t>or</w:t>
      </w:r>
      <w:r w:rsidR="003218CF" w:rsidRPr="00E63D32">
        <w:rPr>
          <w:rFonts w:cs="Arial"/>
          <w:color w:val="000000" w:themeColor="text1"/>
          <w:sz w:val="20"/>
          <w:szCs w:val="20"/>
        </w:rPr>
        <w:t xml:space="preserve"> extend </w:t>
      </w:r>
      <w:r w:rsidR="003218CF">
        <w:rPr>
          <w:rFonts w:cs="Arial"/>
          <w:color w:val="000000" w:themeColor="text1"/>
          <w:sz w:val="20"/>
          <w:szCs w:val="20"/>
        </w:rPr>
        <w:t xml:space="preserve">an </w:t>
      </w:r>
      <w:r w:rsidR="003218CF" w:rsidRPr="00E63D32">
        <w:rPr>
          <w:rFonts w:cs="Arial"/>
          <w:color w:val="000000" w:themeColor="text1"/>
          <w:sz w:val="20"/>
          <w:szCs w:val="20"/>
        </w:rPr>
        <w:t>SEO</w:t>
      </w:r>
      <w:r w:rsidR="003218CF">
        <w:rPr>
          <w:rFonts w:cs="Arial"/>
          <w:color w:val="000000" w:themeColor="text1"/>
          <w:sz w:val="20"/>
          <w:szCs w:val="20"/>
        </w:rPr>
        <w:t xml:space="preserve"> and a CTIPO </w:t>
      </w:r>
      <w:r w:rsidRPr="00E63D32">
        <w:rPr>
          <w:rFonts w:cs="Arial"/>
          <w:color w:val="000000" w:themeColor="text1"/>
          <w:sz w:val="20"/>
          <w:szCs w:val="20"/>
        </w:rPr>
        <w:t xml:space="preserve">application </w:t>
      </w:r>
      <w:r w:rsidR="003218CF">
        <w:rPr>
          <w:rFonts w:cs="Arial"/>
          <w:color w:val="000000" w:themeColor="text1"/>
          <w:sz w:val="20"/>
          <w:szCs w:val="20"/>
        </w:rPr>
        <w:t xml:space="preserve">is </w:t>
      </w:r>
      <w:r w:rsidR="00D45A15">
        <w:rPr>
          <w:rFonts w:cs="Arial"/>
          <w:color w:val="000000" w:themeColor="text1"/>
          <w:sz w:val="20"/>
          <w:szCs w:val="20"/>
        </w:rPr>
        <w:t xml:space="preserve">also </w:t>
      </w:r>
      <w:r w:rsidR="003218CF">
        <w:rPr>
          <w:rFonts w:cs="Arial"/>
          <w:color w:val="000000" w:themeColor="text1"/>
          <w:sz w:val="20"/>
          <w:szCs w:val="20"/>
        </w:rPr>
        <w:t>made in the Supreme Court.</w:t>
      </w:r>
    </w:p>
    <w:p w14:paraId="192E427E" w14:textId="1EB99DB6" w:rsidR="00C16E97" w:rsidRDefault="00C16E97">
      <w:pPr>
        <w:rPr>
          <w:rFonts w:ascii="Arial" w:hAnsi="Arial" w:cs="Arial"/>
          <w:b/>
          <w:bCs/>
        </w:rPr>
      </w:pPr>
      <w:r>
        <w:rPr>
          <w:rFonts w:ascii="Arial" w:hAnsi="Arial" w:cs="Arial"/>
          <w:b/>
          <w:bCs/>
        </w:rPr>
        <w:br w:type="page"/>
      </w:r>
    </w:p>
    <w:p w14:paraId="7486F557" w14:textId="77777777" w:rsidR="002E7E9D" w:rsidRDefault="002E7E9D" w:rsidP="002E7E9D">
      <w:pPr>
        <w:ind w:left="-851" w:right="-1134"/>
        <w:jc w:val="both"/>
        <w:rPr>
          <w:rFonts w:ascii="Arial" w:hAnsi="Arial" w:cs="Arial"/>
          <w:b/>
          <w:bCs/>
        </w:rPr>
      </w:pPr>
    </w:p>
    <w:p w14:paraId="51E422F6" w14:textId="4EBEA557" w:rsidR="00C16E97" w:rsidRDefault="003178FE" w:rsidP="002E7E9D">
      <w:pPr>
        <w:ind w:left="-1134" w:right="-1134"/>
        <w:jc w:val="center"/>
        <w:rPr>
          <w:rFonts w:ascii="Arial" w:hAnsi="Arial" w:cs="Arial"/>
          <w:b/>
          <w:bCs/>
        </w:rPr>
      </w:pPr>
      <w:r>
        <w:rPr>
          <w:noProof/>
        </w:rPr>
        <mc:AlternateContent>
          <mc:Choice Requires="wps">
            <w:drawing>
              <wp:anchor distT="0" distB="0" distL="114300" distR="114300" simplePos="0" relativeHeight="251712512" behindDoc="0" locked="0" layoutInCell="1" allowOverlap="1" wp14:anchorId="245D082D" wp14:editId="24223100">
                <wp:simplePos x="0" y="0"/>
                <wp:positionH relativeFrom="column">
                  <wp:posOffset>2652395</wp:posOffset>
                </wp:positionH>
                <wp:positionV relativeFrom="paragraph">
                  <wp:posOffset>128905</wp:posOffset>
                </wp:positionV>
                <wp:extent cx="210820" cy="193675"/>
                <wp:effectExtent l="0" t="0" r="0" b="0"/>
                <wp:wrapNone/>
                <wp:docPr id="9715723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820" cy="193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8BF652" id="Rectangle 2" o:spid="_x0000_s1026" style="position:absolute;margin-left:208.85pt;margin-top:10.15pt;width:16.6pt;height:15.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" fillcolor="white [3212]" stroked="f" strokeweight="1pt"/>
            </w:pict>
          </mc:Fallback>
        </mc:AlternateContent>
      </w:r>
      <w:r w:rsidR="002E7E9D" w:rsidRPr="002E7E9D">
        <w:rPr>
          <w:rFonts w:ascii="Arial" w:hAnsi="Arial" w:cs="Arial"/>
          <w:b/>
          <w:bCs/>
          <w:noProof/>
          <w:bdr w:val="single" w:sz="8" w:space="0" w:color="auto"/>
        </w:rPr>
        <w:drawing>
          <wp:inline distT="0" distB="0" distL="0" distR="0" wp14:anchorId="37C0AADE" wp14:editId="00ED1056">
            <wp:extent cx="6300000" cy="8165291"/>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0000" cy="8165291"/>
                    </a:xfrm>
                    <a:prstGeom prst="rect">
                      <a:avLst/>
                    </a:prstGeom>
                  </pic:spPr>
                </pic:pic>
              </a:graphicData>
            </a:graphic>
          </wp:inline>
        </w:drawing>
      </w:r>
    </w:p>
    <w:p w14:paraId="708E3532" w14:textId="77777777" w:rsidR="00C86D00" w:rsidRPr="00B578F2" w:rsidRDefault="00C86D00">
      <w:pPr>
        <w:rPr>
          <w:rFonts w:ascii="Arial" w:hAnsi="Arial" w:cs="Arial"/>
          <w:b/>
          <w:bCs/>
          <w:sz w:val="20"/>
          <w:szCs w:val="20"/>
        </w:rPr>
      </w:pPr>
    </w:p>
    <w:p w14:paraId="695C1B47" w14:textId="0D8F6D14" w:rsidR="004F0E1A" w:rsidRPr="004F0E1A" w:rsidRDefault="00642FB1" w:rsidP="004F0E1A">
      <w:pPr>
        <w:pBdr>
          <w:top w:val="single" w:sz="8" w:space="1" w:color="auto"/>
          <w:left w:val="single" w:sz="8" w:space="4" w:color="auto"/>
          <w:bottom w:val="single" w:sz="8" w:space="1" w:color="auto"/>
          <w:right w:val="single" w:sz="8" w:space="4" w:color="auto"/>
        </w:pBdr>
        <w:ind w:left="-737" w:right="-737"/>
        <w:jc w:val="both"/>
        <w:rPr>
          <w:rFonts w:ascii="Arial" w:hAnsi="Arial" w:cs="Arial"/>
          <w:b/>
          <w:bCs/>
          <w:sz w:val="20"/>
          <w:szCs w:val="20"/>
        </w:rPr>
      </w:pPr>
      <w:r>
        <w:rPr>
          <w:rFonts w:ascii="Arial" w:hAnsi="Arial" w:cs="Arial"/>
          <w:b/>
          <w:bCs/>
          <w:sz w:val="20"/>
          <w:szCs w:val="20"/>
        </w:rPr>
        <w:t>F</w:t>
      </w:r>
      <w:r w:rsidR="00C86D00" w:rsidRPr="00C86D00">
        <w:rPr>
          <w:rFonts w:ascii="Arial" w:hAnsi="Arial" w:cs="Arial"/>
          <w:b/>
          <w:bCs/>
          <w:sz w:val="20"/>
          <w:szCs w:val="20"/>
        </w:rPr>
        <w:t xml:space="preserve">lowcharts </w:t>
      </w:r>
      <w:r>
        <w:rPr>
          <w:rFonts w:ascii="Arial" w:hAnsi="Arial" w:cs="Arial"/>
          <w:b/>
          <w:bCs/>
          <w:sz w:val="20"/>
          <w:szCs w:val="20"/>
        </w:rPr>
        <w:t>1A &amp; 1B</w:t>
      </w:r>
      <w:r w:rsidR="00C86D00" w:rsidRPr="00C86D00">
        <w:rPr>
          <w:rFonts w:ascii="Arial" w:hAnsi="Arial" w:cs="Arial"/>
          <w:b/>
          <w:bCs/>
          <w:sz w:val="20"/>
          <w:szCs w:val="20"/>
        </w:rPr>
        <w:t xml:space="preserve"> were created by Dr Lisa Lee (Senior Legal Officer, Children’s Court</w:t>
      </w:r>
      <w:r w:rsidR="00C86D00">
        <w:rPr>
          <w:rFonts w:ascii="Arial" w:hAnsi="Arial" w:cs="Arial"/>
          <w:b/>
          <w:bCs/>
          <w:sz w:val="20"/>
          <w:szCs w:val="20"/>
        </w:rPr>
        <w:t>)</w:t>
      </w:r>
      <w:r w:rsidR="00C86D00" w:rsidRPr="00C86D00">
        <w:rPr>
          <w:rFonts w:ascii="Arial" w:hAnsi="Arial" w:cs="Arial"/>
          <w:b/>
          <w:bCs/>
          <w:sz w:val="20"/>
          <w:szCs w:val="20"/>
        </w:rPr>
        <w:t xml:space="preserve">.  </w:t>
      </w:r>
      <w:r>
        <w:rPr>
          <w:rFonts w:ascii="Arial" w:hAnsi="Arial" w:cs="Arial"/>
          <w:b/>
          <w:bCs/>
          <w:sz w:val="20"/>
          <w:szCs w:val="20"/>
        </w:rPr>
        <w:t xml:space="preserve">Flowchart 2 was created by DJCS.  </w:t>
      </w:r>
      <w:r w:rsidR="00C86D00">
        <w:rPr>
          <w:rFonts w:ascii="Arial" w:hAnsi="Arial" w:cs="Arial"/>
          <w:b/>
          <w:bCs/>
          <w:sz w:val="20"/>
          <w:szCs w:val="20"/>
        </w:rPr>
        <w:t xml:space="preserve">The structure </w:t>
      </w:r>
      <w:r>
        <w:rPr>
          <w:rFonts w:ascii="Arial" w:hAnsi="Arial" w:cs="Arial"/>
          <w:b/>
          <w:bCs/>
          <w:sz w:val="20"/>
          <w:szCs w:val="20"/>
        </w:rPr>
        <w:t xml:space="preserve">and much of the content </w:t>
      </w:r>
      <w:r w:rsidR="00C86D00">
        <w:rPr>
          <w:rFonts w:ascii="Arial" w:hAnsi="Arial" w:cs="Arial"/>
          <w:b/>
          <w:bCs/>
          <w:sz w:val="20"/>
          <w:szCs w:val="20"/>
        </w:rPr>
        <w:t xml:space="preserve">of this </w:t>
      </w:r>
      <w:r w:rsidR="00C86D00" w:rsidRPr="00A40A28">
        <w:rPr>
          <w:rFonts w:ascii="Arial" w:hAnsi="Arial" w:cs="Arial"/>
          <w:b/>
          <w:bCs/>
          <w:sz w:val="20"/>
          <w:szCs w:val="20"/>
          <w:shd w:val="clear" w:color="auto" w:fill="C5E0B3"/>
        </w:rPr>
        <w:t>section</w:t>
      </w:r>
      <w:r w:rsidR="00C86D00">
        <w:rPr>
          <w:rFonts w:ascii="Arial" w:hAnsi="Arial" w:cs="Arial"/>
          <w:b/>
          <w:bCs/>
          <w:sz w:val="20"/>
          <w:szCs w:val="20"/>
        </w:rPr>
        <w:t xml:space="preserve"> </w:t>
      </w:r>
      <w:r w:rsidR="004676AE">
        <w:rPr>
          <w:rFonts w:ascii="Arial" w:hAnsi="Arial" w:cs="Arial"/>
          <w:b/>
          <w:bCs/>
          <w:sz w:val="20"/>
          <w:szCs w:val="20"/>
        </w:rPr>
        <w:t>derives from</w:t>
      </w:r>
      <w:r w:rsidR="00C86D00">
        <w:rPr>
          <w:rFonts w:ascii="Arial" w:hAnsi="Arial" w:cs="Arial"/>
          <w:b/>
          <w:bCs/>
          <w:sz w:val="20"/>
          <w:szCs w:val="20"/>
        </w:rPr>
        <w:t xml:space="preserve"> a memorandum created by Ms Catherine Thwaite (</w:t>
      </w:r>
      <w:r>
        <w:rPr>
          <w:rFonts w:ascii="Arial" w:hAnsi="Arial" w:cs="Arial"/>
          <w:b/>
          <w:bCs/>
          <w:sz w:val="20"/>
          <w:szCs w:val="20"/>
        </w:rPr>
        <w:t xml:space="preserve">Senior </w:t>
      </w:r>
      <w:r w:rsidR="00C86D00">
        <w:rPr>
          <w:rFonts w:ascii="Arial" w:hAnsi="Arial" w:cs="Arial"/>
          <w:b/>
          <w:bCs/>
          <w:sz w:val="20"/>
          <w:szCs w:val="20"/>
        </w:rPr>
        <w:t>Legal Policy Advisor, Magistrates’ Court).</w:t>
      </w:r>
      <w:bookmarkStart w:id="426" w:name="_4.3.4__No"/>
      <w:bookmarkEnd w:id="426"/>
      <w:r w:rsidR="004F0E1A">
        <w:rPr>
          <w:rFonts w:ascii="Arial" w:hAnsi="Arial" w:cs="Arial"/>
          <w:b/>
          <w:bCs/>
          <w:sz w:val="20"/>
        </w:rPr>
        <w:br w:type="page"/>
      </w:r>
    </w:p>
    <w:p w14:paraId="3EDDD0F0" w14:textId="67C9DD0E" w:rsidR="00715D6B" w:rsidRDefault="00715D6B" w:rsidP="00715D6B">
      <w:pPr>
        <w:pStyle w:val="Heading3"/>
        <w:widowControl/>
        <w:spacing w:line="240" w:lineRule="auto"/>
        <w:rPr>
          <w:rFonts w:ascii="Arial" w:hAnsi="Arial" w:cs="Arial"/>
          <w:b/>
          <w:bCs/>
          <w:sz w:val="20"/>
        </w:rPr>
      </w:pPr>
      <w:r>
        <w:rPr>
          <w:rFonts w:ascii="Arial" w:hAnsi="Arial" w:cs="Arial"/>
          <w:b/>
          <w:bCs/>
          <w:sz w:val="20"/>
        </w:rPr>
        <w:lastRenderedPageBreak/>
        <w:t>4.3.4</w:t>
      </w:r>
      <w:r>
        <w:rPr>
          <w:rFonts w:ascii="Arial" w:hAnsi="Arial" w:cs="Arial"/>
          <w:b/>
          <w:bCs/>
          <w:sz w:val="20"/>
        </w:rPr>
        <w:tab/>
      </w:r>
      <w:bookmarkStart w:id="427" w:name="_Hlk146877139"/>
      <w:r w:rsidR="00C43292">
        <w:rPr>
          <w:rFonts w:ascii="Arial" w:hAnsi="Arial" w:cs="Arial"/>
          <w:b/>
          <w:bCs/>
          <w:sz w:val="20"/>
        </w:rPr>
        <w:t>P</w:t>
      </w:r>
      <w:r w:rsidR="0003013B">
        <w:rPr>
          <w:rFonts w:ascii="Arial" w:hAnsi="Arial" w:cs="Arial"/>
          <w:b/>
          <w:bCs/>
          <w:sz w:val="20"/>
        </w:rPr>
        <w:t>owers</w:t>
      </w:r>
      <w:r>
        <w:rPr>
          <w:rFonts w:ascii="Arial" w:hAnsi="Arial" w:cs="Arial"/>
          <w:b/>
          <w:bCs/>
          <w:sz w:val="20"/>
        </w:rPr>
        <w:t xml:space="preserve"> under the Births, Deaths </w:t>
      </w:r>
      <w:r w:rsidR="0060228E">
        <w:rPr>
          <w:rFonts w:ascii="Arial" w:hAnsi="Arial" w:cs="Arial"/>
          <w:b/>
          <w:bCs/>
          <w:sz w:val="20"/>
        </w:rPr>
        <w:t>and</w:t>
      </w:r>
      <w:r>
        <w:rPr>
          <w:rFonts w:ascii="Arial" w:hAnsi="Arial" w:cs="Arial"/>
          <w:b/>
          <w:bCs/>
          <w:sz w:val="20"/>
        </w:rPr>
        <w:t xml:space="preserve"> Marriages </w:t>
      </w:r>
      <w:r w:rsidR="0060228E">
        <w:rPr>
          <w:rFonts w:ascii="Arial" w:hAnsi="Arial" w:cs="Arial"/>
          <w:b/>
          <w:bCs/>
          <w:sz w:val="20"/>
        </w:rPr>
        <w:t xml:space="preserve">Registration </w:t>
      </w:r>
      <w:r>
        <w:rPr>
          <w:rFonts w:ascii="Arial" w:hAnsi="Arial" w:cs="Arial"/>
          <w:b/>
          <w:bCs/>
          <w:sz w:val="20"/>
        </w:rPr>
        <w:t>Act 1996</w:t>
      </w:r>
      <w:bookmarkEnd w:id="427"/>
    </w:p>
    <w:p w14:paraId="53F484D8" w14:textId="77777777" w:rsidR="00C7413C" w:rsidRPr="00C7413C" w:rsidRDefault="00C7413C" w:rsidP="00C7413C">
      <w:pPr>
        <w:jc w:val="both"/>
        <w:rPr>
          <w:rFonts w:ascii="Arial" w:hAnsi="Arial" w:cs="Arial"/>
          <w:sz w:val="16"/>
          <w:szCs w:val="20"/>
        </w:rPr>
      </w:pPr>
    </w:p>
    <w:p w14:paraId="669942C9" w14:textId="1696FC3D" w:rsidR="00C7413C" w:rsidRPr="00F57FCC" w:rsidRDefault="00C7413C" w:rsidP="00C7413C">
      <w:pPr>
        <w:shd w:val="clear" w:color="auto" w:fill="000000" w:themeFill="text1"/>
        <w:jc w:val="center"/>
        <w:rPr>
          <w:rFonts w:ascii="Arial" w:hAnsi="Arial" w:cs="Arial"/>
          <w:b/>
          <w:bCs/>
          <w:color w:val="FFFFFF" w:themeColor="background1"/>
          <w:sz w:val="22"/>
          <w:szCs w:val="28"/>
        </w:rPr>
      </w:pPr>
      <w:r>
        <w:rPr>
          <w:rFonts w:ascii="Arial" w:hAnsi="Arial" w:cs="Arial"/>
          <w:b/>
          <w:bCs/>
          <w:color w:val="FFFFFF" w:themeColor="background1"/>
          <w:sz w:val="22"/>
          <w:szCs w:val="28"/>
        </w:rPr>
        <w:t>INTRODUCTION</w:t>
      </w:r>
    </w:p>
    <w:p w14:paraId="5E724F93" w14:textId="77777777" w:rsidR="00487F4A" w:rsidRPr="00C7413C" w:rsidRDefault="00487F4A" w:rsidP="006A2AF6">
      <w:pPr>
        <w:jc w:val="both"/>
        <w:rPr>
          <w:rFonts w:ascii="Arial" w:hAnsi="Arial" w:cs="Arial"/>
          <w:sz w:val="16"/>
          <w:szCs w:val="16"/>
        </w:rPr>
      </w:pPr>
      <w:bookmarkStart w:id="428" w:name="_Hlk148701033"/>
    </w:p>
    <w:bookmarkEnd w:id="428"/>
    <w:p w14:paraId="305B4A3B" w14:textId="42E49AF6" w:rsidR="00850EF9" w:rsidRDefault="00850EF9" w:rsidP="00850EF9">
      <w:pPr>
        <w:jc w:val="both"/>
        <w:rPr>
          <w:rFonts w:ascii="Arial" w:hAnsi="Arial" w:cs="Arial"/>
          <w:sz w:val="20"/>
          <w:szCs w:val="16"/>
        </w:rPr>
      </w:pPr>
      <w:r>
        <w:rPr>
          <w:rFonts w:ascii="Arial" w:hAnsi="Arial" w:cs="Arial"/>
          <w:sz w:val="20"/>
        </w:rPr>
        <w:t xml:space="preserve">Under s.3 the objects of the </w:t>
      </w:r>
      <w:r w:rsidR="00EF5014" w:rsidRPr="007A2814">
        <w:rPr>
          <w:rFonts w:ascii="Arial" w:hAnsi="Arial" w:cs="Arial"/>
          <w:i/>
          <w:iCs/>
          <w:sz w:val="20"/>
        </w:rPr>
        <w:t xml:space="preserve">Births, Deaths </w:t>
      </w:r>
      <w:r w:rsidR="00EF5014">
        <w:rPr>
          <w:rFonts w:ascii="Arial" w:hAnsi="Arial" w:cs="Arial"/>
          <w:i/>
          <w:iCs/>
          <w:sz w:val="20"/>
        </w:rPr>
        <w:t>and</w:t>
      </w:r>
      <w:r w:rsidR="00EF5014" w:rsidRPr="007A2814">
        <w:rPr>
          <w:rFonts w:ascii="Arial" w:hAnsi="Arial" w:cs="Arial"/>
          <w:i/>
          <w:iCs/>
          <w:sz w:val="20"/>
        </w:rPr>
        <w:t xml:space="preserve"> Marriages Registration Act 1996</w:t>
      </w:r>
      <w:r w:rsidR="00EF5014" w:rsidRPr="007A2814">
        <w:rPr>
          <w:rFonts w:ascii="Arial" w:hAnsi="Arial" w:cs="Arial"/>
          <w:sz w:val="20"/>
        </w:rPr>
        <w:t xml:space="preserve"> (Vic)</w:t>
      </w:r>
      <w:r w:rsidR="00EF5014">
        <w:rPr>
          <w:rFonts w:ascii="Arial" w:hAnsi="Arial" w:cs="Arial"/>
          <w:sz w:val="20"/>
        </w:rPr>
        <w:t xml:space="preserve"> [the BDMR Act] are </w:t>
      </w:r>
      <w:r>
        <w:rPr>
          <w:rFonts w:ascii="Arial" w:hAnsi="Arial" w:cs="Arial"/>
          <w:sz w:val="20"/>
        </w:rPr>
        <w:t>to provide for</w:t>
      </w:r>
      <w:r w:rsidRPr="00483341">
        <w:rPr>
          <w:rFonts w:ascii="Arial" w:hAnsi="Arial" w:cs="Arial"/>
          <w:sz w:val="20"/>
          <w:szCs w:val="16"/>
        </w:rPr>
        <w:t>—</w:t>
      </w:r>
    </w:p>
    <w:p w14:paraId="393B7F1E" w14:textId="77777777" w:rsidR="00850EF9" w:rsidRDefault="00850EF9" w:rsidP="00850EF9">
      <w:pPr>
        <w:ind w:left="567" w:hanging="567"/>
        <w:jc w:val="both"/>
        <w:rPr>
          <w:rFonts w:ascii="Arial" w:hAnsi="Arial" w:cs="Arial"/>
          <w:sz w:val="20"/>
        </w:rPr>
      </w:pPr>
      <w:r>
        <w:rPr>
          <w:rFonts w:ascii="Arial" w:hAnsi="Arial" w:cs="Arial"/>
          <w:sz w:val="20"/>
          <w:szCs w:val="16"/>
        </w:rPr>
        <w:t>(a)</w:t>
      </w:r>
      <w:r>
        <w:rPr>
          <w:rFonts w:ascii="Arial" w:hAnsi="Arial" w:cs="Arial"/>
          <w:sz w:val="20"/>
          <w:szCs w:val="16"/>
        </w:rPr>
        <w:tab/>
        <w:t>the registration of births, deaths and marriages in Victoria;</w:t>
      </w:r>
    </w:p>
    <w:p w14:paraId="3A8878E4" w14:textId="77777777" w:rsidR="00850EF9" w:rsidRDefault="00850EF9">
      <w:pPr>
        <w:pStyle w:val="ListParagraph"/>
        <w:numPr>
          <w:ilvl w:val="0"/>
          <w:numId w:val="81"/>
        </w:numPr>
        <w:ind w:left="567" w:hanging="567"/>
        <w:jc w:val="both"/>
        <w:rPr>
          <w:rFonts w:ascii="Arial" w:hAnsi="Arial" w:cs="Arial"/>
          <w:sz w:val="20"/>
        </w:rPr>
      </w:pPr>
      <w:r w:rsidRPr="00FD4DC1">
        <w:rPr>
          <w:rFonts w:ascii="Arial" w:hAnsi="Arial" w:cs="Arial"/>
          <w:sz w:val="20"/>
        </w:rPr>
        <w:t>the registration of changes of name;</w:t>
      </w:r>
    </w:p>
    <w:p w14:paraId="20929840" w14:textId="77777777" w:rsidR="00850EF9" w:rsidRDefault="00850EF9">
      <w:pPr>
        <w:pStyle w:val="ListParagraph"/>
        <w:numPr>
          <w:ilvl w:val="0"/>
          <w:numId w:val="81"/>
        </w:numPr>
        <w:ind w:left="567" w:hanging="567"/>
        <w:jc w:val="both"/>
        <w:rPr>
          <w:rFonts w:ascii="Arial" w:hAnsi="Arial" w:cs="Arial"/>
          <w:sz w:val="20"/>
        </w:rPr>
      </w:pPr>
      <w:r>
        <w:rPr>
          <w:rFonts w:ascii="Arial" w:hAnsi="Arial" w:cs="Arial"/>
          <w:sz w:val="20"/>
        </w:rPr>
        <w:t>the keeping of registers for recording and preserving information about births, deaths, marriages, changes of name and adoptions in perpetuity;</w:t>
      </w:r>
    </w:p>
    <w:p w14:paraId="32E7856D" w14:textId="77777777" w:rsidR="00850EF9" w:rsidRPr="00955EB8" w:rsidRDefault="00850EF9" w:rsidP="00850EF9">
      <w:pPr>
        <w:ind w:left="567" w:hanging="567"/>
        <w:jc w:val="both"/>
        <w:rPr>
          <w:rFonts w:ascii="Arial" w:hAnsi="Arial" w:cs="Arial"/>
          <w:sz w:val="20"/>
        </w:rPr>
      </w:pPr>
      <w:r>
        <w:rPr>
          <w:rFonts w:ascii="Arial" w:hAnsi="Arial" w:cs="Arial"/>
          <w:sz w:val="20"/>
        </w:rPr>
        <w:t>(</w:t>
      </w:r>
      <w:proofErr w:type="spellStart"/>
      <w:r>
        <w:rPr>
          <w:rFonts w:ascii="Arial" w:hAnsi="Arial" w:cs="Arial"/>
          <w:sz w:val="20"/>
        </w:rPr>
        <w:t>caa</w:t>
      </w:r>
      <w:proofErr w:type="spellEnd"/>
      <w:r>
        <w:rPr>
          <w:rFonts w:ascii="Arial" w:hAnsi="Arial" w:cs="Arial"/>
          <w:sz w:val="20"/>
        </w:rPr>
        <w:t>)</w:t>
      </w:r>
      <w:r>
        <w:rPr>
          <w:rFonts w:ascii="Arial" w:hAnsi="Arial" w:cs="Arial"/>
          <w:sz w:val="20"/>
        </w:rPr>
        <w:tab/>
      </w:r>
      <w:r w:rsidRPr="00955EB8">
        <w:rPr>
          <w:rFonts w:ascii="Arial" w:hAnsi="Arial" w:cs="Arial"/>
          <w:sz w:val="20"/>
          <w:szCs w:val="16"/>
        </w:rPr>
        <w:t xml:space="preserve">the keeping of information relating to donors and surrogacy arrangements under the </w:t>
      </w:r>
      <w:r w:rsidRPr="00955EB8">
        <w:rPr>
          <w:rFonts w:ascii="Arial" w:hAnsi="Arial" w:cs="Arial"/>
          <w:bCs/>
          <w:i/>
          <w:iCs/>
          <w:sz w:val="20"/>
          <w:szCs w:val="16"/>
        </w:rPr>
        <w:t>Assisted Reproductive Treatment Act 2008</w:t>
      </w:r>
      <w:r w:rsidRPr="00955EB8">
        <w:rPr>
          <w:rFonts w:ascii="Arial" w:hAnsi="Arial" w:cs="Arial"/>
          <w:sz w:val="20"/>
          <w:szCs w:val="16"/>
        </w:rPr>
        <w:t>;</w:t>
      </w:r>
    </w:p>
    <w:p w14:paraId="76F66695" w14:textId="77777777" w:rsidR="00850EF9" w:rsidRDefault="00850EF9" w:rsidP="00850EF9">
      <w:pPr>
        <w:ind w:left="567" w:hanging="567"/>
        <w:jc w:val="both"/>
        <w:rPr>
          <w:rFonts w:ascii="Arial" w:hAnsi="Arial" w:cs="Arial"/>
          <w:sz w:val="20"/>
        </w:rPr>
      </w:pPr>
      <w:r>
        <w:rPr>
          <w:rFonts w:ascii="Arial" w:hAnsi="Arial" w:cs="Arial"/>
          <w:sz w:val="20"/>
        </w:rPr>
        <w:t>(ca)</w:t>
      </w:r>
      <w:r>
        <w:rPr>
          <w:rFonts w:ascii="Arial" w:hAnsi="Arial" w:cs="Arial"/>
          <w:sz w:val="20"/>
        </w:rPr>
        <w:tab/>
      </w:r>
      <w:r w:rsidRPr="00FD4DC1">
        <w:rPr>
          <w:rFonts w:ascii="Arial" w:hAnsi="Arial" w:cs="Arial"/>
          <w:sz w:val="20"/>
        </w:rPr>
        <w:t>the alteration of the record of sex in a birth registration</w:t>
      </w:r>
      <w:r>
        <w:rPr>
          <w:rFonts w:ascii="Arial" w:hAnsi="Arial" w:cs="Arial"/>
          <w:sz w:val="20"/>
        </w:rPr>
        <w:t>;</w:t>
      </w:r>
    </w:p>
    <w:p w14:paraId="65CA66FA" w14:textId="77777777" w:rsidR="00850EF9" w:rsidRDefault="00850EF9" w:rsidP="00850EF9">
      <w:pPr>
        <w:ind w:left="567" w:hanging="567"/>
        <w:jc w:val="both"/>
        <w:rPr>
          <w:rFonts w:ascii="Arial" w:hAnsi="Arial" w:cs="Arial"/>
          <w:sz w:val="20"/>
        </w:rPr>
      </w:pPr>
      <w:r>
        <w:rPr>
          <w:rFonts w:ascii="Arial" w:hAnsi="Arial" w:cs="Arial"/>
          <w:sz w:val="20"/>
        </w:rPr>
        <w:t>(d)</w:t>
      </w:r>
      <w:r>
        <w:rPr>
          <w:rFonts w:ascii="Arial" w:hAnsi="Arial" w:cs="Arial"/>
          <w:sz w:val="20"/>
        </w:rPr>
        <w:tab/>
      </w:r>
      <w:r w:rsidRPr="00955EB8">
        <w:rPr>
          <w:rFonts w:ascii="Arial" w:hAnsi="Arial" w:cs="Arial"/>
          <w:sz w:val="20"/>
          <w:szCs w:val="16"/>
        </w:rPr>
        <w:t>access to the information in the registers in appropriate cases by government or private agencies and members of the public, from within and outside the State;</w:t>
      </w:r>
    </w:p>
    <w:p w14:paraId="20DD609C" w14:textId="77777777" w:rsidR="00850EF9" w:rsidRPr="00FD4DC1" w:rsidRDefault="00850EF9" w:rsidP="00850EF9">
      <w:pPr>
        <w:ind w:left="567" w:hanging="567"/>
        <w:jc w:val="both"/>
        <w:rPr>
          <w:rFonts w:ascii="Arial" w:hAnsi="Arial" w:cs="Arial"/>
          <w:sz w:val="20"/>
        </w:rPr>
      </w:pPr>
      <w:r>
        <w:rPr>
          <w:rFonts w:ascii="Arial" w:hAnsi="Arial" w:cs="Arial"/>
          <w:sz w:val="20"/>
        </w:rPr>
        <w:t>(e)</w:t>
      </w:r>
      <w:r>
        <w:rPr>
          <w:rFonts w:ascii="Arial" w:hAnsi="Arial" w:cs="Arial"/>
          <w:sz w:val="20"/>
        </w:rPr>
        <w:tab/>
        <w:t>the issue of certified and uncertified information from the registers;</w:t>
      </w:r>
    </w:p>
    <w:p w14:paraId="67D007B4" w14:textId="77777777" w:rsidR="00850EF9" w:rsidRDefault="00850EF9" w:rsidP="00850EF9">
      <w:pPr>
        <w:ind w:left="567" w:hanging="567"/>
        <w:jc w:val="both"/>
        <w:rPr>
          <w:rFonts w:ascii="Arial" w:hAnsi="Arial" w:cs="Arial"/>
          <w:sz w:val="20"/>
        </w:rPr>
      </w:pPr>
      <w:r>
        <w:rPr>
          <w:rFonts w:ascii="Arial" w:hAnsi="Arial" w:cs="Arial"/>
          <w:sz w:val="20"/>
        </w:rPr>
        <w:t>(</w:t>
      </w:r>
      <w:proofErr w:type="spellStart"/>
      <w:r>
        <w:rPr>
          <w:rFonts w:ascii="Arial" w:hAnsi="Arial" w:cs="Arial"/>
          <w:sz w:val="20"/>
        </w:rPr>
        <w:t>ea</w:t>
      </w:r>
      <w:proofErr w:type="spellEnd"/>
      <w:r>
        <w:rPr>
          <w:rFonts w:ascii="Arial" w:hAnsi="Arial" w:cs="Arial"/>
          <w:sz w:val="20"/>
        </w:rPr>
        <w:t>)</w:t>
      </w:r>
      <w:r>
        <w:rPr>
          <w:rFonts w:ascii="Arial" w:hAnsi="Arial" w:cs="Arial"/>
          <w:sz w:val="20"/>
        </w:rPr>
        <w:tab/>
        <w:t>the issue of documents acknowledging the name and sex of persons whose birth is registered in a place other than Victoria;</w:t>
      </w:r>
    </w:p>
    <w:p w14:paraId="32C465B9" w14:textId="77777777" w:rsidR="00850EF9" w:rsidRPr="00CC37A8" w:rsidRDefault="00850EF9" w:rsidP="00850EF9">
      <w:pPr>
        <w:ind w:left="567" w:hanging="567"/>
        <w:jc w:val="both"/>
        <w:rPr>
          <w:rFonts w:ascii="Arial" w:hAnsi="Arial" w:cs="Arial"/>
          <w:sz w:val="20"/>
          <w:szCs w:val="20"/>
        </w:rPr>
      </w:pPr>
      <w:r w:rsidRPr="00CC37A8">
        <w:rPr>
          <w:rFonts w:ascii="Arial" w:hAnsi="Arial" w:cs="Arial"/>
          <w:sz w:val="20"/>
          <w:szCs w:val="20"/>
        </w:rPr>
        <w:t>(</w:t>
      </w:r>
      <w:proofErr w:type="spellStart"/>
      <w:r w:rsidRPr="00CC37A8">
        <w:rPr>
          <w:rFonts w:ascii="Arial" w:hAnsi="Arial" w:cs="Arial"/>
          <w:sz w:val="20"/>
          <w:szCs w:val="20"/>
        </w:rPr>
        <w:t>eb</w:t>
      </w:r>
      <w:proofErr w:type="spellEnd"/>
      <w:r w:rsidRPr="00CC37A8">
        <w:rPr>
          <w:rFonts w:ascii="Arial" w:hAnsi="Arial" w:cs="Arial"/>
          <w:sz w:val="20"/>
          <w:szCs w:val="20"/>
        </w:rPr>
        <w:t>)</w:t>
      </w:r>
      <w:r w:rsidRPr="00CC37A8">
        <w:rPr>
          <w:rFonts w:ascii="Arial" w:hAnsi="Arial" w:cs="Arial"/>
          <w:sz w:val="20"/>
          <w:szCs w:val="20"/>
        </w:rPr>
        <w:tab/>
        <w:t>the issue of integrated birth certificates to adopted persons; and</w:t>
      </w:r>
    </w:p>
    <w:p w14:paraId="337F422D" w14:textId="77777777" w:rsidR="00850EF9" w:rsidRDefault="00850EF9" w:rsidP="00850EF9">
      <w:pPr>
        <w:ind w:left="567" w:hanging="567"/>
        <w:jc w:val="both"/>
        <w:rPr>
          <w:rFonts w:ascii="Arial" w:hAnsi="Arial" w:cs="Arial"/>
          <w:sz w:val="20"/>
        </w:rPr>
      </w:pPr>
      <w:r>
        <w:rPr>
          <w:rFonts w:ascii="Arial" w:hAnsi="Arial" w:cs="Arial"/>
          <w:sz w:val="20"/>
        </w:rPr>
        <w:t>(f)</w:t>
      </w:r>
      <w:r>
        <w:rPr>
          <w:rFonts w:ascii="Arial" w:hAnsi="Arial" w:cs="Arial"/>
          <w:sz w:val="20"/>
        </w:rPr>
        <w:tab/>
        <w:t>the collection and dissemination of statistical information.</w:t>
      </w:r>
    </w:p>
    <w:p w14:paraId="341A7544" w14:textId="77777777" w:rsidR="00850EF9" w:rsidRDefault="00850EF9" w:rsidP="00850EF9">
      <w:pPr>
        <w:jc w:val="both"/>
        <w:rPr>
          <w:rFonts w:ascii="Arial" w:hAnsi="Arial" w:cs="Arial"/>
          <w:sz w:val="20"/>
        </w:rPr>
      </w:pPr>
    </w:p>
    <w:p w14:paraId="76117F07" w14:textId="7A24093C" w:rsidR="00850EF9" w:rsidRDefault="00850EF9" w:rsidP="00850EF9">
      <w:pPr>
        <w:jc w:val="both"/>
        <w:rPr>
          <w:rFonts w:ascii="Arial" w:hAnsi="Arial" w:cs="Arial"/>
          <w:sz w:val="20"/>
        </w:rPr>
      </w:pPr>
      <w:r>
        <w:rPr>
          <w:rFonts w:ascii="Arial" w:hAnsi="Arial" w:cs="Arial"/>
          <w:sz w:val="20"/>
        </w:rPr>
        <w:t xml:space="preserve">In the Second Reading Speech in the Legislative Assembly on 17/10/1966 [Hansard, p.754] it was said in relation to the </w:t>
      </w:r>
      <w:r w:rsidR="00505C3D">
        <w:rPr>
          <w:rFonts w:ascii="Arial" w:hAnsi="Arial" w:cs="Arial"/>
          <w:sz w:val="20"/>
        </w:rPr>
        <w:t>R</w:t>
      </w:r>
      <w:r>
        <w:rPr>
          <w:rFonts w:ascii="Arial" w:hAnsi="Arial" w:cs="Arial"/>
          <w:sz w:val="20"/>
        </w:rPr>
        <w:t>egister [emphasis added]:</w:t>
      </w:r>
    </w:p>
    <w:p w14:paraId="18431AC5" w14:textId="77777777" w:rsidR="00850EF9" w:rsidRPr="00ED1F5A" w:rsidRDefault="00850EF9" w:rsidP="00850EF9">
      <w:pPr>
        <w:spacing w:before="60"/>
        <w:ind w:left="567" w:right="567"/>
        <w:jc w:val="both"/>
        <w:rPr>
          <w:rFonts w:ascii="Arial" w:hAnsi="Arial" w:cs="Arial"/>
          <w:color w:val="000000"/>
          <w:sz w:val="20"/>
        </w:rPr>
      </w:pPr>
      <w:r>
        <w:rPr>
          <w:rFonts w:ascii="Arial" w:hAnsi="Arial" w:cs="Arial"/>
          <w:color w:val="000000"/>
          <w:sz w:val="20"/>
        </w:rPr>
        <w:t xml:space="preserve">“The Bill obliges the registrar to maintain a register of registrable events – that is, births, changes of name, deaths, marriages or adoptions.  The registrar is empowered to conduct an enquiry to find out whether a registrable event has occurred or to find out particulars of a registrable event.  </w:t>
      </w:r>
      <w:r w:rsidRPr="006C4D53">
        <w:rPr>
          <w:rFonts w:ascii="Arial" w:hAnsi="Arial" w:cs="Arial"/>
          <w:b/>
          <w:bCs/>
          <w:color w:val="000000"/>
          <w:sz w:val="20"/>
        </w:rPr>
        <w:t>The registrar can correct the register</w:t>
      </w:r>
      <w:r>
        <w:rPr>
          <w:rFonts w:ascii="Arial" w:hAnsi="Arial" w:cs="Arial"/>
          <w:color w:val="000000"/>
          <w:sz w:val="20"/>
        </w:rPr>
        <w:t xml:space="preserve"> to reflect the findings of an inquiry to bring an entry about a particular registrable event into conformity with the most reliable information available to the registrar or </w:t>
      </w:r>
      <w:r w:rsidRPr="006C4D53">
        <w:rPr>
          <w:rFonts w:ascii="Arial" w:hAnsi="Arial" w:cs="Arial"/>
          <w:b/>
          <w:bCs/>
          <w:color w:val="000000"/>
          <w:sz w:val="20"/>
        </w:rPr>
        <w:t>at the direction of a court</w:t>
      </w:r>
      <w:r>
        <w:rPr>
          <w:rFonts w:ascii="Arial" w:hAnsi="Arial" w:cs="Arial"/>
          <w:color w:val="000000"/>
          <w:sz w:val="20"/>
        </w:rPr>
        <w:t>.”</w:t>
      </w:r>
    </w:p>
    <w:p w14:paraId="6166A858" w14:textId="77777777" w:rsidR="00850EF9" w:rsidRDefault="00850EF9" w:rsidP="00850EF9">
      <w:pPr>
        <w:jc w:val="both"/>
        <w:rPr>
          <w:rFonts w:ascii="Arial" w:hAnsi="Arial" w:cs="Arial"/>
          <w:sz w:val="20"/>
        </w:rPr>
      </w:pPr>
    </w:p>
    <w:p w14:paraId="3A551B53" w14:textId="2C4F326D" w:rsidR="00850EF9" w:rsidRDefault="00850EF9" w:rsidP="00850EF9">
      <w:pPr>
        <w:jc w:val="both"/>
        <w:rPr>
          <w:rFonts w:ascii="Arial" w:hAnsi="Arial" w:cs="Arial"/>
          <w:sz w:val="20"/>
        </w:rPr>
      </w:pPr>
      <w:r>
        <w:rPr>
          <w:rFonts w:ascii="Arial" w:hAnsi="Arial" w:cs="Arial"/>
          <w:sz w:val="20"/>
        </w:rPr>
        <w:t>Section 13 of the BDMR Act lists the cases in which registration of a birth is required or authorised:</w:t>
      </w:r>
    </w:p>
    <w:p w14:paraId="6E061372" w14:textId="77777777" w:rsidR="00850EF9" w:rsidRPr="00437452" w:rsidRDefault="00850EF9" w:rsidP="00850EF9">
      <w:pPr>
        <w:pStyle w:val="DraftHeading2"/>
        <w:tabs>
          <w:tab w:val="right" w:pos="1247"/>
        </w:tabs>
        <w:spacing w:before="60"/>
        <w:ind w:left="1021" w:right="567" w:hanging="454"/>
        <w:jc w:val="both"/>
        <w:rPr>
          <w:rFonts w:ascii="Arial" w:hAnsi="Arial" w:cs="Arial"/>
          <w:b/>
          <w:bCs/>
          <w:sz w:val="20"/>
          <w:szCs w:val="16"/>
        </w:rPr>
      </w:pPr>
      <w:r>
        <w:rPr>
          <w:rFonts w:ascii="Arial" w:hAnsi="Arial" w:cs="Arial"/>
          <w:b/>
          <w:bCs/>
          <w:sz w:val="20"/>
          <w:szCs w:val="16"/>
        </w:rPr>
        <w:t>13</w:t>
      </w:r>
      <w:r w:rsidRPr="001C508D">
        <w:rPr>
          <w:rFonts w:ascii="Arial" w:hAnsi="Arial" w:cs="Arial"/>
          <w:b/>
          <w:bCs/>
          <w:sz w:val="20"/>
          <w:szCs w:val="16"/>
        </w:rPr>
        <w:tab/>
      </w:r>
      <w:r w:rsidRPr="001C508D">
        <w:rPr>
          <w:rFonts w:ascii="Arial" w:hAnsi="Arial" w:cs="Arial"/>
          <w:b/>
          <w:bCs/>
          <w:sz w:val="20"/>
        </w:rPr>
        <w:t>Cases in which registration of birth is required or authorised</w:t>
      </w:r>
    </w:p>
    <w:p w14:paraId="7A24E383" w14:textId="77777777" w:rsidR="00850EF9" w:rsidRDefault="00850EF9">
      <w:pPr>
        <w:pStyle w:val="DraftHeading2"/>
        <w:numPr>
          <w:ilvl w:val="5"/>
          <w:numId w:val="63"/>
        </w:numPr>
        <w:tabs>
          <w:tab w:val="right" w:pos="1247"/>
        </w:tabs>
        <w:spacing w:before="60"/>
        <w:ind w:left="1021" w:right="567" w:hanging="454"/>
        <w:jc w:val="both"/>
        <w:rPr>
          <w:rFonts w:ascii="Arial" w:hAnsi="Arial" w:cs="Arial"/>
          <w:sz w:val="20"/>
          <w:szCs w:val="16"/>
        </w:rPr>
      </w:pPr>
      <w:r>
        <w:rPr>
          <w:rFonts w:ascii="Arial" w:hAnsi="Arial" w:cs="Arial"/>
          <w:sz w:val="20"/>
          <w:szCs w:val="16"/>
        </w:rPr>
        <w:t>If a child is born in the State, the birth must be registered under this Act.</w:t>
      </w:r>
    </w:p>
    <w:p w14:paraId="74391664" w14:textId="77777777" w:rsidR="00850EF9" w:rsidRPr="001C508D" w:rsidRDefault="00850EF9">
      <w:pPr>
        <w:pStyle w:val="ListParagraph"/>
        <w:numPr>
          <w:ilvl w:val="5"/>
          <w:numId w:val="63"/>
        </w:numPr>
        <w:spacing w:before="60"/>
        <w:ind w:left="1015" w:right="567" w:hanging="448"/>
        <w:jc w:val="both"/>
        <w:rPr>
          <w:rFonts w:ascii="Arial" w:hAnsi="Arial" w:cs="Arial"/>
          <w:sz w:val="20"/>
        </w:rPr>
      </w:pPr>
      <w:r>
        <w:rPr>
          <w:rFonts w:ascii="Arial" w:hAnsi="Arial" w:cs="Arial"/>
          <w:sz w:val="20"/>
        </w:rPr>
        <w:t>If a court orders the registration of a birth, the birth must be registered under this Act.</w:t>
      </w:r>
    </w:p>
    <w:p w14:paraId="4D1CF9A1" w14:textId="77777777" w:rsidR="00850EF9" w:rsidRPr="001C508D" w:rsidRDefault="00850EF9">
      <w:pPr>
        <w:pStyle w:val="ListParagraph"/>
        <w:numPr>
          <w:ilvl w:val="5"/>
          <w:numId w:val="63"/>
        </w:numPr>
        <w:spacing w:before="60"/>
        <w:ind w:left="1015" w:right="567" w:hanging="448"/>
        <w:jc w:val="both"/>
        <w:rPr>
          <w:rFonts w:ascii="Arial" w:hAnsi="Arial" w:cs="Arial"/>
          <w:sz w:val="20"/>
        </w:rPr>
      </w:pPr>
      <w:r>
        <w:rPr>
          <w:rFonts w:ascii="Arial" w:hAnsi="Arial" w:cs="Arial"/>
          <w:sz w:val="20"/>
        </w:rPr>
        <w:t>A birth may be registered under this Act if a child is born</w:t>
      </w:r>
      <w:r w:rsidRPr="00483341">
        <w:rPr>
          <w:rFonts w:ascii="Arial" w:hAnsi="Arial" w:cs="Arial"/>
          <w:sz w:val="20"/>
          <w:szCs w:val="16"/>
        </w:rPr>
        <w:t>—</w:t>
      </w:r>
    </w:p>
    <w:p w14:paraId="6BA186B4" w14:textId="77777777" w:rsidR="00850EF9" w:rsidRPr="00483341" w:rsidRDefault="00850EF9" w:rsidP="00850EF9">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(a)</w:t>
      </w:r>
      <w:r w:rsidRPr="00483341">
        <w:rPr>
          <w:rFonts w:ascii="Arial" w:hAnsi="Arial" w:cs="Arial"/>
          <w:sz w:val="20"/>
          <w:szCs w:val="16"/>
        </w:rPr>
        <w:tab/>
      </w:r>
      <w:r>
        <w:rPr>
          <w:rFonts w:ascii="Arial" w:hAnsi="Arial" w:cs="Arial"/>
          <w:sz w:val="20"/>
          <w:szCs w:val="16"/>
        </w:rPr>
        <w:t>in an aircraft during a flight to a place of disembarkation in the State; or</w:t>
      </w:r>
    </w:p>
    <w:p w14:paraId="2EB992D7" w14:textId="77777777" w:rsidR="00850EF9" w:rsidRDefault="00850EF9" w:rsidP="00850EF9">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(b)</w:t>
      </w:r>
      <w:r w:rsidRPr="00483341">
        <w:rPr>
          <w:rFonts w:ascii="Arial" w:hAnsi="Arial" w:cs="Arial"/>
          <w:sz w:val="20"/>
          <w:szCs w:val="16"/>
        </w:rPr>
        <w:tab/>
      </w:r>
      <w:r>
        <w:rPr>
          <w:rFonts w:ascii="Arial" w:hAnsi="Arial" w:cs="Arial"/>
          <w:sz w:val="20"/>
          <w:szCs w:val="16"/>
        </w:rPr>
        <w:t>on a vessel during a voyage to a place of disembarkation in the State.</w:t>
      </w:r>
    </w:p>
    <w:p w14:paraId="204307DE" w14:textId="77777777" w:rsidR="00850EF9" w:rsidRPr="001C508D" w:rsidRDefault="00850EF9">
      <w:pPr>
        <w:pStyle w:val="ListParagraph"/>
        <w:numPr>
          <w:ilvl w:val="5"/>
          <w:numId w:val="63"/>
        </w:numPr>
        <w:spacing w:before="60"/>
        <w:ind w:left="1015" w:right="567" w:hanging="448"/>
        <w:jc w:val="both"/>
        <w:rPr>
          <w:rFonts w:ascii="Arial" w:hAnsi="Arial" w:cs="Arial"/>
          <w:sz w:val="20"/>
        </w:rPr>
      </w:pPr>
      <w:r>
        <w:rPr>
          <w:rFonts w:ascii="Arial" w:hAnsi="Arial" w:cs="Arial"/>
          <w:sz w:val="20"/>
        </w:rPr>
        <w:t>If a child is born outside the Commonwealth, but the child is to become a resident of the State, the birth may be registered under this Act.</w:t>
      </w:r>
    </w:p>
    <w:p w14:paraId="4691873F" w14:textId="77777777" w:rsidR="00850EF9" w:rsidRPr="001C508D" w:rsidRDefault="00850EF9">
      <w:pPr>
        <w:pStyle w:val="ListParagraph"/>
        <w:numPr>
          <w:ilvl w:val="5"/>
          <w:numId w:val="63"/>
        </w:numPr>
        <w:spacing w:before="60"/>
        <w:ind w:left="1015" w:right="567" w:hanging="448"/>
        <w:jc w:val="both"/>
        <w:rPr>
          <w:rFonts w:ascii="Arial" w:hAnsi="Arial" w:cs="Arial"/>
          <w:sz w:val="20"/>
        </w:rPr>
      </w:pPr>
      <w:r>
        <w:rPr>
          <w:rFonts w:ascii="Arial" w:hAnsi="Arial" w:cs="Arial"/>
          <w:sz w:val="20"/>
        </w:rPr>
        <w:t>The Registrar of Births, Deaths and Marriages Victoria [the Registrar BDMV] may refuse to register a birth under subsection (3) or (4) if the birth is registered under a corresponding law.</w:t>
      </w:r>
    </w:p>
    <w:p w14:paraId="57FE4D2F" w14:textId="77777777" w:rsidR="00850EF9" w:rsidRDefault="00850EF9" w:rsidP="00850EF9">
      <w:pPr>
        <w:jc w:val="both"/>
        <w:rPr>
          <w:rFonts w:ascii="Arial" w:hAnsi="Arial" w:cs="Arial"/>
          <w:sz w:val="20"/>
        </w:rPr>
      </w:pPr>
    </w:p>
    <w:p w14:paraId="485C85DC" w14:textId="77777777" w:rsidR="00850EF9" w:rsidRDefault="00850EF9" w:rsidP="00850EF9">
      <w:pPr>
        <w:jc w:val="both"/>
        <w:rPr>
          <w:rFonts w:ascii="Arial" w:hAnsi="Arial" w:cs="Arial"/>
          <w:sz w:val="20"/>
        </w:rPr>
      </w:pPr>
      <w:r>
        <w:rPr>
          <w:rFonts w:ascii="Arial" w:hAnsi="Arial" w:cs="Arial"/>
          <w:sz w:val="20"/>
        </w:rPr>
        <w:t xml:space="preserve">Section 14 of the </w:t>
      </w:r>
      <w:proofErr w:type="spellStart"/>
      <w:r>
        <w:rPr>
          <w:rFonts w:ascii="Arial" w:hAnsi="Arial" w:cs="Arial"/>
          <w:sz w:val="20"/>
        </w:rPr>
        <w:t>BdMR</w:t>
      </w:r>
      <w:proofErr w:type="spellEnd"/>
      <w:r>
        <w:rPr>
          <w:rFonts w:ascii="Arial" w:hAnsi="Arial" w:cs="Arial"/>
          <w:sz w:val="20"/>
        </w:rPr>
        <w:t xml:space="preserve"> Act provides: </w:t>
      </w:r>
    </w:p>
    <w:p w14:paraId="29813122" w14:textId="76AC3AE6" w:rsidR="00850EF9" w:rsidRPr="00850EF9" w:rsidRDefault="00850EF9" w:rsidP="00850EF9">
      <w:pPr>
        <w:spacing w:before="60"/>
        <w:ind w:left="567" w:right="567"/>
        <w:jc w:val="both"/>
        <w:rPr>
          <w:rFonts w:ascii="Arial" w:hAnsi="Arial" w:cs="Arial"/>
          <w:sz w:val="20"/>
        </w:rPr>
      </w:pPr>
      <w:r w:rsidRPr="00850EF9">
        <w:rPr>
          <w:rFonts w:ascii="Arial" w:hAnsi="Arial" w:cs="Arial"/>
          <w:sz w:val="20"/>
        </w:rPr>
        <w:t>“A person has the birth of a child registered under this Act by lodging a birth</w:t>
      </w:r>
      <w:r w:rsidRPr="00850EF9">
        <w:rPr>
          <w:rFonts w:ascii="Arial" w:hAnsi="Arial" w:cs="Arial"/>
          <w:b/>
          <w:sz w:val="20"/>
        </w:rPr>
        <w:t xml:space="preserve"> </w:t>
      </w:r>
      <w:r w:rsidRPr="00850EF9">
        <w:rPr>
          <w:rFonts w:ascii="Arial" w:hAnsi="Arial" w:cs="Arial"/>
          <w:sz w:val="20"/>
        </w:rPr>
        <w:t>registration statement with the Registrar in a form and manner required by the Registrar specifying any prescribed particulars.”</w:t>
      </w:r>
    </w:p>
    <w:p w14:paraId="1D1C7AC6" w14:textId="77777777" w:rsidR="00850EF9" w:rsidRPr="00850EF9" w:rsidRDefault="00850EF9" w:rsidP="00850EF9">
      <w:pPr>
        <w:spacing w:before="60"/>
        <w:jc w:val="both"/>
        <w:rPr>
          <w:rFonts w:ascii="Arial" w:hAnsi="Arial" w:cs="Arial"/>
          <w:sz w:val="20"/>
          <w:szCs w:val="20"/>
        </w:rPr>
      </w:pPr>
      <w:r w:rsidRPr="00850EF9">
        <w:rPr>
          <w:rFonts w:ascii="Arial" w:hAnsi="Arial" w:cs="Arial"/>
          <w:sz w:val="20"/>
          <w:szCs w:val="20"/>
        </w:rPr>
        <w:t xml:space="preserve">The prescribed particulars are detailed in regulation 7 of the </w:t>
      </w:r>
      <w:r w:rsidRPr="00850EF9">
        <w:rPr>
          <w:rFonts w:ascii="Arial" w:hAnsi="Arial" w:cs="Arial"/>
          <w:i/>
          <w:iCs/>
          <w:sz w:val="20"/>
          <w:szCs w:val="20"/>
        </w:rPr>
        <w:t>Births, Deaths and Marriages Registration Regulations 2019</w:t>
      </w:r>
      <w:r w:rsidRPr="00850EF9">
        <w:rPr>
          <w:rFonts w:ascii="Arial" w:hAnsi="Arial" w:cs="Arial"/>
          <w:sz w:val="20"/>
          <w:szCs w:val="20"/>
        </w:rPr>
        <w:t xml:space="preserve"> and are as follows–</w:t>
      </w:r>
    </w:p>
    <w:p w14:paraId="689EC27D" w14:textId="77777777" w:rsidR="00850EF9" w:rsidRPr="00850EF9" w:rsidRDefault="00850EF9">
      <w:pPr>
        <w:pStyle w:val="DraftHeading3"/>
        <w:numPr>
          <w:ilvl w:val="1"/>
          <w:numId w:val="96"/>
        </w:numPr>
        <w:tabs>
          <w:tab w:val="right" w:pos="1757"/>
        </w:tabs>
        <w:spacing w:before="0"/>
        <w:ind w:left="454" w:hanging="454"/>
        <w:jc w:val="both"/>
        <w:rPr>
          <w:rFonts w:ascii="Arial" w:hAnsi="Arial" w:cs="Arial"/>
          <w:sz w:val="20"/>
        </w:rPr>
      </w:pPr>
      <w:r w:rsidRPr="00850EF9">
        <w:rPr>
          <w:rFonts w:ascii="Arial" w:hAnsi="Arial" w:cs="Arial"/>
          <w:sz w:val="20"/>
        </w:rPr>
        <w:t>whether the child was born alive or stillborn;</w:t>
      </w:r>
    </w:p>
    <w:p w14:paraId="2D9816F8"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(b)</w:t>
      </w:r>
      <w:r w:rsidRPr="00850EF9">
        <w:rPr>
          <w:rFonts w:ascii="Arial" w:hAnsi="Arial" w:cs="Arial"/>
          <w:sz w:val="20"/>
        </w:rPr>
        <w:tab/>
        <w:t>the child's full name;</w:t>
      </w:r>
    </w:p>
    <w:p w14:paraId="3EB5EE9A"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(c)</w:t>
      </w:r>
      <w:r w:rsidRPr="00850EF9">
        <w:rPr>
          <w:rFonts w:ascii="Arial" w:hAnsi="Arial" w:cs="Arial"/>
          <w:sz w:val="20"/>
        </w:rPr>
        <w:tab/>
        <w:t>the child's sex;</w:t>
      </w:r>
    </w:p>
    <w:p w14:paraId="648F60DC"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(d)</w:t>
      </w:r>
      <w:r w:rsidRPr="00850EF9">
        <w:rPr>
          <w:rFonts w:ascii="Arial" w:hAnsi="Arial" w:cs="Arial"/>
          <w:sz w:val="20"/>
        </w:rPr>
        <w:tab/>
        <w:t>the child's date of birth;</w:t>
      </w:r>
    </w:p>
    <w:p w14:paraId="6B83CCBC"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(e)</w:t>
      </w:r>
      <w:r w:rsidRPr="00850EF9">
        <w:rPr>
          <w:rFonts w:ascii="Arial" w:hAnsi="Arial" w:cs="Arial"/>
          <w:sz w:val="20"/>
        </w:rPr>
        <w:tab/>
        <w:t>whether the birth was a multiple birth;</w:t>
      </w:r>
    </w:p>
    <w:p w14:paraId="3A5228F4"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(f)</w:t>
      </w:r>
      <w:r w:rsidRPr="00850EF9">
        <w:rPr>
          <w:rFonts w:ascii="Arial" w:hAnsi="Arial" w:cs="Arial"/>
          <w:sz w:val="20"/>
        </w:rPr>
        <w:tab/>
        <w:t>the name of the hospital or medical facility the child was born in, or the place of birth, and full name and contact details of the doctor, midwife or other person present at the birth;</w:t>
      </w:r>
    </w:p>
    <w:p w14:paraId="7CF9FEC4"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lastRenderedPageBreak/>
        <w:t>(g)</w:t>
      </w:r>
      <w:r w:rsidRPr="00850EF9">
        <w:rPr>
          <w:rFonts w:ascii="Arial" w:hAnsi="Arial" w:cs="Arial"/>
          <w:sz w:val="20"/>
        </w:rPr>
        <w:tab/>
        <w:t>whether the child was conceived by a donor treatment procedure, and, if so, the name and business address of the registered ART provider or full name of the doctor who carried out the donor treatment procedure;</w:t>
      </w:r>
    </w:p>
    <w:p w14:paraId="1DAF9526"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(h)</w:t>
      </w:r>
      <w:r w:rsidRPr="00850EF9">
        <w:rPr>
          <w:rFonts w:ascii="Arial" w:hAnsi="Arial" w:cs="Arial"/>
          <w:sz w:val="20"/>
        </w:rPr>
        <w:tab/>
        <w:t>the full name, birth name, occupation and usual place of residence of each parent of the child;</w:t>
      </w:r>
    </w:p>
    <w:p w14:paraId="73F994AA"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(i)</w:t>
      </w:r>
      <w:r w:rsidRPr="00850EF9">
        <w:rPr>
          <w:rFonts w:ascii="Arial" w:hAnsi="Arial" w:cs="Arial"/>
          <w:sz w:val="20"/>
        </w:rPr>
        <w:tab/>
        <w:t>the date of birth (or, if unknown, age at the time of the child's birth) and place of birth of each parent of the child;</w:t>
      </w:r>
    </w:p>
    <w:p w14:paraId="48C930FF"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(j)</w:t>
      </w:r>
      <w:r w:rsidRPr="00850EF9">
        <w:rPr>
          <w:rFonts w:ascii="Arial" w:hAnsi="Arial" w:cs="Arial"/>
          <w:sz w:val="20"/>
        </w:rPr>
        <w:tab/>
        <w:t>whether the parents of the child were married and the date and place of that marriage;</w:t>
      </w:r>
    </w:p>
    <w:p w14:paraId="69698E8F"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(k)</w:t>
      </w:r>
      <w:r w:rsidRPr="00850EF9">
        <w:rPr>
          <w:rFonts w:ascii="Arial" w:hAnsi="Arial" w:cs="Arial"/>
          <w:sz w:val="20"/>
        </w:rPr>
        <w:tab/>
        <w:t>whether the parents of the child were in a domestic relationship and the date and place of the registration of that domestic relationship (if applicable);</w:t>
      </w:r>
    </w:p>
    <w:p w14:paraId="118F01AF"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(l)</w:t>
      </w:r>
      <w:r w:rsidRPr="00850EF9">
        <w:rPr>
          <w:rFonts w:ascii="Arial" w:hAnsi="Arial" w:cs="Arial"/>
          <w:sz w:val="20"/>
        </w:rPr>
        <w:tab/>
        <w:t>the full name and date of birth of each previous child of both parents of the child;</w:t>
      </w:r>
    </w:p>
    <w:p w14:paraId="3640421C" w14:textId="77777777" w:rsidR="00850EF9" w:rsidRPr="00850EF9" w:rsidRDefault="00850EF9" w:rsidP="00850EF9">
      <w:pPr>
        <w:pStyle w:val="DraftHeading3"/>
        <w:tabs>
          <w:tab w:val="right" w:pos="1757"/>
        </w:tabs>
        <w:spacing w:before="0"/>
        <w:ind w:left="454" w:hanging="454"/>
        <w:jc w:val="both"/>
        <w:rPr>
          <w:rFonts w:ascii="Arial" w:hAnsi="Arial" w:cs="Arial"/>
          <w:sz w:val="20"/>
        </w:rPr>
      </w:pPr>
      <w:r w:rsidRPr="00850EF9">
        <w:rPr>
          <w:rFonts w:ascii="Arial" w:hAnsi="Arial" w:cs="Arial"/>
          <w:sz w:val="20"/>
        </w:rPr>
        <w:t>(m)</w:t>
      </w:r>
      <w:r w:rsidRPr="00850EF9">
        <w:rPr>
          <w:rFonts w:ascii="Arial" w:hAnsi="Arial" w:cs="Arial"/>
          <w:sz w:val="20"/>
        </w:rPr>
        <w:tab/>
        <w:t>the full name and date of birth of each previous child of each parent of the child;</w:t>
      </w:r>
    </w:p>
    <w:p w14:paraId="5A34F41A" w14:textId="77777777" w:rsidR="00850EF9" w:rsidRPr="00850EF9" w:rsidRDefault="00850EF9" w:rsidP="00850EF9">
      <w:pPr>
        <w:pStyle w:val="DraftHeading3"/>
        <w:tabs>
          <w:tab w:val="right" w:pos="1757"/>
        </w:tabs>
        <w:spacing w:before="0"/>
        <w:ind w:left="454" w:right="567" w:hanging="454"/>
        <w:jc w:val="both"/>
        <w:rPr>
          <w:rFonts w:ascii="Arial" w:hAnsi="Arial" w:cs="Arial"/>
          <w:sz w:val="20"/>
        </w:rPr>
      </w:pPr>
      <w:r w:rsidRPr="00850EF9">
        <w:rPr>
          <w:rFonts w:ascii="Arial" w:hAnsi="Arial" w:cs="Arial"/>
          <w:sz w:val="20"/>
        </w:rPr>
        <w:t>(n)</w:t>
      </w:r>
      <w:r w:rsidRPr="00850EF9">
        <w:rPr>
          <w:rFonts w:ascii="Arial" w:hAnsi="Arial" w:cs="Arial"/>
          <w:sz w:val="20"/>
        </w:rPr>
        <w:tab/>
        <w:t>whether a parent of the child is Aboriginal or Torres Strait Islander.</w:t>
      </w:r>
    </w:p>
    <w:p w14:paraId="3C8571AC" w14:textId="77777777" w:rsidR="00850EF9" w:rsidRPr="00850EF9" w:rsidRDefault="00850EF9" w:rsidP="00850EF9">
      <w:pPr>
        <w:jc w:val="both"/>
        <w:rPr>
          <w:rFonts w:ascii="Arial" w:hAnsi="Arial" w:cs="Arial"/>
          <w:sz w:val="20"/>
          <w:szCs w:val="20"/>
        </w:rPr>
      </w:pPr>
    </w:p>
    <w:p w14:paraId="6666A05C" w14:textId="77777777" w:rsidR="00850EF9" w:rsidRPr="00850EF9" w:rsidRDefault="00850EF9" w:rsidP="00850EF9">
      <w:pPr>
        <w:shd w:val="clear" w:color="auto" w:fill="000000" w:themeFill="text1"/>
        <w:jc w:val="center"/>
        <w:rPr>
          <w:rFonts w:ascii="Arial" w:hAnsi="Arial" w:cs="Arial"/>
          <w:b/>
          <w:bCs/>
          <w:color w:val="FFFFFF" w:themeColor="background1"/>
          <w:sz w:val="20"/>
          <w:szCs w:val="20"/>
        </w:rPr>
      </w:pPr>
      <w:r w:rsidRPr="00850EF9">
        <w:rPr>
          <w:rFonts w:ascii="Arial" w:hAnsi="Arial" w:cs="Arial"/>
          <w:b/>
          <w:bCs/>
          <w:color w:val="FFFFFF" w:themeColor="background1"/>
          <w:sz w:val="20"/>
          <w:szCs w:val="20"/>
        </w:rPr>
        <w:t>POWER TO MAKE ORDERS UNDER THE BDMR ACT GENERALLY</w:t>
      </w:r>
    </w:p>
    <w:p w14:paraId="0A22D133" w14:textId="77777777" w:rsidR="00850EF9" w:rsidRPr="00850EF9" w:rsidRDefault="00850EF9" w:rsidP="00850EF9">
      <w:pPr>
        <w:jc w:val="both"/>
        <w:rPr>
          <w:rFonts w:ascii="Arial" w:hAnsi="Arial" w:cs="Arial"/>
          <w:sz w:val="20"/>
          <w:szCs w:val="20"/>
        </w:rPr>
      </w:pPr>
    </w:p>
    <w:p w14:paraId="74C05AF4" w14:textId="77777777" w:rsidR="00850EF9" w:rsidRPr="00850EF9" w:rsidRDefault="00850EF9" w:rsidP="00850EF9">
      <w:pPr>
        <w:jc w:val="both"/>
        <w:rPr>
          <w:rFonts w:ascii="Arial" w:hAnsi="Arial" w:cs="Arial"/>
          <w:sz w:val="20"/>
          <w:szCs w:val="20"/>
        </w:rPr>
      </w:pPr>
      <w:r w:rsidRPr="00850EF9">
        <w:rPr>
          <w:rFonts w:ascii="Arial" w:hAnsi="Arial" w:cs="Arial"/>
          <w:b/>
          <w:bCs/>
          <w:sz w:val="20"/>
          <w:szCs w:val="20"/>
        </w:rPr>
        <w:t>Power to make orders under the BDMR Act is primarily conferred on the County Court of Victoria.  The Children’s Court has only limited incidental powers.</w:t>
      </w:r>
      <w:r w:rsidRPr="00850EF9">
        <w:rPr>
          <w:rFonts w:ascii="Arial" w:hAnsi="Arial" w:cs="Arial"/>
          <w:sz w:val="20"/>
          <w:szCs w:val="20"/>
        </w:rPr>
        <w:t xml:space="preserve">  Throughout the BDMR Act, the term “Court” [with a capital C] is used frequently and is defined in s.4(1) as the County Court.  By contrast “court” [with a small c] – which refers to any court – is used infrequently.</w:t>
      </w:r>
    </w:p>
    <w:p w14:paraId="126E4325" w14:textId="77777777" w:rsidR="00850EF9" w:rsidRPr="00850EF9" w:rsidRDefault="00850EF9" w:rsidP="00850EF9">
      <w:pPr>
        <w:jc w:val="both"/>
        <w:rPr>
          <w:rFonts w:ascii="Arial" w:hAnsi="Arial" w:cs="Arial"/>
          <w:color w:val="000000"/>
          <w:sz w:val="20"/>
          <w:szCs w:val="20"/>
        </w:rPr>
      </w:pPr>
    </w:p>
    <w:p w14:paraId="2B12A9B3"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Section 20 provides an illustration of the distinction between “Court” [with a capital C] and “court” [with a small c].  Subsection (1) confers power on the County Court:</w:t>
      </w:r>
    </w:p>
    <w:p w14:paraId="060507E8" w14:textId="77777777" w:rsidR="00850EF9" w:rsidRPr="00850EF9" w:rsidRDefault="00850EF9">
      <w:pPr>
        <w:pStyle w:val="DraftHeading2"/>
        <w:numPr>
          <w:ilvl w:val="6"/>
          <w:numId w:val="63"/>
        </w:numPr>
        <w:tabs>
          <w:tab w:val="right" w:pos="1247"/>
        </w:tabs>
        <w:spacing w:before="60"/>
        <w:ind w:left="1021" w:right="567" w:hanging="454"/>
        <w:jc w:val="both"/>
        <w:rPr>
          <w:rFonts w:ascii="Arial" w:hAnsi="Arial" w:cs="Arial"/>
          <w:sz w:val="20"/>
        </w:rPr>
      </w:pPr>
      <w:r w:rsidRPr="00850EF9">
        <w:rPr>
          <w:rFonts w:ascii="Arial" w:hAnsi="Arial" w:cs="Arial"/>
          <w:sz w:val="20"/>
        </w:rPr>
        <w:t>The Court may, on application by an interested person or on its own initiative, order—</w:t>
      </w:r>
    </w:p>
    <w:p w14:paraId="0A0CF486" w14:textId="77777777" w:rsidR="00850EF9" w:rsidRPr="00850EF9" w:rsidRDefault="00850EF9" w:rsidP="00850EF9">
      <w:pPr>
        <w:pStyle w:val="DraftHeading3"/>
        <w:tabs>
          <w:tab w:val="right" w:pos="1758"/>
        </w:tabs>
        <w:spacing w:before="0"/>
        <w:ind w:left="1475" w:right="567" w:hanging="454"/>
        <w:jc w:val="both"/>
        <w:rPr>
          <w:rFonts w:ascii="Arial" w:hAnsi="Arial" w:cs="Arial"/>
          <w:sz w:val="20"/>
        </w:rPr>
      </w:pPr>
      <w:r w:rsidRPr="00850EF9">
        <w:rPr>
          <w:rFonts w:ascii="Arial" w:hAnsi="Arial" w:cs="Arial"/>
          <w:sz w:val="20"/>
        </w:rPr>
        <w:t>(a)</w:t>
      </w:r>
      <w:r w:rsidRPr="00850EF9">
        <w:rPr>
          <w:rFonts w:ascii="Arial" w:hAnsi="Arial" w:cs="Arial"/>
          <w:sz w:val="20"/>
        </w:rPr>
        <w:tab/>
        <w:t>the registration of a birth; or</w:t>
      </w:r>
    </w:p>
    <w:p w14:paraId="2E0D76B9" w14:textId="77777777" w:rsidR="00850EF9" w:rsidRPr="00850EF9" w:rsidRDefault="00850EF9" w:rsidP="00850EF9">
      <w:pPr>
        <w:pStyle w:val="DraftHeading3"/>
        <w:tabs>
          <w:tab w:val="right" w:pos="1758"/>
        </w:tabs>
        <w:spacing w:before="0"/>
        <w:ind w:left="1475" w:right="567" w:hanging="454"/>
        <w:jc w:val="both"/>
        <w:rPr>
          <w:rFonts w:ascii="Arial" w:hAnsi="Arial" w:cs="Arial"/>
          <w:sz w:val="20"/>
        </w:rPr>
      </w:pPr>
      <w:r w:rsidRPr="00850EF9">
        <w:rPr>
          <w:rFonts w:ascii="Arial" w:hAnsi="Arial" w:cs="Arial"/>
          <w:sz w:val="20"/>
        </w:rPr>
        <w:t>(b)</w:t>
      </w:r>
      <w:r w:rsidRPr="00850EF9">
        <w:rPr>
          <w:rFonts w:ascii="Arial" w:hAnsi="Arial" w:cs="Arial"/>
          <w:sz w:val="20"/>
        </w:rPr>
        <w:tab/>
        <w:t>the inclusion of registrable information about a birth or a child’s parents in the Register.</w:t>
      </w:r>
    </w:p>
    <w:p w14:paraId="559059F8" w14:textId="77777777" w:rsidR="00850EF9" w:rsidRPr="00850EF9" w:rsidRDefault="00850EF9" w:rsidP="00850EF9">
      <w:pPr>
        <w:jc w:val="both"/>
        <w:rPr>
          <w:rFonts w:ascii="Arial" w:hAnsi="Arial" w:cs="Arial"/>
          <w:sz w:val="20"/>
          <w:szCs w:val="20"/>
        </w:rPr>
      </w:pPr>
    </w:p>
    <w:p w14:paraId="1DD852DE"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By contrast subsection (2) confers limited incidental power on a broad range of courts, including the Children’s Court:</w:t>
      </w:r>
    </w:p>
    <w:p w14:paraId="0EEFC4FA" w14:textId="77777777" w:rsidR="00850EF9" w:rsidRPr="00850EF9" w:rsidRDefault="00850EF9">
      <w:pPr>
        <w:pStyle w:val="DraftHeading2"/>
        <w:numPr>
          <w:ilvl w:val="0"/>
          <w:numId w:val="94"/>
        </w:numPr>
        <w:tabs>
          <w:tab w:val="right" w:pos="1247"/>
        </w:tabs>
        <w:spacing w:before="60"/>
        <w:ind w:left="1015" w:right="567" w:hanging="448"/>
        <w:jc w:val="both"/>
        <w:rPr>
          <w:rFonts w:ascii="Arial" w:hAnsi="Arial" w:cs="Arial"/>
          <w:b/>
          <w:bCs/>
          <w:sz w:val="20"/>
        </w:rPr>
      </w:pPr>
      <w:r w:rsidRPr="00850EF9">
        <w:rPr>
          <w:rFonts w:ascii="Arial" w:hAnsi="Arial" w:cs="Arial"/>
          <w:b/>
          <w:bCs/>
          <w:sz w:val="20"/>
        </w:rPr>
        <w:t>If a court (including a court of another State or the Commonwealth) finds that—</w:t>
      </w:r>
    </w:p>
    <w:p w14:paraId="1F645263" w14:textId="77777777" w:rsidR="00850EF9" w:rsidRPr="00850EF9" w:rsidRDefault="00850EF9" w:rsidP="00850EF9">
      <w:pPr>
        <w:pStyle w:val="DraftHeading3"/>
        <w:tabs>
          <w:tab w:val="right" w:pos="1758"/>
        </w:tabs>
        <w:spacing w:before="0"/>
        <w:ind w:left="1475" w:right="567" w:hanging="454"/>
        <w:jc w:val="both"/>
        <w:rPr>
          <w:rFonts w:ascii="Arial" w:hAnsi="Arial" w:cs="Arial"/>
          <w:b/>
          <w:bCs/>
          <w:sz w:val="20"/>
        </w:rPr>
      </w:pPr>
      <w:r w:rsidRPr="00850EF9">
        <w:rPr>
          <w:rFonts w:ascii="Arial" w:hAnsi="Arial" w:cs="Arial"/>
          <w:b/>
          <w:bCs/>
          <w:sz w:val="20"/>
        </w:rPr>
        <w:t>(a)</w:t>
      </w:r>
      <w:r w:rsidRPr="00850EF9">
        <w:rPr>
          <w:rFonts w:ascii="Arial" w:hAnsi="Arial" w:cs="Arial"/>
          <w:b/>
          <w:bCs/>
          <w:sz w:val="20"/>
        </w:rPr>
        <w:tab/>
        <w:t>the birth of a person is not registered as required under this Act or a corresponding law [of another State]; or</w:t>
      </w:r>
    </w:p>
    <w:p w14:paraId="66B94FD8" w14:textId="77777777" w:rsidR="00850EF9" w:rsidRPr="00850EF9" w:rsidRDefault="00850EF9" w:rsidP="00850EF9">
      <w:pPr>
        <w:pStyle w:val="DraftHeading3"/>
        <w:tabs>
          <w:tab w:val="right" w:pos="1758"/>
        </w:tabs>
        <w:spacing w:before="0"/>
        <w:ind w:left="1475" w:right="567" w:hanging="454"/>
        <w:jc w:val="both"/>
        <w:rPr>
          <w:rFonts w:ascii="Arial" w:hAnsi="Arial" w:cs="Arial"/>
          <w:b/>
          <w:bCs/>
          <w:sz w:val="20"/>
        </w:rPr>
      </w:pPr>
      <w:r w:rsidRPr="00850EF9">
        <w:rPr>
          <w:rFonts w:ascii="Arial" w:hAnsi="Arial" w:cs="Arial"/>
          <w:b/>
          <w:bCs/>
          <w:sz w:val="20"/>
        </w:rPr>
        <w:t>(b)</w:t>
      </w:r>
      <w:r w:rsidRPr="00850EF9">
        <w:rPr>
          <w:rFonts w:ascii="Arial" w:hAnsi="Arial" w:cs="Arial"/>
          <w:b/>
          <w:bCs/>
          <w:sz w:val="20"/>
        </w:rPr>
        <w:tab/>
        <w:t>the registrable information [defined in s.4(1)] contained in an entry about a birth in the Register under this Act or a corresponding law is incomplete or incorrect—</w:t>
      </w:r>
    </w:p>
    <w:p w14:paraId="6E38EDEE" w14:textId="77777777" w:rsidR="00850EF9" w:rsidRPr="00850EF9" w:rsidRDefault="00850EF9" w:rsidP="00850EF9">
      <w:pPr>
        <w:pStyle w:val="BodySection"/>
        <w:spacing w:before="0"/>
        <w:ind w:left="1021" w:right="567"/>
        <w:jc w:val="both"/>
        <w:rPr>
          <w:rFonts w:ascii="Arial" w:hAnsi="Arial" w:cs="Arial"/>
          <w:b/>
          <w:bCs/>
          <w:sz w:val="20"/>
        </w:rPr>
      </w:pPr>
      <w:r w:rsidRPr="00850EF9">
        <w:rPr>
          <w:rFonts w:ascii="Arial" w:hAnsi="Arial" w:cs="Arial"/>
          <w:b/>
          <w:bCs/>
          <w:sz w:val="20"/>
        </w:rPr>
        <w:t>the court may direct registration of the birth or the inclusion or correction of registrable information in the Register under this Act or the corresponding law (as the case may require).</w:t>
      </w:r>
    </w:p>
    <w:p w14:paraId="190CA2D9" w14:textId="77777777" w:rsidR="00850EF9" w:rsidRPr="00850EF9" w:rsidRDefault="00850EF9" w:rsidP="00850EF9">
      <w:pPr>
        <w:jc w:val="both"/>
        <w:rPr>
          <w:rFonts w:ascii="Arial" w:hAnsi="Arial" w:cs="Arial"/>
          <w:color w:val="000000"/>
          <w:sz w:val="20"/>
          <w:szCs w:val="20"/>
        </w:rPr>
      </w:pPr>
    </w:p>
    <w:p w14:paraId="14D01B27" w14:textId="4E3CB46E" w:rsidR="00850EF9" w:rsidRPr="00850EF9" w:rsidRDefault="00850EF9" w:rsidP="00850EF9">
      <w:pPr>
        <w:jc w:val="both"/>
        <w:rPr>
          <w:rFonts w:ascii="Arial" w:hAnsi="Arial" w:cs="Arial"/>
          <w:color w:val="000000"/>
          <w:sz w:val="20"/>
          <w:szCs w:val="20"/>
        </w:rPr>
      </w:pPr>
      <w:r w:rsidRPr="00850EF9">
        <w:rPr>
          <w:rFonts w:ascii="Arial" w:hAnsi="Arial" w:cs="Arial"/>
          <w:color w:val="000000"/>
          <w:sz w:val="20"/>
          <w:szCs w:val="20"/>
        </w:rPr>
        <w:t xml:space="preserve">In </w:t>
      </w:r>
      <w:r w:rsidRPr="00850EF9">
        <w:rPr>
          <w:rFonts w:ascii="Arial" w:hAnsi="Arial" w:cs="Arial"/>
          <w:i/>
          <w:iCs/>
          <w:color w:val="000000"/>
          <w:sz w:val="20"/>
          <w:szCs w:val="20"/>
        </w:rPr>
        <w:t>Clarkson &amp; Zammit</w:t>
      </w:r>
      <w:r w:rsidRPr="00850EF9">
        <w:rPr>
          <w:rFonts w:ascii="Arial" w:hAnsi="Arial" w:cs="Arial"/>
          <w:color w:val="000000"/>
          <w:sz w:val="20"/>
          <w:szCs w:val="20"/>
        </w:rPr>
        <w:t xml:space="preserve"> [2014] FCCA 1099 at [53]-[54] the respondent – who was not a party to the proceeding in the Federal Circuit Court of Australia – was named as the father on the child’s birth certificate but he was not the biological father.  The applicant mother, supported by the </w:t>
      </w:r>
      <w:r w:rsidR="00AF7ECC">
        <w:rPr>
          <w:rFonts w:ascii="Arial" w:hAnsi="Arial" w:cs="Arial"/>
          <w:color w:val="000000"/>
          <w:sz w:val="20"/>
          <w:szCs w:val="20"/>
        </w:rPr>
        <w:t>best interest</w:t>
      </w:r>
      <w:r w:rsidRPr="00850EF9">
        <w:rPr>
          <w:rFonts w:ascii="Arial" w:hAnsi="Arial" w:cs="Arial"/>
          <w:color w:val="000000"/>
          <w:sz w:val="20"/>
          <w:szCs w:val="20"/>
        </w:rPr>
        <w:t xml:space="preserve">s </w:t>
      </w:r>
      <w:r w:rsidR="00AF7ECC">
        <w:rPr>
          <w:rFonts w:ascii="Arial" w:hAnsi="Arial" w:cs="Arial"/>
          <w:color w:val="000000"/>
          <w:sz w:val="20"/>
          <w:szCs w:val="20"/>
        </w:rPr>
        <w:t>l</w:t>
      </w:r>
      <w:r w:rsidRPr="00850EF9">
        <w:rPr>
          <w:rFonts w:ascii="Arial" w:hAnsi="Arial" w:cs="Arial"/>
          <w:color w:val="000000"/>
          <w:sz w:val="20"/>
          <w:szCs w:val="20"/>
        </w:rPr>
        <w:t xml:space="preserve">awyer, proposed orders that the respondent’s name be removed from the child’s birth certificate.  After detailing s.20(2) of the BDMR Act, Phibbs J said at [54]: “The respondent is not the father of the child, should not be registered as the father of the child and so an order must be made under this section.”  See also </w:t>
      </w:r>
      <w:r w:rsidRPr="00850EF9">
        <w:rPr>
          <w:rFonts w:ascii="Arial" w:hAnsi="Arial" w:cs="Arial"/>
          <w:i/>
          <w:iCs/>
          <w:color w:val="000000"/>
          <w:sz w:val="20"/>
          <w:szCs w:val="20"/>
        </w:rPr>
        <w:t>Sofia &amp; Treacy</w:t>
      </w:r>
      <w:r w:rsidRPr="00850EF9">
        <w:rPr>
          <w:rFonts w:ascii="Arial" w:hAnsi="Arial" w:cs="Arial"/>
          <w:color w:val="000000"/>
          <w:sz w:val="20"/>
          <w:szCs w:val="20"/>
        </w:rPr>
        <w:t xml:space="preserve"> [2021] </w:t>
      </w:r>
      <w:proofErr w:type="spellStart"/>
      <w:r w:rsidRPr="00850EF9">
        <w:rPr>
          <w:rFonts w:ascii="Arial" w:hAnsi="Arial" w:cs="Arial"/>
          <w:color w:val="000000"/>
          <w:sz w:val="20"/>
          <w:szCs w:val="20"/>
        </w:rPr>
        <w:t>FamCA</w:t>
      </w:r>
      <w:proofErr w:type="spellEnd"/>
      <w:r w:rsidRPr="00850EF9">
        <w:rPr>
          <w:rFonts w:ascii="Arial" w:hAnsi="Arial" w:cs="Arial"/>
          <w:color w:val="000000"/>
          <w:sz w:val="20"/>
          <w:szCs w:val="20"/>
        </w:rPr>
        <w:t xml:space="preserve"> 647 at [15]-[16].</w:t>
      </w:r>
    </w:p>
    <w:p w14:paraId="0EAE631D" w14:textId="77777777" w:rsidR="00850EF9" w:rsidRPr="00850EF9" w:rsidRDefault="00850EF9" w:rsidP="00850EF9">
      <w:pPr>
        <w:jc w:val="both"/>
        <w:rPr>
          <w:rFonts w:ascii="Arial" w:hAnsi="Arial" w:cs="Arial"/>
          <w:sz w:val="20"/>
          <w:szCs w:val="20"/>
        </w:rPr>
      </w:pPr>
    </w:p>
    <w:p w14:paraId="531D0F00" w14:textId="77777777" w:rsidR="00850EF9" w:rsidRPr="00850EF9" w:rsidRDefault="00850EF9" w:rsidP="00850EF9">
      <w:pPr>
        <w:keepNext/>
        <w:keepLines/>
        <w:shd w:val="clear" w:color="auto" w:fill="000000" w:themeFill="text1"/>
        <w:jc w:val="center"/>
        <w:rPr>
          <w:rFonts w:ascii="Arial" w:hAnsi="Arial" w:cs="Arial"/>
          <w:b/>
          <w:bCs/>
          <w:color w:val="FFFFFF" w:themeColor="background1"/>
          <w:sz w:val="20"/>
          <w:szCs w:val="20"/>
        </w:rPr>
      </w:pPr>
      <w:r w:rsidRPr="00850EF9">
        <w:rPr>
          <w:rFonts w:ascii="Arial" w:hAnsi="Arial" w:cs="Arial"/>
          <w:b/>
          <w:bCs/>
          <w:color w:val="FFFFFF" w:themeColor="background1"/>
          <w:sz w:val="20"/>
          <w:szCs w:val="20"/>
        </w:rPr>
        <w:t>CHILDREN’S COURT HAS INCIDENTAL POWER TO DIRECT REGISTRATION OF A BIRTH OR INCLUSION OR CORRECTION OF REGISTRABLE INFORMATION</w:t>
      </w:r>
    </w:p>
    <w:p w14:paraId="1CD54712" w14:textId="77777777" w:rsidR="00850EF9" w:rsidRPr="00850EF9" w:rsidRDefault="00850EF9" w:rsidP="00850EF9">
      <w:pPr>
        <w:jc w:val="both"/>
        <w:rPr>
          <w:rFonts w:ascii="Arial" w:hAnsi="Arial" w:cs="Arial"/>
          <w:sz w:val="20"/>
          <w:szCs w:val="20"/>
        </w:rPr>
      </w:pPr>
    </w:p>
    <w:p w14:paraId="3D144FBC" w14:textId="7156F549" w:rsidR="00850EF9" w:rsidRPr="000770AB" w:rsidRDefault="00505C3D" w:rsidP="00850EF9">
      <w:pPr>
        <w:pStyle w:val="Heading2"/>
        <w:tabs>
          <w:tab w:val="left" w:pos="567"/>
        </w:tabs>
        <w:spacing w:line="240" w:lineRule="auto"/>
        <w:rPr>
          <w:rFonts w:ascii="Arial" w:hAnsi="Arial" w:cs="Arial"/>
          <w:b/>
          <w:bCs/>
          <w:i/>
          <w:iCs/>
          <w:sz w:val="20"/>
        </w:rPr>
      </w:pPr>
      <w:r w:rsidRPr="000770AB">
        <w:rPr>
          <w:rFonts w:ascii="Arial" w:hAnsi="Arial" w:cs="Arial"/>
          <w:b/>
          <w:bCs/>
          <w:sz w:val="20"/>
        </w:rPr>
        <w:t xml:space="preserve">Section </w:t>
      </w:r>
      <w:r w:rsidR="00850EF9" w:rsidRPr="000770AB">
        <w:rPr>
          <w:rFonts w:ascii="Arial" w:hAnsi="Arial" w:cs="Arial"/>
          <w:b/>
          <w:bCs/>
          <w:sz w:val="20"/>
        </w:rPr>
        <w:t xml:space="preserve">20(2) </w:t>
      </w:r>
      <w:r w:rsidRPr="000770AB">
        <w:rPr>
          <w:rFonts w:ascii="Arial" w:hAnsi="Arial" w:cs="Arial"/>
          <w:b/>
          <w:bCs/>
          <w:sz w:val="20"/>
        </w:rPr>
        <w:t>appears to be</w:t>
      </w:r>
      <w:r w:rsidR="00850EF9" w:rsidRPr="000770AB">
        <w:rPr>
          <w:rFonts w:ascii="Arial" w:hAnsi="Arial" w:cs="Arial"/>
          <w:b/>
          <w:bCs/>
          <w:sz w:val="20"/>
        </w:rPr>
        <w:t xml:space="preserve"> the only source of power in the BDMR Act that is expressly vested in the Children’s Court. It is effectively an incidental power and the pre</w:t>
      </w:r>
      <w:r w:rsidR="00850EF9" w:rsidRPr="000770AB">
        <w:rPr>
          <w:rFonts w:ascii="Arial" w:hAnsi="Arial" w:cs="Arial"/>
          <w:b/>
          <w:bCs/>
          <w:sz w:val="20"/>
        </w:rPr>
        <w:noBreakHyphen/>
        <w:t>condition for its exercise is either that—</w:t>
      </w:r>
    </w:p>
    <w:p w14:paraId="4F43C31A" w14:textId="77777777" w:rsidR="00850EF9" w:rsidRPr="00850EF9" w:rsidRDefault="00850EF9">
      <w:pPr>
        <w:pStyle w:val="ListParagraph"/>
        <w:numPr>
          <w:ilvl w:val="0"/>
          <w:numId w:val="97"/>
        </w:numPr>
        <w:ind w:left="357" w:hanging="357"/>
        <w:contextualSpacing/>
        <w:jc w:val="both"/>
        <w:rPr>
          <w:rFonts w:ascii="Arial" w:hAnsi="Arial" w:cs="Arial"/>
          <w:sz w:val="20"/>
        </w:rPr>
      </w:pPr>
      <w:r w:rsidRPr="00850EF9">
        <w:rPr>
          <w:rFonts w:ascii="Arial" w:hAnsi="Arial" w:cs="Arial"/>
          <w:b/>
          <w:bCs/>
          <w:sz w:val="20"/>
        </w:rPr>
        <w:t>a child’s birth is not registered as required; or</w:t>
      </w:r>
    </w:p>
    <w:p w14:paraId="75A0942F" w14:textId="77777777" w:rsidR="00850EF9" w:rsidRPr="00850EF9" w:rsidRDefault="00850EF9">
      <w:pPr>
        <w:pStyle w:val="ListParagraph"/>
        <w:numPr>
          <w:ilvl w:val="0"/>
          <w:numId w:val="97"/>
        </w:numPr>
        <w:ind w:left="357" w:hanging="357"/>
        <w:contextualSpacing/>
        <w:jc w:val="both"/>
        <w:rPr>
          <w:rFonts w:ascii="Arial" w:hAnsi="Arial" w:cs="Arial"/>
          <w:sz w:val="20"/>
        </w:rPr>
      </w:pPr>
      <w:r w:rsidRPr="00850EF9">
        <w:rPr>
          <w:rFonts w:ascii="Arial" w:hAnsi="Arial" w:cs="Arial"/>
          <w:b/>
          <w:bCs/>
          <w:sz w:val="20"/>
        </w:rPr>
        <w:t>the registrable information about a child’s birth is incomplete or incorrect.</w:t>
      </w:r>
    </w:p>
    <w:p w14:paraId="2C61C3D0" w14:textId="77777777" w:rsidR="00850EF9" w:rsidRPr="00850EF9" w:rsidRDefault="00850EF9" w:rsidP="00850EF9">
      <w:pPr>
        <w:jc w:val="both"/>
        <w:rPr>
          <w:rFonts w:ascii="Arial" w:hAnsi="Arial" w:cs="Arial"/>
          <w:sz w:val="20"/>
          <w:szCs w:val="20"/>
        </w:rPr>
      </w:pPr>
    </w:p>
    <w:p w14:paraId="3DA1DC67" w14:textId="77777777" w:rsidR="00850EF9" w:rsidRPr="00850EF9" w:rsidRDefault="00850EF9" w:rsidP="00850EF9">
      <w:pPr>
        <w:keepNext/>
        <w:keepLines/>
        <w:shd w:val="clear" w:color="auto" w:fill="000000" w:themeFill="text1"/>
        <w:jc w:val="center"/>
        <w:rPr>
          <w:rFonts w:ascii="Arial" w:hAnsi="Arial" w:cs="Arial"/>
          <w:b/>
          <w:bCs/>
          <w:color w:val="FFFFFF" w:themeColor="background1"/>
          <w:sz w:val="20"/>
          <w:szCs w:val="20"/>
        </w:rPr>
      </w:pPr>
      <w:r w:rsidRPr="00850EF9">
        <w:rPr>
          <w:rFonts w:ascii="Arial" w:hAnsi="Arial" w:cs="Arial"/>
          <w:b/>
          <w:bCs/>
          <w:color w:val="FFFFFF" w:themeColor="background1"/>
          <w:sz w:val="20"/>
          <w:szCs w:val="20"/>
        </w:rPr>
        <w:lastRenderedPageBreak/>
        <w:t>PRIMARY POWER TO CHANGE A CHILD’S NAME IN VICTORIA VESTS IN BDMV OR THE COUNTY COURT</w:t>
      </w:r>
    </w:p>
    <w:p w14:paraId="05912D18" w14:textId="77777777" w:rsidR="00850EF9" w:rsidRPr="00850EF9" w:rsidRDefault="00850EF9" w:rsidP="00850EF9">
      <w:pPr>
        <w:jc w:val="both"/>
        <w:rPr>
          <w:rFonts w:ascii="Arial" w:hAnsi="Arial" w:cs="Arial"/>
          <w:sz w:val="20"/>
          <w:szCs w:val="20"/>
        </w:rPr>
      </w:pPr>
    </w:p>
    <w:p w14:paraId="2D7BA4BF"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Part 4 of the BDMR [ss.24-30] is headed “</w:t>
      </w:r>
      <w:r w:rsidRPr="00850EF9">
        <w:rPr>
          <w:rFonts w:ascii="Arial" w:hAnsi="Arial" w:cs="Arial"/>
          <w:b/>
          <w:bCs/>
          <w:sz w:val="20"/>
          <w:szCs w:val="20"/>
        </w:rPr>
        <w:t>Change of Name</w:t>
      </w:r>
      <w:r w:rsidRPr="00850EF9">
        <w:rPr>
          <w:rFonts w:ascii="Arial" w:hAnsi="Arial" w:cs="Arial"/>
          <w:sz w:val="20"/>
          <w:szCs w:val="20"/>
        </w:rPr>
        <w:t>”.  A new name can be recognised if it is established by repute or usage: see s.30 of the BDMR Act.  However, many organisations require written evidence of a change of name.</w:t>
      </w:r>
    </w:p>
    <w:p w14:paraId="7B6C019C" w14:textId="77777777" w:rsidR="00850EF9" w:rsidRPr="00850EF9" w:rsidRDefault="00850EF9" w:rsidP="00850EF9">
      <w:pPr>
        <w:jc w:val="both"/>
        <w:rPr>
          <w:rFonts w:ascii="Arial" w:hAnsi="Arial" w:cs="Arial"/>
          <w:sz w:val="20"/>
          <w:szCs w:val="20"/>
        </w:rPr>
      </w:pPr>
    </w:p>
    <w:p w14:paraId="7986AFC9"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 xml:space="preserve">Application for registration of a change in a child’s name can be made to the Registrar Births, Deaths and Marriages Victoria [BDMV] in the circumstances set out in ss.24-29 BDMR Act: see </w:t>
      </w:r>
      <w:hyperlink r:id="rId15" w:history="1">
        <w:r w:rsidRPr="00850EF9">
          <w:rPr>
            <w:rStyle w:val="Hyperlink"/>
            <w:rFonts w:ascii="Arial" w:hAnsi="Arial" w:cs="Arial"/>
            <w:sz w:val="20"/>
            <w:szCs w:val="20"/>
          </w:rPr>
          <w:t>https://www.bdm.vic.gov.au/changes-and-corrections/change-your-childs-name/child-born-in-victoria</w:t>
        </w:r>
      </w:hyperlink>
      <w:r w:rsidRPr="00850EF9">
        <w:rPr>
          <w:rStyle w:val="Hyperlink"/>
          <w:rFonts w:ascii="Arial" w:hAnsi="Arial" w:cs="Arial"/>
          <w:sz w:val="20"/>
          <w:szCs w:val="20"/>
        </w:rPr>
        <w:t>.</w:t>
      </w:r>
    </w:p>
    <w:p w14:paraId="3F12A46F" w14:textId="77777777" w:rsidR="00850EF9" w:rsidRPr="00850EF9" w:rsidRDefault="00850EF9" w:rsidP="00850EF9">
      <w:pPr>
        <w:ind w:left="454" w:hanging="454"/>
        <w:jc w:val="both"/>
        <w:rPr>
          <w:rFonts w:ascii="Arial" w:hAnsi="Arial" w:cs="Arial"/>
          <w:sz w:val="20"/>
          <w:szCs w:val="20"/>
        </w:rPr>
      </w:pPr>
    </w:p>
    <w:p w14:paraId="493B1E40"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Pursuant to s.26(1) of the BDMR Act, the parents of a child under 18 years of age may apply to the Registrar BDMV for registration of a change of a child’s name if—</w:t>
      </w:r>
    </w:p>
    <w:p w14:paraId="7C04549D" w14:textId="77777777" w:rsidR="00850EF9" w:rsidRPr="00850EF9" w:rsidRDefault="00850EF9" w:rsidP="00850EF9">
      <w:pPr>
        <w:ind w:left="454" w:hanging="454"/>
        <w:jc w:val="both"/>
        <w:rPr>
          <w:rFonts w:ascii="Arial" w:hAnsi="Arial" w:cs="Arial"/>
          <w:sz w:val="20"/>
          <w:szCs w:val="20"/>
        </w:rPr>
      </w:pPr>
      <w:r w:rsidRPr="00850EF9">
        <w:rPr>
          <w:rFonts w:ascii="Arial" w:hAnsi="Arial" w:cs="Arial"/>
          <w:sz w:val="20"/>
          <w:szCs w:val="20"/>
        </w:rPr>
        <w:t>(a)</w:t>
      </w:r>
      <w:r w:rsidRPr="00850EF9">
        <w:rPr>
          <w:rFonts w:ascii="Arial" w:hAnsi="Arial" w:cs="Arial"/>
          <w:sz w:val="20"/>
          <w:szCs w:val="20"/>
        </w:rPr>
        <w:tab/>
        <w:t>the child’s birth is registered in Victoria; or</w:t>
      </w:r>
    </w:p>
    <w:p w14:paraId="4D2F034B" w14:textId="77777777" w:rsidR="00850EF9" w:rsidRPr="00850EF9" w:rsidRDefault="00850EF9">
      <w:pPr>
        <w:pStyle w:val="ListParagraph"/>
        <w:numPr>
          <w:ilvl w:val="0"/>
          <w:numId w:val="95"/>
        </w:numPr>
        <w:ind w:left="454" w:hanging="454"/>
        <w:jc w:val="both"/>
        <w:rPr>
          <w:rFonts w:ascii="Arial" w:hAnsi="Arial" w:cs="Arial"/>
          <w:sz w:val="20"/>
        </w:rPr>
      </w:pPr>
      <w:r w:rsidRPr="00850EF9">
        <w:rPr>
          <w:rFonts w:ascii="Arial" w:hAnsi="Arial" w:cs="Arial"/>
          <w:sz w:val="20"/>
        </w:rPr>
        <w:t>the child-</w:t>
      </w:r>
    </w:p>
    <w:p w14:paraId="1F9E429E" w14:textId="77777777" w:rsidR="00850EF9" w:rsidRPr="00850EF9" w:rsidRDefault="00850EF9">
      <w:pPr>
        <w:pStyle w:val="ListParagraph"/>
        <w:numPr>
          <w:ilvl w:val="4"/>
          <w:numId w:val="71"/>
        </w:numPr>
        <w:ind w:left="908" w:hanging="454"/>
        <w:jc w:val="both"/>
        <w:rPr>
          <w:rFonts w:ascii="Arial" w:hAnsi="Arial" w:cs="Arial"/>
          <w:sz w:val="20"/>
        </w:rPr>
      </w:pPr>
      <w:r w:rsidRPr="00850EF9">
        <w:rPr>
          <w:rFonts w:ascii="Arial" w:hAnsi="Arial" w:cs="Arial"/>
          <w:sz w:val="20"/>
        </w:rPr>
        <w:t>was born outside Australia; and</w:t>
      </w:r>
    </w:p>
    <w:p w14:paraId="156E703B" w14:textId="77777777" w:rsidR="00850EF9" w:rsidRPr="00850EF9" w:rsidRDefault="00850EF9">
      <w:pPr>
        <w:pStyle w:val="ListParagraph"/>
        <w:numPr>
          <w:ilvl w:val="4"/>
          <w:numId w:val="71"/>
        </w:numPr>
        <w:ind w:left="908" w:hanging="454"/>
        <w:jc w:val="both"/>
        <w:rPr>
          <w:rFonts w:ascii="Arial" w:hAnsi="Arial" w:cs="Arial"/>
          <w:sz w:val="20"/>
        </w:rPr>
      </w:pPr>
      <w:r w:rsidRPr="00850EF9">
        <w:rPr>
          <w:rFonts w:ascii="Arial" w:hAnsi="Arial" w:cs="Arial"/>
          <w:sz w:val="20"/>
        </w:rPr>
        <w:t>is a child whose birth is not registered in Victoria or another State or a Territory; and</w:t>
      </w:r>
    </w:p>
    <w:p w14:paraId="48D45030" w14:textId="77777777" w:rsidR="00850EF9" w:rsidRPr="00850EF9" w:rsidRDefault="00850EF9">
      <w:pPr>
        <w:pStyle w:val="ListParagraph"/>
        <w:numPr>
          <w:ilvl w:val="4"/>
          <w:numId w:val="71"/>
        </w:numPr>
        <w:ind w:left="908" w:hanging="454"/>
        <w:jc w:val="both"/>
        <w:rPr>
          <w:rFonts w:ascii="Arial" w:hAnsi="Arial" w:cs="Arial"/>
          <w:sz w:val="20"/>
        </w:rPr>
      </w:pPr>
      <w:r w:rsidRPr="00850EF9">
        <w:rPr>
          <w:rFonts w:ascii="Arial" w:hAnsi="Arial" w:cs="Arial"/>
          <w:sz w:val="20"/>
        </w:rPr>
        <w:t>has been ordinarily resident in Victoria for at least 12 months immediately before the application is made.</w:t>
      </w:r>
    </w:p>
    <w:p w14:paraId="14152997"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The Registrar BDMV may waive the 12 month requirement under s.26(1)(b)(iii) in the circumstances set out in ss.26(1A) &amp; 26(1B).</w:t>
      </w:r>
    </w:p>
    <w:p w14:paraId="0AE94BC4" w14:textId="77777777" w:rsidR="00850EF9" w:rsidRPr="00850EF9" w:rsidRDefault="00850EF9" w:rsidP="00850EF9">
      <w:pPr>
        <w:jc w:val="both"/>
        <w:rPr>
          <w:rFonts w:ascii="Arial" w:hAnsi="Arial" w:cs="Arial"/>
          <w:sz w:val="20"/>
          <w:szCs w:val="20"/>
        </w:rPr>
      </w:pPr>
    </w:p>
    <w:p w14:paraId="330C63BD"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In most cases both parents named on the birth certificate need to complete a change of name application to the Registrar BDMV.  If one parent does not agree to the proposed alteration, an order made by a court which has the appropriate power will be necessary to effect an alteration.  In this connection s.23 of the BDMR Act provides:</w:t>
      </w:r>
    </w:p>
    <w:p w14:paraId="7D5B12B6" w14:textId="77777777" w:rsidR="00850EF9" w:rsidRPr="00850EF9" w:rsidRDefault="00850EF9" w:rsidP="00850EF9">
      <w:pPr>
        <w:pStyle w:val="DraftHeading2"/>
        <w:tabs>
          <w:tab w:val="right" w:pos="1247"/>
        </w:tabs>
        <w:spacing w:before="0"/>
        <w:ind w:left="1021" w:right="567" w:hanging="454"/>
        <w:jc w:val="both"/>
        <w:rPr>
          <w:rFonts w:ascii="Arial" w:hAnsi="Arial" w:cs="Arial"/>
          <w:sz w:val="20"/>
        </w:rPr>
      </w:pPr>
      <w:r w:rsidRPr="00850EF9">
        <w:rPr>
          <w:rFonts w:ascii="Arial" w:hAnsi="Arial" w:cs="Arial"/>
          <w:sz w:val="20"/>
        </w:rPr>
        <w:t>(1)</w:t>
      </w:r>
      <w:r w:rsidRPr="00850EF9">
        <w:rPr>
          <w:rFonts w:ascii="Arial" w:hAnsi="Arial" w:cs="Arial"/>
          <w:sz w:val="20"/>
        </w:rPr>
        <w:tab/>
        <w:t>If there is a dispute between parents about a child’s name, either parent may apply to the [County] Court for a resolution of the dispute.</w:t>
      </w:r>
    </w:p>
    <w:p w14:paraId="29E9D424" w14:textId="77777777" w:rsidR="00850EF9" w:rsidRPr="00850EF9" w:rsidRDefault="00850EF9" w:rsidP="00850EF9">
      <w:pPr>
        <w:pStyle w:val="DraftHeading2"/>
        <w:tabs>
          <w:tab w:val="right" w:pos="1247"/>
        </w:tabs>
        <w:spacing w:before="0"/>
        <w:ind w:left="1021" w:right="567" w:hanging="454"/>
        <w:jc w:val="both"/>
        <w:rPr>
          <w:rFonts w:ascii="Arial" w:hAnsi="Arial" w:cs="Arial"/>
          <w:sz w:val="20"/>
        </w:rPr>
      </w:pPr>
      <w:r w:rsidRPr="00850EF9">
        <w:rPr>
          <w:rFonts w:ascii="Arial" w:hAnsi="Arial" w:cs="Arial"/>
          <w:sz w:val="20"/>
        </w:rPr>
        <w:t>(2)</w:t>
      </w:r>
      <w:r w:rsidRPr="00850EF9">
        <w:rPr>
          <w:rFonts w:ascii="Arial" w:hAnsi="Arial" w:cs="Arial"/>
          <w:sz w:val="20"/>
        </w:rPr>
        <w:tab/>
        <w:t>On an application under subsection (1), the [County] Court may—</w:t>
      </w:r>
    </w:p>
    <w:p w14:paraId="0A7C4505" w14:textId="77777777" w:rsidR="00850EF9" w:rsidRPr="00850EF9" w:rsidRDefault="00850EF9" w:rsidP="00850EF9">
      <w:pPr>
        <w:pStyle w:val="DraftHeading3"/>
        <w:tabs>
          <w:tab w:val="right" w:pos="1758"/>
        </w:tabs>
        <w:spacing w:before="0"/>
        <w:ind w:left="1475" w:right="567" w:hanging="454"/>
        <w:jc w:val="both"/>
        <w:rPr>
          <w:rFonts w:ascii="Arial" w:hAnsi="Arial" w:cs="Arial"/>
          <w:sz w:val="20"/>
        </w:rPr>
      </w:pPr>
      <w:r w:rsidRPr="00850EF9">
        <w:rPr>
          <w:rFonts w:ascii="Arial" w:hAnsi="Arial" w:cs="Arial"/>
          <w:sz w:val="20"/>
        </w:rPr>
        <w:t>(a)</w:t>
      </w:r>
      <w:r w:rsidRPr="00850EF9">
        <w:rPr>
          <w:rFonts w:ascii="Arial" w:hAnsi="Arial" w:cs="Arial"/>
          <w:sz w:val="20"/>
        </w:rPr>
        <w:tab/>
      </w:r>
      <w:r w:rsidRPr="00850EF9">
        <w:rPr>
          <w:rFonts w:ascii="Arial" w:hAnsi="Arial" w:cs="Arial"/>
          <w:sz w:val="20"/>
        </w:rPr>
        <w:tab/>
        <w:t>resolve the dispute about the child’s name as the Court considers appropriate; and</w:t>
      </w:r>
    </w:p>
    <w:p w14:paraId="5C707F6C" w14:textId="77777777" w:rsidR="00850EF9" w:rsidRPr="00850EF9" w:rsidRDefault="00850EF9" w:rsidP="00850EF9">
      <w:pPr>
        <w:pStyle w:val="DraftHeading3"/>
        <w:tabs>
          <w:tab w:val="right" w:pos="1758"/>
        </w:tabs>
        <w:spacing w:before="0"/>
        <w:ind w:left="1475" w:right="567" w:hanging="454"/>
        <w:jc w:val="both"/>
        <w:rPr>
          <w:rFonts w:ascii="Arial" w:hAnsi="Arial" w:cs="Arial"/>
          <w:sz w:val="20"/>
        </w:rPr>
      </w:pPr>
      <w:r w:rsidRPr="00850EF9">
        <w:rPr>
          <w:rFonts w:ascii="Arial" w:hAnsi="Arial" w:cs="Arial"/>
          <w:sz w:val="20"/>
        </w:rPr>
        <w:t>(b)</w:t>
      </w:r>
      <w:r w:rsidRPr="00850EF9">
        <w:rPr>
          <w:rFonts w:ascii="Arial" w:hAnsi="Arial" w:cs="Arial"/>
          <w:sz w:val="20"/>
        </w:rPr>
        <w:tab/>
      </w:r>
      <w:r w:rsidRPr="00850EF9">
        <w:rPr>
          <w:rFonts w:ascii="Arial" w:hAnsi="Arial" w:cs="Arial"/>
          <w:sz w:val="20"/>
        </w:rPr>
        <w:tab/>
        <w:t>order the Registrar BDMV to register the child’s name in a form specified in the order.</w:t>
      </w:r>
    </w:p>
    <w:p w14:paraId="62D52B53" w14:textId="77777777" w:rsidR="00850EF9" w:rsidRPr="00850EF9" w:rsidRDefault="00850EF9" w:rsidP="00850EF9">
      <w:pPr>
        <w:jc w:val="both"/>
        <w:rPr>
          <w:rFonts w:ascii="Arial" w:hAnsi="Arial" w:cs="Arial"/>
          <w:sz w:val="20"/>
          <w:szCs w:val="20"/>
        </w:rPr>
      </w:pPr>
    </w:p>
    <w:p w14:paraId="26EBE7DF"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Section 26(3) provides that an application for registration of a change of a child’s name may be made by one parent if—</w:t>
      </w:r>
    </w:p>
    <w:p w14:paraId="432B0BE3" w14:textId="77777777" w:rsidR="00850EF9" w:rsidRPr="00850EF9" w:rsidRDefault="00850EF9">
      <w:pPr>
        <w:pStyle w:val="ListParagraph"/>
        <w:numPr>
          <w:ilvl w:val="0"/>
          <w:numId w:val="92"/>
        </w:numPr>
        <w:ind w:left="454" w:hanging="454"/>
        <w:jc w:val="both"/>
        <w:rPr>
          <w:rFonts w:ascii="Arial" w:hAnsi="Arial" w:cs="Arial"/>
          <w:sz w:val="20"/>
        </w:rPr>
      </w:pPr>
      <w:r w:rsidRPr="00850EF9">
        <w:rPr>
          <w:rFonts w:ascii="Arial" w:hAnsi="Arial" w:cs="Arial"/>
          <w:sz w:val="20"/>
        </w:rPr>
        <w:t>the applicant is the sole parent named in the registration of the child’s birth under the BDMR Act or any other law; or</w:t>
      </w:r>
    </w:p>
    <w:p w14:paraId="6573CDF1" w14:textId="77777777" w:rsidR="00850EF9" w:rsidRPr="00850EF9" w:rsidRDefault="00850EF9">
      <w:pPr>
        <w:pStyle w:val="ListParagraph"/>
        <w:numPr>
          <w:ilvl w:val="0"/>
          <w:numId w:val="92"/>
        </w:numPr>
        <w:ind w:left="454" w:hanging="454"/>
        <w:jc w:val="both"/>
        <w:rPr>
          <w:rFonts w:ascii="Arial" w:hAnsi="Arial" w:cs="Arial"/>
          <w:sz w:val="20"/>
        </w:rPr>
      </w:pPr>
      <w:r w:rsidRPr="00850EF9">
        <w:rPr>
          <w:rFonts w:ascii="Arial" w:hAnsi="Arial" w:cs="Arial"/>
          <w:sz w:val="20"/>
        </w:rPr>
        <w:t>there is no other surviving parent of the child; or</w:t>
      </w:r>
    </w:p>
    <w:p w14:paraId="26B08585" w14:textId="77777777" w:rsidR="00850EF9" w:rsidRPr="00850EF9" w:rsidRDefault="00850EF9">
      <w:pPr>
        <w:pStyle w:val="ListParagraph"/>
        <w:numPr>
          <w:ilvl w:val="0"/>
          <w:numId w:val="92"/>
        </w:numPr>
        <w:ind w:left="454" w:hanging="454"/>
        <w:jc w:val="both"/>
        <w:rPr>
          <w:rFonts w:ascii="Arial" w:hAnsi="Arial" w:cs="Arial"/>
          <w:sz w:val="20"/>
        </w:rPr>
      </w:pPr>
      <w:r w:rsidRPr="00850EF9">
        <w:rPr>
          <w:rFonts w:ascii="Arial" w:hAnsi="Arial" w:cs="Arial"/>
          <w:sz w:val="20"/>
        </w:rPr>
        <w:t>the [County] Court approves the proposed change of name.</w:t>
      </w:r>
    </w:p>
    <w:p w14:paraId="5CFF1987" w14:textId="77777777" w:rsidR="00850EF9" w:rsidRPr="00850EF9" w:rsidRDefault="00850EF9" w:rsidP="00850EF9">
      <w:pPr>
        <w:jc w:val="both"/>
        <w:rPr>
          <w:rFonts w:ascii="Arial" w:hAnsi="Arial" w:cs="Arial"/>
          <w:sz w:val="20"/>
          <w:szCs w:val="20"/>
        </w:rPr>
      </w:pPr>
    </w:p>
    <w:p w14:paraId="4183448F"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Section 26(4) provides: “The [County] Court may, on application by a child’s parent, approve a proposed change of name for the child if satisfied that the change is in the child’s best interests.”</w:t>
      </w:r>
    </w:p>
    <w:p w14:paraId="63E9E6BB" w14:textId="77777777" w:rsidR="00850EF9" w:rsidRPr="00850EF9" w:rsidRDefault="00850EF9" w:rsidP="00850EF9">
      <w:pPr>
        <w:jc w:val="both"/>
        <w:rPr>
          <w:rFonts w:ascii="Arial" w:hAnsi="Arial" w:cs="Arial"/>
          <w:sz w:val="20"/>
          <w:szCs w:val="20"/>
        </w:rPr>
      </w:pPr>
    </w:p>
    <w:p w14:paraId="1F458A66"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Section 26(5) provides: “If the parents of a child are dead, cannot be found, or for some other reason cannot exercise their parental responsibilities to a child, the child’s guardian may apply for registration of a change of the child’s name.”  The term ‘guardian’ is not expressly defined in the BDMR Act.</w:t>
      </w:r>
    </w:p>
    <w:p w14:paraId="49DB2533" w14:textId="77777777" w:rsidR="00850EF9" w:rsidRPr="00850EF9" w:rsidRDefault="00850EF9" w:rsidP="00850EF9">
      <w:pPr>
        <w:jc w:val="both"/>
        <w:rPr>
          <w:rFonts w:ascii="Arial" w:hAnsi="Arial" w:cs="Arial"/>
          <w:sz w:val="20"/>
          <w:szCs w:val="20"/>
        </w:rPr>
      </w:pPr>
    </w:p>
    <w:p w14:paraId="772EED91"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Section 27 provides that a change of a name of a child aged 12 years or more must not be registered unless—</w:t>
      </w:r>
    </w:p>
    <w:p w14:paraId="5E5CBDEC" w14:textId="77777777" w:rsidR="00850EF9" w:rsidRPr="00850EF9" w:rsidRDefault="00850EF9">
      <w:pPr>
        <w:pStyle w:val="ListParagraph"/>
        <w:numPr>
          <w:ilvl w:val="0"/>
          <w:numId w:val="93"/>
        </w:numPr>
        <w:ind w:left="454" w:hanging="454"/>
        <w:jc w:val="both"/>
        <w:rPr>
          <w:rFonts w:ascii="Arial" w:hAnsi="Arial" w:cs="Arial"/>
          <w:sz w:val="20"/>
        </w:rPr>
      </w:pPr>
      <w:r w:rsidRPr="00850EF9">
        <w:rPr>
          <w:rFonts w:ascii="Arial" w:hAnsi="Arial" w:cs="Arial"/>
          <w:sz w:val="20"/>
        </w:rPr>
        <w:t>the child consents to the change of name; or</w:t>
      </w:r>
    </w:p>
    <w:p w14:paraId="26EEF674" w14:textId="77777777" w:rsidR="00850EF9" w:rsidRPr="00850EF9" w:rsidRDefault="00850EF9">
      <w:pPr>
        <w:pStyle w:val="ListParagraph"/>
        <w:numPr>
          <w:ilvl w:val="0"/>
          <w:numId w:val="93"/>
        </w:numPr>
        <w:ind w:left="454" w:hanging="454"/>
        <w:jc w:val="both"/>
        <w:rPr>
          <w:rFonts w:ascii="Arial" w:hAnsi="Arial" w:cs="Arial"/>
          <w:sz w:val="20"/>
        </w:rPr>
      </w:pPr>
      <w:r w:rsidRPr="00850EF9">
        <w:rPr>
          <w:rFonts w:ascii="Arial" w:hAnsi="Arial" w:cs="Arial"/>
          <w:sz w:val="20"/>
        </w:rPr>
        <w:t>the child is unable to understand the meaning and implications of the change of name.</w:t>
      </w:r>
    </w:p>
    <w:p w14:paraId="38719350" w14:textId="77777777" w:rsidR="00850EF9" w:rsidRPr="00850EF9" w:rsidRDefault="00850EF9" w:rsidP="00850EF9">
      <w:pPr>
        <w:jc w:val="both"/>
        <w:rPr>
          <w:rFonts w:ascii="Arial" w:hAnsi="Arial" w:cs="Arial"/>
          <w:sz w:val="20"/>
          <w:szCs w:val="20"/>
        </w:rPr>
      </w:pPr>
    </w:p>
    <w:p w14:paraId="782D2F5D" w14:textId="77777777" w:rsidR="00850EF9" w:rsidRPr="00850EF9" w:rsidRDefault="00850EF9" w:rsidP="00850EF9">
      <w:pPr>
        <w:jc w:val="both"/>
        <w:rPr>
          <w:rFonts w:ascii="Arial" w:hAnsi="Arial" w:cs="Arial"/>
          <w:sz w:val="20"/>
          <w:szCs w:val="20"/>
        </w:rPr>
      </w:pPr>
      <w:r w:rsidRPr="00850EF9">
        <w:rPr>
          <w:rFonts w:ascii="Arial" w:hAnsi="Arial" w:cs="Arial"/>
          <w:sz w:val="20"/>
          <w:szCs w:val="20"/>
        </w:rPr>
        <w:t>Section 28 details the powers of the Registrar BDMV to register a change of name.</w:t>
      </w:r>
    </w:p>
    <w:p w14:paraId="787EF1AD" w14:textId="77777777" w:rsidR="00850EF9" w:rsidRPr="00850EF9" w:rsidRDefault="00850EF9" w:rsidP="00850EF9">
      <w:pPr>
        <w:jc w:val="both"/>
        <w:rPr>
          <w:rFonts w:ascii="Arial" w:hAnsi="Arial" w:cs="Arial"/>
          <w:sz w:val="20"/>
          <w:szCs w:val="20"/>
        </w:rPr>
      </w:pPr>
    </w:p>
    <w:p w14:paraId="390A7375" w14:textId="77777777" w:rsidR="00850EF9" w:rsidRPr="00850EF9" w:rsidRDefault="00850EF9" w:rsidP="00850EF9">
      <w:pPr>
        <w:keepNext/>
        <w:keepLines/>
        <w:shd w:val="clear" w:color="auto" w:fill="000000" w:themeFill="text1"/>
        <w:jc w:val="center"/>
        <w:rPr>
          <w:rFonts w:ascii="Arial" w:hAnsi="Arial" w:cs="Arial"/>
          <w:b/>
          <w:bCs/>
          <w:color w:val="FFFFFF" w:themeColor="background1"/>
          <w:sz w:val="20"/>
          <w:szCs w:val="20"/>
        </w:rPr>
      </w:pPr>
      <w:r w:rsidRPr="00850EF9">
        <w:rPr>
          <w:rFonts w:ascii="Arial" w:hAnsi="Arial" w:cs="Arial"/>
          <w:b/>
          <w:bCs/>
          <w:color w:val="FFFFFF" w:themeColor="background1"/>
          <w:sz w:val="20"/>
          <w:szCs w:val="20"/>
        </w:rPr>
        <w:lastRenderedPageBreak/>
        <w:t>PRIMARY POWER TO ALTER THE RECORD OF SEX OF A PERSON BORN IN VICTORIA VESTS IN BDMV OR THE COUNTY COURT</w:t>
      </w:r>
    </w:p>
    <w:p w14:paraId="60FC21D9" w14:textId="77777777" w:rsidR="00850EF9" w:rsidRPr="00850EF9" w:rsidRDefault="00850EF9" w:rsidP="00EF5014">
      <w:pPr>
        <w:keepNext/>
        <w:keepLines/>
        <w:jc w:val="both"/>
        <w:rPr>
          <w:rFonts w:ascii="Arial" w:hAnsi="Arial" w:cs="Arial"/>
          <w:sz w:val="20"/>
          <w:szCs w:val="20"/>
        </w:rPr>
      </w:pPr>
    </w:p>
    <w:p w14:paraId="43AB7393" w14:textId="77777777" w:rsidR="00850EF9" w:rsidRPr="00850EF9" w:rsidRDefault="00850EF9" w:rsidP="00850EF9">
      <w:pPr>
        <w:jc w:val="both"/>
        <w:rPr>
          <w:rFonts w:ascii="Arial" w:hAnsi="Arial" w:cs="Arial"/>
          <w:sz w:val="20"/>
          <w:szCs w:val="20"/>
        </w:rPr>
      </w:pPr>
      <w:r w:rsidRPr="00850EF9">
        <w:rPr>
          <w:rFonts w:ascii="Arial" w:hAnsi="Arial" w:cs="Arial"/>
          <w:color w:val="000000"/>
          <w:sz w:val="20"/>
          <w:szCs w:val="20"/>
        </w:rPr>
        <w:t>In terms which are fairly similar to Part 4 of the BDMR Act, Division 1 of Part 4A [ss.30B</w:t>
      </w:r>
      <w:r w:rsidRPr="00850EF9">
        <w:rPr>
          <w:rFonts w:ascii="Arial" w:hAnsi="Arial" w:cs="Arial"/>
          <w:color w:val="000000"/>
          <w:sz w:val="20"/>
          <w:szCs w:val="20"/>
        </w:rPr>
        <w:noBreakHyphen/>
        <w:t>30D] – headed “</w:t>
      </w:r>
      <w:r w:rsidRPr="00850EF9">
        <w:rPr>
          <w:rFonts w:ascii="Arial" w:hAnsi="Arial" w:cs="Arial"/>
          <w:b/>
          <w:bCs/>
          <w:color w:val="000000"/>
          <w:sz w:val="20"/>
          <w:szCs w:val="20"/>
        </w:rPr>
        <w:t>Acknowledgement of sex</w:t>
      </w:r>
      <w:r w:rsidRPr="00850EF9">
        <w:rPr>
          <w:rFonts w:ascii="Arial" w:hAnsi="Arial" w:cs="Arial"/>
          <w:color w:val="000000"/>
          <w:sz w:val="20"/>
          <w:szCs w:val="20"/>
        </w:rPr>
        <w:t>” – vests in BDMV and the County Court primary power in relation to altering the record of sex in a child’s birth registration for persons born in Victoria. See in particular</w:t>
      </w:r>
      <w:r w:rsidRPr="00850EF9">
        <w:rPr>
          <w:rFonts w:ascii="Arial" w:hAnsi="Arial" w:cs="Arial"/>
          <w:sz w:val="20"/>
          <w:szCs w:val="20"/>
        </w:rPr>
        <w:t>—</w:t>
      </w:r>
    </w:p>
    <w:p w14:paraId="237D9DE7" w14:textId="77777777" w:rsidR="00850EF9" w:rsidRPr="00850EF9" w:rsidRDefault="00850EF9" w:rsidP="00850EF9">
      <w:pPr>
        <w:spacing w:before="60"/>
        <w:jc w:val="center"/>
        <w:rPr>
          <w:rFonts w:ascii="Arial" w:hAnsi="Arial" w:cs="Arial"/>
          <w:b/>
          <w:bCs/>
          <w:color w:val="000000"/>
          <w:sz w:val="20"/>
          <w:szCs w:val="20"/>
        </w:rPr>
      </w:pPr>
      <w:r w:rsidRPr="00850EF9">
        <w:rPr>
          <w:rFonts w:ascii="Arial" w:hAnsi="Arial" w:cs="Arial"/>
          <w:b/>
          <w:bCs/>
          <w:noProof/>
          <w:sz w:val="20"/>
          <w:szCs w:val="20"/>
        </w:rPr>
        <w:t>Part 4A, Division 1—Persons born in Victoria</w:t>
      </w:r>
    </w:p>
    <w:p w14:paraId="251F760B" w14:textId="77777777" w:rsidR="00850EF9" w:rsidRPr="00850EF9" w:rsidRDefault="00850EF9">
      <w:pPr>
        <w:pStyle w:val="ListParagraph"/>
        <w:numPr>
          <w:ilvl w:val="0"/>
          <w:numId w:val="97"/>
        </w:numPr>
        <w:tabs>
          <w:tab w:val="left" w:pos="357"/>
        </w:tabs>
        <w:spacing w:before="60"/>
        <w:ind w:left="1247" w:hanging="1247"/>
        <w:contextualSpacing/>
        <w:jc w:val="both"/>
        <w:rPr>
          <w:rFonts w:ascii="Arial" w:hAnsi="Arial" w:cs="Arial"/>
          <w:sz w:val="20"/>
        </w:rPr>
      </w:pPr>
      <w:r w:rsidRPr="00850EF9">
        <w:rPr>
          <w:rFonts w:ascii="Arial" w:hAnsi="Arial" w:cs="Arial"/>
          <w:sz w:val="20"/>
        </w:rPr>
        <w:t>s.30B</w:t>
      </w:r>
      <w:r w:rsidRPr="00850EF9">
        <w:rPr>
          <w:rFonts w:ascii="Arial" w:hAnsi="Arial" w:cs="Arial"/>
          <w:sz w:val="20"/>
        </w:rPr>
        <w:tab/>
        <w:t>Application to alter record of sex in child’s birth registration</w:t>
      </w:r>
    </w:p>
    <w:p w14:paraId="430056A4"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sz w:val="20"/>
        </w:rPr>
        <w:t>s.30BA</w:t>
      </w:r>
      <w:r w:rsidRPr="00850EF9">
        <w:rPr>
          <w:rFonts w:ascii="Arial" w:hAnsi="Arial" w:cs="Arial"/>
          <w:sz w:val="20"/>
        </w:rPr>
        <w:tab/>
      </w:r>
      <w:r w:rsidRPr="00850EF9">
        <w:rPr>
          <w:rFonts w:ascii="Arial" w:hAnsi="Arial" w:cs="Arial"/>
          <w:noProof/>
          <w:sz w:val="20"/>
        </w:rPr>
        <w:t>Application made by one parent or guardian to alter record of sex in child's birth registration</w:t>
      </w:r>
    </w:p>
    <w:p w14:paraId="7F08B8D3" w14:textId="67110C41" w:rsid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noProof/>
          <w:sz w:val="20"/>
        </w:rPr>
        <w:t>s.30BB</w:t>
      </w:r>
      <w:r w:rsidRPr="00850EF9">
        <w:rPr>
          <w:rFonts w:ascii="Arial" w:hAnsi="Arial" w:cs="Arial"/>
          <w:noProof/>
          <w:sz w:val="20"/>
        </w:rPr>
        <w:tab/>
        <w:t>County court order approving alteration of record of sex in child’s birth registration</w:t>
      </w:r>
      <w:r w:rsidR="00C43292">
        <w:rPr>
          <w:rFonts w:ascii="Arial" w:hAnsi="Arial" w:cs="Arial"/>
          <w:noProof/>
          <w:sz w:val="20"/>
        </w:rPr>
        <w:t>: see</w:t>
      </w:r>
      <w:r w:rsidR="00C43292" w:rsidRPr="00C43292">
        <w:rPr>
          <w:rFonts w:ascii="Arial" w:hAnsi="Arial" w:cs="Arial"/>
          <w:sz w:val="20"/>
        </w:rPr>
        <w:t xml:space="preserve"> </w:t>
      </w:r>
      <w:r w:rsidR="00C43292" w:rsidRPr="00C43292">
        <w:rPr>
          <w:rFonts w:ascii="Arial" w:hAnsi="Arial" w:cs="Arial"/>
          <w:i/>
          <w:iCs/>
          <w:sz w:val="20"/>
        </w:rPr>
        <w:t>Wiley (a pseudonym) v Grant (a pseudonym) (Ruling)</w:t>
      </w:r>
      <w:r w:rsidR="00C43292">
        <w:rPr>
          <w:rFonts w:ascii="Arial" w:hAnsi="Arial" w:cs="Arial"/>
          <w:noProof/>
          <w:sz w:val="20"/>
        </w:rPr>
        <w:t xml:space="preserve"> [2026] VCC 1017</w:t>
      </w:r>
    </w:p>
    <w:p w14:paraId="0CA78266"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noProof/>
          <w:sz w:val="20"/>
        </w:rPr>
        <w:t>s.30C</w:t>
      </w:r>
      <w:r w:rsidRPr="00850EF9">
        <w:rPr>
          <w:rFonts w:ascii="Arial" w:hAnsi="Arial" w:cs="Arial"/>
          <w:noProof/>
          <w:sz w:val="20"/>
        </w:rPr>
        <w:tab/>
        <w:t>Alteration of register</w:t>
      </w:r>
    </w:p>
    <w:p w14:paraId="11422D64"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sz w:val="20"/>
        </w:rPr>
        <w:t>s.30D</w:t>
      </w:r>
      <w:r w:rsidRPr="00850EF9">
        <w:rPr>
          <w:rFonts w:ascii="Arial" w:hAnsi="Arial" w:cs="Arial"/>
          <w:sz w:val="20"/>
        </w:rPr>
        <w:tab/>
        <w:t>Issue of new birth certificate.</w:t>
      </w:r>
    </w:p>
    <w:p w14:paraId="32D420DB" w14:textId="77777777" w:rsidR="00850EF9" w:rsidRPr="00850EF9" w:rsidRDefault="00850EF9" w:rsidP="00850EF9">
      <w:pPr>
        <w:jc w:val="both"/>
        <w:rPr>
          <w:rFonts w:ascii="Arial" w:hAnsi="Arial" w:cs="Arial"/>
          <w:sz w:val="20"/>
          <w:szCs w:val="20"/>
        </w:rPr>
      </w:pPr>
    </w:p>
    <w:p w14:paraId="0EFD4EFF" w14:textId="77777777" w:rsidR="00850EF9" w:rsidRPr="00850EF9" w:rsidRDefault="00850EF9" w:rsidP="00850EF9">
      <w:pPr>
        <w:shd w:val="clear" w:color="auto" w:fill="000000" w:themeFill="text1"/>
        <w:jc w:val="center"/>
        <w:rPr>
          <w:rFonts w:ascii="Arial" w:hAnsi="Arial" w:cs="Arial"/>
          <w:b/>
          <w:bCs/>
          <w:color w:val="FFFFFF" w:themeColor="background1"/>
          <w:sz w:val="20"/>
          <w:szCs w:val="20"/>
        </w:rPr>
      </w:pPr>
      <w:r w:rsidRPr="00850EF9">
        <w:rPr>
          <w:rFonts w:ascii="Arial" w:hAnsi="Arial" w:cs="Arial"/>
          <w:b/>
          <w:bCs/>
          <w:color w:val="FFFFFF" w:themeColor="background1"/>
          <w:sz w:val="20"/>
          <w:szCs w:val="20"/>
        </w:rPr>
        <w:t>PRIMARY POWER TO ISSUE DOCUMENTS ACKNOWLEDGING THE NAME AND SEX OF VICTORIAN RESIDENTS BORN ELSEWHERE VESTS IN BDMV – PRIMARY POWER TO ORDER SUCH ISSUE VESTS IN THE COUNTY COURT</w:t>
      </w:r>
    </w:p>
    <w:p w14:paraId="26CC5385" w14:textId="77777777" w:rsidR="00850EF9" w:rsidRPr="00850EF9" w:rsidRDefault="00850EF9" w:rsidP="00850EF9">
      <w:pPr>
        <w:jc w:val="both"/>
        <w:rPr>
          <w:rFonts w:ascii="Arial" w:hAnsi="Arial" w:cs="Arial"/>
          <w:sz w:val="20"/>
          <w:szCs w:val="20"/>
        </w:rPr>
      </w:pPr>
    </w:p>
    <w:p w14:paraId="07ACE8B7" w14:textId="77777777" w:rsidR="00850EF9" w:rsidRPr="00850EF9" w:rsidRDefault="00850EF9" w:rsidP="00850EF9">
      <w:pPr>
        <w:jc w:val="both"/>
        <w:rPr>
          <w:rFonts w:ascii="Arial" w:hAnsi="Arial" w:cs="Arial"/>
          <w:noProof/>
          <w:sz w:val="20"/>
          <w:szCs w:val="20"/>
        </w:rPr>
      </w:pPr>
      <w:r w:rsidRPr="00850EF9">
        <w:rPr>
          <w:rFonts w:ascii="Arial" w:hAnsi="Arial" w:cs="Arial"/>
          <w:color w:val="000000"/>
          <w:sz w:val="20"/>
          <w:szCs w:val="20"/>
        </w:rPr>
        <w:t>Division 2 of Part 4A [ss.30E</w:t>
      </w:r>
      <w:r w:rsidRPr="00850EF9">
        <w:rPr>
          <w:rFonts w:ascii="Arial" w:hAnsi="Arial" w:cs="Arial"/>
          <w:color w:val="000000"/>
          <w:sz w:val="20"/>
          <w:szCs w:val="20"/>
        </w:rPr>
        <w:noBreakHyphen/>
        <w:t>30FA] deals with applications and orders for the issue by the Registrar BDMV of a document acknowledging the name and sex of a Victorian resident who was born elsewhere.  See in particular</w:t>
      </w:r>
      <w:r w:rsidRPr="00850EF9">
        <w:rPr>
          <w:rFonts w:ascii="Arial" w:hAnsi="Arial" w:cs="Arial"/>
          <w:sz w:val="20"/>
          <w:szCs w:val="20"/>
        </w:rPr>
        <w:t>—</w:t>
      </w:r>
    </w:p>
    <w:p w14:paraId="0F686E54" w14:textId="77777777" w:rsidR="00850EF9" w:rsidRPr="00850EF9" w:rsidRDefault="00850EF9" w:rsidP="00850EF9">
      <w:pPr>
        <w:spacing w:before="60"/>
        <w:jc w:val="center"/>
        <w:rPr>
          <w:rFonts w:ascii="Arial" w:hAnsi="Arial" w:cs="Arial"/>
          <w:b/>
          <w:bCs/>
          <w:color w:val="000000"/>
          <w:sz w:val="20"/>
          <w:szCs w:val="20"/>
        </w:rPr>
      </w:pPr>
      <w:r w:rsidRPr="00850EF9">
        <w:rPr>
          <w:rFonts w:ascii="Arial" w:hAnsi="Arial" w:cs="Arial"/>
          <w:b/>
          <w:bCs/>
          <w:noProof/>
          <w:sz w:val="20"/>
          <w:szCs w:val="20"/>
        </w:rPr>
        <w:t>Part 4A, Division 2—Victorian residents born elsewhere</w:t>
      </w:r>
    </w:p>
    <w:p w14:paraId="345D48AF" w14:textId="77777777" w:rsidR="00850EF9" w:rsidRPr="00850EF9" w:rsidRDefault="00850EF9">
      <w:pPr>
        <w:pStyle w:val="ListParagraph"/>
        <w:numPr>
          <w:ilvl w:val="0"/>
          <w:numId w:val="97"/>
        </w:numPr>
        <w:tabs>
          <w:tab w:val="left" w:pos="357"/>
        </w:tabs>
        <w:spacing w:before="60"/>
        <w:ind w:left="1247" w:hanging="1247"/>
        <w:contextualSpacing/>
        <w:jc w:val="both"/>
        <w:rPr>
          <w:rFonts w:ascii="Arial" w:hAnsi="Arial" w:cs="Arial"/>
          <w:sz w:val="20"/>
        </w:rPr>
      </w:pPr>
      <w:r w:rsidRPr="00850EF9">
        <w:rPr>
          <w:rFonts w:ascii="Arial" w:hAnsi="Arial" w:cs="Arial"/>
          <w:sz w:val="20"/>
        </w:rPr>
        <w:t>ss.30E</w:t>
      </w:r>
      <w:r w:rsidRPr="00850EF9">
        <w:rPr>
          <w:rFonts w:ascii="Arial" w:hAnsi="Arial" w:cs="Arial"/>
          <w:sz w:val="20"/>
        </w:rPr>
        <w:tab/>
        <w:t>Application for document acknowledging name and sex</w:t>
      </w:r>
    </w:p>
    <w:p w14:paraId="79BA35F1" w14:textId="77777777" w:rsidR="00850EF9" w:rsidRPr="00850EF9" w:rsidRDefault="00850EF9">
      <w:pPr>
        <w:pStyle w:val="ListParagraph"/>
        <w:numPr>
          <w:ilvl w:val="0"/>
          <w:numId w:val="97"/>
        </w:numPr>
        <w:tabs>
          <w:tab w:val="left" w:pos="357"/>
        </w:tabs>
        <w:spacing w:before="60"/>
        <w:ind w:left="1247" w:hanging="1247"/>
        <w:contextualSpacing/>
        <w:jc w:val="both"/>
        <w:rPr>
          <w:rFonts w:ascii="Arial" w:hAnsi="Arial" w:cs="Arial"/>
          <w:sz w:val="20"/>
        </w:rPr>
      </w:pPr>
      <w:r w:rsidRPr="00850EF9">
        <w:rPr>
          <w:rFonts w:ascii="Arial" w:hAnsi="Arial" w:cs="Arial"/>
          <w:sz w:val="20"/>
        </w:rPr>
        <w:t>s.30EA</w:t>
      </w:r>
      <w:r w:rsidRPr="00850EF9">
        <w:rPr>
          <w:rFonts w:ascii="Arial" w:hAnsi="Arial" w:cs="Arial"/>
          <w:sz w:val="20"/>
        </w:rPr>
        <w:tab/>
        <w:t>Application for document acknowledging child’s name and sex</w:t>
      </w:r>
    </w:p>
    <w:p w14:paraId="77B44C9E"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sz w:val="20"/>
        </w:rPr>
        <w:t>s.30EB</w:t>
      </w:r>
      <w:r w:rsidRPr="00850EF9">
        <w:rPr>
          <w:rFonts w:ascii="Arial" w:hAnsi="Arial" w:cs="Arial"/>
          <w:sz w:val="20"/>
        </w:rPr>
        <w:tab/>
      </w:r>
      <w:r w:rsidRPr="00850EF9">
        <w:rPr>
          <w:rFonts w:ascii="Arial" w:hAnsi="Arial" w:cs="Arial"/>
          <w:noProof/>
          <w:sz w:val="20"/>
        </w:rPr>
        <w:t xml:space="preserve">Application made by one parent or guardian for document acknowledging child’s name and sex </w:t>
      </w:r>
    </w:p>
    <w:p w14:paraId="5AEC4328"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noProof/>
          <w:sz w:val="20"/>
        </w:rPr>
        <w:t>s.30EC</w:t>
      </w:r>
      <w:r w:rsidRPr="00850EF9">
        <w:rPr>
          <w:rFonts w:ascii="Arial" w:hAnsi="Arial" w:cs="Arial"/>
          <w:noProof/>
          <w:sz w:val="20"/>
        </w:rPr>
        <w:tab/>
        <w:t>County court order for issue of document acknowledging child’s name and sex</w:t>
      </w:r>
    </w:p>
    <w:p w14:paraId="34D935D1"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noProof/>
          <w:sz w:val="20"/>
        </w:rPr>
        <w:t>s.30F</w:t>
      </w:r>
      <w:r w:rsidRPr="00850EF9">
        <w:rPr>
          <w:rFonts w:ascii="Arial" w:hAnsi="Arial" w:cs="Arial"/>
          <w:noProof/>
          <w:sz w:val="20"/>
        </w:rPr>
        <w:tab/>
        <w:t>Issue of document acknowleding name and sex</w:t>
      </w:r>
    </w:p>
    <w:p w14:paraId="0BF25611" w14:textId="77777777" w:rsidR="00850EF9" w:rsidRPr="00850EF9" w:rsidRDefault="00850EF9">
      <w:pPr>
        <w:pStyle w:val="ListParagraph"/>
        <w:numPr>
          <w:ilvl w:val="0"/>
          <w:numId w:val="97"/>
        </w:numPr>
        <w:tabs>
          <w:tab w:val="left" w:pos="357"/>
        </w:tabs>
        <w:ind w:left="1247" w:hanging="1247"/>
        <w:contextualSpacing/>
        <w:jc w:val="both"/>
        <w:rPr>
          <w:rFonts w:ascii="Arial" w:hAnsi="Arial" w:cs="Arial"/>
          <w:sz w:val="20"/>
        </w:rPr>
      </w:pPr>
      <w:r w:rsidRPr="00850EF9">
        <w:rPr>
          <w:rFonts w:ascii="Arial" w:hAnsi="Arial" w:cs="Arial"/>
          <w:noProof/>
          <w:sz w:val="20"/>
        </w:rPr>
        <w:t>s.30FA</w:t>
      </w:r>
      <w:r w:rsidRPr="00850EF9">
        <w:rPr>
          <w:rFonts w:ascii="Arial" w:hAnsi="Arial" w:cs="Arial"/>
          <w:noProof/>
          <w:sz w:val="20"/>
        </w:rPr>
        <w:tab/>
        <w:t>Notification to registering authority of issuing of document acknowledging name and sex.</w:t>
      </w:r>
    </w:p>
    <w:p w14:paraId="46EFC977" w14:textId="77777777" w:rsidR="00237AC3" w:rsidRDefault="00237AC3" w:rsidP="007F2D3B">
      <w:pPr>
        <w:jc w:val="both"/>
        <w:rPr>
          <w:rFonts w:ascii="Arial" w:hAnsi="Arial" w:cs="Arial"/>
          <w:sz w:val="20"/>
        </w:rPr>
      </w:pPr>
    </w:p>
    <w:p w14:paraId="357712B9" w14:textId="0EF8B812" w:rsidR="0034319B" w:rsidRPr="00850EF9" w:rsidRDefault="0034319B" w:rsidP="0034319B">
      <w:pPr>
        <w:shd w:val="clear" w:color="auto" w:fill="000000" w:themeFill="text1"/>
        <w:jc w:val="center"/>
        <w:rPr>
          <w:rFonts w:ascii="Arial" w:hAnsi="Arial" w:cs="Arial"/>
          <w:b/>
          <w:bCs/>
          <w:color w:val="FFFFFF" w:themeColor="background1"/>
          <w:sz w:val="20"/>
          <w:szCs w:val="20"/>
        </w:rPr>
      </w:pPr>
      <w:r w:rsidRPr="00850EF9">
        <w:rPr>
          <w:rFonts w:ascii="Arial" w:hAnsi="Arial" w:cs="Arial"/>
          <w:b/>
          <w:bCs/>
          <w:color w:val="FFFFFF" w:themeColor="background1"/>
          <w:sz w:val="20"/>
          <w:szCs w:val="20"/>
        </w:rPr>
        <w:t xml:space="preserve">POWER TO </w:t>
      </w:r>
      <w:r>
        <w:rPr>
          <w:rFonts w:ascii="Arial" w:hAnsi="Arial" w:cs="Arial"/>
          <w:b/>
          <w:bCs/>
          <w:color w:val="FFFFFF" w:themeColor="background1"/>
          <w:sz w:val="20"/>
          <w:szCs w:val="20"/>
        </w:rPr>
        <w:t>CORRECT OR AMEND THE REGISTER VESTS IN THE BDMV</w:t>
      </w:r>
    </w:p>
    <w:p w14:paraId="3416158E" w14:textId="77777777" w:rsidR="0034319B" w:rsidRPr="00850EF9" w:rsidRDefault="0034319B" w:rsidP="0034319B">
      <w:pPr>
        <w:jc w:val="both"/>
        <w:rPr>
          <w:rFonts w:ascii="Arial" w:hAnsi="Arial" w:cs="Arial"/>
          <w:sz w:val="20"/>
          <w:szCs w:val="20"/>
        </w:rPr>
      </w:pPr>
    </w:p>
    <w:p w14:paraId="76BA52B1" w14:textId="6EAD2590" w:rsidR="0034319B" w:rsidRPr="00850EF9" w:rsidRDefault="0034319B" w:rsidP="0034319B">
      <w:pPr>
        <w:jc w:val="both"/>
        <w:rPr>
          <w:rFonts w:ascii="Arial" w:hAnsi="Arial" w:cs="Arial"/>
          <w:sz w:val="20"/>
          <w:szCs w:val="20"/>
        </w:rPr>
      </w:pPr>
      <w:r w:rsidRPr="00850EF9">
        <w:rPr>
          <w:rFonts w:ascii="Arial" w:hAnsi="Arial" w:cs="Arial"/>
          <w:sz w:val="20"/>
          <w:szCs w:val="20"/>
        </w:rPr>
        <w:t xml:space="preserve">Section </w:t>
      </w:r>
      <w:r>
        <w:rPr>
          <w:rFonts w:ascii="Arial" w:hAnsi="Arial" w:cs="Arial"/>
          <w:sz w:val="20"/>
          <w:szCs w:val="20"/>
        </w:rPr>
        <w:t>43</w:t>
      </w:r>
      <w:r w:rsidRPr="00850EF9">
        <w:rPr>
          <w:rFonts w:ascii="Arial" w:hAnsi="Arial" w:cs="Arial"/>
          <w:sz w:val="20"/>
          <w:szCs w:val="20"/>
        </w:rPr>
        <w:t xml:space="preserve"> </w:t>
      </w:r>
      <w:r>
        <w:rPr>
          <w:rFonts w:ascii="Arial" w:hAnsi="Arial" w:cs="Arial"/>
          <w:sz w:val="20"/>
          <w:szCs w:val="20"/>
        </w:rPr>
        <w:t>of the BDMR provides [emphasis added]:</w:t>
      </w:r>
    </w:p>
    <w:p w14:paraId="181BF976" w14:textId="00922888" w:rsidR="0034319B" w:rsidRPr="00850EF9" w:rsidRDefault="0034319B" w:rsidP="0034319B">
      <w:pPr>
        <w:pStyle w:val="DraftHeading2"/>
        <w:tabs>
          <w:tab w:val="right" w:pos="1247"/>
        </w:tabs>
        <w:spacing w:before="0"/>
        <w:ind w:left="1021" w:right="567" w:hanging="454"/>
        <w:jc w:val="both"/>
        <w:rPr>
          <w:rFonts w:ascii="Arial" w:hAnsi="Arial" w:cs="Arial"/>
          <w:sz w:val="20"/>
        </w:rPr>
      </w:pPr>
      <w:r w:rsidRPr="00850EF9">
        <w:rPr>
          <w:rFonts w:ascii="Arial" w:hAnsi="Arial" w:cs="Arial"/>
          <w:sz w:val="20"/>
        </w:rPr>
        <w:t>(1)</w:t>
      </w:r>
      <w:r w:rsidRPr="00850EF9">
        <w:rPr>
          <w:rFonts w:ascii="Arial" w:hAnsi="Arial" w:cs="Arial"/>
          <w:sz w:val="20"/>
        </w:rPr>
        <w:tab/>
      </w:r>
      <w:r>
        <w:rPr>
          <w:rFonts w:ascii="Arial" w:hAnsi="Arial" w:cs="Arial"/>
          <w:sz w:val="20"/>
        </w:rPr>
        <w:t>The Registrar may correct the Register–</w:t>
      </w:r>
    </w:p>
    <w:p w14:paraId="0AF515E9" w14:textId="699360CE" w:rsidR="0034319B" w:rsidRDefault="0034319B" w:rsidP="0034319B">
      <w:pPr>
        <w:ind w:left="1026"/>
        <w:jc w:val="both"/>
        <w:rPr>
          <w:rFonts w:ascii="Arial" w:hAnsi="Arial" w:cs="Arial"/>
          <w:color w:val="000000"/>
          <w:sz w:val="20"/>
          <w:szCs w:val="20"/>
        </w:rPr>
      </w:pPr>
      <w:r>
        <w:rPr>
          <w:rFonts w:ascii="Arial" w:hAnsi="Arial" w:cs="Arial"/>
          <w:color w:val="000000"/>
          <w:sz w:val="20"/>
          <w:szCs w:val="20"/>
        </w:rPr>
        <w:t>(a)</w:t>
      </w:r>
      <w:r>
        <w:rPr>
          <w:rFonts w:ascii="Arial" w:hAnsi="Arial" w:cs="Arial"/>
          <w:color w:val="000000"/>
          <w:sz w:val="20"/>
          <w:szCs w:val="20"/>
        </w:rPr>
        <w:tab/>
        <w:t>to reflect a finding made on inquiry under Division 2; or</w:t>
      </w:r>
    </w:p>
    <w:p w14:paraId="4ACF2C6F" w14:textId="7200550C" w:rsidR="0034319B" w:rsidRDefault="0034319B" w:rsidP="003901CE">
      <w:pPr>
        <w:ind w:left="1383" w:right="567" w:hanging="357"/>
        <w:jc w:val="both"/>
        <w:rPr>
          <w:rFonts w:ascii="Arial" w:hAnsi="Arial" w:cs="Arial"/>
          <w:color w:val="000000"/>
          <w:sz w:val="20"/>
          <w:szCs w:val="20"/>
        </w:rPr>
      </w:pPr>
      <w:r>
        <w:rPr>
          <w:rFonts w:ascii="Arial" w:hAnsi="Arial" w:cs="Arial"/>
          <w:color w:val="000000"/>
          <w:sz w:val="20"/>
          <w:szCs w:val="20"/>
        </w:rPr>
        <w:t>(b)</w:t>
      </w:r>
      <w:r>
        <w:rPr>
          <w:rFonts w:ascii="Arial" w:hAnsi="Arial" w:cs="Arial"/>
          <w:color w:val="000000"/>
          <w:sz w:val="20"/>
          <w:szCs w:val="20"/>
        </w:rPr>
        <w:tab/>
        <w:t>to being an entry about a particular registrable event into conformity with the most reliable information available to the Registrar of the registrable event.</w:t>
      </w:r>
    </w:p>
    <w:p w14:paraId="3A709F7E" w14:textId="2EF4DEEA" w:rsidR="0034319B" w:rsidRPr="0034319B" w:rsidRDefault="0034319B" w:rsidP="0034319B">
      <w:pPr>
        <w:pStyle w:val="DraftHeading2"/>
        <w:tabs>
          <w:tab w:val="right" w:pos="1247"/>
        </w:tabs>
        <w:spacing w:before="0"/>
        <w:ind w:left="1021" w:right="567" w:hanging="454"/>
        <w:jc w:val="both"/>
        <w:rPr>
          <w:rFonts w:ascii="Arial" w:hAnsi="Arial" w:cs="Arial"/>
          <w:b/>
          <w:bCs/>
          <w:sz w:val="20"/>
        </w:rPr>
      </w:pPr>
      <w:bookmarkStart w:id="429" w:name="_Toc201669071"/>
      <w:r w:rsidRPr="0034319B">
        <w:rPr>
          <w:rFonts w:ascii="Arial" w:hAnsi="Arial" w:cs="Arial"/>
          <w:b/>
          <w:bCs/>
          <w:sz w:val="20"/>
        </w:rPr>
        <w:t>(2)</w:t>
      </w:r>
      <w:r w:rsidRPr="0034319B">
        <w:rPr>
          <w:rFonts w:ascii="Arial" w:hAnsi="Arial" w:cs="Arial"/>
          <w:b/>
          <w:bCs/>
          <w:sz w:val="20"/>
        </w:rPr>
        <w:tab/>
        <w:t>The Registrar must, if required by a court, correct the Register.</w:t>
      </w:r>
    </w:p>
    <w:p w14:paraId="3F1B5799" w14:textId="731389F5" w:rsidR="003901CE" w:rsidRPr="003901CE" w:rsidRDefault="0034319B" w:rsidP="003901CE">
      <w:pPr>
        <w:pStyle w:val="DraftHeading2"/>
        <w:tabs>
          <w:tab w:val="right" w:pos="1247"/>
        </w:tabs>
        <w:spacing w:before="0"/>
        <w:ind w:left="1021" w:right="567" w:hanging="454"/>
        <w:jc w:val="both"/>
        <w:rPr>
          <w:rFonts w:ascii="Arial" w:hAnsi="Arial" w:cs="Arial"/>
          <w:sz w:val="20"/>
          <w:szCs w:val="16"/>
        </w:rPr>
      </w:pPr>
      <w:r>
        <w:rPr>
          <w:rFonts w:ascii="Arial" w:hAnsi="Arial" w:cs="Arial"/>
          <w:sz w:val="20"/>
        </w:rPr>
        <w:t>(3)</w:t>
      </w:r>
      <w:r>
        <w:rPr>
          <w:rFonts w:ascii="Arial" w:hAnsi="Arial" w:cs="Arial"/>
          <w:sz w:val="20"/>
        </w:rPr>
        <w:tab/>
      </w:r>
      <w:r w:rsidRPr="0034319B">
        <w:rPr>
          <w:rFonts w:ascii="Arial" w:hAnsi="Arial" w:cs="Arial"/>
          <w:sz w:val="20"/>
          <w:szCs w:val="16"/>
        </w:rPr>
        <w:t>The Registrar corrects the Register by adding or cancelling an entry in the Register or by adding, altering or deleting particulars contained in an entry.</w:t>
      </w:r>
    </w:p>
    <w:p w14:paraId="381A9A89" w14:textId="79DAA77A" w:rsidR="0034319B" w:rsidRDefault="003901CE" w:rsidP="0034319B">
      <w:pPr>
        <w:pStyle w:val="DraftHeading2"/>
        <w:tabs>
          <w:tab w:val="right" w:pos="1247"/>
        </w:tabs>
        <w:spacing w:before="0"/>
        <w:ind w:left="1021" w:right="567" w:hanging="454"/>
        <w:jc w:val="both"/>
        <w:rPr>
          <w:rFonts w:ascii="Arial" w:hAnsi="Arial" w:cs="Arial"/>
          <w:sz w:val="20"/>
          <w:szCs w:val="16"/>
        </w:rPr>
      </w:pPr>
      <w:r>
        <w:rPr>
          <w:rFonts w:ascii="Arial" w:hAnsi="Arial" w:cs="Arial"/>
          <w:sz w:val="20"/>
        </w:rPr>
        <w:t>(4)</w:t>
      </w:r>
      <w:r>
        <w:rPr>
          <w:rFonts w:ascii="Arial" w:hAnsi="Arial" w:cs="Arial"/>
          <w:sz w:val="20"/>
        </w:rPr>
        <w:tab/>
      </w:r>
      <w:r w:rsidRPr="003901CE">
        <w:rPr>
          <w:rFonts w:ascii="Arial" w:hAnsi="Arial" w:cs="Arial"/>
          <w:sz w:val="20"/>
          <w:szCs w:val="16"/>
        </w:rPr>
        <w:t>Subject to section 16, the Registrar may add additional registrable information to an entry in the Register.</w:t>
      </w:r>
    </w:p>
    <w:p w14:paraId="4A322F5D" w14:textId="152F48B9" w:rsidR="003901CE" w:rsidRDefault="003901CE" w:rsidP="003901CE">
      <w:pPr>
        <w:ind w:left="1021" w:right="567" w:hanging="454"/>
        <w:rPr>
          <w:rFonts w:ascii="Arial" w:hAnsi="Arial" w:cs="Arial"/>
          <w:sz w:val="20"/>
          <w:szCs w:val="16"/>
        </w:rPr>
      </w:pPr>
      <w:r w:rsidRPr="003901CE">
        <w:rPr>
          <w:rFonts w:ascii="Arial" w:hAnsi="Arial" w:cs="Arial"/>
          <w:sz w:val="20"/>
          <w:szCs w:val="16"/>
        </w:rPr>
        <w:t>(5)</w:t>
      </w:r>
      <w:r w:rsidRPr="003901CE">
        <w:rPr>
          <w:rFonts w:ascii="Arial" w:hAnsi="Arial" w:cs="Arial"/>
          <w:sz w:val="20"/>
          <w:szCs w:val="16"/>
        </w:rPr>
        <w:tab/>
        <w:t>A person may apply to the Registrar for the addition, alteration or deletion of registrable information to an entry in the Register.</w:t>
      </w:r>
    </w:p>
    <w:p w14:paraId="47847A77" w14:textId="23E75002" w:rsidR="003901CE" w:rsidRDefault="003901CE" w:rsidP="003901CE">
      <w:pPr>
        <w:ind w:left="1021" w:right="567" w:hanging="454"/>
        <w:rPr>
          <w:rFonts w:ascii="Arial" w:hAnsi="Arial" w:cs="Arial"/>
          <w:sz w:val="20"/>
          <w:szCs w:val="20"/>
        </w:rPr>
      </w:pPr>
      <w:r>
        <w:rPr>
          <w:rFonts w:ascii="Arial" w:hAnsi="Arial" w:cs="Arial"/>
          <w:sz w:val="20"/>
          <w:szCs w:val="16"/>
        </w:rPr>
        <w:t>(6)</w:t>
      </w:r>
      <w:r>
        <w:rPr>
          <w:rFonts w:ascii="Arial" w:hAnsi="Arial" w:cs="Arial"/>
          <w:sz w:val="20"/>
          <w:szCs w:val="16"/>
        </w:rPr>
        <w:tab/>
      </w:r>
      <w:r w:rsidRPr="003901CE">
        <w:rPr>
          <w:rFonts w:ascii="Arial" w:hAnsi="Arial" w:cs="Arial"/>
          <w:sz w:val="20"/>
          <w:szCs w:val="20"/>
        </w:rPr>
        <w:t>An application under subsection (5) must be accompanied by the prescribed fee.</w:t>
      </w:r>
    </w:p>
    <w:p w14:paraId="04786130" w14:textId="19B20C1C" w:rsidR="003901CE" w:rsidRPr="003901CE" w:rsidRDefault="003901CE" w:rsidP="003901CE">
      <w:pPr>
        <w:ind w:left="1021" w:right="567" w:hanging="454"/>
      </w:pPr>
      <w:r>
        <w:rPr>
          <w:rFonts w:ascii="Arial" w:hAnsi="Arial" w:cs="Arial"/>
          <w:sz w:val="20"/>
          <w:szCs w:val="20"/>
        </w:rPr>
        <w:t>(7)</w:t>
      </w:r>
      <w:r>
        <w:rPr>
          <w:rFonts w:ascii="Arial" w:hAnsi="Arial" w:cs="Arial"/>
          <w:sz w:val="20"/>
          <w:szCs w:val="20"/>
        </w:rPr>
        <w:tab/>
      </w:r>
      <w:r w:rsidRPr="003901CE">
        <w:rPr>
          <w:rFonts w:ascii="Arial" w:hAnsi="Arial" w:cs="Arial"/>
          <w:sz w:val="20"/>
          <w:szCs w:val="20"/>
        </w:rPr>
        <w:t xml:space="preserve">Despite anything to the contrary in the </w:t>
      </w:r>
      <w:r w:rsidRPr="003901CE">
        <w:rPr>
          <w:rFonts w:ascii="Arial" w:hAnsi="Arial" w:cs="Arial"/>
          <w:b/>
          <w:sz w:val="20"/>
          <w:szCs w:val="20"/>
        </w:rPr>
        <w:t>Adoption Act 1984</w:t>
      </w:r>
      <w:r w:rsidRPr="003901CE">
        <w:rPr>
          <w:rFonts w:ascii="Arial" w:hAnsi="Arial" w:cs="Arial"/>
          <w:sz w:val="20"/>
          <w:szCs w:val="20"/>
        </w:rPr>
        <w:t>, the Registrar—</w:t>
      </w:r>
    </w:p>
    <w:bookmarkEnd w:id="429"/>
    <w:p w14:paraId="4F7FFC02" w14:textId="426F1AC7" w:rsidR="003901CE" w:rsidRDefault="003901CE" w:rsidP="003901CE">
      <w:pPr>
        <w:ind w:left="1026"/>
        <w:jc w:val="both"/>
        <w:rPr>
          <w:rFonts w:ascii="Arial" w:hAnsi="Arial" w:cs="Arial"/>
          <w:color w:val="000000"/>
          <w:sz w:val="20"/>
          <w:szCs w:val="20"/>
        </w:rPr>
      </w:pPr>
      <w:r>
        <w:rPr>
          <w:rFonts w:ascii="Arial" w:hAnsi="Arial" w:cs="Arial"/>
          <w:color w:val="000000"/>
          <w:sz w:val="20"/>
          <w:szCs w:val="20"/>
        </w:rPr>
        <w:t>(a)</w:t>
      </w:r>
      <w:r>
        <w:rPr>
          <w:rFonts w:ascii="Arial" w:hAnsi="Arial" w:cs="Arial"/>
          <w:color w:val="000000"/>
          <w:sz w:val="20"/>
          <w:szCs w:val="20"/>
        </w:rPr>
        <w:tab/>
        <w:t>may correct an original birth entry in respect of an adopted person; and</w:t>
      </w:r>
    </w:p>
    <w:p w14:paraId="7BF3BA81" w14:textId="6FEAD4F4" w:rsidR="003901CE" w:rsidRDefault="003901CE" w:rsidP="003901CE">
      <w:pPr>
        <w:ind w:left="1383" w:right="567" w:hanging="357"/>
        <w:jc w:val="both"/>
        <w:rPr>
          <w:rFonts w:ascii="Arial" w:hAnsi="Arial" w:cs="Arial"/>
          <w:color w:val="000000"/>
          <w:sz w:val="20"/>
          <w:szCs w:val="20"/>
        </w:rPr>
      </w:pPr>
      <w:r>
        <w:rPr>
          <w:rFonts w:ascii="Arial" w:hAnsi="Arial" w:cs="Arial"/>
          <w:color w:val="000000"/>
          <w:sz w:val="20"/>
          <w:szCs w:val="20"/>
        </w:rPr>
        <w:t>(b)</w:t>
      </w:r>
      <w:r>
        <w:rPr>
          <w:rFonts w:ascii="Arial" w:hAnsi="Arial" w:cs="Arial"/>
          <w:color w:val="000000"/>
          <w:sz w:val="20"/>
          <w:szCs w:val="20"/>
        </w:rPr>
        <w:tab/>
        <w:t>subject to section 16, may add additional registrable information to that entry.</w:t>
      </w:r>
    </w:p>
    <w:p w14:paraId="4497C4B9" w14:textId="77777777" w:rsidR="0034319B" w:rsidRDefault="0034319B" w:rsidP="0034319B">
      <w:pPr>
        <w:jc w:val="both"/>
        <w:rPr>
          <w:rFonts w:ascii="Arial" w:hAnsi="Arial" w:cs="Arial"/>
          <w:color w:val="000000"/>
          <w:sz w:val="20"/>
          <w:szCs w:val="20"/>
        </w:rPr>
      </w:pPr>
    </w:p>
    <w:p w14:paraId="3611E77C" w14:textId="42A3BE2E" w:rsidR="00284D02" w:rsidRDefault="0003601C" w:rsidP="00284D02">
      <w:pPr>
        <w:jc w:val="both"/>
        <w:rPr>
          <w:rFonts w:ascii="Arial" w:hAnsi="Arial" w:cs="Arial"/>
          <w:sz w:val="20"/>
        </w:rPr>
      </w:pPr>
      <w:r w:rsidRPr="0003601C">
        <w:rPr>
          <w:rFonts w:ascii="Arial" w:hAnsi="Arial" w:cs="Arial"/>
          <w:sz w:val="20"/>
        </w:rPr>
        <w:t xml:space="preserve">In </w:t>
      </w:r>
      <w:r w:rsidRPr="00AB23AD">
        <w:rPr>
          <w:rFonts w:ascii="Arial" w:hAnsi="Arial" w:cs="Arial"/>
          <w:i/>
          <w:iCs/>
          <w:sz w:val="20"/>
        </w:rPr>
        <w:t>Ciavarella v Registrar of Births, Deaths and Marriages Victoria</w:t>
      </w:r>
      <w:r w:rsidRPr="00AB23AD">
        <w:rPr>
          <w:rFonts w:ascii="Arial" w:hAnsi="Arial" w:cs="Arial"/>
          <w:sz w:val="20"/>
        </w:rPr>
        <w:t xml:space="preserve"> [2025] VSC 543</w:t>
      </w:r>
      <w:r>
        <w:rPr>
          <w:rFonts w:ascii="Arial" w:hAnsi="Arial" w:cs="Arial"/>
          <w:sz w:val="20"/>
        </w:rPr>
        <w:t xml:space="preserve"> Goulden </w:t>
      </w:r>
      <w:proofErr w:type="spellStart"/>
      <w:r>
        <w:rPr>
          <w:rFonts w:ascii="Arial" w:hAnsi="Arial" w:cs="Arial"/>
          <w:sz w:val="20"/>
        </w:rPr>
        <w:t>AsJ</w:t>
      </w:r>
      <w:proofErr w:type="spellEnd"/>
      <w:r>
        <w:rPr>
          <w:rFonts w:ascii="Arial" w:hAnsi="Arial" w:cs="Arial"/>
          <w:sz w:val="20"/>
        </w:rPr>
        <w:t xml:space="preserve"> </w:t>
      </w:r>
      <w:r w:rsidR="00284D02" w:rsidRPr="00284D02">
        <w:rPr>
          <w:rFonts w:ascii="Arial" w:hAnsi="Arial" w:cs="Arial"/>
          <w:sz w:val="20"/>
        </w:rPr>
        <w:t xml:space="preserve">made an order directing the Registrar of Births, Deaths and Marriages, under s.43 of the </w:t>
      </w:r>
      <w:r w:rsidR="00284D02" w:rsidRPr="00284D02">
        <w:rPr>
          <w:rFonts w:ascii="Arial" w:hAnsi="Arial" w:cs="Arial"/>
          <w:i/>
          <w:iCs/>
          <w:sz w:val="20"/>
        </w:rPr>
        <w:t>Births, Deaths and Marriages Registration Act 1996</w:t>
      </w:r>
      <w:r w:rsidR="00284D02" w:rsidRPr="00284D02">
        <w:rPr>
          <w:rFonts w:ascii="Arial" w:hAnsi="Arial" w:cs="Arial"/>
          <w:sz w:val="20"/>
        </w:rPr>
        <w:t>,</w:t>
      </w:r>
      <w:r w:rsidR="00284D02" w:rsidRPr="00284D02">
        <w:rPr>
          <w:rFonts w:ascii="Arial" w:hAnsi="Arial" w:cs="Arial"/>
          <w:i/>
          <w:iCs/>
          <w:sz w:val="20"/>
        </w:rPr>
        <w:t xml:space="preserve"> </w:t>
      </w:r>
      <w:r w:rsidR="00284D02" w:rsidRPr="00284D02">
        <w:rPr>
          <w:rFonts w:ascii="Arial" w:hAnsi="Arial" w:cs="Arial"/>
          <w:sz w:val="20"/>
        </w:rPr>
        <w:t xml:space="preserve">to correct the information on the Register to reflect </w:t>
      </w:r>
      <w:r w:rsidR="00284D02">
        <w:rPr>
          <w:rFonts w:ascii="Arial" w:hAnsi="Arial" w:cs="Arial"/>
          <w:sz w:val="20"/>
        </w:rPr>
        <w:t>a</w:t>
      </w:r>
      <w:r w:rsidR="00284D02" w:rsidRPr="00284D02">
        <w:rPr>
          <w:rFonts w:ascii="Arial" w:hAnsi="Arial" w:cs="Arial"/>
          <w:sz w:val="20"/>
        </w:rPr>
        <w:t xml:space="preserve"> declaration</w:t>
      </w:r>
      <w:r w:rsidR="00284D02">
        <w:rPr>
          <w:rFonts w:ascii="Arial" w:hAnsi="Arial" w:cs="Arial"/>
          <w:sz w:val="20"/>
        </w:rPr>
        <w:t xml:space="preserve"> made by </w:t>
      </w:r>
      <w:r>
        <w:rPr>
          <w:rFonts w:ascii="Arial" w:hAnsi="Arial" w:cs="Arial"/>
          <w:sz w:val="20"/>
        </w:rPr>
        <w:t>her</w:t>
      </w:r>
      <w:r w:rsidR="00284D02">
        <w:rPr>
          <w:rFonts w:ascii="Arial" w:hAnsi="Arial" w:cs="Arial"/>
          <w:sz w:val="20"/>
        </w:rPr>
        <w:t>.</w:t>
      </w:r>
    </w:p>
    <w:p w14:paraId="019E432C" w14:textId="77777777" w:rsidR="00284D02" w:rsidRDefault="00284D02" w:rsidP="0034319B">
      <w:pPr>
        <w:jc w:val="both"/>
        <w:rPr>
          <w:rFonts w:ascii="Arial" w:hAnsi="Arial" w:cs="Arial"/>
          <w:color w:val="000000"/>
          <w:sz w:val="20"/>
          <w:szCs w:val="20"/>
        </w:rPr>
      </w:pPr>
    </w:p>
    <w:p w14:paraId="701CD0F5" w14:textId="024D35D7" w:rsidR="00951CEE" w:rsidRDefault="00951CEE" w:rsidP="00284D02">
      <w:pPr>
        <w:pStyle w:val="Heading3"/>
        <w:keepNext/>
        <w:keepLines/>
        <w:widowControl/>
        <w:spacing w:line="240" w:lineRule="auto"/>
        <w:rPr>
          <w:rFonts w:ascii="Arial" w:hAnsi="Arial" w:cs="Arial"/>
          <w:b/>
          <w:bCs/>
          <w:sz w:val="20"/>
        </w:rPr>
      </w:pPr>
      <w:bookmarkStart w:id="430" w:name="_4.3.5_Jurisdiction_under"/>
      <w:bookmarkEnd w:id="430"/>
      <w:r>
        <w:rPr>
          <w:rFonts w:ascii="Arial" w:hAnsi="Arial" w:cs="Arial"/>
          <w:b/>
          <w:bCs/>
          <w:sz w:val="20"/>
        </w:rPr>
        <w:t>4.3.5</w:t>
      </w:r>
      <w:r>
        <w:rPr>
          <w:rFonts w:ascii="Arial" w:hAnsi="Arial" w:cs="Arial"/>
          <w:b/>
          <w:bCs/>
          <w:sz w:val="20"/>
        </w:rPr>
        <w:tab/>
        <w:t>Jurisdiction under the Firearms Act 1996</w:t>
      </w:r>
    </w:p>
    <w:p w14:paraId="1C894AA8" w14:textId="77777777" w:rsidR="00951CEE" w:rsidRPr="00951CEE" w:rsidRDefault="00951CEE" w:rsidP="00951CEE">
      <w:pPr>
        <w:jc w:val="both"/>
        <w:rPr>
          <w:rFonts w:ascii="Arial" w:hAnsi="Arial" w:cs="Arial"/>
          <w:sz w:val="20"/>
          <w:szCs w:val="20"/>
        </w:rPr>
      </w:pPr>
    </w:p>
    <w:p w14:paraId="5E6F5B63" w14:textId="279E36AC" w:rsidR="00951CEE" w:rsidRPr="00227168" w:rsidRDefault="00951CEE" w:rsidP="00951CEE">
      <w:pPr>
        <w:pStyle w:val="DraftHeading1"/>
        <w:spacing w:before="0"/>
        <w:jc w:val="both"/>
        <w:rPr>
          <w:rFonts w:ascii="Arial" w:hAnsi="Arial" w:cs="Arial"/>
          <w:b w:val="0"/>
          <w:bCs/>
          <w:sz w:val="20"/>
          <w:szCs w:val="20"/>
        </w:rPr>
      </w:pPr>
      <w:r w:rsidRPr="00227168">
        <w:rPr>
          <w:rFonts w:ascii="Arial" w:hAnsi="Arial" w:cs="Arial"/>
          <w:b w:val="0"/>
          <w:bCs/>
          <w:sz w:val="20"/>
          <w:szCs w:val="20"/>
        </w:rPr>
        <w:t>S</w:t>
      </w:r>
      <w:r w:rsidR="000609E5">
        <w:rPr>
          <w:rFonts w:ascii="Arial" w:hAnsi="Arial" w:cs="Arial"/>
          <w:b w:val="0"/>
          <w:bCs/>
          <w:sz w:val="20"/>
          <w:szCs w:val="20"/>
        </w:rPr>
        <w:t>ubsections (1), (1AA), (1A) &amp; (1B) of s.</w:t>
      </w:r>
      <w:r w:rsidRPr="00227168">
        <w:rPr>
          <w:rFonts w:ascii="Arial" w:hAnsi="Arial" w:cs="Arial"/>
          <w:b w:val="0"/>
          <w:bCs/>
          <w:sz w:val="20"/>
          <w:szCs w:val="20"/>
        </w:rPr>
        <w:t xml:space="preserve">189 of the </w:t>
      </w:r>
      <w:r w:rsidRPr="00227168">
        <w:rPr>
          <w:rFonts w:ascii="Arial" w:hAnsi="Arial" w:cs="Arial"/>
          <w:b w:val="0"/>
          <w:bCs/>
          <w:i/>
          <w:iCs/>
          <w:sz w:val="20"/>
          <w:szCs w:val="20"/>
        </w:rPr>
        <w:t>Firearms Act 1996</w:t>
      </w:r>
      <w:r w:rsidRPr="00227168">
        <w:rPr>
          <w:rFonts w:ascii="Arial" w:hAnsi="Arial" w:cs="Arial"/>
          <w:b w:val="0"/>
          <w:bCs/>
          <w:sz w:val="20"/>
          <w:szCs w:val="20"/>
        </w:rPr>
        <w:t xml:space="preserve"> (the Act) provide that a person who is any one of four of the many types of “</w:t>
      </w:r>
      <w:r w:rsidRPr="00227168">
        <w:rPr>
          <w:rFonts w:ascii="Arial" w:hAnsi="Arial" w:cs="Arial"/>
          <w:sz w:val="20"/>
          <w:szCs w:val="20"/>
        </w:rPr>
        <w:t>prohibited persons</w:t>
      </w:r>
      <w:r w:rsidRPr="00227168">
        <w:rPr>
          <w:rFonts w:ascii="Arial" w:hAnsi="Arial" w:cs="Arial"/>
          <w:b w:val="0"/>
          <w:bCs/>
          <w:sz w:val="20"/>
          <w:szCs w:val="20"/>
        </w:rPr>
        <w:t xml:space="preserve">” defined in s.3(1) of the Act may apply to the </w:t>
      </w:r>
      <w:r w:rsidRPr="001C277C">
        <w:rPr>
          <w:rFonts w:ascii="Arial" w:hAnsi="Arial" w:cs="Arial"/>
          <w:sz w:val="20"/>
          <w:szCs w:val="20"/>
        </w:rPr>
        <w:t>Court</w:t>
      </w:r>
      <w:r w:rsidRPr="00227168">
        <w:rPr>
          <w:rFonts w:ascii="Arial" w:hAnsi="Arial" w:cs="Arial"/>
          <w:b w:val="0"/>
          <w:bCs/>
          <w:sz w:val="20"/>
          <w:szCs w:val="20"/>
        </w:rPr>
        <w:t xml:space="preserve"> for a declaration that the person–</w:t>
      </w:r>
    </w:p>
    <w:p w14:paraId="7111C026" w14:textId="77777777" w:rsidR="00951CEE" w:rsidRPr="00227168" w:rsidRDefault="00951CEE">
      <w:pPr>
        <w:pStyle w:val="DraftHeading1"/>
        <w:numPr>
          <w:ilvl w:val="0"/>
          <w:numId w:val="106"/>
        </w:numPr>
        <w:tabs>
          <w:tab w:val="right" w:pos="680"/>
        </w:tabs>
        <w:spacing w:before="0"/>
        <w:ind w:left="357" w:hanging="357"/>
        <w:rPr>
          <w:rFonts w:ascii="Arial" w:hAnsi="Arial" w:cs="Arial"/>
          <w:b w:val="0"/>
          <w:bCs/>
          <w:sz w:val="20"/>
          <w:szCs w:val="20"/>
        </w:rPr>
      </w:pPr>
      <w:r w:rsidRPr="00227168">
        <w:rPr>
          <w:rFonts w:ascii="Arial" w:hAnsi="Arial" w:cs="Arial"/>
          <w:b w:val="0"/>
          <w:bCs/>
          <w:sz w:val="20"/>
          <w:szCs w:val="20"/>
        </w:rPr>
        <w:t>is deemed not to be a prohibited person; or</w:t>
      </w:r>
    </w:p>
    <w:p w14:paraId="5105742E" w14:textId="77777777" w:rsidR="00951CEE" w:rsidRPr="00227168" w:rsidRDefault="00951CEE">
      <w:pPr>
        <w:pStyle w:val="DraftHeading1"/>
        <w:numPr>
          <w:ilvl w:val="0"/>
          <w:numId w:val="106"/>
        </w:numPr>
        <w:tabs>
          <w:tab w:val="right" w:pos="680"/>
        </w:tabs>
        <w:spacing w:before="0"/>
        <w:ind w:left="357" w:hanging="357"/>
        <w:rPr>
          <w:rFonts w:ascii="Arial" w:hAnsi="Arial" w:cs="Arial"/>
          <w:b w:val="0"/>
          <w:bCs/>
          <w:sz w:val="20"/>
          <w:szCs w:val="20"/>
        </w:rPr>
      </w:pPr>
      <w:r w:rsidRPr="00227168">
        <w:rPr>
          <w:rFonts w:ascii="Arial" w:hAnsi="Arial" w:cs="Arial"/>
          <w:b w:val="0"/>
          <w:bCs/>
          <w:sz w:val="20"/>
          <w:szCs w:val="20"/>
        </w:rPr>
        <w:t>is so deemed for limited purposes only.</w:t>
      </w:r>
    </w:p>
    <w:p w14:paraId="08F181E0" w14:textId="77777777" w:rsidR="00951CEE" w:rsidRDefault="00951CEE" w:rsidP="00951CEE">
      <w:pPr>
        <w:pStyle w:val="DraftHeading1"/>
        <w:spacing w:before="0"/>
        <w:jc w:val="both"/>
        <w:rPr>
          <w:rFonts w:ascii="Arial" w:hAnsi="Arial" w:cs="Arial"/>
          <w:b w:val="0"/>
          <w:bCs/>
          <w:sz w:val="20"/>
          <w:szCs w:val="20"/>
        </w:rPr>
      </w:pPr>
    </w:p>
    <w:p w14:paraId="6D72C30F" w14:textId="76E6F9DC" w:rsidR="000609E5" w:rsidRPr="000609E5" w:rsidRDefault="000609E5" w:rsidP="000609E5">
      <w:pPr>
        <w:jc w:val="both"/>
        <w:rPr>
          <w:rFonts w:ascii="Arial" w:hAnsi="Arial" w:cs="Arial"/>
          <w:sz w:val="20"/>
          <w:szCs w:val="20"/>
        </w:rPr>
      </w:pPr>
      <w:r>
        <w:rPr>
          <w:rFonts w:ascii="Arial" w:hAnsi="Arial" w:cs="Arial"/>
          <w:sz w:val="20"/>
          <w:szCs w:val="20"/>
        </w:rPr>
        <w:t xml:space="preserve">Section 189(2A) of the Act provides that a person who is making an application under s.189 must give 28 </w:t>
      </w:r>
      <w:proofErr w:type="spellStart"/>
      <w:r>
        <w:rPr>
          <w:rFonts w:ascii="Arial" w:hAnsi="Arial" w:cs="Arial"/>
          <w:sz w:val="20"/>
          <w:szCs w:val="20"/>
        </w:rPr>
        <w:t>days</w:t>
      </w:r>
      <w:proofErr w:type="spellEnd"/>
      <w:r>
        <w:rPr>
          <w:rFonts w:ascii="Arial" w:hAnsi="Arial" w:cs="Arial"/>
          <w:sz w:val="20"/>
          <w:szCs w:val="20"/>
        </w:rPr>
        <w:t xml:space="preserve"> written notice of the application to–</w:t>
      </w:r>
    </w:p>
    <w:p w14:paraId="57B286B7" w14:textId="5B98BEE6" w:rsidR="000609E5" w:rsidRDefault="000609E5">
      <w:pPr>
        <w:pStyle w:val="DraftHeading1"/>
        <w:numPr>
          <w:ilvl w:val="0"/>
          <w:numId w:val="106"/>
        </w:numPr>
        <w:tabs>
          <w:tab w:val="right" w:pos="680"/>
        </w:tabs>
        <w:spacing w:before="0"/>
        <w:ind w:left="357" w:hanging="357"/>
        <w:rPr>
          <w:rFonts w:ascii="Arial" w:hAnsi="Arial" w:cs="Arial"/>
          <w:b w:val="0"/>
          <w:bCs/>
          <w:sz w:val="20"/>
          <w:szCs w:val="20"/>
        </w:rPr>
      </w:pPr>
      <w:r>
        <w:rPr>
          <w:rFonts w:ascii="Arial" w:hAnsi="Arial" w:cs="Arial"/>
          <w:b w:val="0"/>
          <w:bCs/>
          <w:sz w:val="20"/>
          <w:szCs w:val="20"/>
        </w:rPr>
        <w:t>the registrar of the Court; and</w:t>
      </w:r>
    </w:p>
    <w:p w14:paraId="4289283D" w14:textId="17931991" w:rsidR="000609E5" w:rsidRDefault="000609E5">
      <w:pPr>
        <w:pStyle w:val="DraftHeading1"/>
        <w:numPr>
          <w:ilvl w:val="0"/>
          <w:numId w:val="106"/>
        </w:numPr>
        <w:tabs>
          <w:tab w:val="right" w:pos="680"/>
        </w:tabs>
        <w:spacing w:before="0"/>
        <w:ind w:left="357" w:hanging="357"/>
        <w:rPr>
          <w:rFonts w:ascii="Arial" w:hAnsi="Arial" w:cs="Arial"/>
          <w:b w:val="0"/>
          <w:bCs/>
          <w:sz w:val="20"/>
          <w:szCs w:val="20"/>
        </w:rPr>
      </w:pPr>
      <w:r>
        <w:rPr>
          <w:rFonts w:ascii="Arial" w:hAnsi="Arial" w:cs="Arial"/>
          <w:b w:val="0"/>
          <w:bCs/>
          <w:sz w:val="20"/>
          <w:szCs w:val="20"/>
        </w:rPr>
        <w:t>the Chief Commissioner; and</w:t>
      </w:r>
    </w:p>
    <w:p w14:paraId="10802273" w14:textId="7B2CCF8D" w:rsidR="000609E5" w:rsidRDefault="000609E5">
      <w:pPr>
        <w:pStyle w:val="DraftHeading1"/>
        <w:numPr>
          <w:ilvl w:val="0"/>
          <w:numId w:val="106"/>
        </w:numPr>
        <w:tabs>
          <w:tab w:val="right" w:pos="680"/>
        </w:tabs>
        <w:spacing w:before="0"/>
        <w:ind w:left="357" w:hanging="357"/>
        <w:rPr>
          <w:rFonts w:ascii="Arial" w:hAnsi="Arial" w:cs="Arial"/>
          <w:b w:val="0"/>
          <w:bCs/>
          <w:sz w:val="20"/>
          <w:szCs w:val="20"/>
        </w:rPr>
      </w:pPr>
      <w:r>
        <w:rPr>
          <w:rFonts w:ascii="Arial" w:hAnsi="Arial" w:cs="Arial"/>
          <w:b w:val="0"/>
          <w:bCs/>
          <w:sz w:val="20"/>
          <w:szCs w:val="20"/>
        </w:rPr>
        <w:t>in the case of an application under subsection (1) or (1AA), the person protected by the final order.</w:t>
      </w:r>
    </w:p>
    <w:p w14:paraId="56027A1C" w14:textId="77777777" w:rsidR="000609E5" w:rsidRPr="000609E5" w:rsidRDefault="000609E5" w:rsidP="000609E5">
      <w:pPr>
        <w:rPr>
          <w:rFonts w:ascii="Arial" w:hAnsi="Arial" w:cs="Arial"/>
          <w:sz w:val="20"/>
          <w:szCs w:val="20"/>
        </w:rPr>
      </w:pPr>
    </w:p>
    <w:p w14:paraId="13107340" w14:textId="7B6076C5" w:rsidR="00A20D3E" w:rsidRPr="00227168" w:rsidRDefault="00A20D3E" w:rsidP="00A20D3E">
      <w:pPr>
        <w:pStyle w:val="DraftHeading1"/>
        <w:spacing w:before="0"/>
        <w:jc w:val="both"/>
        <w:rPr>
          <w:rFonts w:ascii="Arial" w:hAnsi="Arial" w:cs="Arial"/>
          <w:b w:val="0"/>
          <w:bCs/>
          <w:sz w:val="20"/>
          <w:szCs w:val="20"/>
        </w:rPr>
      </w:pPr>
      <w:r>
        <w:rPr>
          <w:rFonts w:ascii="Arial" w:hAnsi="Arial" w:cs="Arial"/>
          <w:b w:val="0"/>
          <w:bCs/>
          <w:sz w:val="20"/>
          <w:szCs w:val="20"/>
        </w:rPr>
        <w:t xml:space="preserve">Section </w:t>
      </w:r>
      <w:r w:rsidR="000609E5">
        <w:rPr>
          <w:rFonts w:ascii="Arial" w:hAnsi="Arial" w:cs="Arial"/>
          <w:b w:val="0"/>
          <w:bCs/>
          <w:sz w:val="20"/>
          <w:szCs w:val="20"/>
        </w:rPr>
        <w:t xml:space="preserve">189(3) of the Act provides </w:t>
      </w:r>
      <w:r w:rsidRPr="00227168">
        <w:rPr>
          <w:rFonts w:ascii="Arial" w:hAnsi="Arial" w:cs="Arial"/>
          <w:b w:val="0"/>
          <w:bCs/>
          <w:sz w:val="20"/>
          <w:szCs w:val="20"/>
        </w:rPr>
        <w:t xml:space="preserve">that in s.189 </w:t>
      </w:r>
      <w:r w:rsidRPr="00227168">
        <w:rPr>
          <w:rFonts w:ascii="Arial" w:hAnsi="Arial" w:cs="Arial"/>
          <w:sz w:val="20"/>
          <w:szCs w:val="20"/>
        </w:rPr>
        <w:t>Court</w:t>
      </w:r>
      <w:r w:rsidRPr="00227168">
        <w:rPr>
          <w:rFonts w:ascii="Arial" w:hAnsi="Arial" w:cs="Arial"/>
          <w:b w:val="0"/>
          <w:bCs/>
          <w:sz w:val="20"/>
          <w:szCs w:val="20"/>
        </w:rPr>
        <w:t xml:space="preserve"> means–</w:t>
      </w:r>
    </w:p>
    <w:p w14:paraId="79220D74" w14:textId="77777777" w:rsidR="00A20D3E" w:rsidRPr="00227168" w:rsidRDefault="00A20D3E">
      <w:pPr>
        <w:pStyle w:val="DraftHeading1"/>
        <w:numPr>
          <w:ilvl w:val="0"/>
          <w:numId w:val="106"/>
        </w:numPr>
        <w:tabs>
          <w:tab w:val="right" w:pos="680"/>
        </w:tabs>
        <w:spacing w:before="0"/>
        <w:ind w:left="357" w:hanging="357"/>
        <w:jc w:val="both"/>
        <w:rPr>
          <w:rFonts w:ascii="Arial" w:hAnsi="Arial" w:cs="Arial"/>
          <w:b w:val="0"/>
          <w:bCs/>
          <w:sz w:val="20"/>
          <w:szCs w:val="20"/>
          <w:lang w:eastAsia="en-AU"/>
        </w:rPr>
      </w:pPr>
      <w:r w:rsidRPr="00227168">
        <w:rPr>
          <w:rFonts w:ascii="Arial" w:hAnsi="Arial" w:cs="Arial"/>
          <w:sz w:val="20"/>
          <w:szCs w:val="20"/>
          <w:lang w:eastAsia="en-AU"/>
        </w:rPr>
        <w:t>Section 189(3)(a)</w:t>
      </w:r>
      <w:r w:rsidRPr="00227168">
        <w:rPr>
          <w:rFonts w:ascii="Arial" w:hAnsi="Arial" w:cs="Arial"/>
          <w:b w:val="0"/>
          <w:bCs/>
          <w:sz w:val="20"/>
          <w:szCs w:val="20"/>
          <w:lang w:eastAsia="en-AU"/>
        </w:rPr>
        <w:t>: In the case of a person who was made the subject of an order referred to in s.189(1) or s.189(1AA)–</w:t>
      </w:r>
    </w:p>
    <w:p w14:paraId="2A6B059E" w14:textId="77777777" w:rsidR="00A20D3E" w:rsidRPr="00227168" w:rsidRDefault="00A20D3E">
      <w:pPr>
        <w:numPr>
          <w:ilvl w:val="0"/>
          <w:numId w:val="108"/>
        </w:numPr>
        <w:ind w:left="867" w:hanging="510"/>
        <w:rPr>
          <w:rFonts w:ascii="Arial" w:hAnsi="Arial" w:cs="Arial"/>
          <w:sz w:val="20"/>
          <w:szCs w:val="20"/>
        </w:rPr>
      </w:pPr>
      <w:r w:rsidRPr="00227168">
        <w:rPr>
          <w:rFonts w:ascii="Arial" w:hAnsi="Arial" w:cs="Arial"/>
          <w:sz w:val="20"/>
          <w:szCs w:val="20"/>
        </w:rPr>
        <w:t>in Victoria, the court which made the order; or</w:t>
      </w:r>
    </w:p>
    <w:p w14:paraId="66C33638" w14:textId="77777777" w:rsidR="00A20D3E" w:rsidRPr="00227168" w:rsidRDefault="00A20D3E">
      <w:pPr>
        <w:numPr>
          <w:ilvl w:val="0"/>
          <w:numId w:val="108"/>
        </w:numPr>
        <w:ind w:left="867" w:hanging="510"/>
        <w:rPr>
          <w:rFonts w:ascii="Arial" w:hAnsi="Arial" w:cs="Arial"/>
          <w:sz w:val="20"/>
          <w:szCs w:val="20"/>
        </w:rPr>
      </w:pPr>
      <w:r w:rsidRPr="00227168">
        <w:rPr>
          <w:rFonts w:ascii="Arial" w:hAnsi="Arial" w:cs="Arial"/>
          <w:sz w:val="20"/>
          <w:szCs w:val="20"/>
        </w:rPr>
        <w:t>in another State or a Territory or in New Zealand, the Supreme Court.</w:t>
      </w:r>
    </w:p>
    <w:p w14:paraId="6A03E88B" w14:textId="77777777" w:rsidR="00A20D3E" w:rsidRPr="00227168" w:rsidRDefault="00A20D3E">
      <w:pPr>
        <w:pStyle w:val="DraftHeading1"/>
        <w:numPr>
          <w:ilvl w:val="0"/>
          <w:numId w:val="106"/>
        </w:numPr>
        <w:tabs>
          <w:tab w:val="right" w:pos="680"/>
        </w:tabs>
        <w:spacing w:before="0"/>
        <w:ind w:left="357" w:hanging="357"/>
        <w:jc w:val="both"/>
        <w:rPr>
          <w:rFonts w:ascii="Arial" w:hAnsi="Arial" w:cs="Arial"/>
          <w:b w:val="0"/>
          <w:bCs/>
          <w:sz w:val="20"/>
          <w:szCs w:val="20"/>
          <w:lang w:eastAsia="en-AU"/>
        </w:rPr>
      </w:pPr>
      <w:r w:rsidRPr="00227168">
        <w:rPr>
          <w:rFonts w:ascii="Arial" w:hAnsi="Arial" w:cs="Arial"/>
          <w:sz w:val="20"/>
          <w:szCs w:val="20"/>
          <w:lang w:eastAsia="en-AU"/>
        </w:rPr>
        <w:t>Section 189(3)(b)</w:t>
      </w:r>
      <w:r w:rsidRPr="00227168">
        <w:rPr>
          <w:rFonts w:ascii="Arial" w:hAnsi="Arial" w:cs="Arial"/>
          <w:b w:val="0"/>
          <w:bCs/>
          <w:sz w:val="20"/>
          <w:szCs w:val="20"/>
          <w:lang w:eastAsia="en-AU"/>
        </w:rPr>
        <w:t>: In the case of a person to whom s.189(1A) applies–</w:t>
      </w:r>
    </w:p>
    <w:p w14:paraId="32FD1369" w14:textId="77777777" w:rsidR="00A20D3E" w:rsidRPr="00227168" w:rsidRDefault="00A20D3E">
      <w:pPr>
        <w:numPr>
          <w:ilvl w:val="0"/>
          <w:numId w:val="109"/>
        </w:numPr>
        <w:ind w:left="867" w:hanging="510"/>
        <w:rPr>
          <w:rFonts w:ascii="Arial" w:hAnsi="Arial" w:cs="Arial"/>
          <w:sz w:val="20"/>
          <w:szCs w:val="20"/>
        </w:rPr>
      </w:pPr>
      <w:r w:rsidRPr="00227168">
        <w:rPr>
          <w:rFonts w:ascii="Arial" w:hAnsi="Arial" w:cs="Arial"/>
          <w:sz w:val="20"/>
          <w:szCs w:val="20"/>
        </w:rPr>
        <w:t>if a Victorian court found the person guilty, that court; or</w:t>
      </w:r>
    </w:p>
    <w:p w14:paraId="31DE60BD" w14:textId="77777777" w:rsidR="00A20D3E" w:rsidRDefault="00A20D3E">
      <w:pPr>
        <w:numPr>
          <w:ilvl w:val="0"/>
          <w:numId w:val="109"/>
        </w:numPr>
        <w:ind w:left="867" w:hanging="510"/>
        <w:rPr>
          <w:rFonts w:ascii="Arial" w:hAnsi="Arial" w:cs="Arial"/>
          <w:sz w:val="20"/>
          <w:szCs w:val="20"/>
        </w:rPr>
      </w:pPr>
      <w:r w:rsidRPr="00227168">
        <w:rPr>
          <w:rFonts w:ascii="Arial" w:hAnsi="Arial" w:cs="Arial"/>
          <w:sz w:val="20"/>
          <w:szCs w:val="20"/>
        </w:rPr>
        <w:t>if a court in another State or a Territory found the person guilty, the Supreme Court.</w:t>
      </w:r>
    </w:p>
    <w:p w14:paraId="27CD8913" w14:textId="77777777" w:rsidR="00A20D3E" w:rsidRPr="00A20D3E" w:rsidRDefault="00A20D3E" w:rsidP="00A20D3E"/>
    <w:p w14:paraId="5946E4A6" w14:textId="4D8DFFCD" w:rsidR="00951CEE" w:rsidRPr="00227168" w:rsidRDefault="00951CEE" w:rsidP="00951CEE">
      <w:pPr>
        <w:pStyle w:val="DraftHeading1"/>
        <w:spacing w:before="0"/>
        <w:jc w:val="both"/>
        <w:rPr>
          <w:rFonts w:ascii="Arial" w:hAnsi="Arial" w:cs="Arial"/>
          <w:b w:val="0"/>
          <w:bCs/>
          <w:sz w:val="20"/>
          <w:szCs w:val="20"/>
        </w:rPr>
      </w:pPr>
      <w:r w:rsidRPr="00227168">
        <w:rPr>
          <w:rFonts w:ascii="Arial" w:hAnsi="Arial" w:cs="Arial"/>
          <w:b w:val="0"/>
          <w:bCs/>
          <w:sz w:val="20"/>
          <w:szCs w:val="20"/>
        </w:rPr>
        <w:t xml:space="preserve">So far as s.189 applies to a person who is the subject of an order made by the Children’s Court of Victoria, 3 of those 4 types </w:t>
      </w:r>
      <w:r w:rsidR="000609E5">
        <w:rPr>
          <w:rFonts w:ascii="Arial" w:hAnsi="Arial" w:cs="Arial"/>
          <w:b w:val="0"/>
          <w:bCs/>
          <w:sz w:val="20"/>
          <w:szCs w:val="20"/>
        </w:rPr>
        <w:t xml:space="preserve">of “prohibited persons” </w:t>
      </w:r>
      <w:r w:rsidRPr="00227168">
        <w:rPr>
          <w:rFonts w:ascii="Arial" w:hAnsi="Arial" w:cs="Arial"/>
          <w:b w:val="0"/>
          <w:bCs/>
          <w:sz w:val="20"/>
          <w:szCs w:val="20"/>
        </w:rPr>
        <w:t xml:space="preserve">are </w:t>
      </w:r>
      <w:r w:rsidR="000609E5">
        <w:rPr>
          <w:rFonts w:ascii="Arial" w:hAnsi="Arial" w:cs="Arial"/>
          <w:b w:val="0"/>
          <w:bCs/>
          <w:sz w:val="20"/>
          <w:szCs w:val="20"/>
        </w:rPr>
        <w:t>relevant</w:t>
      </w:r>
      <w:r w:rsidRPr="00227168">
        <w:rPr>
          <w:rFonts w:ascii="Arial" w:hAnsi="Arial" w:cs="Arial"/>
          <w:b w:val="0"/>
          <w:bCs/>
          <w:sz w:val="20"/>
          <w:szCs w:val="20"/>
        </w:rPr>
        <w:t>.  These are–</w:t>
      </w:r>
    </w:p>
    <w:p w14:paraId="0FBE8947" w14:textId="77777777" w:rsidR="00951CEE" w:rsidRPr="00227168" w:rsidRDefault="00951CEE">
      <w:pPr>
        <w:pStyle w:val="DraftHeading1"/>
        <w:keepNext/>
        <w:keepLines/>
        <w:numPr>
          <w:ilvl w:val="0"/>
          <w:numId w:val="106"/>
        </w:numPr>
        <w:tabs>
          <w:tab w:val="right" w:pos="680"/>
        </w:tabs>
        <w:spacing w:before="0"/>
        <w:ind w:left="357" w:hanging="357"/>
        <w:jc w:val="both"/>
        <w:rPr>
          <w:rFonts w:ascii="Arial" w:hAnsi="Arial" w:cs="Arial"/>
          <w:b w:val="0"/>
          <w:bCs/>
          <w:sz w:val="20"/>
          <w:szCs w:val="20"/>
          <w:lang w:eastAsia="en-AU"/>
        </w:rPr>
      </w:pPr>
      <w:r w:rsidRPr="00227168">
        <w:rPr>
          <w:rFonts w:ascii="Arial" w:hAnsi="Arial" w:cs="Arial"/>
          <w:sz w:val="20"/>
          <w:szCs w:val="20"/>
          <w:lang w:eastAsia="en-AU"/>
        </w:rPr>
        <w:t>Section 189(1) – Paragraph (c)(i) of definition</w:t>
      </w:r>
      <w:r w:rsidRPr="00227168">
        <w:rPr>
          <w:rFonts w:ascii="Arial" w:hAnsi="Arial" w:cs="Arial"/>
          <w:b w:val="0"/>
          <w:bCs/>
          <w:sz w:val="20"/>
          <w:szCs w:val="20"/>
          <w:lang w:eastAsia="en-AU"/>
        </w:rPr>
        <w:t>:</w:t>
      </w:r>
    </w:p>
    <w:p w14:paraId="1BA51B86" w14:textId="21011C53" w:rsidR="00951CEE" w:rsidRPr="00227168" w:rsidRDefault="00951CEE" w:rsidP="00951CEE">
      <w:pPr>
        <w:pStyle w:val="DraftHeading1"/>
        <w:tabs>
          <w:tab w:val="right" w:pos="680"/>
        </w:tabs>
        <w:spacing w:before="0"/>
        <w:jc w:val="both"/>
        <w:rPr>
          <w:rFonts w:ascii="Arial" w:hAnsi="Arial" w:cs="Arial"/>
          <w:b w:val="0"/>
          <w:bCs/>
          <w:sz w:val="20"/>
          <w:szCs w:val="20"/>
          <w:lang w:eastAsia="en-AU"/>
        </w:rPr>
      </w:pPr>
      <w:r w:rsidRPr="00227168">
        <w:rPr>
          <w:rFonts w:ascii="Arial" w:hAnsi="Arial" w:cs="Arial"/>
          <w:b w:val="0"/>
          <w:bCs/>
          <w:sz w:val="20"/>
          <w:szCs w:val="20"/>
        </w:rPr>
        <w:t xml:space="preserve">A person who is subject to </w:t>
      </w:r>
      <w:r w:rsidRPr="00227168">
        <w:rPr>
          <w:rFonts w:ascii="Arial" w:hAnsi="Arial" w:cs="Arial"/>
          <w:b w:val="0"/>
          <w:bCs/>
          <w:sz w:val="20"/>
          <w:szCs w:val="20"/>
          <w:lang w:eastAsia="en-AU"/>
        </w:rPr>
        <w:t xml:space="preserve">a final order under the </w:t>
      </w:r>
      <w:r w:rsidRPr="00227168">
        <w:rPr>
          <w:rFonts w:ascii="Arial" w:hAnsi="Arial" w:cs="Arial"/>
          <w:b w:val="0"/>
          <w:bCs/>
          <w:i/>
          <w:iCs/>
          <w:sz w:val="20"/>
          <w:szCs w:val="20"/>
          <w:lang w:eastAsia="en-AU"/>
        </w:rPr>
        <w:t>Family Violence Protection Act 2008</w:t>
      </w:r>
      <w:r w:rsidRPr="00227168">
        <w:rPr>
          <w:rFonts w:ascii="Arial" w:hAnsi="Arial" w:cs="Arial"/>
          <w:b w:val="0"/>
          <w:bCs/>
          <w:sz w:val="20"/>
          <w:szCs w:val="20"/>
          <w:lang w:eastAsia="en-AU"/>
        </w:rPr>
        <w:t xml:space="preserve"> that does not include conditions cancelling or revoking a licence, permit or authority under the Act; or</w:t>
      </w:r>
    </w:p>
    <w:p w14:paraId="281D9609" w14:textId="77777777" w:rsidR="00951CEE" w:rsidRPr="00227168" w:rsidRDefault="00951CEE">
      <w:pPr>
        <w:pStyle w:val="DraftHeading1"/>
        <w:numPr>
          <w:ilvl w:val="0"/>
          <w:numId w:val="106"/>
        </w:numPr>
        <w:tabs>
          <w:tab w:val="right" w:pos="680"/>
        </w:tabs>
        <w:spacing w:before="0"/>
        <w:ind w:left="357" w:hanging="357"/>
        <w:jc w:val="both"/>
        <w:rPr>
          <w:rFonts w:ascii="Arial" w:hAnsi="Arial" w:cs="Arial"/>
          <w:b w:val="0"/>
          <w:bCs/>
          <w:sz w:val="20"/>
          <w:szCs w:val="20"/>
          <w:lang w:eastAsia="en-AU"/>
        </w:rPr>
      </w:pPr>
      <w:r w:rsidRPr="00227168">
        <w:rPr>
          <w:rFonts w:ascii="Arial" w:hAnsi="Arial" w:cs="Arial"/>
          <w:sz w:val="20"/>
          <w:szCs w:val="20"/>
        </w:rPr>
        <w:t>Section 189(1AA) – Pa</w:t>
      </w:r>
      <w:r w:rsidRPr="00227168">
        <w:rPr>
          <w:rFonts w:ascii="Arial" w:hAnsi="Arial" w:cs="Arial"/>
          <w:bCs/>
          <w:sz w:val="20"/>
          <w:szCs w:val="20"/>
        </w:rPr>
        <w:t>ragraph (c)(</w:t>
      </w:r>
      <w:proofErr w:type="spellStart"/>
      <w:r w:rsidRPr="00227168">
        <w:rPr>
          <w:rFonts w:ascii="Arial" w:hAnsi="Arial" w:cs="Arial"/>
          <w:bCs/>
          <w:sz w:val="20"/>
          <w:szCs w:val="20"/>
        </w:rPr>
        <w:t>ib</w:t>
      </w:r>
      <w:proofErr w:type="spellEnd"/>
      <w:r w:rsidRPr="00227168">
        <w:rPr>
          <w:rFonts w:ascii="Arial" w:hAnsi="Arial" w:cs="Arial"/>
          <w:bCs/>
          <w:sz w:val="20"/>
          <w:szCs w:val="20"/>
        </w:rPr>
        <w:t>) of definition</w:t>
      </w:r>
      <w:r w:rsidRPr="00227168">
        <w:rPr>
          <w:rFonts w:ascii="Arial" w:hAnsi="Arial" w:cs="Arial"/>
          <w:sz w:val="20"/>
          <w:szCs w:val="20"/>
        </w:rPr>
        <w:t>:</w:t>
      </w:r>
    </w:p>
    <w:p w14:paraId="12118D25" w14:textId="6A955E19" w:rsidR="00951CEE" w:rsidRPr="00227168" w:rsidRDefault="00951CEE" w:rsidP="00951CEE">
      <w:pPr>
        <w:pStyle w:val="DraftHeading4"/>
        <w:tabs>
          <w:tab w:val="right" w:pos="2268"/>
        </w:tabs>
        <w:spacing w:before="0"/>
        <w:jc w:val="both"/>
        <w:rPr>
          <w:rFonts w:ascii="Arial" w:hAnsi="Arial" w:cs="Arial"/>
          <w:sz w:val="20"/>
        </w:rPr>
      </w:pPr>
      <w:r w:rsidRPr="00227168">
        <w:rPr>
          <w:rFonts w:ascii="Arial" w:hAnsi="Arial" w:cs="Arial"/>
          <w:sz w:val="20"/>
        </w:rPr>
        <w:t xml:space="preserve">A person who is subject to a final order under the </w:t>
      </w:r>
      <w:r w:rsidRPr="00227168">
        <w:rPr>
          <w:rFonts w:ascii="Arial" w:hAnsi="Arial" w:cs="Arial"/>
          <w:bCs/>
          <w:i/>
          <w:iCs/>
          <w:sz w:val="20"/>
          <w:lang w:eastAsia="en-AU"/>
        </w:rPr>
        <w:t>Personal Safety Intervention Orders Act 2010</w:t>
      </w:r>
      <w:r w:rsidRPr="00227168">
        <w:rPr>
          <w:rFonts w:ascii="Arial" w:hAnsi="Arial" w:cs="Arial"/>
          <w:b/>
          <w:sz w:val="20"/>
          <w:lang w:eastAsia="en-AU"/>
        </w:rPr>
        <w:t xml:space="preserve"> </w:t>
      </w:r>
      <w:r w:rsidRPr="00227168">
        <w:rPr>
          <w:rFonts w:ascii="Arial" w:hAnsi="Arial" w:cs="Arial"/>
          <w:sz w:val="20"/>
        </w:rPr>
        <w:t>that does not cancel or suspend a licence, permit or authority under this Act; or</w:t>
      </w:r>
    </w:p>
    <w:p w14:paraId="46608EEC" w14:textId="77777777" w:rsidR="00951CEE" w:rsidRPr="00227168" w:rsidRDefault="00951CEE">
      <w:pPr>
        <w:pStyle w:val="DraftHeading1"/>
        <w:numPr>
          <w:ilvl w:val="0"/>
          <w:numId w:val="106"/>
        </w:numPr>
        <w:tabs>
          <w:tab w:val="right" w:pos="680"/>
        </w:tabs>
        <w:spacing w:before="0"/>
        <w:ind w:left="357" w:hanging="357"/>
        <w:jc w:val="both"/>
        <w:rPr>
          <w:rFonts w:ascii="Arial" w:hAnsi="Arial" w:cs="Arial"/>
          <w:b w:val="0"/>
          <w:bCs/>
          <w:sz w:val="20"/>
          <w:szCs w:val="20"/>
          <w:lang w:eastAsia="en-AU"/>
        </w:rPr>
      </w:pPr>
      <w:r w:rsidRPr="00227168">
        <w:rPr>
          <w:rFonts w:ascii="Arial" w:hAnsi="Arial" w:cs="Arial"/>
          <w:bCs/>
          <w:sz w:val="20"/>
          <w:szCs w:val="20"/>
          <w:lang w:eastAsia="en-AU"/>
        </w:rPr>
        <w:t>Section 189(1A) – Paragraph (d) of definition</w:t>
      </w:r>
      <w:r w:rsidRPr="00227168">
        <w:rPr>
          <w:rFonts w:ascii="Arial" w:hAnsi="Arial" w:cs="Arial"/>
          <w:sz w:val="20"/>
          <w:szCs w:val="20"/>
          <w:lang w:eastAsia="en-AU"/>
        </w:rPr>
        <w:t>:</w:t>
      </w:r>
    </w:p>
    <w:p w14:paraId="0157BC58" w14:textId="77777777" w:rsidR="00951CEE" w:rsidRPr="00227168" w:rsidRDefault="00951CEE" w:rsidP="00951CEE">
      <w:pPr>
        <w:pStyle w:val="DraftHeading5"/>
        <w:tabs>
          <w:tab w:val="right" w:pos="2778"/>
        </w:tabs>
        <w:spacing w:before="0"/>
        <w:jc w:val="both"/>
        <w:rPr>
          <w:rFonts w:ascii="Arial" w:hAnsi="Arial" w:cs="Arial"/>
          <w:b/>
          <w:bCs/>
          <w:sz w:val="20"/>
          <w:lang w:eastAsia="en-AU"/>
        </w:rPr>
      </w:pPr>
      <w:r w:rsidRPr="00227168">
        <w:rPr>
          <w:rFonts w:ascii="Arial" w:hAnsi="Arial" w:cs="Arial"/>
          <w:sz w:val="20"/>
          <w:lang w:eastAsia="en-AU"/>
        </w:rPr>
        <w:t>A person in relation to whom not more than 12 months have expired since that person was found guilty by the Children’s Court of Victoria of</w:t>
      </w:r>
      <w:r w:rsidRPr="00227168">
        <w:rPr>
          <w:rFonts w:ascii="Arial" w:hAnsi="Arial" w:cs="Arial"/>
          <w:b/>
          <w:bCs/>
          <w:sz w:val="20"/>
        </w:rPr>
        <w:t>–</w:t>
      </w:r>
    </w:p>
    <w:p w14:paraId="1DE12FD2" w14:textId="77777777" w:rsidR="00951CEE" w:rsidRPr="00227168" w:rsidRDefault="00951CEE">
      <w:pPr>
        <w:pStyle w:val="ListParagraph"/>
        <w:numPr>
          <w:ilvl w:val="0"/>
          <w:numId w:val="107"/>
        </w:numPr>
        <w:overflowPunct w:val="0"/>
        <w:autoSpaceDE w:val="0"/>
        <w:autoSpaceDN w:val="0"/>
        <w:adjustRightInd w:val="0"/>
        <w:ind w:left="510" w:hanging="510"/>
        <w:contextualSpacing/>
        <w:jc w:val="both"/>
        <w:textAlignment w:val="baseline"/>
        <w:rPr>
          <w:rFonts w:ascii="Arial" w:hAnsi="Arial" w:cs="Arial"/>
          <w:sz w:val="20"/>
        </w:rPr>
      </w:pPr>
      <w:r w:rsidRPr="00227168">
        <w:rPr>
          <w:rFonts w:ascii="Arial" w:hAnsi="Arial" w:cs="Arial"/>
          <w:sz w:val="20"/>
        </w:rPr>
        <w:t>an offence against the Firearms Act 1996, in relation to which it was open to the court to impose a term of imprisonment; or</w:t>
      </w:r>
    </w:p>
    <w:p w14:paraId="62F45970" w14:textId="77777777" w:rsidR="00951CEE" w:rsidRPr="00227168" w:rsidRDefault="00951CEE">
      <w:pPr>
        <w:pStyle w:val="ListParagraph"/>
        <w:numPr>
          <w:ilvl w:val="0"/>
          <w:numId w:val="107"/>
        </w:numPr>
        <w:overflowPunct w:val="0"/>
        <w:autoSpaceDE w:val="0"/>
        <w:autoSpaceDN w:val="0"/>
        <w:adjustRightInd w:val="0"/>
        <w:ind w:left="510" w:hanging="510"/>
        <w:contextualSpacing/>
        <w:jc w:val="both"/>
        <w:textAlignment w:val="baseline"/>
        <w:rPr>
          <w:rFonts w:ascii="Arial" w:hAnsi="Arial" w:cs="Arial"/>
          <w:sz w:val="20"/>
        </w:rPr>
      </w:pPr>
      <w:r w:rsidRPr="00227168">
        <w:rPr>
          <w:rFonts w:ascii="Arial" w:hAnsi="Arial" w:cs="Arial"/>
          <w:sz w:val="20"/>
        </w:rPr>
        <w:t>an offence against any other Act involving the possession or use of firearms and in relation to which it was open to the court to impose a term of imprisonment; or</w:t>
      </w:r>
    </w:p>
    <w:p w14:paraId="53181456" w14:textId="77777777" w:rsidR="00951CEE" w:rsidRPr="00227168" w:rsidRDefault="00951CEE">
      <w:pPr>
        <w:pStyle w:val="ListParagraph"/>
        <w:numPr>
          <w:ilvl w:val="0"/>
          <w:numId w:val="107"/>
        </w:numPr>
        <w:overflowPunct w:val="0"/>
        <w:autoSpaceDE w:val="0"/>
        <w:autoSpaceDN w:val="0"/>
        <w:adjustRightInd w:val="0"/>
        <w:ind w:left="510" w:hanging="510"/>
        <w:contextualSpacing/>
        <w:jc w:val="both"/>
        <w:textAlignment w:val="baseline"/>
        <w:rPr>
          <w:rFonts w:ascii="Arial" w:hAnsi="Arial" w:cs="Arial"/>
          <w:sz w:val="20"/>
        </w:rPr>
      </w:pPr>
      <w:r w:rsidRPr="00227168">
        <w:rPr>
          <w:rFonts w:ascii="Arial" w:hAnsi="Arial" w:cs="Arial"/>
          <w:sz w:val="20"/>
        </w:rPr>
        <w:t>an indictable offence</w:t>
      </w:r>
      <w:r w:rsidRPr="00227168">
        <w:rPr>
          <w:rFonts w:ascii="Arial" w:hAnsi="Arial" w:cs="Arial"/>
          <w:b/>
          <w:bCs/>
          <w:sz w:val="20"/>
        </w:rPr>
        <w:t>–</w:t>
      </w:r>
    </w:p>
    <w:p w14:paraId="5DD105F3" w14:textId="77777777" w:rsidR="00951CEE" w:rsidRDefault="00951CEE" w:rsidP="00951CEE">
      <w:pPr>
        <w:jc w:val="both"/>
        <w:rPr>
          <w:rFonts w:ascii="Arial" w:hAnsi="Arial" w:cs="Arial"/>
          <w:sz w:val="20"/>
          <w:szCs w:val="20"/>
        </w:rPr>
      </w:pPr>
      <w:r w:rsidRPr="00227168">
        <w:rPr>
          <w:rFonts w:ascii="Arial" w:hAnsi="Arial" w:cs="Arial"/>
          <w:sz w:val="20"/>
          <w:szCs w:val="20"/>
        </w:rPr>
        <w:t>and who is not, by virtue of the operation of any other paragraph of this definition, a prohibited person.</w:t>
      </w:r>
    </w:p>
    <w:p w14:paraId="75DD1CD5" w14:textId="77777777" w:rsidR="007F2D3B" w:rsidRPr="00227168" w:rsidRDefault="007F2D3B" w:rsidP="00951CEE">
      <w:pPr>
        <w:jc w:val="both"/>
        <w:rPr>
          <w:rFonts w:ascii="Arial" w:hAnsi="Arial" w:cs="Arial"/>
          <w:sz w:val="20"/>
          <w:szCs w:val="20"/>
        </w:rPr>
      </w:pPr>
    </w:p>
    <w:p w14:paraId="0399F4FF" w14:textId="5D0B2ECD" w:rsidR="007F2D3B" w:rsidRPr="00227168" w:rsidRDefault="007F2D3B" w:rsidP="007F2D3B">
      <w:pPr>
        <w:jc w:val="both"/>
        <w:rPr>
          <w:rFonts w:ascii="Arial" w:hAnsi="Arial" w:cs="Arial"/>
          <w:sz w:val="20"/>
          <w:szCs w:val="20"/>
        </w:rPr>
      </w:pPr>
      <w:r>
        <w:rPr>
          <w:rFonts w:ascii="Arial" w:hAnsi="Arial" w:cs="Arial"/>
          <w:sz w:val="20"/>
          <w:szCs w:val="20"/>
        </w:rPr>
        <w:t>Not only does the Children’s Court have jurisdiction to hear and determine applications under s.189 of the Act in some fact situations, it also has exclusive jurisdiction in those situations.  Further, the applicant does not have to be a child at the time of filing the application or at the time the application is heard and determined if the other statutory pre-requisites are satisfied.</w:t>
      </w:r>
    </w:p>
    <w:p w14:paraId="3A41245D" w14:textId="77777777" w:rsidR="00951CEE" w:rsidRDefault="00951CEE" w:rsidP="006A2AF6">
      <w:pPr>
        <w:jc w:val="both"/>
        <w:rPr>
          <w:rFonts w:ascii="Arial" w:hAnsi="Arial" w:cs="Arial"/>
          <w:sz w:val="20"/>
        </w:rPr>
      </w:pPr>
    </w:p>
    <w:p w14:paraId="7138F639" w14:textId="310D775D" w:rsidR="004B44C6" w:rsidRPr="004B44C6" w:rsidRDefault="004B44C6" w:rsidP="006A2AF6">
      <w:pPr>
        <w:jc w:val="both"/>
        <w:rPr>
          <w:rFonts w:ascii="Arial" w:hAnsi="Arial" w:cs="Arial"/>
          <w:sz w:val="20"/>
          <w:szCs w:val="20"/>
        </w:rPr>
      </w:pPr>
      <w:r w:rsidRPr="004B44C6">
        <w:rPr>
          <w:rFonts w:ascii="Arial" w:hAnsi="Arial" w:cs="Arial"/>
          <w:sz w:val="20"/>
          <w:szCs w:val="20"/>
        </w:rPr>
        <w:t xml:space="preserve">Cases </w:t>
      </w:r>
      <w:r w:rsidR="00350997">
        <w:rPr>
          <w:rFonts w:ascii="Arial" w:hAnsi="Arial" w:cs="Arial"/>
          <w:sz w:val="20"/>
          <w:szCs w:val="20"/>
        </w:rPr>
        <w:t xml:space="preserve">in which s.189 of the </w:t>
      </w:r>
      <w:r w:rsidR="00D31584">
        <w:rPr>
          <w:rFonts w:ascii="Arial" w:hAnsi="Arial" w:cs="Arial"/>
          <w:sz w:val="20"/>
          <w:szCs w:val="20"/>
        </w:rPr>
        <w:t xml:space="preserve">Firearms </w:t>
      </w:r>
      <w:r w:rsidR="00350997">
        <w:rPr>
          <w:rFonts w:ascii="Arial" w:hAnsi="Arial" w:cs="Arial"/>
          <w:sz w:val="20"/>
          <w:szCs w:val="20"/>
        </w:rPr>
        <w:t xml:space="preserve">Act </w:t>
      </w:r>
      <w:r w:rsidR="00D31584">
        <w:rPr>
          <w:rFonts w:ascii="Arial" w:hAnsi="Arial" w:cs="Arial"/>
          <w:sz w:val="20"/>
          <w:szCs w:val="20"/>
        </w:rPr>
        <w:t xml:space="preserve">1996 </w:t>
      </w:r>
      <w:r w:rsidR="00350997">
        <w:rPr>
          <w:rFonts w:ascii="Arial" w:hAnsi="Arial" w:cs="Arial"/>
          <w:sz w:val="20"/>
          <w:szCs w:val="20"/>
        </w:rPr>
        <w:t xml:space="preserve">has been discussed </w:t>
      </w:r>
      <w:r w:rsidRPr="004B44C6">
        <w:rPr>
          <w:rFonts w:ascii="Arial" w:hAnsi="Arial" w:cs="Arial"/>
          <w:sz w:val="20"/>
          <w:szCs w:val="20"/>
        </w:rPr>
        <w:t xml:space="preserve">include </w:t>
      </w:r>
      <w:r w:rsidRPr="004B44C6">
        <w:rPr>
          <w:rFonts w:ascii="Arial" w:hAnsi="Arial" w:cs="Arial"/>
          <w:i/>
          <w:iCs/>
          <w:sz w:val="20"/>
          <w:szCs w:val="20"/>
        </w:rPr>
        <w:t>Russo v The Chief Commissioner of Police</w:t>
      </w:r>
      <w:r w:rsidRPr="004B44C6">
        <w:rPr>
          <w:rFonts w:ascii="Arial" w:hAnsi="Arial" w:cs="Arial"/>
          <w:sz w:val="20"/>
          <w:szCs w:val="20"/>
        </w:rPr>
        <w:t xml:space="preserve"> [2024] VSC 179 esp. at [31]-[37] &amp; [45]-[53]; </w:t>
      </w:r>
      <w:r w:rsidRPr="004B44C6">
        <w:rPr>
          <w:rFonts w:ascii="Arial" w:hAnsi="Arial" w:cs="Arial"/>
          <w:i/>
          <w:iCs/>
          <w:sz w:val="20"/>
          <w:szCs w:val="20"/>
        </w:rPr>
        <w:t>Pickford v Chief Commissioner of Police</w:t>
      </w:r>
      <w:r w:rsidRPr="004B44C6">
        <w:rPr>
          <w:rFonts w:ascii="Arial" w:hAnsi="Arial" w:cs="Arial"/>
          <w:sz w:val="20"/>
          <w:szCs w:val="20"/>
        </w:rPr>
        <w:t xml:space="preserve"> [2002] VSC </w:t>
      </w:r>
      <w:r>
        <w:rPr>
          <w:rFonts w:ascii="Arial" w:hAnsi="Arial" w:cs="Arial"/>
          <w:sz w:val="20"/>
          <w:szCs w:val="20"/>
        </w:rPr>
        <w:t xml:space="preserve">435 </w:t>
      </w:r>
      <w:r w:rsidRPr="004B44C6">
        <w:rPr>
          <w:rFonts w:ascii="Arial" w:hAnsi="Arial" w:cs="Arial"/>
          <w:sz w:val="20"/>
          <w:szCs w:val="20"/>
        </w:rPr>
        <w:t xml:space="preserve">at [6]-[7]; </w:t>
      </w:r>
      <w:r w:rsidRPr="004F401A">
        <w:rPr>
          <w:rFonts w:ascii="Arial" w:hAnsi="Arial" w:cs="Arial"/>
          <w:i/>
          <w:iCs/>
          <w:sz w:val="20"/>
          <w:szCs w:val="20"/>
        </w:rPr>
        <w:t>Clark v Chief Commissioner of Police</w:t>
      </w:r>
      <w:r>
        <w:rPr>
          <w:rFonts w:ascii="Arial" w:hAnsi="Arial" w:cs="Arial"/>
          <w:sz w:val="20"/>
          <w:szCs w:val="20"/>
        </w:rPr>
        <w:t xml:space="preserve"> [</w:t>
      </w:r>
      <w:r w:rsidR="004F401A">
        <w:rPr>
          <w:rFonts w:ascii="Arial" w:hAnsi="Arial" w:cs="Arial"/>
          <w:sz w:val="20"/>
          <w:szCs w:val="20"/>
        </w:rPr>
        <w:t>2010</w:t>
      </w:r>
      <w:r>
        <w:rPr>
          <w:rFonts w:ascii="Arial" w:hAnsi="Arial" w:cs="Arial"/>
          <w:sz w:val="20"/>
          <w:szCs w:val="20"/>
        </w:rPr>
        <w:t>]</w:t>
      </w:r>
      <w:r w:rsidR="004F401A">
        <w:rPr>
          <w:rFonts w:ascii="Arial" w:hAnsi="Arial" w:cs="Arial"/>
          <w:sz w:val="20"/>
          <w:szCs w:val="20"/>
        </w:rPr>
        <w:t xml:space="preserve"> VSC 144; </w:t>
      </w:r>
      <w:proofErr w:type="spellStart"/>
      <w:r w:rsidR="004F401A" w:rsidRPr="004F401A">
        <w:rPr>
          <w:rFonts w:ascii="Arial" w:hAnsi="Arial" w:cs="Arial"/>
          <w:i/>
          <w:iCs/>
          <w:sz w:val="20"/>
          <w:szCs w:val="20"/>
        </w:rPr>
        <w:t>Swebbs</w:t>
      </w:r>
      <w:proofErr w:type="spellEnd"/>
      <w:r w:rsidR="004F401A" w:rsidRPr="004F401A">
        <w:rPr>
          <w:rFonts w:ascii="Arial" w:hAnsi="Arial" w:cs="Arial"/>
          <w:i/>
          <w:iCs/>
          <w:sz w:val="20"/>
          <w:szCs w:val="20"/>
        </w:rPr>
        <w:t xml:space="preserve"> v Magistrates’ Court of Victoria</w:t>
      </w:r>
      <w:r w:rsidR="004F401A">
        <w:rPr>
          <w:rFonts w:ascii="Arial" w:hAnsi="Arial" w:cs="Arial"/>
          <w:sz w:val="20"/>
          <w:szCs w:val="20"/>
        </w:rPr>
        <w:t xml:space="preserve"> [2017] VSC 229 at [13]; </w:t>
      </w:r>
      <w:r w:rsidR="004F401A" w:rsidRPr="004F401A">
        <w:rPr>
          <w:rFonts w:ascii="Arial" w:hAnsi="Arial" w:cs="Arial"/>
          <w:i/>
          <w:iCs/>
          <w:sz w:val="20"/>
          <w:szCs w:val="20"/>
        </w:rPr>
        <w:t>SBW v Chief Commissioner of Police</w:t>
      </w:r>
      <w:r w:rsidR="004F401A">
        <w:rPr>
          <w:rFonts w:ascii="Arial" w:hAnsi="Arial" w:cs="Arial"/>
          <w:sz w:val="20"/>
          <w:szCs w:val="20"/>
        </w:rPr>
        <w:t xml:space="preserve"> [2023] VSC 447 at [30]-[32].</w:t>
      </w:r>
    </w:p>
    <w:p w14:paraId="1FA29DBE" w14:textId="5C52074D" w:rsidR="004B44C6" w:rsidRDefault="004B44C6" w:rsidP="006A2AF6">
      <w:pPr>
        <w:jc w:val="both"/>
        <w:rPr>
          <w:rFonts w:ascii="Arial" w:hAnsi="Arial" w:cs="Arial"/>
          <w:sz w:val="20"/>
        </w:rPr>
      </w:pPr>
    </w:p>
    <w:p w14:paraId="6DF13B67" w14:textId="039E4F66" w:rsidR="00693223" w:rsidRDefault="00693223" w:rsidP="00715D6B">
      <w:pPr>
        <w:pStyle w:val="Heading2"/>
        <w:widowControl/>
        <w:tabs>
          <w:tab w:val="left" w:pos="567"/>
        </w:tabs>
        <w:spacing w:line="240" w:lineRule="auto"/>
        <w:rPr>
          <w:rFonts w:ascii="Arial" w:hAnsi="Arial" w:cs="Arial"/>
          <w:b/>
          <w:bCs/>
        </w:rPr>
      </w:pPr>
      <w:bookmarkStart w:id="431" w:name="_4.4_Definitions_of_1"/>
      <w:bookmarkEnd w:id="431"/>
      <w:r>
        <w:rPr>
          <w:rFonts w:ascii="Arial" w:hAnsi="Arial" w:cs="Arial"/>
          <w:b/>
          <w:bCs/>
        </w:rPr>
        <w:t>4.</w:t>
      </w:r>
      <w:r w:rsidR="005D57AF">
        <w:rPr>
          <w:rFonts w:ascii="Arial" w:hAnsi="Arial" w:cs="Arial"/>
          <w:b/>
          <w:bCs/>
        </w:rPr>
        <w:t>4</w:t>
      </w:r>
      <w:r>
        <w:rPr>
          <w:rFonts w:ascii="Arial" w:hAnsi="Arial" w:cs="Arial"/>
          <w:b/>
          <w:bCs/>
        </w:rPr>
        <w:tab/>
        <w:t>Definition</w:t>
      </w:r>
      <w:r w:rsidR="005D57AF">
        <w:rPr>
          <w:rFonts w:ascii="Arial" w:hAnsi="Arial" w:cs="Arial"/>
          <w:b/>
          <w:bCs/>
        </w:rPr>
        <w:t>s</w:t>
      </w:r>
      <w:r>
        <w:rPr>
          <w:rFonts w:ascii="Arial" w:hAnsi="Arial" w:cs="Arial"/>
          <w:b/>
          <w:bCs/>
        </w:rPr>
        <w:t xml:space="preserve"> of 'child'</w:t>
      </w:r>
      <w:bookmarkEnd w:id="365"/>
      <w:bookmarkEnd w:id="366"/>
      <w:bookmarkEnd w:id="367"/>
      <w:bookmarkEnd w:id="368"/>
      <w:bookmarkEnd w:id="369"/>
      <w:bookmarkEnd w:id="370"/>
      <w:bookmarkEnd w:id="371"/>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005D57AF">
        <w:rPr>
          <w:rFonts w:ascii="Arial" w:hAnsi="Arial" w:cs="Arial"/>
          <w:b/>
          <w:bCs/>
        </w:rPr>
        <w:t xml:space="preserve"> &amp; ‘parent’</w:t>
      </w:r>
    </w:p>
    <w:p w14:paraId="5A80D40E" w14:textId="77777777" w:rsidR="00693223" w:rsidRDefault="00693223" w:rsidP="00715D6B">
      <w:pPr>
        <w:jc w:val="both"/>
        <w:rPr>
          <w:rFonts w:ascii="Arial" w:hAnsi="Arial" w:cs="Arial"/>
          <w:sz w:val="20"/>
        </w:rPr>
      </w:pPr>
    </w:p>
    <w:p w14:paraId="1B53FDD2" w14:textId="77777777" w:rsidR="000841DD" w:rsidRDefault="000841DD" w:rsidP="00715D6B">
      <w:pPr>
        <w:jc w:val="both"/>
        <w:rPr>
          <w:rFonts w:ascii="Arial" w:hAnsi="Arial" w:cs="Arial"/>
          <w:sz w:val="20"/>
        </w:rPr>
      </w:pPr>
      <w:r>
        <w:rPr>
          <w:rFonts w:ascii="Arial" w:hAnsi="Arial" w:cs="Arial"/>
          <w:sz w:val="20"/>
        </w:rPr>
        <w:t>As defined in s.3(1) of the CYFA</w:t>
      </w:r>
      <w:r w:rsidR="003126C2">
        <w:rPr>
          <w:rFonts w:ascii="Arial" w:hAnsi="Arial" w:cs="Arial"/>
          <w:sz w:val="20"/>
        </w:rPr>
        <w:t>,</w:t>
      </w:r>
      <w:r>
        <w:rPr>
          <w:rFonts w:ascii="Arial" w:hAnsi="Arial" w:cs="Arial"/>
          <w:sz w:val="20"/>
        </w:rPr>
        <w:t xml:space="preserve"> ‘</w:t>
      </w:r>
      <w:r w:rsidRPr="00D5161E">
        <w:rPr>
          <w:rFonts w:ascii="Arial" w:hAnsi="Arial" w:cs="Arial"/>
          <w:b/>
          <w:bCs/>
          <w:sz w:val="20"/>
        </w:rPr>
        <w:t>child</w:t>
      </w:r>
      <w:r>
        <w:rPr>
          <w:rFonts w:ascii="Arial" w:hAnsi="Arial" w:cs="Arial"/>
          <w:sz w:val="20"/>
        </w:rPr>
        <w:t xml:space="preserve">’ </w:t>
      </w:r>
      <w:r w:rsidR="001D67F1">
        <w:rPr>
          <w:rFonts w:ascii="Arial" w:hAnsi="Arial" w:cs="Arial"/>
          <w:sz w:val="20"/>
        </w:rPr>
        <w:t xml:space="preserve">in Family Division proceedings </w:t>
      </w:r>
      <w:r>
        <w:rPr>
          <w:rFonts w:ascii="Arial" w:hAnsi="Arial" w:cs="Arial"/>
          <w:sz w:val="20"/>
        </w:rPr>
        <w:t>means:</w:t>
      </w:r>
    </w:p>
    <w:p w14:paraId="003D27E0" w14:textId="77777777" w:rsidR="000841DD" w:rsidRDefault="000841DD">
      <w:pPr>
        <w:numPr>
          <w:ilvl w:val="0"/>
          <w:numId w:val="42"/>
        </w:numPr>
        <w:ind w:left="357" w:hanging="357"/>
        <w:jc w:val="both"/>
        <w:rPr>
          <w:rFonts w:ascii="Arial" w:hAnsi="Arial" w:cs="Arial"/>
          <w:sz w:val="20"/>
        </w:rPr>
      </w:pPr>
      <w:r>
        <w:rPr>
          <w:rFonts w:ascii="Arial" w:hAnsi="Arial" w:cs="Arial"/>
          <w:sz w:val="20"/>
        </w:rPr>
        <w:lastRenderedPageBreak/>
        <w:t xml:space="preserve">for the purposes of any application under the </w:t>
      </w:r>
      <w:r>
        <w:rPr>
          <w:rFonts w:ascii="Arial" w:hAnsi="Arial" w:cs="Arial"/>
          <w:sz w:val="20"/>
          <w:u w:val="single"/>
        </w:rPr>
        <w:t>Family Violence Protection Act 2008</w:t>
      </w:r>
      <w:r w:rsidRPr="001C645E">
        <w:rPr>
          <w:rFonts w:ascii="Arial" w:hAnsi="Arial" w:cs="Arial"/>
          <w:sz w:val="20"/>
          <w:u w:val="single"/>
        </w:rPr>
        <w:t xml:space="preserve"> (Vic)</w:t>
      </w:r>
      <w:r w:rsidRPr="00544388">
        <w:rPr>
          <w:rFonts w:ascii="Arial" w:hAnsi="Arial" w:cs="Arial"/>
          <w:sz w:val="20"/>
        </w:rPr>
        <w:t xml:space="preserve"> or </w:t>
      </w:r>
      <w:r w:rsidRPr="008E0B61">
        <w:rPr>
          <w:rFonts w:ascii="Arial" w:hAnsi="Arial" w:cs="Arial"/>
          <w:color w:val="000000"/>
          <w:sz w:val="20"/>
        </w:rPr>
        <w:t xml:space="preserve">the </w:t>
      </w:r>
      <w:r w:rsidRPr="008E0B61">
        <w:rPr>
          <w:rFonts w:ascii="Arial" w:hAnsi="Arial" w:cs="Arial"/>
          <w:color w:val="000000"/>
          <w:sz w:val="20"/>
          <w:u w:val="single"/>
        </w:rPr>
        <w:t>Personal Safety Intervention Orders Act 2010</w:t>
      </w:r>
      <w:r w:rsidRPr="008E0B61">
        <w:rPr>
          <w:rFonts w:ascii="Arial" w:hAnsi="Arial" w:cs="Arial"/>
          <w:color w:val="000000"/>
          <w:sz w:val="20"/>
        </w:rPr>
        <w:t>, a person who is under the</w:t>
      </w:r>
      <w:r>
        <w:rPr>
          <w:rFonts w:ascii="Arial" w:hAnsi="Arial" w:cs="Arial"/>
          <w:sz w:val="20"/>
        </w:rPr>
        <w:t xml:space="preserve"> age of 18 years when an application is made under the respective Act;</w:t>
      </w:r>
    </w:p>
    <w:p w14:paraId="452F73E6" w14:textId="77777777" w:rsidR="000841DD" w:rsidRDefault="000841DD">
      <w:pPr>
        <w:numPr>
          <w:ilvl w:val="0"/>
          <w:numId w:val="42"/>
        </w:numPr>
        <w:ind w:left="357" w:hanging="357"/>
        <w:jc w:val="both"/>
        <w:rPr>
          <w:rFonts w:ascii="Arial" w:hAnsi="Arial" w:cs="Arial"/>
          <w:sz w:val="20"/>
        </w:rPr>
      </w:pPr>
      <w:r>
        <w:rPr>
          <w:rFonts w:ascii="Arial" w:hAnsi="Arial" w:cs="Arial"/>
          <w:sz w:val="20"/>
        </w:rPr>
        <w:t>for the purposes of therapeutic treatment proceedings, a person who is of or above the age of 10 years and under the age of 18 years when the order is made;</w:t>
      </w:r>
    </w:p>
    <w:p w14:paraId="487E08E3" w14:textId="77777777" w:rsidR="000841DD" w:rsidRDefault="000841DD">
      <w:pPr>
        <w:numPr>
          <w:ilvl w:val="0"/>
          <w:numId w:val="42"/>
        </w:numPr>
        <w:ind w:left="357" w:hanging="357"/>
        <w:jc w:val="both"/>
        <w:rPr>
          <w:rFonts w:ascii="Arial" w:hAnsi="Arial" w:cs="Arial"/>
          <w:sz w:val="20"/>
        </w:rPr>
      </w:pPr>
      <w:r>
        <w:rPr>
          <w:rFonts w:ascii="Arial" w:hAnsi="Arial" w:cs="Arial"/>
          <w:sz w:val="20"/>
        </w:rPr>
        <w:t>for the purposes of any other application in the Family Division, a person who is under the age of 17 years or, if a protection order, a child protection order within the meaning of Schedule 1 or an interim order within the meaning of that Schedule continues in force in respect of him or her, a person who is under the age of 18 years.</w:t>
      </w:r>
    </w:p>
    <w:p w14:paraId="2627B586" w14:textId="77777777" w:rsidR="000841DD" w:rsidRDefault="000841DD">
      <w:pPr>
        <w:jc w:val="both"/>
        <w:rPr>
          <w:rFonts w:ascii="Arial" w:hAnsi="Arial" w:cs="Arial"/>
          <w:sz w:val="20"/>
        </w:rPr>
      </w:pPr>
    </w:p>
    <w:p w14:paraId="5C6B8CFA" w14:textId="77777777" w:rsidR="000841DD" w:rsidRDefault="000841DD">
      <w:pPr>
        <w:jc w:val="both"/>
        <w:rPr>
          <w:rFonts w:ascii="Arial" w:hAnsi="Arial" w:cs="Arial"/>
          <w:sz w:val="20"/>
        </w:rPr>
      </w:pPr>
      <w:r>
        <w:rPr>
          <w:rFonts w:ascii="Arial" w:hAnsi="Arial" w:cs="Arial"/>
          <w:sz w:val="20"/>
        </w:rPr>
        <w:t>Note, however, that s.275(3) of the CYFA – introduced by Act No. 8/2016 – provides that a “care by Secretary order or a long-term care order may be made in relation to a child who is under the age of 18 years but ceases to be in force when the child attains the age of 18 years or marries, whichever happens first.”</w:t>
      </w:r>
      <w:r w:rsidR="008253F5">
        <w:rPr>
          <w:rFonts w:ascii="Arial" w:hAnsi="Arial" w:cs="Arial"/>
          <w:sz w:val="20"/>
        </w:rPr>
        <w:t xml:space="preserve">  However, if the ‘child’ referred to in s.275(3) is 17 years old, he or she does not fit within any of the parts of the definition of ‘child’ in s.3(1).  The writer considers that this is probably a drafting error and would not read s.275(3) as constrained by s.3(1).  But a related difficulty is that the term ‘child’ in the interim accommodation order provisions [ss.262-271] is clearly constrained by s.3(1)</w:t>
      </w:r>
      <w:r w:rsidR="00C04B2D">
        <w:rPr>
          <w:rFonts w:ascii="Arial" w:hAnsi="Arial" w:cs="Arial"/>
          <w:sz w:val="20"/>
        </w:rPr>
        <w:t>.  Hence, if the subject child has already turned 17 there appears to be no power in the Court to make or to extend an IAO in relation to the child.</w:t>
      </w:r>
    </w:p>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14:paraId="250C2E9C" w14:textId="77777777" w:rsidR="000841DD" w:rsidRDefault="000841DD">
      <w:pPr>
        <w:rPr>
          <w:rFonts w:ascii="Arial" w:hAnsi="Arial" w:cs="Arial"/>
          <w:sz w:val="20"/>
        </w:rPr>
      </w:pPr>
    </w:p>
    <w:p w14:paraId="5F64DDB4" w14:textId="77777777" w:rsidR="00693223" w:rsidRDefault="00693223" w:rsidP="00242170">
      <w:pPr>
        <w:jc w:val="both"/>
        <w:rPr>
          <w:rFonts w:ascii="Arial" w:hAnsi="Arial" w:cs="Arial"/>
          <w:sz w:val="20"/>
        </w:rPr>
      </w:pPr>
      <w:r>
        <w:rPr>
          <w:rFonts w:ascii="Arial" w:hAnsi="Arial" w:cs="Arial"/>
          <w:sz w:val="20"/>
        </w:rPr>
        <w:t>Though 'family' is not defined in the CY</w:t>
      </w:r>
      <w:r w:rsidR="00242170">
        <w:rPr>
          <w:rFonts w:ascii="Arial" w:hAnsi="Arial" w:cs="Arial"/>
          <w:sz w:val="20"/>
        </w:rPr>
        <w:t>F</w:t>
      </w:r>
      <w:r>
        <w:rPr>
          <w:rFonts w:ascii="Arial" w:hAnsi="Arial" w:cs="Arial"/>
          <w:sz w:val="20"/>
        </w:rPr>
        <w:t>A, '</w:t>
      </w:r>
      <w:r w:rsidRPr="00D5161E">
        <w:rPr>
          <w:rFonts w:ascii="Arial" w:hAnsi="Arial" w:cs="Arial"/>
          <w:b/>
          <w:bCs/>
          <w:sz w:val="20"/>
        </w:rPr>
        <w:t>parent</w:t>
      </w:r>
      <w:r>
        <w:rPr>
          <w:rFonts w:ascii="Arial" w:hAnsi="Arial" w:cs="Arial"/>
          <w:sz w:val="20"/>
        </w:rPr>
        <w:t>', in relation to a child, is defined in very broad terms in s.3</w:t>
      </w:r>
      <w:r w:rsidR="00C04B2D">
        <w:rPr>
          <w:rFonts w:ascii="Arial" w:hAnsi="Arial" w:cs="Arial"/>
          <w:sz w:val="20"/>
        </w:rPr>
        <w:t>(1)</w:t>
      </w:r>
      <w:r>
        <w:rPr>
          <w:rFonts w:ascii="Arial" w:hAnsi="Arial" w:cs="Arial"/>
          <w:sz w:val="20"/>
        </w:rPr>
        <w:t xml:space="preserve"> as </w:t>
      </w:r>
      <w:r w:rsidRPr="00C04B2D">
        <w:rPr>
          <w:rFonts w:ascii="Arial" w:hAnsi="Arial" w:cs="Arial"/>
          <w:b/>
          <w:bCs/>
          <w:sz w:val="20"/>
        </w:rPr>
        <w:t>including</w:t>
      </w:r>
      <w:r>
        <w:rPr>
          <w:rFonts w:ascii="Arial" w:hAnsi="Arial" w:cs="Arial"/>
          <w:sz w:val="20"/>
        </w:rPr>
        <w:t>-</w:t>
      </w:r>
    </w:p>
    <w:p w14:paraId="3B9A23B9" w14:textId="77777777" w:rsidR="00693223" w:rsidRDefault="00693223" w:rsidP="00242170">
      <w:pPr>
        <w:ind w:left="363" w:hanging="363"/>
        <w:jc w:val="both"/>
        <w:rPr>
          <w:rFonts w:ascii="Arial" w:hAnsi="Arial" w:cs="Arial"/>
          <w:sz w:val="20"/>
        </w:rPr>
      </w:pPr>
      <w:r>
        <w:rPr>
          <w:rFonts w:ascii="Arial" w:hAnsi="Arial" w:cs="Arial"/>
          <w:sz w:val="20"/>
        </w:rPr>
        <w:t>(a)</w:t>
      </w:r>
      <w:r>
        <w:rPr>
          <w:rFonts w:ascii="Arial" w:hAnsi="Arial" w:cs="Arial"/>
          <w:sz w:val="20"/>
        </w:rPr>
        <w:tab/>
        <w:t>the father and mother of the child; and</w:t>
      </w:r>
    </w:p>
    <w:p w14:paraId="2359482D" w14:textId="77777777" w:rsidR="00693223" w:rsidRDefault="00693223" w:rsidP="00242170">
      <w:pPr>
        <w:ind w:left="363" w:hanging="363"/>
        <w:jc w:val="both"/>
        <w:rPr>
          <w:rFonts w:ascii="Arial" w:hAnsi="Arial" w:cs="Arial"/>
          <w:sz w:val="20"/>
        </w:rPr>
      </w:pPr>
      <w:r>
        <w:rPr>
          <w:rFonts w:ascii="Arial" w:hAnsi="Arial" w:cs="Arial"/>
          <w:sz w:val="20"/>
        </w:rPr>
        <w:t>(b)</w:t>
      </w:r>
      <w:r>
        <w:rPr>
          <w:rFonts w:ascii="Arial" w:hAnsi="Arial" w:cs="Arial"/>
          <w:sz w:val="20"/>
        </w:rPr>
        <w:tab/>
        <w:t>the spouse of the father or mother of the child; and</w:t>
      </w:r>
    </w:p>
    <w:p w14:paraId="3332A344" w14:textId="77777777" w:rsidR="00693223" w:rsidRDefault="00693223" w:rsidP="00242170">
      <w:pPr>
        <w:ind w:left="363" w:hanging="363"/>
        <w:jc w:val="both"/>
        <w:rPr>
          <w:rFonts w:ascii="Arial" w:hAnsi="Arial" w:cs="Arial"/>
          <w:sz w:val="20"/>
        </w:rPr>
      </w:pPr>
      <w:r>
        <w:rPr>
          <w:rFonts w:ascii="Arial" w:hAnsi="Arial" w:cs="Arial"/>
          <w:sz w:val="20"/>
        </w:rPr>
        <w:t>(c)</w:t>
      </w:r>
      <w:r>
        <w:rPr>
          <w:rFonts w:ascii="Arial" w:hAnsi="Arial" w:cs="Arial"/>
          <w:sz w:val="20"/>
        </w:rPr>
        <w:tab/>
        <w:t>the domestic partner of the father or m</w:t>
      </w:r>
      <w:r w:rsidR="00242170">
        <w:rPr>
          <w:rFonts w:ascii="Arial" w:hAnsi="Arial" w:cs="Arial"/>
          <w:sz w:val="20"/>
        </w:rPr>
        <w:t>o</w:t>
      </w:r>
      <w:r>
        <w:rPr>
          <w:rFonts w:ascii="Arial" w:hAnsi="Arial" w:cs="Arial"/>
          <w:sz w:val="20"/>
        </w:rPr>
        <w:t>ther of the child; and</w:t>
      </w:r>
    </w:p>
    <w:p w14:paraId="38AE3508" w14:textId="77777777" w:rsidR="00693223" w:rsidRDefault="00693223" w:rsidP="00242170">
      <w:pPr>
        <w:ind w:left="363" w:hanging="363"/>
        <w:jc w:val="both"/>
        <w:rPr>
          <w:rFonts w:ascii="Arial" w:hAnsi="Arial" w:cs="Arial"/>
          <w:sz w:val="20"/>
        </w:rPr>
      </w:pPr>
      <w:r>
        <w:rPr>
          <w:rFonts w:ascii="Arial" w:hAnsi="Arial" w:cs="Arial"/>
          <w:sz w:val="20"/>
        </w:rPr>
        <w:t>(d)</w:t>
      </w:r>
      <w:r>
        <w:rPr>
          <w:rFonts w:ascii="Arial" w:hAnsi="Arial" w:cs="Arial"/>
          <w:sz w:val="20"/>
        </w:rPr>
        <w:tab/>
        <w:t>a</w:t>
      </w:r>
      <w:r w:rsidR="003B47AB">
        <w:rPr>
          <w:rFonts w:ascii="Arial" w:hAnsi="Arial" w:cs="Arial"/>
          <w:sz w:val="20"/>
        </w:rPr>
        <w:t>ny</w:t>
      </w:r>
      <w:r>
        <w:rPr>
          <w:rFonts w:ascii="Arial" w:hAnsi="Arial" w:cs="Arial"/>
          <w:sz w:val="20"/>
        </w:rPr>
        <w:t xml:space="preserve"> person who has </w:t>
      </w:r>
      <w:r w:rsidR="003B47AB">
        <w:rPr>
          <w:rFonts w:ascii="Arial" w:hAnsi="Arial" w:cs="Arial"/>
          <w:sz w:val="20"/>
        </w:rPr>
        <w:t>parental responsibility for</w:t>
      </w:r>
      <w:r>
        <w:rPr>
          <w:rFonts w:ascii="Arial" w:hAnsi="Arial" w:cs="Arial"/>
          <w:sz w:val="20"/>
        </w:rPr>
        <w:t xml:space="preserve"> the child</w:t>
      </w:r>
      <w:r w:rsidR="003B47AB">
        <w:rPr>
          <w:rFonts w:ascii="Arial" w:hAnsi="Arial" w:cs="Arial"/>
          <w:sz w:val="20"/>
        </w:rPr>
        <w:t>, other than the Secretary</w:t>
      </w:r>
      <w:r>
        <w:rPr>
          <w:rFonts w:ascii="Arial" w:hAnsi="Arial" w:cs="Arial"/>
          <w:sz w:val="20"/>
        </w:rPr>
        <w:t>; and</w:t>
      </w:r>
    </w:p>
    <w:p w14:paraId="0E3538C5" w14:textId="77777777" w:rsidR="00693223" w:rsidRDefault="00693223" w:rsidP="00242170">
      <w:pPr>
        <w:ind w:left="363" w:hanging="363"/>
        <w:jc w:val="both"/>
        <w:rPr>
          <w:rFonts w:ascii="Arial" w:hAnsi="Arial" w:cs="Arial"/>
          <w:sz w:val="20"/>
        </w:rPr>
      </w:pPr>
      <w:r>
        <w:rPr>
          <w:rFonts w:ascii="Arial" w:hAnsi="Arial" w:cs="Arial"/>
          <w:sz w:val="20"/>
        </w:rPr>
        <w:t>(e)</w:t>
      </w:r>
      <w:r>
        <w:rPr>
          <w:rFonts w:ascii="Arial" w:hAnsi="Arial" w:cs="Arial"/>
          <w:sz w:val="20"/>
        </w:rPr>
        <w:tab/>
        <w:t xml:space="preserve">a person whose name is entered as the father of the child in the register of births in the Register maintained by the Registrar of Births, Deaths and Marriages under Part 7 of the </w:t>
      </w:r>
      <w:r w:rsidRPr="00520674">
        <w:rPr>
          <w:rFonts w:ascii="Arial" w:hAnsi="Arial" w:cs="Arial"/>
          <w:i/>
          <w:iCs/>
          <w:sz w:val="20"/>
        </w:rPr>
        <w:t>Births, Deaths and Marriages Registration Act 1996</w:t>
      </w:r>
      <w:r>
        <w:rPr>
          <w:rFonts w:ascii="Arial" w:hAnsi="Arial" w:cs="Arial"/>
          <w:sz w:val="20"/>
        </w:rPr>
        <w:t>; and</w:t>
      </w:r>
    </w:p>
    <w:p w14:paraId="2ACF8E45" w14:textId="77777777" w:rsidR="00693223" w:rsidRDefault="00693223" w:rsidP="00242170">
      <w:pPr>
        <w:ind w:left="363" w:hanging="363"/>
        <w:jc w:val="both"/>
        <w:rPr>
          <w:rFonts w:ascii="Arial" w:hAnsi="Arial" w:cs="Arial"/>
          <w:sz w:val="20"/>
        </w:rPr>
      </w:pPr>
      <w:r>
        <w:rPr>
          <w:rFonts w:ascii="Arial" w:hAnsi="Arial" w:cs="Arial"/>
          <w:sz w:val="20"/>
        </w:rPr>
        <w:t>(f)</w:t>
      </w:r>
      <w:r>
        <w:rPr>
          <w:rFonts w:ascii="Arial" w:hAnsi="Arial" w:cs="Arial"/>
          <w:sz w:val="20"/>
        </w:rPr>
        <w:tab/>
        <w:t xml:space="preserve">a person who acknowledges that he is the father of the child by an instrument of the kind described in s.8(2) of the </w:t>
      </w:r>
      <w:r w:rsidRPr="00520674">
        <w:rPr>
          <w:rFonts w:ascii="Arial" w:hAnsi="Arial" w:cs="Arial"/>
          <w:i/>
          <w:iCs/>
          <w:sz w:val="20"/>
        </w:rPr>
        <w:t>Status of Children Act 1974</w:t>
      </w:r>
      <w:r>
        <w:rPr>
          <w:rFonts w:ascii="Arial" w:hAnsi="Arial" w:cs="Arial"/>
          <w:sz w:val="20"/>
        </w:rPr>
        <w:t>; and</w:t>
      </w:r>
    </w:p>
    <w:p w14:paraId="7791C973" w14:textId="77777777" w:rsidR="00693223" w:rsidRDefault="00693223" w:rsidP="00242170">
      <w:pPr>
        <w:ind w:left="363" w:hanging="363"/>
        <w:jc w:val="both"/>
        <w:rPr>
          <w:rFonts w:ascii="Arial" w:hAnsi="Arial" w:cs="Arial"/>
          <w:sz w:val="20"/>
        </w:rPr>
      </w:pPr>
      <w:r>
        <w:rPr>
          <w:rFonts w:ascii="Arial" w:hAnsi="Arial" w:cs="Arial"/>
          <w:sz w:val="20"/>
        </w:rPr>
        <w:t>(g)</w:t>
      </w:r>
      <w:r>
        <w:rPr>
          <w:rFonts w:ascii="Arial" w:hAnsi="Arial" w:cs="Arial"/>
          <w:sz w:val="20"/>
        </w:rPr>
        <w:tab/>
        <w:t>a person in respect of whom a c</w:t>
      </w:r>
      <w:r w:rsidR="00242170">
        <w:rPr>
          <w:rFonts w:ascii="Arial" w:hAnsi="Arial" w:cs="Arial"/>
          <w:sz w:val="20"/>
        </w:rPr>
        <w:t xml:space="preserve">ourt has made a declaration </w:t>
      </w:r>
      <w:r>
        <w:rPr>
          <w:rFonts w:ascii="Arial" w:hAnsi="Arial" w:cs="Arial"/>
          <w:sz w:val="20"/>
        </w:rPr>
        <w:t xml:space="preserve">or a finding or order </w:t>
      </w:r>
      <w:r w:rsidR="00242170">
        <w:rPr>
          <w:rFonts w:ascii="Arial" w:hAnsi="Arial" w:cs="Arial"/>
          <w:sz w:val="20"/>
        </w:rPr>
        <w:t>that the person is the father of the child</w:t>
      </w:r>
      <w:r>
        <w:rPr>
          <w:rFonts w:ascii="Arial" w:hAnsi="Arial" w:cs="Arial"/>
          <w:sz w:val="20"/>
        </w:rPr>
        <w:t>.</w:t>
      </w:r>
    </w:p>
    <w:p w14:paraId="2EEA3F8F" w14:textId="77777777" w:rsidR="00693223" w:rsidRDefault="00693223">
      <w:pPr>
        <w:rPr>
          <w:rFonts w:ascii="Arial" w:hAnsi="Arial" w:cs="Arial"/>
          <w:sz w:val="20"/>
        </w:rPr>
      </w:pPr>
    </w:p>
    <w:p w14:paraId="4924CB37" w14:textId="0A8D72F2" w:rsidR="00520674" w:rsidRDefault="00520674" w:rsidP="00520674">
      <w:pPr>
        <w:jc w:val="both"/>
        <w:rPr>
          <w:rFonts w:ascii="Arial" w:hAnsi="Arial" w:cs="Arial"/>
          <w:sz w:val="20"/>
        </w:rPr>
      </w:pPr>
      <w:r>
        <w:rPr>
          <w:rFonts w:ascii="Arial" w:hAnsi="Arial" w:cs="Arial"/>
          <w:sz w:val="20"/>
        </w:rPr>
        <w:t>For a</w:t>
      </w:r>
      <w:r w:rsidR="00AB23AD">
        <w:rPr>
          <w:rFonts w:ascii="Arial" w:hAnsi="Arial" w:cs="Arial"/>
          <w:sz w:val="20"/>
        </w:rPr>
        <w:t xml:space="preserve"> </w:t>
      </w:r>
      <w:r>
        <w:rPr>
          <w:rFonts w:ascii="Arial" w:hAnsi="Arial" w:cs="Arial"/>
          <w:sz w:val="20"/>
        </w:rPr>
        <w:t>case in which the Supreme Court–</w:t>
      </w:r>
    </w:p>
    <w:p w14:paraId="0C99A90C" w14:textId="667886EF" w:rsidR="00AB23AD" w:rsidRDefault="00520674">
      <w:pPr>
        <w:pStyle w:val="ListParagraph"/>
        <w:numPr>
          <w:ilvl w:val="0"/>
          <w:numId w:val="113"/>
        </w:numPr>
        <w:ind w:left="357" w:hanging="357"/>
        <w:jc w:val="both"/>
        <w:rPr>
          <w:rFonts w:ascii="Arial" w:hAnsi="Arial" w:cs="Arial"/>
          <w:sz w:val="20"/>
        </w:rPr>
      </w:pPr>
      <w:r w:rsidRPr="00AB23AD">
        <w:rPr>
          <w:rFonts w:ascii="Arial" w:hAnsi="Arial" w:cs="Arial"/>
          <w:sz w:val="20"/>
        </w:rPr>
        <w:t xml:space="preserve">made a declaration under s.10 of the </w:t>
      </w:r>
      <w:r w:rsidRPr="00AB23AD">
        <w:rPr>
          <w:rFonts w:ascii="Arial" w:hAnsi="Arial" w:cs="Arial"/>
          <w:i/>
          <w:iCs/>
          <w:sz w:val="20"/>
        </w:rPr>
        <w:t>Status of Children Act 1974</w:t>
      </w:r>
      <w:r w:rsidRPr="00AB23AD">
        <w:rPr>
          <w:rFonts w:ascii="Arial" w:hAnsi="Arial" w:cs="Arial"/>
          <w:sz w:val="20"/>
        </w:rPr>
        <w:t xml:space="preserve"> that </w:t>
      </w:r>
      <w:r w:rsidR="00AB23AD">
        <w:rPr>
          <w:rFonts w:ascii="Arial" w:hAnsi="Arial" w:cs="Arial"/>
          <w:sz w:val="20"/>
        </w:rPr>
        <w:t>a person</w:t>
      </w:r>
      <w:r w:rsidRPr="00AB23AD">
        <w:rPr>
          <w:rFonts w:ascii="Arial" w:hAnsi="Arial" w:cs="Arial"/>
          <w:sz w:val="20"/>
        </w:rPr>
        <w:t xml:space="preserve"> </w:t>
      </w:r>
      <w:r w:rsidR="00AB23AD">
        <w:rPr>
          <w:rFonts w:ascii="Arial" w:hAnsi="Arial" w:cs="Arial"/>
          <w:sz w:val="20"/>
        </w:rPr>
        <w:t xml:space="preserve">nominated by the plaintiff </w:t>
      </w:r>
      <w:r w:rsidRPr="00AB23AD">
        <w:rPr>
          <w:rFonts w:ascii="Arial" w:hAnsi="Arial" w:cs="Arial"/>
          <w:sz w:val="20"/>
        </w:rPr>
        <w:t xml:space="preserve">is the father </w:t>
      </w:r>
      <w:r w:rsidR="00AB23AD">
        <w:rPr>
          <w:rFonts w:ascii="Arial" w:hAnsi="Arial" w:cs="Arial"/>
          <w:sz w:val="20"/>
        </w:rPr>
        <w:t>the plaintiff;</w:t>
      </w:r>
      <w:r w:rsidRPr="00AB23AD">
        <w:rPr>
          <w:rFonts w:ascii="Arial" w:hAnsi="Arial" w:cs="Arial"/>
          <w:sz w:val="20"/>
        </w:rPr>
        <w:t xml:space="preserve"> and</w:t>
      </w:r>
    </w:p>
    <w:p w14:paraId="36B48119" w14:textId="114BCFC5" w:rsidR="00520674" w:rsidRPr="00AB23AD" w:rsidRDefault="00AB23AD">
      <w:pPr>
        <w:pStyle w:val="ListParagraph"/>
        <w:numPr>
          <w:ilvl w:val="0"/>
          <w:numId w:val="113"/>
        </w:numPr>
        <w:ind w:left="357" w:hanging="357"/>
        <w:jc w:val="both"/>
        <w:rPr>
          <w:rFonts w:ascii="Arial" w:hAnsi="Arial" w:cs="Arial"/>
          <w:sz w:val="20"/>
        </w:rPr>
      </w:pPr>
      <w:r>
        <w:rPr>
          <w:rFonts w:ascii="Arial" w:hAnsi="Arial" w:cs="Arial"/>
          <w:sz w:val="20"/>
        </w:rPr>
        <w:t>made an order directing the Registrar of Births, Deaths and Marriages</w:t>
      </w:r>
      <w:r w:rsidR="00A218BD">
        <w:rPr>
          <w:rFonts w:ascii="Arial" w:hAnsi="Arial" w:cs="Arial"/>
          <w:sz w:val="20"/>
        </w:rPr>
        <w:t>,</w:t>
      </w:r>
      <w:r>
        <w:rPr>
          <w:rFonts w:ascii="Arial" w:hAnsi="Arial" w:cs="Arial"/>
          <w:sz w:val="20"/>
        </w:rPr>
        <w:t xml:space="preserve"> </w:t>
      </w:r>
      <w:r w:rsidR="00A218BD">
        <w:rPr>
          <w:rFonts w:ascii="Arial" w:hAnsi="Arial" w:cs="Arial"/>
          <w:sz w:val="20"/>
        </w:rPr>
        <w:t xml:space="preserve">under s.43 of the </w:t>
      </w:r>
      <w:r w:rsidR="00A218BD" w:rsidRPr="00520674">
        <w:rPr>
          <w:rFonts w:ascii="Arial" w:hAnsi="Arial" w:cs="Arial"/>
          <w:i/>
          <w:iCs/>
          <w:sz w:val="20"/>
        </w:rPr>
        <w:t>Births, Deaths and Marriages Registration Act 1996</w:t>
      </w:r>
      <w:r w:rsidR="00A218BD" w:rsidRPr="00A218BD">
        <w:rPr>
          <w:rFonts w:ascii="Arial" w:hAnsi="Arial" w:cs="Arial"/>
          <w:sz w:val="20"/>
        </w:rPr>
        <w:t>,</w:t>
      </w:r>
      <w:r w:rsidR="00A218BD">
        <w:rPr>
          <w:rFonts w:ascii="Arial" w:hAnsi="Arial" w:cs="Arial"/>
          <w:i/>
          <w:iCs/>
          <w:sz w:val="20"/>
        </w:rPr>
        <w:t xml:space="preserve"> </w:t>
      </w:r>
      <w:r>
        <w:rPr>
          <w:rFonts w:ascii="Arial" w:hAnsi="Arial" w:cs="Arial"/>
          <w:sz w:val="20"/>
        </w:rPr>
        <w:t>to correct the information on the Register to reflect the declaration–</w:t>
      </w:r>
    </w:p>
    <w:p w14:paraId="7C1E01BA" w14:textId="7E83B35F" w:rsidR="00AB23AD" w:rsidRDefault="00AB23AD" w:rsidP="00AB23AD">
      <w:pPr>
        <w:jc w:val="both"/>
        <w:rPr>
          <w:rFonts w:ascii="Arial" w:hAnsi="Arial" w:cs="Arial"/>
          <w:sz w:val="20"/>
        </w:rPr>
      </w:pPr>
      <w:r>
        <w:rPr>
          <w:rFonts w:ascii="Arial" w:hAnsi="Arial" w:cs="Arial"/>
          <w:sz w:val="20"/>
        </w:rPr>
        <w:t xml:space="preserve">see the judgment of Goulden </w:t>
      </w:r>
      <w:proofErr w:type="spellStart"/>
      <w:r>
        <w:rPr>
          <w:rFonts w:ascii="Arial" w:hAnsi="Arial" w:cs="Arial"/>
          <w:sz w:val="20"/>
        </w:rPr>
        <w:t>AsJ</w:t>
      </w:r>
      <w:proofErr w:type="spellEnd"/>
      <w:r>
        <w:rPr>
          <w:rFonts w:ascii="Arial" w:hAnsi="Arial" w:cs="Arial"/>
          <w:sz w:val="20"/>
        </w:rPr>
        <w:t xml:space="preserve"> in </w:t>
      </w:r>
      <w:r w:rsidRPr="00AB23AD">
        <w:rPr>
          <w:rFonts w:ascii="Arial" w:hAnsi="Arial" w:cs="Arial"/>
          <w:i/>
          <w:iCs/>
          <w:sz w:val="20"/>
        </w:rPr>
        <w:t>Ciavarella v Registrar of Births, Deaths and Marriages Victoria</w:t>
      </w:r>
      <w:r w:rsidRPr="00AB23AD">
        <w:rPr>
          <w:rFonts w:ascii="Arial" w:hAnsi="Arial" w:cs="Arial"/>
          <w:sz w:val="20"/>
        </w:rPr>
        <w:t xml:space="preserve"> [2025] VSC 543</w:t>
      </w:r>
      <w:r>
        <w:rPr>
          <w:rFonts w:ascii="Arial" w:hAnsi="Arial" w:cs="Arial"/>
          <w:sz w:val="20"/>
        </w:rPr>
        <w:t>.</w:t>
      </w:r>
    </w:p>
    <w:p w14:paraId="62D3D066" w14:textId="77777777" w:rsidR="00AB23AD" w:rsidRDefault="00AB23AD">
      <w:pPr>
        <w:rPr>
          <w:rFonts w:ascii="Arial" w:hAnsi="Arial" w:cs="Arial"/>
          <w:sz w:val="20"/>
        </w:rPr>
      </w:pPr>
    </w:p>
    <w:p w14:paraId="6B95114F" w14:textId="77777777" w:rsidR="00693223" w:rsidRDefault="00693223">
      <w:pPr>
        <w:jc w:val="both"/>
        <w:rPr>
          <w:rFonts w:ascii="Arial" w:hAnsi="Arial" w:cs="Arial"/>
          <w:sz w:val="20"/>
        </w:rPr>
      </w:pPr>
      <w:r>
        <w:rPr>
          <w:rFonts w:ascii="Arial" w:hAnsi="Arial" w:cs="Arial"/>
          <w:sz w:val="20"/>
        </w:rPr>
        <w:t>Prior to the amendments introduced by Act No.72/2001, the CYPA restricted the 'de facto' partner of a parent to a person of the opposite gender.  Now, 'domestic partner' of a person is defined in s.3 as "a person to whom the person is not married but with whom the person is living as a couple on a genuine domestic basis (irrespective of gender)".</w:t>
      </w:r>
    </w:p>
    <w:p w14:paraId="50C60506" w14:textId="77777777" w:rsidR="00693223" w:rsidRDefault="00693223">
      <w:pPr>
        <w:rPr>
          <w:rFonts w:ascii="Arial" w:hAnsi="Arial" w:cs="Arial"/>
          <w:sz w:val="20"/>
        </w:rPr>
      </w:pPr>
    </w:p>
    <w:p w14:paraId="57BBA4CC" w14:textId="77777777" w:rsidR="00C04B2D" w:rsidRDefault="00C04B2D" w:rsidP="00C04B2D">
      <w:pPr>
        <w:jc w:val="both"/>
        <w:rPr>
          <w:rFonts w:ascii="Arial" w:hAnsi="Arial" w:cs="Arial"/>
          <w:sz w:val="20"/>
        </w:rPr>
      </w:pPr>
      <w:r>
        <w:rPr>
          <w:rFonts w:ascii="Arial" w:hAnsi="Arial" w:cs="Arial"/>
          <w:sz w:val="20"/>
        </w:rPr>
        <w:t>Although there appears to be no case law on the issue, the writer thinks it likely that category (d) is intended to be restricted to persons who have legal parental responsibility for a child as opposed to persons who are merely ‘looking after’ a child, even if for an extended period.</w:t>
      </w:r>
    </w:p>
    <w:p w14:paraId="54AE1C58" w14:textId="77777777" w:rsidR="00C04B2D" w:rsidRDefault="00C04B2D">
      <w:pPr>
        <w:rPr>
          <w:rFonts w:ascii="Arial" w:hAnsi="Arial" w:cs="Arial"/>
          <w:sz w:val="20"/>
        </w:rPr>
      </w:pPr>
    </w:p>
    <w:p w14:paraId="36824DF0" w14:textId="77777777" w:rsidR="00C04B2D" w:rsidRPr="00ED1F5A" w:rsidRDefault="00D5161E" w:rsidP="00C04B2D">
      <w:pPr>
        <w:jc w:val="both"/>
        <w:rPr>
          <w:rFonts w:ascii="Arial" w:hAnsi="Arial" w:cs="Arial"/>
          <w:color w:val="000000"/>
          <w:sz w:val="20"/>
        </w:rPr>
      </w:pPr>
      <w:r>
        <w:rPr>
          <w:rFonts w:ascii="Arial" w:hAnsi="Arial" w:cs="Arial"/>
          <w:sz w:val="20"/>
        </w:rPr>
        <w:t>T</w:t>
      </w:r>
      <w:r w:rsidR="00C04B2D">
        <w:rPr>
          <w:rFonts w:ascii="Arial" w:hAnsi="Arial" w:cs="Arial"/>
          <w:sz w:val="20"/>
        </w:rPr>
        <w:t xml:space="preserve">he definition of ‘parent’ in s.3(1) is not expressed to be an exclusive one.  This gives rise to the question whether a person who does not fall within any of categories (a) to (g) may nevertheless be held to be a </w:t>
      </w:r>
      <w:r>
        <w:rPr>
          <w:rFonts w:ascii="Arial" w:hAnsi="Arial" w:cs="Arial"/>
          <w:sz w:val="20"/>
        </w:rPr>
        <w:t>‘</w:t>
      </w:r>
      <w:r w:rsidR="00C04B2D">
        <w:rPr>
          <w:rFonts w:ascii="Arial" w:hAnsi="Arial" w:cs="Arial"/>
          <w:sz w:val="20"/>
        </w:rPr>
        <w:t>parent</w:t>
      </w:r>
      <w:r>
        <w:rPr>
          <w:rFonts w:ascii="Arial" w:hAnsi="Arial" w:cs="Arial"/>
          <w:sz w:val="20"/>
        </w:rPr>
        <w:t>’</w:t>
      </w:r>
      <w:r w:rsidR="00C04B2D">
        <w:rPr>
          <w:rFonts w:ascii="Arial" w:hAnsi="Arial" w:cs="Arial"/>
          <w:sz w:val="20"/>
        </w:rPr>
        <w:t xml:space="preserve"> for the purposes of the CYFA.  </w:t>
      </w:r>
      <w:r>
        <w:rPr>
          <w:rFonts w:ascii="Arial" w:hAnsi="Arial" w:cs="Arial"/>
          <w:sz w:val="20"/>
        </w:rPr>
        <w:t xml:space="preserve">This was alluded to in dicta of the High Court in the joint </w:t>
      </w:r>
      <w:r w:rsidR="00C04B2D" w:rsidRPr="00ED1F5A">
        <w:rPr>
          <w:rFonts w:ascii="Arial" w:hAnsi="Arial" w:cs="Arial"/>
          <w:color w:val="000000"/>
          <w:sz w:val="20"/>
        </w:rPr>
        <w:t xml:space="preserve">judgment in </w:t>
      </w:r>
      <w:r w:rsidR="00C04B2D" w:rsidRPr="00ED1F5A">
        <w:rPr>
          <w:rFonts w:ascii="Arial" w:hAnsi="Arial" w:cs="Arial"/>
          <w:i/>
          <w:iCs/>
          <w:color w:val="000000"/>
          <w:sz w:val="20"/>
        </w:rPr>
        <w:t>Masson v Parsons</w:t>
      </w:r>
      <w:r w:rsidR="00C04B2D" w:rsidRPr="00ED1F5A">
        <w:rPr>
          <w:rFonts w:ascii="Arial" w:hAnsi="Arial" w:cs="Arial"/>
          <w:color w:val="000000"/>
          <w:sz w:val="20"/>
        </w:rPr>
        <w:t xml:space="preserve"> </w:t>
      </w:r>
      <w:r w:rsidRPr="00ED1F5A">
        <w:rPr>
          <w:rFonts w:ascii="Arial" w:hAnsi="Arial" w:cs="Arial"/>
          <w:color w:val="000000"/>
          <w:sz w:val="20"/>
        </w:rPr>
        <w:t xml:space="preserve">[2019] HCA 21 </w:t>
      </w:r>
      <w:r w:rsidR="00C04B2D" w:rsidRPr="00ED1F5A">
        <w:rPr>
          <w:rFonts w:ascii="Arial" w:hAnsi="Arial" w:cs="Arial"/>
          <w:color w:val="000000"/>
          <w:sz w:val="20"/>
        </w:rPr>
        <w:t>at [29]:</w:t>
      </w:r>
    </w:p>
    <w:p w14:paraId="3FF4AE3A" w14:textId="77777777" w:rsidR="00C04B2D" w:rsidRPr="00ED1F5A" w:rsidRDefault="00C04B2D" w:rsidP="00C04B2D">
      <w:pPr>
        <w:spacing w:before="60"/>
        <w:ind w:left="567" w:right="567"/>
        <w:jc w:val="both"/>
        <w:rPr>
          <w:rFonts w:ascii="Arial" w:hAnsi="Arial" w:cs="Arial"/>
          <w:color w:val="000000"/>
          <w:sz w:val="20"/>
        </w:rPr>
      </w:pPr>
      <w:r w:rsidRPr="00ED1F5A">
        <w:rPr>
          <w:rFonts w:ascii="Arial" w:hAnsi="Arial" w:cs="Arial"/>
          <w:color w:val="000000"/>
          <w:sz w:val="20"/>
          <w:szCs w:val="20"/>
        </w:rPr>
        <w:t xml:space="preserve">“In </w:t>
      </w:r>
      <w:r w:rsidRPr="00ED1F5A">
        <w:rPr>
          <w:rFonts w:ascii="Arial" w:hAnsi="Arial" w:cs="Arial"/>
          <w:i/>
          <w:color w:val="000000"/>
          <w:sz w:val="20"/>
          <w:szCs w:val="20"/>
        </w:rPr>
        <w:t>In</w:t>
      </w:r>
      <w:r w:rsidRPr="00ED1F5A">
        <w:rPr>
          <w:rFonts w:ascii="Arial" w:hAnsi="Arial" w:cs="Arial"/>
          <w:color w:val="000000"/>
          <w:sz w:val="20"/>
          <w:szCs w:val="20"/>
        </w:rPr>
        <w:t xml:space="preserve"> </w:t>
      </w:r>
      <w:r w:rsidRPr="00ED1F5A">
        <w:rPr>
          <w:rFonts w:ascii="Arial" w:hAnsi="Arial" w:cs="Arial"/>
          <w:i/>
          <w:color w:val="000000"/>
          <w:sz w:val="20"/>
          <w:szCs w:val="20"/>
        </w:rPr>
        <w:t>re G (Children)</w:t>
      </w:r>
      <w:r w:rsidRPr="00ED1F5A">
        <w:rPr>
          <w:rFonts w:ascii="Arial" w:hAnsi="Arial" w:cs="Arial"/>
          <w:color w:val="000000"/>
          <w:sz w:val="20"/>
          <w:szCs w:val="20"/>
        </w:rPr>
        <w:t xml:space="preserve">, Baroness Hale of Richmond observed [2006] 1 WLR 2305 at 2316-2317 [33]-[37]; [2006] 4 All ER 241 at 252-253 in relation to comparable English legislation that, according to English contemporary conceptions of parenthood, ‘[t]here are at least three ways in which a person may be or become </w:t>
      </w:r>
      <w:r w:rsidRPr="00ED1F5A">
        <w:rPr>
          <w:rFonts w:ascii="Arial" w:hAnsi="Arial" w:cs="Arial"/>
          <w:color w:val="000000"/>
          <w:sz w:val="20"/>
          <w:szCs w:val="20"/>
        </w:rPr>
        <w:lastRenderedPageBreak/>
        <w:t xml:space="preserve">a natural parent of a child’ depending on the circumstances of the particular case: genetically, gestationally and psychologically.  That may also be true of the ordinary, accepted English meaning of ‘parent’ in this country, although it is unnecessary to reach a concluded view on that issue.  The significance of her Ladyship's analysis for present purposes, however, is that, just as the question of parentage under the legislation with which she was concerned was one of fact and degree to be determined by applying contemporary conceptions of parenthood to the relevant circumstances, the question of whether a person qualifies under the </w:t>
      </w:r>
      <w:r w:rsidRPr="00ED1F5A">
        <w:rPr>
          <w:rFonts w:ascii="Arial" w:hAnsi="Arial" w:cs="Arial"/>
          <w:i/>
          <w:color w:val="000000"/>
          <w:sz w:val="20"/>
          <w:szCs w:val="20"/>
        </w:rPr>
        <w:t>Family Law Act</w:t>
      </w:r>
      <w:r w:rsidRPr="00ED1F5A">
        <w:rPr>
          <w:rFonts w:ascii="Arial" w:hAnsi="Arial" w:cs="Arial"/>
          <w:color w:val="000000"/>
          <w:sz w:val="20"/>
          <w:szCs w:val="20"/>
        </w:rPr>
        <w:t xml:space="preserve"> as a parent according to the ordinary, accepted English meaning of ‘parent’ is a question of fact and degree to be determined according to the ordinary, contemporary Australian understanding of ‘parent’ and the relevant circumstances of the case at hand.  The primary judge and the Full Court were correct so to hold.”</w:t>
      </w:r>
    </w:p>
    <w:p w14:paraId="28CCD032" w14:textId="77777777" w:rsidR="00C04B2D" w:rsidRPr="00C14641" w:rsidRDefault="00C04B2D" w:rsidP="00C04B2D">
      <w:pPr>
        <w:jc w:val="both"/>
        <w:rPr>
          <w:rFonts w:ascii="Arial" w:hAnsi="Arial" w:cs="Arial"/>
          <w:color w:val="000000"/>
          <w:sz w:val="20"/>
        </w:rPr>
      </w:pPr>
    </w:p>
    <w:p w14:paraId="545BE1EF" w14:textId="77777777" w:rsidR="00C04B2D" w:rsidRPr="00287279" w:rsidRDefault="00C04B2D" w:rsidP="00C04B2D">
      <w:pPr>
        <w:jc w:val="both"/>
        <w:rPr>
          <w:rFonts w:ascii="Arial" w:hAnsi="Arial" w:cs="Arial"/>
          <w:color w:val="000000"/>
          <w:sz w:val="20"/>
        </w:rPr>
      </w:pPr>
      <w:r>
        <w:rPr>
          <w:rFonts w:ascii="Arial" w:hAnsi="Arial" w:cs="Arial"/>
          <w:color w:val="000000"/>
          <w:sz w:val="20"/>
        </w:rPr>
        <w:t xml:space="preserve">In </w:t>
      </w:r>
      <w:r>
        <w:rPr>
          <w:rFonts w:ascii="Arial" w:hAnsi="Arial" w:cs="Arial"/>
          <w:i/>
          <w:iCs/>
          <w:color w:val="000000"/>
          <w:sz w:val="20"/>
        </w:rPr>
        <w:t xml:space="preserve">Re </w:t>
      </w:r>
      <w:r w:rsidRPr="009B4EFD">
        <w:rPr>
          <w:rFonts w:ascii="Arial" w:hAnsi="Arial" w:cs="Arial"/>
          <w:i/>
          <w:iCs/>
          <w:color w:val="000000"/>
          <w:sz w:val="20"/>
        </w:rPr>
        <w:t>D</w:t>
      </w:r>
      <w:r>
        <w:rPr>
          <w:rFonts w:ascii="Arial" w:hAnsi="Arial" w:cs="Arial"/>
          <w:color w:val="000000"/>
          <w:sz w:val="20"/>
        </w:rPr>
        <w:t xml:space="preserve"> [Melbourne Children’s Court-Parkinson M, 15/10/2019] the 9 year old child D had lived with and been cared for by his maternal grandmother G all his life.  His mother – who had an intellectual disability – also lived with and was cared for by G.  The case ultimately settled with D being placed by consent on a family preservation order in the care of his grandmother G.  Accordingly, by virtue of the dicta of Baroness Hale in </w:t>
      </w:r>
      <w:r w:rsidRPr="00C14641">
        <w:rPr>
          <w:rFonts w:ascii="Arial" w:hAnsi="Arial" w:cs="Arial"/>
          <w:i/>
          <w:color w:val="000000"/>
          <w:sz w:val="20"/>
          <w:szCs w:val="20"/>
        </w:rPr>
        <w:t>In</w:t>
      </w:r>
      <w:r w:rsidRPr="00C14641">
        <w:rPr>
          <w:rFonts w:ascii="Arial" w:hAnsi="Arial" w:cs="Arial"/>
          <w:color w:val="000000"/>
          <w:sz w:val="20"/>
          <w:szCs w:val="20"/>
        </w:rPr>
        <w:t xml:space="preserve"> </w:t>
      </w:r>
      <w:r w:rsidRPr="00C14641">
        <w:rPr>
          <w:rFonts w:ascii="Arial" w:hAnsi="Arial" w:cs="Arial"/>
          <w:i/>
          <w:color w:val="000000"/>
          <w:sz w:val="20"/>
          <w:szCs w:val="20"/>
        </w:rPr>
        <w:t>re G (Children)</w:t>
      </w:r>
      <w:r w:rsidRPr="00440C1A">
        <w:rPr>
          <w:rFonts w:ascii="Arial" w:hAnsi="Arial" w:cs="Arial"/>
          <w:iCs/>
          <w:color w:val="000000"/>
          <w:sz w:val="20"/>
          <w:szCs w:val="20"/>
        </w:rPr>
        <w:t>,</w:t>
      </w:r>
      <w:r>
        <w:rPr>
          <w:rFonts w:ascii="Arial" w:hAnsi="Arial" w:cs="Arial"/>
          <w:i/>
          <w:color w:val="000000"/>
          <w:sz w:val="20"/>
          <w:szCs w:val="20"/>
        </w:rPr>
        <w:t xml:space="preserve"> </w:t>
      </w:r>
      <w:r w:rsidRPr="00440C1A">
        <w:rPr>
          <w:rFonts w:ascii="Arial" w:hAnsi="Arial" w:cs="Arial"/>
          <w:iCs/>
          <w:color w:val="000000"/>
          <w:sz w:val="20"/>
          <w:szCs w:val="20"/>
        </w:rPr>
        <w:t>as approved by the High Court in</w:t>
      </w:r>
      <w:r>
        <w:rPr>
          <w:rFonts w:ascii="Arial" w:hAnsi="Arial" w:cs="Arial"/>
          <w:i/>
          <w:color w:val="000000"/>
          <w:sz w:val="20"/>
          <w:szCs w:val="20"/>
        </w:rPr>
        <w:t xml:space="preserve"> Masson v Parsons</w:t>
      </w:r>
      <w:r w:rsidRPr="00440C1A">
        <w:rPr>
          <w:rFonts w:ascii="Arial" w:hAnsi="Arial" w:cs="Arial"/>
          <w:iCs/>
          <w:color w:val="000000"/>
          <w:sz w:val="20"/>
          <w:szCs w:val="20"/>
        </w:rPr>
        <w:t>:</w:t>
      </w:r>
    </w:p>
    <w:p w14:paraId="63F76A82" w14:textId="77777777" w:rsidR="00C04B2D" w:rsidRDefault="00C04B2D">
      <w:pPr>
        <w:numPr>
          <w:ilvl w:val="0"/>
          <w:numId w:val="43"/>
        </w:numPr>
        <w:ind w:left="357" w:hanging="357"/>
        <w:jc w:val="both"/>
        <w:rPr>
          <w:rFonts w:ascii="Arial" w:hAnsi="Arial" w:cs="Arial"/>
          <w:color w:val="000000"/>
          <w:sz w:val="20"/>
        </w:rPr>
      </w:pPr>
      <w:r>
        <w:rPr>
          <w:rFonts w:ascii="Arial" w:hAnsi="Arial" w:cs="Arial"/>
          <w:color w:val="000000"/>
          <w:sz w:val="20"/>
        </w:rPr>
        <w:t>G either fits within category (a) of the definition of ‘parent’ in s.3(1) of the CYFA; or</w:t>
      </w:r>
    </w:p>
    <w:p w14:paraId="25BDF184" w14:textId="77777777" w:rsidR="00C04B2D" w:rsidRDefault="00C04B2D">
      <w:pPr>
        <w:numPr>
          <w:ilvl w:val="0"/>
          <w:numId w:val="43"/>
        </w:numPr>
        <w:ind w:left="357" w:hanging="357"/>
        <w:jc w:val="both"/>
        <w:rPr>
          <w:rFonts w:ascii="Arial" w:hAnsi="Arial" w:cs="Arial"/>
          <w:color w:val="000000"/>
          <w:sz w:val="20"/>
        </w:rPr>
      </w:pPr>
      <w:r>
        <w:rPr>
          <w:rFonts w:ascii="Arial" w:hAnsi="Arial" w:cs="Arial"/>
          <w:color w:val="000000"/>
          <w:sz w:val="20"/>
        </w:rPr>
        <w:t xml:space="preserve">if not, she is nevertheless a ‘psychological parent’ under the CYFA given that the definition </w:t>
      </w:r>
      <w:r w:rsidRPr="0040107B">
        <w:rPr>
          <w:rFonts w:ascii="Arial" w:hAnsi="Arial" w:cs="Arial"/>
          <w:b/>
          <w:bCs/>
          <w:iCs/>
          <w:color w:val="000000"/>
          <w:sz w:val="20"/>
          <w:szCs w:val="20"/>
        </w:rPr>
        <w:t>includes</w:t>
      </w:r>
      <w:r w:rsidRPr="00C14641">
        <w:rPr>
          <w:rFonts w:ascii="Arial" w:hAnsi="Arial" w:cs="Arial"/>
          <w:iCs/>
          <w:color w:val="000000"/>
          <w:sz w:val="20"/>
          <w:szCs w:val="20"/>
        </w:rPr>
        <w:t xml:space="preserve"> seven specified categories of persons but is not expressed as being limited to those seven categories</w:t>
      </w:r>
      <w:r>
        <w:rPr>
          <w:rFonts w:ascii="Arial" w:hAnsi="Arial" w:cs="Arial"/>
          <w:iCs/>
          <w:color w:val="000000"/>
          <w:sz w:val="20"/>
          <w:szCs w:val="20"/>
        </w:rPr>
        <w:t>.</w:t>
      </w:r>
    </w:p>
    <w:p w14:paraId="02E72B33" w14:textId="77777777" w:rsidR="00D5161E" w:rsidRDefault="00D5161E" w:rsidP="00D5161E">
      <w:pPr>
        <w:spacing w:before="60"/>
        <w:jc w:val="both"/>
        <w:rPr>
          <w:rFonts w:ascii="Arial" w:hAnsi="Arial" w:cs="Arial"/>
          <w:color w:val="000000"/>
          <w:sz w:val="20"/>
        </w:rPr>
      </w:pPr>
      <w:r>
        <w:rPr>
          <w:rFonts w:ascii="Arial" w:hAnsi="Arial" w:cs="Arial"/>
          <w:color w:val="000000"/>
          <w:sz w:val="20"/>
        </w:rPr>
        <w:t>However, in making the finding that in the unusual circumstances of the case G was a ‘parent’ of the child for the purposes of the CYFA, her Honour did place the following reasons on the oral record, being conscious that there must be some boundary around the concept of ‘parent’:</w:t>
      </w:r>
    </w:p>
    <w:p w14:paraId="7970F99F" w14:textId="77777777" w:rsidR="00D5161E" w:rsidRDefault="00D5161E" w:rsidP="00D5161E">
      <w:pPr>
        <w:spacing w:before="60"/>
        <w:ind w:left="567" w:right="567"/>
        <w:jc w:val="both"/>
        <w:rPr>
          <w:rFonts w:ascii="Arial" w:hAnsi="Arial" w:cs="Arial"/>
          <w:color w:val="000000"/>
          <w:sz w:val="20"/>
        </w:rPr>
      </w:pPr>
      <w:r>
        <w:rPr>
          <w:rFonts w:ascii="Arial" w:hAnsi="Arial" w:cs="Arial"/>
          <w:color w:val="000000"/>
          <w:sz w:val="20"/>
        </w:rPr>
        <w:t xml:space="preserve">“Not all grandparents or relatives who provide care to a child could be considered a ‘parent’ under the Act.  The circumstances would generally require that the carer stand in the shoes of the parent for a significant and relevant period of time and provide the day to day consistent care </w:t>
      </w:r>
      <w:r w:rsidRPr="00577620">
        <w:rPr>
          <w:rFonts w:ascii="Arial" w:hAnsi="Arial" w:cs="Arial"/>
          <w:i/>
          <w:iCs/>
          <w:color w:val="000000"/>
          <w:sz w:val="20"/>
        </w:rPr>
        <w:t>in loco parentis</w:t>
      </w:r>
      <w:r>
        <w:rPr>
          <w:rFonts w:ascii="Arial" w:hAnsi="Arial" w:cs="Arial"/>
          <w:color w:val="000000"/>
          <w:sz w:val="20"/>
        </w:rPr>
        <w:t xml:space="preserve"> to the child.  This does not mean that a short term carer such as a respite carer or even a carer who regularly provides support or assistance in caring would fall within this definition.  It must be a person who has substantial control of day to day regime of the child and has done so without statutory intervention or authority.  Therefore foster carers, suitable persons or relatives pursuant to an order of the Court [who] provide interim care or even longer term care under a CBSO would not ordinarily be included in this category.”</w:t>
      </w:r>
    </w:p>
    <w:p w14:paraId="7E254E82" w14:textId="77777777" w:rsidR="00D5161E" w:rsidRDefault="00D5161E">
      <w:pPr>
        <w:rPr>
          <w:rFonts w:ascii="Arial" w:hAnsi="Arial" w:cs="Arial"/>
          <w:sz w:val="20"/>
        </w:rPr>
      </w:pPr>
    </w:p>
    <w:p w14:paraId="7841CAD5" w14:textId="77777777" w:rsidR="00D5161E" w:rsidRPr="00953F9E" w:rsidRDefault="00D5161E" w:rsidP="00D5161E">
      <w:pPr>
        <w:jc w:val="center"/>
        <w:rPr>
          <w:rFonts w:ascii="Arial" w:hAnsi="Arial" w:cs="Arial"/>
          <w:b/>
          <w:bCs/>
          <w:sz w:val="20"/>
        </w:rPr>
      </w:pPr>
      <w:r w:rsidRPr="00953F9E">
        <w:rPr>
          <w:rFonts w:ascii="Arial" w:hAnsi="Arial" w:cs="Arial"/>
          <w:b/>
          <w:bCs/>
          <w:sz w:val="20"/>
          <w:bdr w:val="single" w:sz="4" w:space="0" w:color="auto"/>
          <w:shd w:val="clear" w:color="auto" w:fill="DDDDDD"/>
        </w:rPr>
        <w:t xml:space="preserve">See also </w:t>
      </w:r>
      <w:r w:rsidR="00953F9E" w:rsidRPr="00953F9E">
        <w:rPr>
          <w:rFonts w:ascii="Arial" w:hAnsi="Arial" w:cs="Arial"/>
          <w:b/>
          <w:bCs/>
          <w:sz w:val="20"/>
          <w:bdr w:val="single" w:sz="4" w:space="0" w:color="auto"/>
          <w:shd w:val="clear" w:color="auto" w:fill="DDDDDD"/>
        </w:rPr>
        <w:t>a</w:t>
      </w:r>
      <w:r w:rsidRPr="00953F9E">
        <w:rPr>
          <w:rFonts w:ascii="Arial" w:hAnsi="Arial" w:cs="Arial"/>
          <w:b/>
          <w:bCs/>
          <w:sz w:val="20"/>
          <w:bdr w:val="single" w:sz="4" w:space="0" w:color="auto"/>
          <w:shd w:val="clear" w:color="auto" w:fill="DDDDDD"/>
        </w:rPr>
        <w:t xml:space="preserve"> broader discussion of the concept of ‘parent’ contained in</w:t>
      </w:r>
      <w:r w:rsidR="00F526E6">
        <w:rPr>
          <w:rFonts w:ascii="Arial" w:hAnsi="Arial" w:cs="Arial"/>
          <w:b/>
          <w:bCs/>
          <w:sz w:val="20"/>
          <w:bdr w:val="single" w:sz="4" w:space="0" w:color="auto"/>
          <w:shd w:val="clear" w:color="auto" w:fill="DDDDDD"/>
        </w:rPr>
        <w:t xml:space="preserve"> </w:t>
      </w:r>
      <w:r w:rsidRPr="00A40A28">
        <w:rPr>
          <w:rFonts w:ascii="Arial" w:hAnsi="Arial" w:cs="Arial"/>
          <w:b/>
          <w:bCs/>
          <w:sz w:val="20"/>
          <w:bdr w:val="single" w:sz="4" w:space="0" w:color="auto"/>
          <w:shd w:val="clear" w:color="auto" w:fill="C5E0B3"/>
        </w:rPr>
        <w:t>section 5.2.3</w:t>
      </w:r>
      <w:r w:rsidRPr="00953F9E">
        <w:rPr>
          <w:rFonts w:ascii="Arial" w:hAnsi="Arial" w:cs="Arial"/>
          <w:b/>
          <w:bCs/>
          <w:sz w:val="20"/>
          <w:bdr w:val="single" w:sz="4" w:space="0" w:color="auto"/>
          <w:shd w:val="clear" w:color="auto" w:fill="DDDDDD"/>
        </w:rPr>
        <w:t>.</w:t>
      </w:r>
    </w:p>
    <w:p w14:paraId="0CE9F850" w14:textId="77777777" w:rsidR="00520674" w:rsidRPr="008E4C7E" w:rsidRDefault="00520674" w:rsidP="00520674">
      <w:pPr>
        <w:ind w:left="363" w:hanging="363"/>
        <w:jc w:val="both"/>
        <w:rPr>
          <w:rFonts w:ascii="Arial" w:hAnsi="Arial" w:cs="Arial"/>
          <w:sz w:val="20"/>
        </w:rPr>
      </w:pPr>
      <w:bookmarkStart w:id="432" w:name="_4.5_Parental_responsibility"/>
      <w:bookmarkStart w:id="433" w:name="B45"/>
      <w:bookmarkStart w:id="434" w:name="_Toc30607529"/>
      <w:bookmarkStart w:id="435" w:name="_Toc30607658"/>
      <w:bookmarkStart w:id="436" w:name="_Toc30607983"/>
      <w:bookmarkStart w:id="437" w:name="_Toc30608816"/>
      <w:bookmarkStart w:id="438" w:name="_Toc30610030"/>
      <w:bookmarkStart w:id="439" w:name="_Toc30610274"/>
      <w:bookmarkStart w:id="440" w:name="_Toc30638428"/>
      <w:bookmarkStart w:id="441" w:name="_Toc30644241"/>
      <w:bookmarkStart w:id="442" w:name="_Toc30644644"/>
      <w:bookmarkStart w:id="443" w:name="_Toc30645194"/>
      <w:bookmarkStart w:id="444" w:name="_Toc30646405"/>
      <w:bookmarkStart w:id="445" w:name="_Toc30646700"/>
      <w:bookmarkStart w:id="446" w:name="_Toc30646811"/>
      <w:bookmarkStart w:id="447" w:name="_Toc30648168"/>
      <w:bookmarkStart w:id="448" w:name="_Toc30649066"/>
      <w:bookmarkStart w:id="449" w:name="_Toc30649142"/>
      <w:bookmarkStart w:id="450" w:name="_Toc30649403"/>
      <w:bookmarkStart w:id="451" w:name="_Toc30649728"/>
      <w:bookmarkStart w:id="452" w:name="_Toc30651668"/>
      <w:bookmarkStart w:id="453" w:name="_Toc30652658"/>
      <w:bookmarkStart w:id="454" w:name="_Toc30652754"/>
      <w:bookmarkStart w:id="455" w:name="_Toc30654099"/>
      <w:bookmarkStart w:id="456" w:name="_Toc30654450"/>
      <w:bookmarkStart w:id="457" w:name="_Toc30655069"/>
      <w:bookmarkStart w:id="458" w:name="_Toc30655326"/>
      <w:bookmarkStart w:id="459" w:name="_Toc30657004"/>
      <w:bookmarkStart w:id="460" w:name="_Toc30661753"/>
      <w:bookmarkStart w:id="461" w:name="_Toc30666441"/>
      <w:bookmarkStart w:id="462" w:name="_Toc30666671"/>
      <w:bookmarkStart w:id="463" w:name="_Toc30667846"/>
      <w:bookmarkStart w:id="464" w:name="_Toc30669224"/>
      <w:bookmarkStart w:id="465" w:name="_Toc30671440"/>
      <w:bookmarkStart w:id="466" w:name="_Toc30673967"/>
      <w:bookmarkStart w:id="467" w:name="_Toc30691189"/>
      <w:bookmarkStart w:id="468" w:name="_Toc30691562"/>
      <w:bookmarkStart w:id="469" w:name="_Toc30691942"/>
      <w:bookmarkStart w:id="470" w:name="_Toc30692701"/>
      <w:bookmarkStart w:id="471" w:name="_Toc30693080"/>
      <w:bookmarkStart w:id="472" w:name="_Toc30693458"/>
      <w:bookmarkStart w:id="473" w:name="_Toc30693836"/>
      <w:bookmarkStart w:id="474" w:name="_Toc30694217"/>
      <w:bookmarkStart w:id="475" w:name="_Toc30698806"/>
      <w:bookmarkStart w:id="476" w:name="_Toc30699184"/>
      <w:bookmarkStart w:id="477" w:name="_Toc30699569"/>
      <w:bookmarkStart w:id="478" w:name="_Toc30700724"/>
      <w:bookmarkStart w:id="479" w:name="_Toc30701111"/>
      <w:bookmarkStart w:id="480" w:name="_Toc30743720"/>
      <w:bookmarkStart w:id="481" w:name="_Toc30754543"/>
      <w:bookmarkStart w:id="482" w:name="_Toc30756983"/>
      <w:bookmarkStart w:id="483" w:name="_Toc30757532"/>
      <w:bookmarkStart w:id="484" w:name="_Toc30757932"/>
      <w:bookmarkStart w:id="485" w:name="_Toc30762693"/>
      <w:bookmarkStart w:id="486" w:name="_Toc30767347"/>
      <w:bookmarkStart w:id="487" w:name="_Toc34823363"/>
      <w:bookmarkEnd w:id="432"/>
      <w:bookmarkEnd w:id="433"/>
    </w:p>
    <w:p w14:paraId="06E7D248" w14:textId="77777777" w:rsidR="00520674" w:rsidRPr="005836D1" w:rsidRDefault="00520674" w:rsidP="00520674">
      <w:pPr>
        <w:jc w:val="center"/>
        <w:rPr>
          <w:rFonts w:ascii="Arial" w:hAnsi="Arial" w:cs="Arial"/>
          <w:b/>
          <w:bCs/>
          <w:szCs w:val="32"/>
        </w:rPr>
      </w:pPr>
      <w:r w:rsidRPr="005836D1">
        <w:rPr>
          <w:rFonts w:ascii="Arial" w:hAnsi="Arial" w:cs="Arial"/>
          <w:b/>
          <w:bCs/>
          <w:szCs w:val="32"/>
        </w:rPr>
        <w:t>THE REST OF THIS PAGE IS BLANK</w:t>
      </w:r>
    </w:p>
    <w:p w14:paraId="067AD6FF" w14:textId="77777777" w:rsidR="00520674" w:rsidRDefault="00520674" w:rsidP="00520674">
      <w:pPr>
        <w:jc w:val="both"/>
        <w:rPr>
          <w:rFonts w:ascii="Arial" w:hAnsi="Arial" w:cs="Arial"/>
          <w:sz w:val="20"/>
        </w:rPr>
      </w:pPr>
    </w:p>
    <w:p w14:paraId="63682B95" w14:textId="77777777" w:rsidR="00520674" w:rsidRDefault="00520674">
      <w:pPr>
        <w:rPr>
          <w:rFonts w:ascii="Arial" w:hAnsi="Arial" w:cs="Arial"/>
          <w:b/>
          <w:bCs/>
          <w:color w:val="000000"/>
          <w:kern w:val="28"/>
          <w:szCs w:val="20"/>
          <w:lang w:val="en-GB"/>
        </w:rPr>
      </w:pPr>
      <w:r>
        <w:rPr>
          <w:rFonts w:ascii="Arial" w:hAnsi="Arial" w:cs="Arial"/>
          <w:b/>
          <w:bCs/>
          <w:color w:val="000000"/>
        </w:rPr>
        <w:br w:type="page"/>
      </w:r>
    </w:p>
    <w:p w14:paraId="285C3D20" w14:textId="72B34B99" w:rsidR="00693223" w:rsidRPr="008E0B61" w:rsidRDefault="00693223" w:rsidP="00685CB1">
      <w:pPr>
        <w:pStyle w:val="Heading2"/>
        <w:widowControl/>
        <w:tabs>
          <w:tab w:val="left" w:pos="567"/>
        </w:tabs>
        <w:spacing w:line="240" w:lineRule="auto"/>
        <w:rPr>
          <w:rFonts w:ascii="Arial" w:hAnsi="Arial" w:cs="Arial"/>
          <w:b/>
          <w:bCs/>
          <w:color w:val="000000"/>
        </w:rPr>
      </w:pPr>
      <w:r w:rsidRPr="008E0B61">
        <w:rPr>
          <w:rFonts w:ascii="Arial" w:hAnsi="Arial" w:cs="Arial"/>
          <w:b/>
          <w:bCs/>
          <w:color w:val="000000"/>
        </w:rPr>
        <w:lastRenderedPageBreak/>
        <w:t>4.5</w:t>
      </w:r>
      <w:r w:rsidRPr="008E0B61">
        <w:rPr>
          <w:rFonts w:ascii="Arial" w:hAnsi="Arial" w:cs="Arial"/>
          <w:b/>
          <w:bCs/>
          <w:color w:val="000000"/>
        </w:rPr>
        <w:tab/>
      </w:r>
      <w:r w:rsidR="00F4004D">
        <w:rPr>
          <w:rFonts w:ascii="Arial" w:hAnsi="Arial" w:cs="Arial"/>
          <w:b/>
          <w:bCs/>
          <w:color w:val="000000"/>
        </w:rPr>
        <w:t xml:space="preserve">Parental responsibility </w:t>
      </w:r>
      <w:r w:rsidRPr="008E0B61">
        <w:rPr>
          <w:rFonts w:ascii="Arial" w:hAnsi="Arial" w:cs="Arial"/>
          <w:b/>
          <w:bCs/>
          <w:color w:val="000000"/>
        </w:rPr>
        <w:t xml:space="preserve">&amp; </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00CF6AAD" w:rsidRPr="008E0B61">
        <w:rPr>
          <w:rFonts w:ascii="Arial" w:hAnsi="Arial" w:cs="Arial"/>
          <w:b/>
          <w:bCs/>
          <w:color w:val="000000"/>
        </w:rPr>
        <w:t>contact</w:t>
      </w:r>
    </w:p>
    <w:p w14:paraId="75A1C7A5" w14:textId="77777777" w:rsidR="00693223" w:rsidRPr="008E0B61" w:rsidRDefault="00693223">
      <w:pPr>
        <w:rPr>
          <w:rFonts w:ascii="Arial" w:hAnsi="Arial" w:cs="Arial"/>
          <w:color w:val="000000"/>
          <w:sz w:val="20"/>
        </w:rPr>
      </w:pPr>
    </w:p>
    <w:p w14:paraId="5A74E8AB" w14:textId="77777777" w:rsidR="00F47C45" w:rsidRDefault="00693223">
      <w:pPr>
        <w:jc w:val="both"/>
        <w:rPr>
          <w:rFonts w:ascii="Arial" w:hAnsi="Arial" w:cs="Arial"/>
          <w:color w:val="000000"/>
          <w:sz w:val="20"/>
        </w:rPr>
      </w:pPr>
      <w:r w:rsidRPr="008E0B61">
        <w:rPr>
          <w:rFonts w:ascii="Arial" w:hAnsi="Arial" w:cs="Arial"/>
          <w:color w:val="000000"/>
          <w:sz w:val="20"/>
        </w:rPr>
        <w:t xml:space="preserve">The concepts of </w:t>
      </w:r>
      <w:r w:rsidR="00C31E36">
        <w:rPr>
          <w:rFonts w:ascii="Arial" w:hAnsi="Arial" w:cs="Arial"/>
          <w:color w:val="000000"/>
          <w:sz w:val="20"/>
        </w:rPr>
        <w:t>‘</w:t>
      </w:r>
      <w:r w:rsidRPr="008E0B61">
        <w:rPr>
          <w:rFonts w:ascii="Arial" w:hAnsi="Arial" w:cs="Arial"/>
          <w:color w:val="000000"/>
          <w:sz w:val="20"/>
        </w:rPr>
        <w:t>custody</w:t>
      </w:r>
      <w:r w:rsidR="00C31E36">
        <w:rPr>
          <w:rFonts w:ascii="Arial" w:hAnsi="Arial" w:cs="Arial"/>
          <w:color w:val="000000"/>
          <w:sz w:val="20"/>
        </w:rPr>
        <w:t>’</w:t>
      </w:r>
      <w:r w:rsidRPr="008E0B61">
        <w:rPr>
          <w:rFonts w:ascii="Arial" w:hAnsi="Arial" w:cs="Arial"/>
          <w:color w:val="000000"/>
          <w:sz w:val="20"/>
        </w:rPr>
        <w:t xml:space="preserve"> &amp; </w:t>
      </w:r>
      <w:r w:rsidR="00C31E36">
        <w:rPr>
          <w:rFonts w:ascii="Arial" w:hAnsi="Arial" w:cs="Arial"/>
          <w:color w:val="000000"/>
          <w:sz w:val="20"/>
        </w:rPr>
        <w:t>‘</w:t>
      </w:r>
      <w:r w:rsidRPr="008E0B61">
        <w:rPr>
          <w:rFonts w:ascii="Arial" w:hAnsi="Arial" w:cs="Arial"/>
          <w:color w:val="000000"/>
          <w:sz w:val="20"/>
        </w:rPr>
        <w:t>guardianship</w:t>
      </w:r>
      <w:r w:rsidR="00C31E36">
        <w:rPr>
          <w:rFonts w:ascii="Arial" w:hAnsi="Arial" w:cs="Arial"/>
          <w:color w:val="000000"/>
          <w:sz w:val="20"/>
        </w:rPr>
        <w:t>’</w:t>
      </w:r>
      <w:r w:rsidRPr="008E0B61">
        <w:rPr>
          <w:rFonts w:ascii="Arial" w:hAnsi="Arial" w:cs="Arial"/>
          <w:color w:val="000000"/>
          <w:sz w:val="20"/>
        </w:rPr>
        <w:t xml:space="preserve"> of a child </w:t>
      </w:r>
      <w:r w:rsidR="00F4004D">
        <w:rPr>
          <w:rFonts w:ascii="Arial" w:hAnsi="Arial" w:cs="Arial"/>
          <w:color w:val="000000"/>
          <w:sz w:val="20"/>
        </w:rPr>
        <w:t>were central to many of the orders made by the Family Division of the Children’s Court prior to 01/03/2016.  The</w:t>
      </w:r>
      <w:r w:rsidR="00580B58">
        <w:rPr>
          <w:rFonts w:ascii="Arial" w:hAnsi="Arial" w:cs="Arial"/>
          <w:color w:val="000000"/>
          <w:sz w:val="20"/>
        </w:rPr>
        <w:t xml:space="preserve"> concepts</w:t>
      </w:r>
      <w:r w:rsidR="00F4004D">
        <w:rPr>
          <w:rFonts w:ascii="Arial" w:hAnsi="Arial" w:cs="Arial"/>
          <w:color w:val="000000"/>
          <w:sz w:val="20"/>
        </w:rPr>
        <w:t xml:space="preserve"> were defined in s.5 &amp; s.4 of the CYFA respectively.  </w:t>
      </w:r>
      <w:r w:rsidR="00F47C45">
        <w:rPr>
          <w:rFonts w:ascii="Arial" w:hAnsi="Arial" w:cs="Arial"/>
          <w:color w:val="000000"/>
          <w:sz w:val="20"/>
        </w:rPr>
        <w:t xml:space="preserve">These sections </w:t>
      </w:r>
      <w:r w:rsidR="006909C2">
        <w:rPr>
          <w:rFonts w:ascii="Arial" w:hAnsi="Arial" w:cs="Arial"/>
          <w:color w:val="000000"/>
          <w:sz w:val="20"/>
        </w:rPr>
        <w:t>are now</w:t>
      </w:r>
      <w:r w:rsidR="00F47C45">
        <w:rPr>
          <w:rFonts w:ascii="Arial" w:hAnsi="Arial" w:cs="Arial"/>
          <w:color w:val="000000"/>
          <w:sz w:val="20"/>
        </w:rPr>
        <w:t xml:space="preserve"> repealed and the concept</w:t>
      </w:r>
      <w:r w:rsidR="00C31E36">
        <w:rPr>
          <w:rFonts w:ascii="Arial" w:hAnsi="Arial" w:cs="Arial"/>
          <w:color w:val="000000"/>
          <w:sz w:val="20"/>
        </w:rPr>
        <w:t>s replaced by the new terms ‘</w:t>
      </w:r>
      <w:r w:rsidR="00F47C45">
        <w:rPr>
          <w:rFonts w:ascii="Arial" w:hAnsi="Arial" w:cs="Arial"/>
          <w:color w:val="000000"/>
          <w:sz w:val="20"/>
        </w:rPr>
        <w:t>parental responsibility</w:t>
      </w:r>
      <w:r w:rsidR="00C31E36">
        <w:rPr>
          <w:rFonts w:ascii="Arial" w:hAnsi="Arial" w:cs="Arial"/>
          <w:color w:val="000000"/>
          <w:sz w:val="20"/>
        </w:rPr>
        <w:t>’ and ‘</w:t>
      </w:r>
      <w:r w:rsidR="00F47C45">
        <w:rPr>
          <w:rFonts w:ascii="Arial" w:hAnsi="Arial" w:cs="Arial"/>
          <w:color w:val="000000"/>
          <w:sz w:val="20"/>
        </w:rPr>
        <w:t>major long-term issue</w:t>
      </w:r>
      <w:r w:rsidR="00C31E36">
        <w:rPr>
          <w:rFonts w:ascii="Arial" w:hAnsi="Arial" w:cs="Arial"/>
          <w:color w:val="000000"/>
          <w:sz w:val="20"/>
        </w:rPr>
        <w:t>’</w:t>
      </w:r>
      <w:r w:rsidR="00F47C45">
        <w:rPr>
          <w:rFonts w:ascii="Arial" w:hAnsi="Arial" w:cs="Arial"/>
          <w:color w:val="000000"/>
          <w:sz w:val="20"/>
        </w:rPr>
        <w:t>.  The concept of contact has not been changed.</w:t>
      </w:r>
    </w:p>
    <w:p w14:paraId="520EDF55" w14:textId="77777777" w:rsidR="00F47C45" w:rsidRDefault="00F47C45">
      <w:pPr>
        <w:jc w:val="both"/>
        <w:rPr>
          <w:rFonts w:ascii="Arial" w:hAnsi="Arial" w:cs="Arial"/>
          <w:color w:val="000000"/>
          <w:sz w:val="20"/>
        </w:rPr>
      </w:pPr>
    </w:p>
    <w:p w14:paraId="1F9A9958" w14:textId="77777777" w:rsidR="00693223" w:rsidRDefault="00693223">
      <w:pPr>
        <w:pStyle w:val="Heading3"/>
        <w:spacing w:line="240" w:lineRule="auto"/>
        <w:rPr>
          <w:rFonts w:ascii="Arial" w:hAnsi="Arial" w:cs="Arial"/>
          <w:b/>
          <w:bCs/>
          <w:sz w:val="20"/>
        </w:rPr>
      </w:pPr>
      <w:bookmarkStart w:id="488" w:name="_4.5.1_Parental_responsibility"/>
      <w:bookmarkStart w:id="489" w:name="B451"/>
      <w:bookmarkStart w:id="490" w:name="_Toc30644645"/>
      <w:bookmarkStart w:id="491" w:name="_Toc30645195"/>
      <w:bookmarkStart w:id="492" w:name="_Toc30646406"/>
      <w:bookmarkStart w:id="493" w:name="_Toc30646701"/>
      <w:bookmarkStart w:id="494" w:name="_Toc30646812"/>
      <w:bookmarkStart w:id="495" w:name="_Toc30648169"/>
      <w:bookmarkStart w:id="496" w:name="_Toc30649067"/>
      <w:bookmarkStart w:id="497" w:name="_Toc30649143"/>
      <w:bookmarkStart w:id="498" w:name="_Toc30649404"/>
      <w:bookmarkStart w:id="499" w:name="_Toc30649729"/>
      <w:bookmarkStart w:id="500" w:name="_Toc30651669"/>
      <w:bookmarkStart w:id="501" w:name="_Toc30652659"/>
      <w:bookmarkStart w:id="502" w:name="_Toc30652755"/>
      <w:bookmarkStart w:id="503" w:name="_Toc30654100"/>
      <w:bookmarkStart w:id="504" w:name="_Toc30654451"/>
      <w:bookmarkStart w:id="505" w:name="_Toc30655070"/>
      <w:bookmarkStart w:id="506" w:name="_Toc30655327"/>
      <w:bookmarkStart w:id="507" w:name="_Toc30657005"/>
      <w:bookmarkStart w:id="508" w:name="_Toc30661754"/>
      <w:bookmarkStart w:id="509" w:name="_Toc30666442"/>
      <w:bookmarkStart w:id="510" w:name="_Toc30666672"/>
      <w:bookmarkStart w:id="511" w:name="_Toc30667847"/>
      <w:bookmarkStart w:id="512" w:name="_Toc30669225"/>
      <w:bookmarkStart w:id="513" w:name="_Toc30671441"/>
      <w:bookmarkStart w:id="514" w:name="_Toc30673968"/>
      <w:bookmarkStart w:id="515" w:name="_Toc30691190"/>
      <w:bookmarkStart w:id="516" w:name="_Toc30691563"/>
      <w:bookmarkStart w:id="517" w:name="_Toc30691943"/>
      <w:bookmarkStart w:id="518" w:name="_Toc30692702"/>
      <w:bookmarkStart w:id="519" w:name="_Toc30693081"/>
      <w:bookmarkStart w:id="520" w:name="_Toc30693459"/>
      <w:bookmarkStart w:id="521" w:name="_Toc30693837"/>
      <w:bookmarkStart w:id="522" w:name="_Toc30694218"/>
      <w:bookmarkStart w:id="523" w:name="_Toc30698807"/>
      <w:bookmarkStart w:id="524" w:name="_Toc30699185"/>
      <w:bookmarkStart w:id="525" w:name="_Toc30699570"/>
      <w:bookmarkStart w:id="526" w:name="_Toc30700725"/>
      <w:bookmarkStart w:id="527" w:name="_Toc30701112"/>
      <w:bookmarkStart w:id="528" w:name="_Toc30743721"/>
      <w:bookmarkStart w:id="529" w:name="_Toc30754544"/>
      <w:bookmarkStart w:id="530" w:name="_Toc30756984"/>
      <w:bookmarkStart w:id="531" w:name="_Toc30757533"/>
      <w:bookmarkStart w:id="532" w:name="_Toc30757933"/>
      <w:bookmarkStart w:id="533" w:name="_Toc30762694"/>
      <w:bookmarkStart w:id="534" w:name="_Toc30767348"/>
      <w:bookmarkStart w:id="535" w:name="_Toc34823364"/>
      <w:bookmarkEnd w:id="488"/>
      <w:bookmarkEnd w:id="489"/>
      <w:r>
        <w:rPr>
          <w:rFonts w:ascii="Arial" w:hAnsi="Arial" w:cs="Arial"/>
          <w:b/>
          <w:bCs/>
          <w:sz w:val="20"/>
        </w:rPr>
        <w:t>4.5.1</w:t>
      </w:r>
      <w:r>
        <w:rPr>
          <w:rFonts w:ascii="Arial" w:hAnsi="Arial" w:cs="Arial"/>
          <w:b/>
          <w:bCs/>
          <w:sz w:val="20"/>
        </w:rPr>
        <w:tab/>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00F47C45">
        <w:rPr>
          <w:rFonts w:ascii="Arial" w:hAnsi="Arial" w:cs="Arial"/>
          <w:b/>
          <w:bCs/>
          <w:sz w:val="20"/>
        </w:rPr>
        <w:t>Parental responsibility</w:t>
      </w:r>
      <w:r w:rsidR="00BF320F">
        <w:rPr>
          <w:rFonts w:ascii="Arial" w:hAnsi="Arial" w:cs="Arial"/>
          <w:b/>
          <w:bCs/>
          <w:sz w:val="20"/>
        </w:rPr>
        <w:t xml:space="preserve"> – Major long-term issue</w:t>
      </w:r>
    </w:p>
    <w:p w14:paraId="08F99A2A" w14:textId="77777777" w:rsidR="00693223" w:rsidRDefault="00693223">
      <w:pPr>
        <w:jc w:val="both"/>
        <w:rPr>
          <w:rFonts w:ascii="Arial" w:hAnsi="Arial" w:cs="Arial"/>
          <w:sz w:val="20"/>
        </w:rPr>
      </w:pPr>
    </w:p>
    <w:p w14:paraId="6A9C04E3" w14:textId="77777777" w:rsidR="00693223" w:rsidRDefault="00F47C45">
      <w:pPr>
        <w:jc w:val="both"/>
        <w:rPr>
          <w:rFonts w:ascii="Arial" w:hAnsi="Arial" w:cs="Arial"/>
          <w:color w:val="000000"/>
          <w:sz w:val="20"/>
        </w:rPr>
      </w:pPr>
      <w:r>
        <w:rPr>
          <w:rFonts w:ascii="Arial" w:hAnsi="Arial" w:cs="Arial"/>
          <w:sz w:val="20"/>
        </w:rPr>
        <w:t xml:space="preserve">In s.3(1) of the </w:t>
      </w:r>
      <w:r w:rsidR="00693223">
        <w:rPr>
          <w:rFonts w:ascii="Arial" w:hAnsi="Arial" w:cs="Arial"/>
          <w:sz w:val="20"/>
        </w:rPr>
        <w:t>CY</w:t>
      </w:r>
      <w:r w:rsidR="00242170">
        <w:rPr>
          <w:rFonts w:ascii="Arial" w:hAnsi="Arial" w:cs="Arial"/>
          <w:sz w:val="20"/>
        </w:rPr>
        <w:t>F</w:t>
      </w:r>
      <w:r w:rsidR="00693223">
        <w:rPr>
          <w:rFonts w:ascii="Arial" w:hAnsi="Arial" w:cs="Arial"/>
          <w:sz w:val="20"/>
        </w:rPr>
        <w:t xml:space="preserve">A </w:t>
      </w:r>
      <w:r w:rsidR="00C31E36">
        <w:rPr>
          <w:rFonts w:ascii="Arial" w:hAnsi="Arial" w:cs="Arial"/>
          <w:sz w:val="20"/>
        </w:rPr>
        <w:t>‘</w:t>
      </w:r>
      <w:r>
        <w:rPr>
          <w:rFonts w:ascii="Arial" w:hAnsi="Arial" w:cs="Arial"/>
          <w:sz w:val="20"/>
        </w:rPr>
        <w:t>parental responsibility</w:t>
      </w:r>
      <w:r w:rsidR="00C31E36">
        <w:rPr>
          <w:rFonts w:ascii="Arial" w:hAnsi="Arial" w:cs="Arial"/>
          <w:sz w:val="20"/>
        </w:rPr>
        <w:t>’</w:t>
      </w:r>
      <w:r>
        <w:rPr>
          <w:rFonts w:ascii="Arial" w:hAnsi="Arial" w:cs="Arial"/>
          <w:sz w:val="20"/>
        </w:rPr>
        <w:t xml:space="preserve">, in relation to a child, is </w:t>
      </w:r>
      <w:r w:rsidR="00693223">
        <w:rPr>
          <w:rFonts w:ascii="Arial" w:hAnsi="Arial" w:cs="Arial"/>
          <w:sz w:val="20"/>
        </w:rPr>
        <w:t>define</w:t>
      </w:r>
      <w:r>
        <w:rPr>
          <w:rFonts w:ascii="Arial" w:hAnsi="Arial" w:cs="Arial"/>
          <w:sz w:val="20"/>
        </w:rPr>
        <w:t>d</w:t>
      </w:r>
      <w:r w:rsidR="00693223">
        <w:rPr>
          <w:rFonts w:ascii="Arial" w:hAnsi="Arial" w:cs="Arial"/>
          <w:sz w:val="20"/>
        </w:rPr>
        <w:t xml:space="preserve"> </w:t>
      </w:r>
      <w:r w:rsidR="00C31E36">
        <w:rPr>
          <w:rFonts w:ascii="Arial" w:hAnsi="Arial" w:cs="Arial"/>
          <w:sz w:val="20"/>
        </w:rPr>
        <w:t xml:space="preserve">as </w:t>
      </w:r>
      <w:r w:rsidR="00C31E36">
        <w:rPr>
          <w:rFonts w:ascii="Arial" w:hAnsi="Arial" w:cs="Arial"/>
          <w:color w:val="000000"/>
          <w:sz w:val="20"/>
        </w:rPr>
        <w:t>“all the duties, powers, responsibilities and authority which, by law or custom, parents have in relation to children”.</w:t>
      </w:r>
      <w:r w:rsidR="006909C2">
        <w:rPr>
          <w:rFonts w:ascii="Arial" w:hAnsi="Arial" w:cs="Arial"/>
          <w:color w:val="000000"/>
          <w:sz w:val="20"/>
        </w:rPr>
        <w:t xml:space="preserve">  This encompasses all the duties, powers and responsibilities which were previously characterized as relating to ‘custody’ and ‘guardianship’.  In the absence of a court order to the contrary, the parents of a child have joint parental responsibility for the child.</w:t>
      </w:r>
    </w:p>
    <w:p w14:paraId="7E746B2D" w14:textId="77777777" w:rsidR="006909C2" w:rsidRDefault="006909C2" w:rsidP="0014199B">
      <w:pPr>
        <w:jc w:val="both"/>
        <w:rPr>
          <w:rFonts w:ascii="Arial" w:hAnsi="Arial" w:cs="Arial"/>
          <w:sz w:val="20"/>
        </w:rPr>
      </w:pPr>
    </w:p>
    <w:p w14:paraId="5340A112" w14:textId="77777777" w:rsidR="006909C2" w:rsidRPr="006909C2" w:rsidRDefault="006909C2" w:rsidP="006909C2">
      <w:pPr>
        <w:tabs>
          <w:tab w:val="left" w:pos="363"/>
        </w:tabs>
        <w:jc w:val="both"/>
        <w:rPr>
          <w:rFonts w:ascii="Arial" w:hAnsi="Arial" w:cs="Arial"/>
          <w:color w:val="000000"/>
          <w:sz w:val="20"/>
        </w:rPr>
      </w:pPr>
      <w:r>
        <w:rPr>
          <w:rFonts w:ascii="Arial" w:hAnsi="Arial" w:cs="Arial"/>
          <w:sz w:val="20"/>
        </w:rPr>
        <w:t xml:space="preserve">In s.3(1) of the CYFA ‘major long-term issue’, in relation to a child, is defined as </w:t>
      </w:r>
      <w:r>
        <w:rPr>
          <w:rFonts w:ascii="Arial" w:hAnsi="Arial" w:cs="Arial"/>
          <w:color w:val="000000"/>
          <w:sz w:val="20"/>
        </w:rPr>
        <w:t>“</w:t>
      </w:r>
      <w:r w:rsidRPr="006909C2">
        <w:rPr>
          <w:rFonts w:ascii="Arial" w:hAnsi="Arial" w:cs="Arial"/>
          <w:color w:val="000000"/>
          <w:sz w:val="20"/>
        </w:rPr>
        <w:t>an issue about the care, wellbeing and development of the child that is of a long-term nature and includes an issue of that nature about–</w:t>
      </w:r>
    </w:p>
    <w:p w14:paraId="717015F7" w14:textId="77777777" w:rsidR="006909C2" w:rsidRPr="006909C2" w:rsidRDefault="006909C2">
      <w:pPr>
        <w:numPr>
          <w:ilvl w:val="0"/>
          <w:numId w:val="37"/>
        </w:numPr>
        <w:tabs>
          <w:tab w:val="clear" w:pos="717"/>
        </w:tabs>
        <w:spacing w:line="240" w:lineRule="exact"/>
        <w:ind w:left="357" w:hanging="357"/>
        <w:jc w:val="both"/>
        <w:rPr>
          <w:rFonts w:ascii="Arial" w:hAnsi="Arial" w:cs="Arial"/>
          <w:color w:val="000000"/>
          <w:sz w:val="20"/>
        </w:rPr>
      </w:pPr>
      <w:r w:rsidRPr="006909C2">
        <w:rPr>
          <w:rFonts w:ascii="Arial" w:hAnsi="Arial" w:cs="Arial"/>
          <w:color w:val="000000"/>
          <w:sz w:val="20"/>
        </w:rPr>
        <w:t>the child’s education (both current or future); and</w:t>
      </w:r>
    </w:p>
    <w:p w14:paraId="74078A2E" w14:textId="77777777" w:rsidR="006909C2" w:rsidRPr="006909C2" w:rsidRDefault="006909C2">
      <w:pPr>
        <w:numPr>
          <w:ilvl w:val="0"/>
          <w:numId w:val="37"/>
        </w:numPr>
        <w:tabs>
          <w:tab w:val="clear" w:pos="717"/>
        </w:tabs>
        <w:spacing w:line="240" w:lineRule="exact"/>
        <w:ind w:left="357" w:hanging="357"/>
        <w:jc w:val="both"/>
        <w:rPr>
          <w:rFonts w:ascii="Arial" w:hAnsi="Arial" w:cs="Arial"/>
          <w:color w:val="000000"/>
          <w:sz w:val="20"/>
        </w:rPr>
      </w:pPr>
      <w:r w:rsidRPr="006909C2">
        <w:rPr>
          <w:rFonts w:ascii="Arial" w:hAnsi="Arial" w:cs="Arial"/>
          <w:color w:val="000000"/>
          <w:sz w:val="20"/>
        </w:rPr>
        <w:t>the child’s religious and cultural upbringing; and</w:t>
      </w:r>
    </w:p>
    <w:p w14:paraId="604D04D0" w14:textId="77777777" w:rsidR="006909C2" w:rsidRPr="006909C2" w:rsidRDefault="006909C2">
      <w:pPr>
        <w:numPr>
          <w:ilvl w:val="0"/>
          <w:numId w:val="37"/>
        </w:numPr>
        <w:tabs>
          <w:tab w:val="clear" w:pos="717"/>
        </w:tabs>
        <w:spacing w:line="240" w:lineRule="exact"/>
        <w:ind w:left="357" w:hanging="357"/>
        <w:jc w:val="both"/>
        <w:rPr>
          <w:rFonts w:ascii="Arial" w:hAnsi="Arial" w:cs="Arial"/>
          <w:color w:val="000000"/>
          <w:sz w:val="20"/>
        </w:rPr>
      </w:pPr>
      <w:r w:rsidRPr="006909C2">
        <w:rPr>
          <w:rFonts w:ascii="Arial" w:hAnsi="Arial" w:cs="Arial"/>
          <w:color w:val="000000"/>
          <w:sz w:val="20"/>
        </w:rPr>
        <w:t>the child’s health; and</w:t>
      </w:r>
    </w:p>
    <w:p w14:paraId="05BE9461" w14:textId="77777777" w:rsidR="006909C2" w:rsidRPr="006909C2" w:rsidRDefault="006909C2">
      <w:pPr>
        <w:numPr>
          <w:ilvl w:val="0"/>
          <w:numId w:val="37"/>
        </w:numPr>
        <w:tabs>
          <w:tab w:val="clear" w:pos="717"/>
        </w:tabs>
        <w:spacing w:line="240" w:lineRule="exact"/>
        <w:ind w:left="357" w:hanging="357"/>
        <w:jc w:val="both"/>
        <w:rPr>
          <w:rFonts w:ascii="Arial" w:hAnsi="Arial" w:cs="Arial"/>
          <w:color w:val="000000"/>
          <w:sz w:val="20"/>
        </w:rPr>
      </w:pPr>
      <w:r w:rsidRPr="006909C2">
        <w:rPr>
          <w:rFonts w:ascii="Arial" w:hAnsi="Arial" w:cs="Arial"/>
          <w:color w:val="000000"/>
          <w:sz w:val="20"/>
        </w:rPr>
        <w:t>the child’s name.”</w:t>
      </w:r>
    </w:p>
    <w:p w14:paraId="7B4F0787" w14:textId="77777777" w:rsidR="006909C2" w:rsidRDefault="006909C2" w:rsidP="006909C2">
      <w:pPr>
        <w:jc w:val="both"/>
        <w:rPr>
          <w:rFonts w:ascii="Arial" w:hAnsi="Arial" w:cs="Arial"/>
          <w:sz w:val="20"/>
        </w:rPr>
      </w:pPr>
      <w:r>
        <w:rPr>
          <w:rFonts w:ascii="Arial" w:hAnsi="Arial" w:cs="Arial"/>
          <w:sz w:val="20"/>
        </w:rPr>
        <w:t>These are the issues that were previously categorized as ‘guardianship issues’.</w:t>
      </w:r>
    </w:p>
    <w:p w14:paraId="21E0D263" w14:textId="77777777" w:rsidR="006909C2" w:rsidRDefault="006909C2" w:rsidP="006909C2">
      <w:pPr>
        <w:jc w:val="both"/>
        <w:rPr>
          <w:rFonts w:ascii="Arial" w:hAnsi="Arial" w:cs="Arial"/>
          <w:color w:val="000000"/>
          <w:sz w:val="20"/>
        </w:rPr>
      </w:pPr>
    </w:p>
    <w:p w14:paraId="48F3DBAF" w14:textId="77777777" w:rsidR="006909C2" w:rsidRDefault="006909C2" w:rsidP="006909C2">
      <w:pPr>
        <w:pStyle w:val="Heading3"/>
        <w:keepNext/>
        <w:spacing w:line="240" w:lineRule="auto"/>
        <w:rPr>
          <w:rFonts w:ascii="Arial" w:hAnsi="Arial" w:cs="Arial"/>
          <w:b/>
          <w:bCs/>
          <w:sz w:val="20"/>
        </w:rPr>
      </w:pPr>
      <w:bookmarkStart w:id="536" w:name="_4.5.2_Where_carer"/>
      <w:bookmarkStart w:id="537" w:name="B452"/>
      <w:bookmarkEnd w:id="536"/>
      <w:bookmarkEnd w:id="537"/>
      <w:r>
        <w:rPr>
          <w:rFonts w:ascii="Arial" w:hAnsi="Arial" w:cs="Arial"/>
          <w:b/>
          <w:bCs/>
          <w:sz w:val="20"/>
        </w:rPr>
        <w:t>4.5.</w:t>
      </w:r>
      <w:r w:rsidR="00BF320F">
        <w:rPr>
          <w:rFonts w:ascii="Arial" w:hAnsi="Arial" w:cs="Arial"/>
          <w:b/>
          <w:bCs/>
          <w:sz w:val="20"/>
        </w:rPr>
        <w:t>2</w:t>
      </w:r>
      <w:r>
        <w:rPr>
          <w:rFonts w:ascii="Arial" w:hAnsi="Arial" w:cs="Arial"/>
          <w:b/>
          <w:bCs/>
          <w:sz w:val="20"/>
        </w:rPr>
        <w:tab/>
      </w:r>
      <w:r w:rsidR="00787E9B">
        <w:rPr>
          <w:rFonts w:ascii="Arial" w:hAnsi="Arial" w:cs="Arial"/>
          <w:b/>
          <w:bCs/>
          <w:sz w:val="20"/>
        </w:rPr>
        <w:t>W</w:t>
      </w:r>
      <w:r w:rsidR="00646C1A">
        <w:rPr>
          <w:rFonts w:ascii="Arial" w:hAnsi="Arial" w:cs="Arial"/>
          <w:b/>
          <w:bCs/>
          <w:sz w:val="20"/>
        </w:rPr>
        <w:t>here carer may exercise parental responsibility</w:t>
      </w:r>
    </w:p>
    <w:p w14:paraId="4E3F997F" w14:textId="77777777" w:rsidR="006909C2" w:rsidRDefault="006909C2" w:rsidP="0014199B">
      <w:pPr>
        <w:jc w:val="both"/>
        <w:rPr>
          <w:rFonts w:ascii="Arial" w:hAnsi="Arial" w:cs="Arial"/>
          <w:sz w:val="20"/>
        </w:rPr>
      </w:pPr>
    </w:p>
    <w:p w14:paraId="78F07D91" w14:textId="77777777" w:rsidR="00BF320F" w:rsidRPr="00BF320F" w:rsidRDefault="00BF320F" w:rsidP="0014199B">
      <w:pPr>
        <w:jc w:val="both"/>
        <w:rPr>
          <w:rFonts w:ascii="Arial" w:hAnsi="Arial" w:cs="Arial"/>
          <w:color w:val="000000"/>
          <w:sz w:val="20"/>
        </w:rPr>
      </w:pPr>
      <w:r>
        <w:rPr>
          <w:rFonts w:ascii="Arial" w:hAnsi="Arial" w:cs="Arial"/>
          <w:sz w:val="20"/>
        </w:rPr>
        <w:t xml:space="preserve">Section 175A of the CYFA – in operation since 10/09/2014 but amended as and from 01/03/2016 – empowers the Secretary </w:t>
      </w:r>
      <w:r w:rsidR="00785D2D">
        <w:rPr>
          <w:rFonts w:ascii="Arial" w:hAnsi="Arial" w:cs="Arial"/>
          <w:sz w:val="20"/>
        </w:rPr>
        <w:t>DFFH</w:t>
      </w:r>
      <w:r>
        <w:rPr>
          <w:rFonts w:ascii="Arial" w:hAnsi="Arial" w:cs="Arial"/>
          <w:sz w:val="20"/>
        </w:rPr>
        <w:t xml:space="preserve"> to </w:t>
      </w:r>
      <w:r w:rsidRPr="00BF320F">
        <w:rPr>
          <w:rFonts w:ascii="Arial" w:hAnsi="Arial" w:cs="Arial"/>
          <w:color w:val="000000"/>
          <w:sz w:val="20"/>
        </w:rPr>
        <w:t>specify certain issues relating to a child in out of home care about which a person who has care of the child may be authorised under s.175B to make decisions.  Examples given include-</w:t>
      </w:r>
    </w:p>
    <w:p w14:paraId="3D0E1B1D" w14:textId="77777777" w:rsidR="00BF320F" w:rsidRDefault="00BF320F" w:rsidP="0014199B">
      <w:pPr>
        <w:numPr>
          <w:ilvl w:val="0"/>
          <w:numId w:val="1"/>
        </w:numPr>
        <w:tabs>
          <w:tab w:val="num" w:pos="723"/>
        </w:tabs>
        <w:jc w:val="both"/>
        <w:rPr>
          <w:rFonts w:ascii="Arial" w:hAnsi="Arial" w:cs="Arial"/>
          <w:sz w:val="20"/>
        </w:rPr>
      </w:pPr>
      <w:r w:rsidRPr="00BF320F">
        <w:rPr>
          <w:rFonts w:ascii="Arial" w:hAnsi="Arial" w:cs="Arial"/>
          <w:color w:val="000000"/>
          <w:sz w:val="20"/>
        </w:rPr>
        <w:t>the signing of school consent forms;</w:t>
      </w:r>
    </w:p>
    <w:p w14:paraId="6132EFB0" w14:textId="77777777" w:rsidR="00BF320F" w:rsidRDefault="00BF320F" w:rsidP="0014199B">
      <w:pPr>
        <w:numPr>
          <w:ilvl w:val="0"/>
          <w:numId w:val="1"/>
        </w:numPr>
        <w:tabs>
          <w:tab w:val="num" w:pos="723"/>
        </w:tabs>
        <w:jc w:val="both"/>
        <w:rPr>
          <w:rFonts w:ascii="Arial" w:hAnsi="Arial" w:cs="Arial"/>
          <w:sz w:val="20"/>
        </w:rPr>
      </w:pPr>
      <w:r w:rsidRPr="00BF320F">
        <w:rPr>
          <w:rFonts w:ascii="Arial" w:hAnsi="Arial" w:cs="Arial"/>
          <w:color w:val="000000"/>
          <w:sz w:val="20"/>
        </w:rPr>
        <w:t>obtaining routine medical care for the child;</w:t>
      </w:r>
    </w:p>
    <w:p w14:paraId="7A223011" w14:textId="77777777" w:rsidR="00BF320F" w:rsidRDefault="00BF320F" w:rsidP="0014199B">
      <w:pPr>
        <w:numPr>
          <w:ilvl w:val="0"/>
          <w:numId w:val="1"/>
        </w:numPr>
        <w:tabs>
          <w:tab w:val="num" w:pos="723"/>
        </w:tabs>
        <w:jc w:val="both"/>
        <w:rPr>
          <w:rFonts w:ascii="Arial" w:hAnsi="Arial" w:cs="Arial"/>
          <w:sz w:val="20"/>
        </w:rPr>
      </w:pPr>
      <w:r w:rsidRPr="00BF320F">
        <w:rPr>
          <w:rFonts w:ascii="Arial" w:hAnsi="Arial" w:cs="Arial"/>
          <w:color w:val="000000"/>
          <w:sz w:val="20"/>
        </w:rPr>
        <w:t>the day to day treatment of a child who suffers from a chronic or serious health condition.</w:t>
      </w:r>
    </w:p>
    <w:p w14:paraId="0C9AE30E" w14:textId="77777777" w:rsidR="006909C2" w:rsidRPr="00BF320F" w:rsidRDefault="00BF320F" w:rsidP="00BF320F">
      <w:pPr>
        <w:jc w:val="both"/>
        <w:rPr>
          <w:rFonts w:ascii="Arial" w:hAnsi="Arial" w:cs="Arial"/>
          <w:color w:val="000000"/>
          <w:sz w:val="16"/>
        </w:rPr>
      </w:pPr>
      <w:r w:rsidRPr="00BF320F">
        <w:rPr>
          <w:rFonts w:ascii="Arial" w:hAnsi="Arial" w:cs="Arial"/>
          <w:color w:val="000000"/>
          <w:sz w:val="20"/>
        </w:rPr>
        <w:t xml:space="preserve">The specification may relate either to a particular child, a child subject to a particular type of order or a person who provides a certain category of care.  </w:t>
      </w:r>
      <w:r>
        <w:rPr>
          <w:rFonts w:ascii="Arial" w:hAnsi="Arial" w:cs="Arial"/>
          <w:color w:val="000000"/>
          <w:sz w:val="20"/>
        </w:rPr>
        <w:t>However, i</w:t>
      </w:r>
      <w:r w:rsidRPr="00BF320F">
        <w:rPr>
          <w:rFonts w:ascii="Arial" w:hAnsi="Arial" w:cs="Arial"/>
          <w:color w:val="000000"/>
          <w:sz w:val="20"/>
        </w:rPr>
        <w:t>f the child is subject to an</w:t>
      </w:r>
      <w:r>
        <w:rPr>
          <w:rFonts w:ascii="Arial" w:hAnsi="Arial" w:cs="Arial"/>
          <w:color w:val="000000"/>
          <w:sz w:val="20"/>
        </w:rPr>
        <w:t xml:space="preserve"> interim accommodation order,</w:t>
      </w:r>
      <w:r w:rsidRPr="00BF320F">
        <w:rPr>
          <w:rFonts w:ascii="Arial" w:hAnsi="Arial" w:cs="Arial"/>
          <w:color w:val="000000"/>
          <w:sz w:val="20"/>
        </w:rPr>
        <w:t xml:space="preserve"> </w:t>
      </w:r>
      <w:r>
        <w:rPr>
          <w:rFonts w:ascii="Arial" w:hAnsi="Arial" w:cs="Arial"/>
          <w:color w:val="000000"/>
          <w:sz w:val="20"/>
        </w:rPr>
        <w:t>a family reunification order or a therapeutic treatment (placement) order</w:t>
      </w:r>
      <w:r w:rsidRPr="00BF320F">
        <w:rPr>
          <w:rFonts w:ascii="Arial" w:hAnsi="Arial" w:cs="Arial"/>
          <w:color w:val="000000"/>
          <w:sz w:val="20"/>
        </w:rPr>
        <w:t>, the specification must not relate to “a major long-term issue”.</w:t>
      </w:r>
    </w:p>
    <w:p w14:paraId="2D0552B3" w14:textId="77777777" w:rsidR="006909C2" w:rsidRDefault="006909C2">
      <w:pPr>
        <w:jc w:val="both"/>
        <w:rPr>
          <w:rFonts w:ascii="Arial" w:hAnsi="Arial" w:cs="Arial"/>
          <w:color w:val="000000"/>
          <w:sz w:val="20"/>
        </w:rPr>
      </w:pPr>
    </w:p>
    <w:p w14:paraId="404262DC" w14:textId="77777777" w:rsidR="00646C1A" w:rsidRDefault="00BF320F">
      <w:pPr>
        <w:jc w:val="both"/>
        <w:rPr>
          <w:rFonts w:ascii="Arial" w:hAnsi="Arial" w:cs="Arial"/>
          <w:color w:val="000000"/>
          <w:sz w:val="20"/>
          <w:szCs w:val="20"/>
        </w:rPr>
      </w:pPr>
      <w:r>
        <w:rPr>
          <w:rFonts w:ascii="Arial" w:hAnsi="Arial" w:cs="Arial"/>
          <w:color w:val="000000"/>
          <w:sz w:val="20"/>
        </w:rPr>
        <w:t>Section 175B of the CYFA – also in operation since 10</w:t>
      </w:r>
      <w:r w:rsidRPr="00BF320F">
        <w:rPr>
          <w:rFonts w:ascii="Arial" w:hAnsi="Arial" w:cs="Arial"/>
          <w:color w:val="000000"/>
          <w:sz w:val="20"/>
          <w:szCs w:val="20"/>
        </w:rPr>
        <w:t xml:space="preserve">/09/2014 but amended as and from 01/03/2016 – empowers the Secretary or the person in charge of an out of home care service to authorise a person who has care of a child placed in out of home care </w:t>
      </w:r>
      <w:r w:rsidR="00646C1A">
        <w:rPr>
          <w:rFonts w:ascii="Arial" w:hAnsi="Arial" w:cs="Arial"/>
          <w:color w:val="000000"/>
          <w:sz w:val="20"/>
          <w:szCs w:val="20"/>
        </w:rPr>
        <w:t>under-</w:t>
      </w:r>
    </w:p>
    <w:p w14:paraId="4DD776DA" w14:textId="77777777" w:rsidR="00646C1A" w:rsidRDefault="00646C1A">
      <w:pPr>
        <w:numPr>
          <w:ilvl w:val="0"/>
          <w:numId w:val="38"/>
        </w:numPr>
        <w:ind w:left="357" w:hanging="357"/>
        <w:jc w:val="both"/>
        <w:rPr>
          <w:rFonts w:ascii="Arial" w:hAnsi="Arial" w:cs="Arial"/>
          <w:color w:val="000000"/>
          <w:sz w:val="20"/>
          <w:szCs w:val="20"/>
        </w:rPr>
      </w:pPr>
      <w:r>
        <w:rPr>
          <w:rFonts w:ascii="Arial" w:hAnsi="Arial" w:cs="Arial"/>
          <w:color w:val="000000"/>
          <w:sz w:val="20"/>
          <w:szCs w:val="20"/>
        </w:rPr>
        <w:t>an interim accommodation order; or</w:t>
      </w:r>
    </w:p>
    <w:p w14:paraId="5DF7565F" w14:textId="77777777" w:rsidR="00646C1A" w:rsidRDefault="00646C1A">
      <w:pPr>
        <w:numPr>
          <w:ilvl w:val="0"/>
          <w:numId w:val="38"/>
        </w:numPr>
        <w:ind w:left="357" w:hanging="357"/>
        <w:jc w:val="both"/>
        <w:rPr>
          <w:rFonts w:ascii="Arial" w:hAnsi="Arial" w:cs="Arial"/>
          <w:color w:val="000000"/>
          <w:sz w:val="20"/>
          <w:szCs w:val="20"/>
        </w:rPr>
      </w:pPr>
      <w:r>
        <w:rPr>
          <w:rFonts w:ascii="Arial" w:hAnsi="Arial" w:cs="Arial"/>
          <w:color w:val="000000"/>
          <w:sz w:val="20"/>
          <w:szCs w:val="20"/>
        </w:rPr>
        <w:t>a protection order that confers parental responsibility on the Secretary-</w:t>
      </w:r>
    </w:p>
    <w:p w14:paraId="74B957CB" w14:textId="77777777" w:rsidR="00BF320F" w:rsidRDefault="00BF320F">
      <w:pPr>
        <w:jc w:val="both"/>
        <w:rPr>
          <w:rFonts w:ascii="Arial" w:hAnsi="Arial" w:cs="Arial"/>
          <w:color w:val="000000"/>
          <w:sz w:val="20"/>
        </w:rPr>
      </w:pPr>
      <w:r w:rsidRPr="00BF320F">
        <w:rPr>
          <w:rFonts w:ascii="Arial" w:hAnsi="Arial" w:cs="Arial"/>
          <w:color w:val="000000"/>
          <w:sz w:val="20"/>
          <w:szCs w:val="20"/>
        </w:rPr>
        <w:t xml:space="preserve">to make decisions </w:t>
      </w:r>
      <w:r w:rsidR="00646C1A">
        <w:rPr>
          <w:rFonts w:ascii="Arial" w:hAnsi="Arial" w:cs="Arial"/>
          <w:color w:val="000000"/>
          <w:sz w:val="20"/>
          <w:szCs w:val="20"/>
        </w:rPr>
        <w:t xml:space="preserve">in relation to the child </w:t>
      </w:r>
      <w:r w:rsidRPr="00BF320F">
        <w:rPr>
          <w:rFonts w:ascii="Arial" w:hAnsi="Arial" w:cs="Arial"/>
          <w:color w:val="000000"/>
          <w:sz w:val="20"/>
          <w:szCs w:val="20"/>
        </w:rPr>
        <w:t>on the issues specified by the Secretary under s.175A.</w:t>
      </w:r>
    </w:p>
    <w:p w14:paraId="056A0C6C" w14:textId="77777777" w:rsidR="00BF320F" w:rsidRDefault="00BF320F">
      <w:pPr>
        <w:jc w:val="both"/>
        <w:rPr>
          <w:rFonts w:ascii="Arial" w:hAnsi="Arial" w:cs="Arial"/>
          <w:color w:val="000000"/>
          <w:sz w:val="20"/>
        </w:rPr>
      </w:pPr>
    </w:p>
    <w:p w14:paraId="506B4082" w14:textId="77777777" w:rsidR="00693223" w:rsidRPr="008E0B61" w:rsidRDefault="00693223">
      <w:pPr>
        <w:pStyle w:val="Heading3"/>
        <w:spacing w:line="240" w:lineRule="auto"/>
        <w:rPr>
          <w:rFonts w:ascii="Arial" w:hAnsi="Arial" w:cs="Arial"/>
          <w:b/>
          <w:bCs/>
          <w:color w:val="000000"/>
          <w:sz w:val="20"/>
        </w:rPr>
      </w:pPr>
      <w:bookmarkStart w:id="538" w:name="_4.5.3_Contact"/>
      <w:bookmarkStart w:id="539" w:name="B453"/>
      <w:bookmarkStart w:id="540" w:name="_Toc30644647"/>
      <w:bookmarkStart w:id="541" w:name="_Toc30645197"/>
      <w:bookmarkStart w:id="542" w:name="_Toc30646408"/>
      <w:bookmarkStart w:id="543" w:name="_Toc30646703"/>
      <w:bookmarkStart w:id="544" w:name="_Toc30646814"/>
      <w:bookmarkStart w:id="545" w:name="_Toc30648171"/>
      <w:bookmarkStart w:id="546" w:name="_Toc30649069"/>
      <w:bookmarkStart w:id="547" w:name="_Toc30649145"/>
      <w:bookmarkStart w:id="548" w:name="_Toc30649406"/>
      <w:bookmarkStart w:id="549" w:name="_Toc30649731"/>
      <w:bookmarkStart w:id="550" w:name="_Toc30651671"/>
      <w:bookmarkStart w:id="551" w:name="_Toc30652661"/>
      <w:bookmarkStart w:id="552" w:name="_Toc30652757"/>
      <w:bookmarkStart w:id="553" w:name="_Toc30654102"/>
      <w:bookmarkStart w:id="554" w:name="_Toc30654453"/>
      <w:bookmarkStart w:id="555" w:name="_Toc30655072"/>
      <w:bookmarkStart w:id="556" w:name="_Toc30655329"/>
      <w:bookmarkStart w:id="557" w:name="_Toc30657007"/>
      <w:bookmarkStart w:id="558" w:name="_Toc30661756"/>
      <w:bookmarkStart w:id="559" w:name="_Toc30666444"/>
      <w:bookmarkStart w:id="560" w:name="_Toc30666674"/>
      <w:bookmarkStart w:id="561" w:name="_Toc30667849"/>
      <w:bookmarkStart w:id="562" w:name="_Toc30669227"/>
      <w:bookmarkStart w:id="563" w:name="_Toc30671443"/>
      <w:bookmarkStart w:id="564" w:name="_Toc30673970"/>
      <w:bookmarkStart w:id="565" w:name="_Toc30691192"/>
      <w:bookmarkStart w:id="566" w:name="_Toc30691565"/>
      <w:bookmarkStart w:id="567" w:name="_Toc30691945"/>
      <w:bookmarkStart w:id="568" w:name="_Toc30692704"/>
      <w:bookmarkStart w:id="569" w:name="_Toc30693083"/>
      <w:bookmarkStart w:id="570" w:name="_Toc30693461"/>
      <w:bookmarkStart w:id="571" w:name="_Toc30693839"/>
      <w:bookmarkStart w:id="572" w:name="_Toc30694220"/>
      <w:bookmarkStart w:id="573" w:name="_Toc30698809"/>
      <w:bookmarkStart w:id="574" w:name="_Toc30699187"/>
      <w:bookmarkStart w:id="575" w:name="_Toc30699572"/>
      <w:bookmarkStart w:id="576" w:name="_Toc30700727"/>
      <w:bookmarkStart w:id="577" w:name="_Toc30701114"/>
      <w:bookmarkStart w:id="578" w:name="_Toc30743723"/>
      <w:bookmarkStart w:id="579" w:name="_Toc30754546"/>
      <w:bookmarkStart w:id="580" w:name="_Toc30756986"/>
      <w:bookmarkStart w:id="581" w:name="_Toc30757535"/>
      <w:bookmarkStart w:id="582" w:name="_Toc30757935"/>
      <w:bookmarkStart w:id="583" w:name="_Toc30762696"/>
      <w:bookmarkStart w:id="584" w:name="_Toc30767350"/>
      <w:bookmarkStart w:id="585" w:name="_Toc34823366"/>
      <w:bookmarkEnd w:id="538"/>
      <w:bookmarkEnd w:id="539"/>
      <w:r w:rsidRPr="008E0B61">
        <w:rPr>
          <w:rFonts w:ascii="Arial" w:hAnsi="Arial" w:cs="Arial"/>
          <w:b/>
          <w:bCs/>
          <w:color w:val="000000"/>
          <w:sz w:val="20"/>
        </w:rPr>
        <w:t>4.5.3</w:t>
      </w:r>
      <w:r w:rsidRPr="008E0B61">
        <w:rPr>
          <w:rFonts w:ascii="Arial" w:hAnsi="Arial" w:cs="Arial"/>
          <w:b/>
          <w:bCs/>
          <w:color w:val="000000"/>
          <w:sz w:val="20"/>
        </w:rPr>
        <w:tab/>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00502296" w:rsidRPr="008E0B61">
        <w:rPr>
          <w:rFonts w:ascii="Arial" w:hAnsi="Arial" w:cs="Arial"/>
          <w:b/>
          <w:bCs/>
          <w:color w:val="000000"/>
          <w:sz w:val="20"/>
        </w:rPr>
        <w:t>Contact</w:t>
      </w:r>
    </w:p>
    <w:p w14:paraId="3D969AB0" w14:textId="77777777" w:rsidR="00693223" w:rsidRPr="005132A0" w:rsidRDefault="00693223">
      <w:pPr>
        <w:jc w:val="both"/>
        <w:rPr>
          <w:rFonts w:ascii="Arial" w:hAnsi="Arial" w:cs="Arial"/>
          <w:color w:val="000000"/>
          <w:sz w:val="20"/>
        </w:rPr>
      </w:pPr>
    </w:p>
    <w:p w14:paraId="55B91526" w14:textId="77777777" w:rsidR="00693223" w:rsidRPr="008E0B61" w:rsidRDefault="00693223">
      <w:pPr>
        <w:jc w:val="both"/>
        <w:rPr>
          <w:rFonts w:ascii="Arial" w:hAnsi="Arial" w:cs="Arial"/>
          <w:color w:val="000000"/>
          <w:sz w:val="20"/>
        </w:rPr>
      </w:pPr>
      <w:r w:rsidRPr="008E0B61">
        <w:rPr>
          <w:rFonts w:ascii="Arial" w:hAnsi="Arial" w:cs="Arial"/>
          <w:color w:val="000000"/>
          <w:sz w:val="20"/>
        </w:rPr>
        <w:t>In s.3 of the CY</w:t>
      </w:r>
      <w:r w:rsidR="00242170" w:rsidRPr="008E0B61">
        <w:rPr>
          <w:rFonts w:ascii="Arial" w:hAnsi="Arial" w:cs="Arial"/>
          <w:color w:val="000000"/>
          <w:sz w:val="20"/>
        </w:rPr>
        <w:t>F</w:t>
      </w:r>
      <w:r w:rsidRPr="008E0B61">
        <w:rPr>
          <w:rFonts w:ascii="Arial" w:hAnsi="Arial" w:cs="Arial"/>
          <w:color w:val="000000"/>
          <w:sz w:val="20"/>
        </w:rPr>
        <w:t>A, '</w:t>
      </w:r>
      <w:r w:rsidR="00502296" w:rsidRPr="008E0B61">
        <w:rPr>
          <w:rFonts w:ascii="Arial" w:hAnsi="Arial" w:cs="Arial"/>
          <w:color w:val="000000"/>
          <w:sz w:val="20"/>
        </w:rPr>
        <w:t>contact</w:t>
      </w:r>
      <w:r w:rsidRPr="008E0B61">
        <w:rPr>
          <w:rFonts w:ascii="Arial" w:hAnsi="Arial" w:cs="Arial"/>
          <w:color w:val="000000"/>
          <w:sz w:val="20"/>
        </w:rPr>
        <w:t xml:space="preserve">' is defined as the contact of a child with a person who does not have </w:t>
      </w:r>
      <w:r w:rsidR="00646C1A">
        <w:rPr>
          <w:rFonts w:ascii="Arial" w:hAnsi="Arial" w:cs="Arial"/>
          <w:color w:val="000000"/>
          <w:sz w:val="20"/>
        </w:rPr>
        <w:t>care</w:t>
      </w:r>
      <w:r w:rsidRPr="008E0B61">
        <w:rPr>
          <w:rFonts w:ascii="Arial" w:hAnsi="Arial" w:cs="Arial"/>
          <w:color w:val="000000"/>
          <w:sz w:val="20"/>
        </w:rPr>
        <w:t xml:space="preserve"> of the child by way of-</w:t>
      </w:r>
    </w:p>
    <w:p w14:paraId="386D2A06" w14:textId="77777777" w:rsidR="00693223" w:rsidRPr="008E0B61" w:rsidRDefault="00693223">
      <w:pPr>
        <w:ind w:left="363" w:hanging="363"/>
        <w:jc w:val="both"/>
        <w:rPr>
          <w:rFonts w:ascii="Arial" w:hAnsi="Arial" w:cs="Arial"/>
          <w:color w:val="000000"/>
          <w:sz w:val="20"/>
        </w:rPr>
      </w:pPr>
      <w:r w:rsidRPr="008E0B61">
        <w:rPr>
          <w:rFonts w:ascii="Arial" w:hAnsi="Arial" w:cs="Arial"/>
          <w:color w:val="000000"/>
          <w:sz w:val="20"/>
        </w:rPr>
        <w:t>(a)</w:t>
      </w:r>
      <w:r w:rsidRPr="008E0B61">
        <w:rPr>
          <w:rFonts w:ascii="Arial" w:hAnsi="Arial" w:cs="Arial"/>
          <w:color w:val="000000"/>
          <w:sz w:val="20"/>
        </w:rPr>
        <w:tab/>
        <w:t>a visit by or to that person, including attendance for a period of time at a place other than the child's usual place of residence; or</w:t>
      </w:r>
    </w:p>
    <w:p w14:paraId="4EF1EC24" w14:textId="77777777" w:rsidR="00242170" w:rsidRPr="008E0B61" w:rsidRDefault="00693223">
      <w:pPr>
        <w:ind w:left="363" w:hanging="363"/>
        <w:jc w:val="both"/>
        <w:rPr>
          <w:rFonts w:ascii="Arial" w:hAnsi="Arial" w:cs="Arial"/>
          <w:color w:val="000000"/>
          <w:sz w:val="20"/>
        </w:rPr>
      </w:pPr>
      <w:r w:rsidRPr="008E0B61">
        <w:rPr>
          <w:rFonts w:ascii="Arial" w:hAnsi="Arial" w:cs="Arial"/>
          <w:color w:val="000000"/>
          <w:sz w:val="20"/>
        </w:rPr>
        <w:t>(b)</w:t>
      </w:r>
      <w:r w:rsidRPr="008E0B61">
        <w:rPr>
          <w:rFonts w:ascii="Arial" w:hAnsi="Arial" w:cs="Arial"/>
          <w:color w:val="000000"/>
          <w:sz w:val="20"/>
        </w:rPr>
        <w:tab/>
        <w:t>communication with that person by letter, telephone or other means</w:t>
      </w:r>
      <w:r w:rsidR="00242170" w:rsidRPr="008E0B61">
        <w:rPr>
          <w:rFonts w:ascii="Arial" w:hAnsi="Arial" w:cs="Arial"/>
          <w:color w:val="000000"/>
          <w:sz w:val="20"/>
        </w:rPr>
        <w:t>-</w:t>
      </w:r>
    </w:p>
    <w:p w14:paraId="31FCF141" w14:textId="77777777" w:rsidR="00693223" w:rsidRPr="008E0B61" w:rsidRDefault="00693223">
      <w:pPr>
        <w:ind w:left="363" w:hanging="363"/>
        <w:jc w:val="both"/>
        <w:rPr>
          <w:rFonts w:ascii="Arial" w:hAnsi="Arial" w:cs="Arial"/>
          <w:color w:val="000000"/>
          <w:sz w:val="20"/>
        </w:rPr>
      </w:pPr>
      <w:r w:rsidRPr="008E0B61">
        <w:rPr>
          <w:rFonts w:ascii="Arial" w:hAnsi="Arial" w:cs="Arial"/>
          <w:color w:val="000000"/>
          <w:sz w:val="20"/>
        </w:rPr>
        <w:t xml:space="preserve">and includes overnight </w:t>
      </w:r>
      <w:r w:rsidR="00502296" w:rsidRPr="008E0B61">
        <w:rPr>
          <w:rFonts w:ascii="Arial" w:hAnsi="Arial" w:cs="Arial"/>
          <w:color w:val="000000"/>
          <w:sz w:val="20"/>
        </w:rPr>
        <w:t>contact</w:t>
      </w:r>
      <w:r w:rsidRPr="008E0B61">
        <w:rPr>
          <w:rFonts w:ascii="Arial" w:hAnsi="Arial" w:cs="Arial"/>
          <w:color w:val="000000"/>
          <w:sz w:val="20"/>
        </w:rPr>
        <w:t>.</w:t>
      </w:r>
    </w:p>
    <w:p w14:paraId="4FC00BBA" w14:textId="77777777" w:rsidR="00693223" w:rsidRPr="008E0B61" w:rsidRDefault="00693223">
      <w:pPr>
        <w:jc w:val="both"/>
        <w:rPr>
          <w:rFonts w:ascii="Arial" w:hAnsi="Arial" w:cs="Arial"/>
          <w:color w:val="000000"/>
          <w:sz w:val="18"/>
        </w:rPr>
      </w:pPr>
    </w:p>
    <w:p w14:paraId="158EB27E" w14:textId="77777777" w:rsidR="002F3870" w:rsidRPr="008E0B61" w:rsidRDefault="003B47AB">
      <w:pPr>
        <w:jc w:val="both"/>
        <w:rPr>
          <w:rFonts w:ascii="Arial" w:hAnsi="Arial" w:cs="Arial"/>
          <w:color w:val="000000"/>
          <w:sz w:val="20"/>
        </w:rPr>
      </w:pPr>
      <w:r>
        <w:rPr>
          <w:rFonts w:ascii="Arial" w:hAnsi="Arial" w:cs="Arial"/>
          <w:color w:val="000000"/>
          <w:sz w:val="20"/>
        </w:rPr>
        <w:t>In the CYFA, ‘</w:t>
      </w:r>
      <w:r w:rsidR="002F3870" w:rsidRPr="008E0B61">
        <w:rPr>
          <w:rFonts w:ascii="Arial" w:hAnsi="Arial" w:cs="Arial"/>
          <w:color w:val="000000"/>
          <w:sz w:val="20"/>
        </w:rPr>
        <w:t>contact</w:t>
      </w:r>
      <w:r>
        <w:rPr>
          <w:rFonts w:ascii="Arial" w:hAnsi="Arial" w:cs="Arial"/>
          <w:color w:val="000000"/>
          <w:sz w:val="20"/>
        </w:rPr>
        <w:t>’</w:t>
      </w:r>
      <w:r w:rsidR="002F3870" w:rsidRPr="008E0B61">
        <w:rPr>
          <w:rFonts w:ascii="Arial" w:hAnsi="Arial" w:cs="Arial"/>
          <w:color w:val="000000"/>
          <w:sz w:val="20"/>
        </w:rPr>
        <w:t xml:space="preserve"> was termed </w:t>
      </w:r>
      <w:r>
        <w:rPr>
          <w:rFonts w:ascii="Arial" w:hAnsi="Arial" w:cs="Arial"/>
          <w:color w:val="000000"/>
          <w:sz w:val="20"/>
        </w:rPr>
        <w:t>‘</w:t>
      </w:r>
      <w:r w:rsidR="002F3870" w:rsidRPr="008E0B61">
        <w:rPr>
          <w:rFonts w:ascii="Arial" w:hAnsi="Arial" w:cs="Arial"/>
          <w:color w:val="000000"/>
          <w:sz w:val="20"/>
        </w:rPr>
        <w:t>access</w:t>
      </w:r>
      <w:r>
        <w:rPr>
          <w:rFonts w:ascii="Arial" w:hAnsi="Arial" w:cs="Arial"/>
          <w:color w:val="000000"/>
          <w:sz w:val="20"/>
        </w:rPr>
        <w:t>’</w:t>
      </w:r>
      <w:r w:rsidR="002F3870" w:rsidRPr="008E0B61">
        <w:rPr>
          <w:rFonts w:ascii="Arial" w:hAnsi="Arial" w:cs="Arial"/>
          <w:color w:val="000000"/>
          <w:sz w:val="20"/>
        </w:rPr>
        <w:t xml:space="preserve"> prior to 01/12/2013.</w:t>
      </w:r>
      <w:r w:rsidR="00B05EC7" w:rsidRPr="008E0B61">
        <w:rPr>
          <w:rFonts w:ascii="Arial" w:hAnsi="Arial" w:cs="Arial"/>
          <w:color w:val="000000"/>
          <w:sz w:val="20"/>
        </w:rPr>
        <w:t xml:space="preserve">  The term</w:t>
      </w:r>
      <w:r w:rsidR="007C5527" w:rsidRPr="008E0B61">
        <w:rPr>
          <w:rFonts w:ascii="Arial" w:hAnsi="Arial" w:cs="Arial"/>
          <w:color w:val="000000"/>
          <w:sz w:val="20"/>
        </w:rPr>
        <w:t>s have exactly the same meaning and are used interchangeably in these materials.</w:t>
      </w:r>
    </w:p>
    <w:p w14:paraId="1E625009" w14:textId="0C80803E" w:rsidR="002F3870" w:rsidRDefault="002F3870">
      <w:pPr>
        <w:jc w:val="both"/>
        <w:rPr>
          <w:rFonts w:ascii="Arial" w:hAnsi="Arial" w:cs="Arial"/>
          <w:sz w:val="18"/>
        </w:rPr>
      </w:pPr>
    </w:p>
    <w:p w14:paraId="70040AA5" w14:textId="12A80576" w:rsidR="004A0EA3" w:rsidRDefault="005132A0" w:rsidP="004A0EA3">
      <w:pPr>
        <w:pStyle w:val="Header"/>
        <w:tabs>
          <w:tab w:val="clear" w:pos="4153"/>
          <w:tab w:val="clear" w:pos="8306"/>
        </w:tabs>
        <w:jc w:val="both"/>
        <w:rPr>
          <w:rFonts w:ascii="Arial" w:hAnsi="Arial" w:cs="Arial"/>
          <w:color w:val="000000"/>
        </w:rPr>
      </w:pPr>
      <w:bookmarkStart w:id="586" w:name="_Toc54407831"/>
      <w:bookmarkStart w:id="587" w:name="_Toc54423759"/>
      <w:bookmarkStart w:id="588" w:name="_Toc54454559"/>
      <w:bookmarkStart w:id="589" w:name="_Toc54544465"/>
      <w:bookmarkStart w:id="590" w:name="_Toc54634504"/>
      <w:r>
        <w:rPr>
          <w:rFonts w:ascii="Arial" w:hAnsi="Arial" w:cs="Arial"/>
        </w:rPr>
        <w:t xml:space="preserve">It is commonly said that contact is </w:t>
      </w:r>
      <w:r w:rsidRPr="005132A0">
        <w:rPr>
          <w:rFonts w:ascii="Arial" w:hAnsi="Arial" w:cs="Arial"/>
          <w:b/>
          <w:bCs/>
        </w:rPr>
        <w:t>the right of the child</w:t>
      </w:r>
      <w:r>
        <w:rPr>
          <w:rFonts w:ascii="Arial" w:hAnsi="Arial" w:cs="Arial"/>
        </w:rPr>
        <w:t>.  T</w:t>
      </w:r>
      <w:r w:rsidR="004A0EA3" w:rsidRPr="008D24AD">
        <w:rPr>
          <w:rFonts w:ascii="Arial" w:hAnsi="Arial" w:cs="Arial"/>
        </w:rPr>
        <w:t xml:space="preserve">he legal basis which grounds the proposition that contact is </w:t>
      </w:r>
      <w:r w:rsidR="004A0EA3" w:rsidRPr="005132A0">
        <w:rPr>
          <w:rFonts w:ascii="Arial" w:hAnsi="Arial" w:cs="Arial"/>
          <w:b/>
          <w:bCs/>
        </w:rPr>
        <w:t>a right of the child</w:t>
      </w:r>
      <w:r w:rsidR="004A0EA3" w:rsidRPr="008D24AD">
        <w:rPr>
          <w:rFonts w:ascii="Arial" w:hAnsi="Arial" w:cs="Arial"/>
        </w:rPr>
        <w:t xml:space="preserve"> derives from the </w:t>
      </w:r>
      <w:r w:rsidR="004A0EA3" w:rsidRPr="008D24AD">
        <w:rPr>
          <w:rFonts w:ascii="Arial" w:hAnsi="Arial" w:cs="Arial"/>
          <w:i/>
          <w:iCs/>
        </w:rPr>
        <w:t>United Nations Convention on the Rights of the Child</w:t>
      </w:r>
      <w:r w:rsidR="004A0EA3" w:rsidRPr="008D24AD">
        <w:rPr>
          <w:rFonts w:ascii="Arial" w:hAnsi="Arial" w:cs="Arial"/>
        </w:rPr>
        <w:t xml:space="preserve"> which was </w:t>
      </w:r>
      <w:r w:rsidR="004A0EA3" w:rsidRPr="008D24AD">
        <w:rPr>
          <w:rFonts w:ascii="Arial" w:hAnsi="Arial" w:cs="Arial"/>
          <w:color w:val="000000"/>
        </w:rPr>
        <w:t xml:space="preserve">adopted by the United Nations and opened for signature, </w:t>
      </w:r>
      <w:r w:rsidR="004A0EA3" w:rsidRPr="008D24AD">
        <w:rPr>
          <w:rFonts w:ascii="Arial" w:hAnsi="Arial" w:cs="Arial"/>
          <w:color w:val="000000"/>
        </w:rPr>
        <w:lastRenderedPageBreak/>
        <w:t>ratification and accession by General Assembly resolution 44/25 of 20/11/1989.  It entered into force on 02/09/1990 in accordance with Article 49.  Australia became a signatory on 22/08/1990.</w:t>
      </w:r>
      <w:r w:rsidR="004A0EA3">
        <w:rPr>
          <w:rFonts w:ascii="Arial" w:hAnsi="Arial" w:cs="Arial"/>
          <w:color w:val="000000"/>
        </w:rPr>
        <w:t xml:space="preserve">  </w:t>
      </w:r>
      <w:r w:rsidR="004A0EA3" w:rsidRPr="008D24AD">
        <w:rPr>
          <w:rFonts w:ascii="Arial" w:hAnsi="Arial" w:cs="Arial"/>
          <w:color w:val="000000"/>
        </w:rPr>
        <w:t xml:space="preserve">Three Convention provisions of central importance to this </w:t>
      </w:r>
      <w:r w:rsidR="00AA2C2D">
        <w:rPr>
          <w:rFonts w:ascii="Arial" w:hAnsi="Arial" w:cs="Arial"/>
          <w:color w:val="000000"/>
        </w:rPr>
        <w:t>proposition</w:t>
      </w:r>
      <w:r w:rsidR="004A0EA3" w:rsidRPr="008D24AD">
        <w:rPr>
          <w:rFonts w:ascii="Arial" w:hAnsi="Arial" w:cs="Arial"/>
          <w:color w:val="000000"/>
        </w:rPr>
        <w:t xml:space="preserve"> are Articles 7, 9.3 &amp; 12 in Part I of the Convention</w:t>
      </w:r>
      <w:r w:rsidR="004A0EA3">
        <w:rPr>
          <w:rFonts w:ascii="Arial" w:hAnsi="Arial" w:cs="Arial"/>
          <w:color w:val="000000"/>
        </w:rPr>
        <w:t>:</w:t>
      </w:r>
    </w:p>
    <w:p w14:paraId="65BD52F6" w14:textId="24A0F0EB" w:rsidR="004A0EA3" w:rsidRDefault="004A0EA3">
      <w:pPr>
        <w:pStyle w:val="Header"/>
        <w:numPr>
          <w:ilvl w:val="0"/>
          <w:numId w:val="105"/>
        </w:numPr>
        <w:tabs>
          <w:tab w:val="clear" w:pos="4153"/>
          <w:tab w:val="clear" w:pos="8306"/>
        </w:tabs>
        <w:spacing w:before="60"/>
        <w:ind w:left="357" w:hanging="357"/>
        <w:jc w:val="both"/>
        <w:rPr>
          <w:rFonts w:ascii="Arial" w:hAnsi="Arial" w:cs="Arial"/>
          <w:color w:val="000000"/>
        </w:rPr>
      </w:pPr>
      <w:r w:rsidRPr="008D24AD">
        <w:rPr>
          <w:rFonts w:ascii="Arial" w:hAnsi="Arial" w:cs="Arial"/>
          <w:color w:val="000000"/>
        </w:rPr>
        <w:t>The latter part of Article 7 states</w:t>
      </w:r>
      <w:r w:rsidR="00AA2C2D">
        <w:rPr>
          <w:rFonts w:ascii="Arial" w:hAnsi="Arial" w:cs="Arial"/>
          <w:color w:val="000000"/>
        </w:rPr>
        <w:t xml:space="preserve"> [emphasis added]</w:t>
      </w:r>
      <w:r w:rsidRPr="008D24AD">
        <w:rPr>
          <w:rFonts w:ascii="Arial" w:hAnsi="Arial" w:cs="Arial"/>
          <w:color w:val="000000"/>
        </w:rPr>
        <w:t>:</w:t>
      </w:r>
    </w:p>
    <w:p w14:paraId="6643EFA6" w14:textId="77777777" w:rsidR="004A0EA3" w:rsidRPr="00FA416C" w:rsidRDefault="004A0EA3" w:rsidP="00FA416C">
      <w:pPr>
        <w:spacing w:before="60" w:after="60"/>
        <w:ind w:left="720" w:right="567"/>
        <w:jc w:val="both"/>
        <w:rPr>
          <w:rFonts w:ascii="Arial" w:hAnsi="Arial" w:cs="Arial"/>
          <w:color w:val="000000" w:themeColor="text1"/>
          <w:sz w:val="20"/>
        </w:rPr>
      </w:pPr>
      <w:r w:rsidRPr="00FA416C">
        <w:rPr>
          <w:rFonts w:ascii="Arial" w:hAnsi="Arial" w:cs="Arial"/>
          <w:color w:val="000000" w:themeColor="text1"/>
          <w:sz w:val="20"/>
        </w:rPr>
        <w:t xml:space="preserve">“The child shall be registered immediately after birth and shall have the right from birth to a name, the right to acquire a nationality and, as far as possible, </w:t>
      </w:r>
      <w:r w:rsidRPr="00AA2C2D">
        <w:rPr>
          <w:rFonts w:ascii="Arial" w:hAnsi="Arial" w:cs="Arial"/>
          <w:color w:val="000000" w:themeColor="text1"/>
          <w:sz w:val="20"/>
          <w:u w:val="single"/>
        </w:rPr>
        <w:t>the right to know</w:t>
      </w:r>
      <w:r w:rsidRPr="00FA416C">
        <w:rPr>
          <w:rFonts w:ascii="Arial" w:hAnsi="Arial" w:cs="Arial"/>
          <w:color w:val="000000" w:themeColor="text1"/>
          <w:sz w:val="20"/>
        </w:rPr>
        <w:t xml:space="preserve"> and be cared for by </w:t>
      </w:r>
      <w:r w:rsidRPr="00AA2C2D">
        <w:rPr>
          <w:rFonts w:ascii="Arial" w:hAnsi="Arial" w:cs="Arial"/>
          <w:color w:val="000000" w:themeColor="text1"/>
          <w:sz w:val="20"/>
          <w:u w:val="single"/>
        </w:rPr>
        <w:t>his or her parents</w:t>
      </w:r>
      <w:r w:rsidRPr="00FA416C">
        <w:rPr>
          <w:rFonts w:ascii="Arial" w:hAnsi="Arial" w:cs="Arial"/>
          <w:color w:val="000000" w:themeColor="text1"/>
          <w:sz w:val="20"/>
        </w:rPr>
        <w:t>.”</w:t>
      </w:r>
    </w:p>
    <w:p w14:paraId="00200F3E" w14:textId="255BB926" w:rsidR="00FA416C" w:rsidRDefault="00FA416C">
      <w:pPr>
        <w:pStyle w:val="Header"/>
        <w:numPr>
          <w:ilvl w:val="0"/>
          <w:numId w:val="105"/>
        </w:numPr>
        <w:tabs>
          <w:tab w:val="clear" w:pos="4153"/>
          <w:tab w:val="clear" w:pos="8306"/>
        </w:tabs>
        <w:spacing w:before="60"/>
        <w:ind w:left="357" w:hanging="357"/>
        <w:jc w:val="both"/>
        <w:rPr>
          <w:rFonts w:ascii="Arial" w:hAnsi="Arial" w:cs="Arial"/>
          <w:color w:val="000000"/>
        </w:rPr>
      </w:pPr>
      <w:r w:rsidRPr="008D24AD">
        <w:rPr>
          <w:rFonts w:ascii="Arial" w:hAnsi="Arial" w:cs="Arial"/>
          <w:color w:val="000000"/>
        </w:rPr>
        <w:t>Article 9.3 states</w:t>
      </w:r>
      <w:r w:rsidR="002D22FD">
        <w:rPr>
          <w:rFonts w:ascii="Arial" w:hAnsi="Arial" w:cs="Arial"/>
          <w:color w:val="000000"/>
        </w:rPr>
        <w:t xml:space="preserve"> [emphasis added]</w:t>
      </w:r>
      <w:r w:rsidRPr="008D24AD">
        <w:rPr>
          <w:rFonts w:ascii="Arial" w:hAnsi="Arial" w:cs="Arial"/>
          <w:color w:val="000000"/>
        </w:rPr>
        <w:t>:</w:t>
      </w:r>
    </w:p>
    <w:p w14:paraId="34B4C918" w14:textId="77777777" w:rsidR="00FA416C" w:rsidRPr="00FA416C" w:rsidRDefault="00FA416C" w:rsidP="00FA416C">
      <w:pPr>
        <w:spacing w:before="60" w:after="60"/>
        <w:ind w:left="720" w:right="567"/>
        <w:jc w:val="both"/>
        <w:rPr>
          <w:rFonts w:ascii="Arial" w:hAnsi="Arial" w:cs="Arial"/>
          <w:color w:val="000000" w:themeColor="text1"/>
          <w:sz w:val="20"/>
          <w:szCs w:val="20"/>
        </w:rPr>
      </w:pPr>
      <w:r w:rsidRPr="00FA416C">
        <w:rPr>
          <w:rFonts w:ascii="Arial" w:hAnsi="Arial" w:cs="Arial"/>
          <w:color w:val="000000" w:themeColor="text1"/>
          <w:sz w:val="20"/>
          <w:szCs w:val="20"/>
        </w:rPr>
        <w:t xml:space="preserve">“Parties shall respect </w:t>
      </w:r>
      <w:r w:rsidRPr="002D22FD">
        <w:rPr>
          <w:rFonts w:ascii="Arial" w:hAnsi="Arial" w:cs="Arial"/>
          <w:color w:val="000000" w:themeColor="text1"/>
          <w:sz w:val="20"/>
          <w:szCs w:val="20"/>
          <w:u w:val="single"/>
        </w:rPr>
        <w:t>the right of the child who is separated from one or both parents to maintain personal relations and direct contact with both parents on a regular basis</w:t>
      </w:r>
      <w:r w:rsidRPr="00FA416C">
        <w:rPr>
          <w:rFonts w:ascii="Arial" w:hAnsi="Arial" w:cs="Arial"/>
          <w:color w:val="000000" w:themeColor="text1"/>
          <w:sz w:val="20"/>
          <w:szCs w:val="20"/>
        </w:rPr>
        <w:t>, except if it is contrary to the child’s best interests.”</w:t>
      </w:r>
    </w:p>
    <w:p w14:paraId="3D922E31" w14:textId="5397CA0B" w:rsidR="00FA416C" w:rsidRDefault="002D22FD">
      <w:pPr>
        <w:pStyle w:val="Header"/>
        <w:numPr>
          <w:ilvl w:val="0"/>
          <w:numId w:val="105"/>
        </w:numPr>
        <w:tabs>
          <w:tab w:val="clear" w:pos="4153"/>
          <w:tab w:val="clear" w:pos="8306"/>
        </w:tabs>
        <w:spacing w:before="60"/>
        <w:ind w:left="357" w:hanging="357"/>
        <w:jc w:val="both"/>
        <w:rPr>
          <w:rFonts w:ascii="Arial" w:hAnsi="Arial" w:cs="Arial"/>
          <w:color w:val="000000"/>
        </w:rPr>
      </w:pPr>
      <w:r w:rsidRPr="008D24AD">
        <w:rPr>
          <w:rFonts w:ascii="Arial" w:hAnsi="Arial" w:cs="Arial"/>
          <w:color w:val="000000"/>
        </w:rPr>
        <w:t>Article 12 states:</w:t>
      </w:r>
    </w:p>
    <w:p w14:paraId="57E5DFC2" w14:textId="77777777" w:rsidR="002D22FD" w:rsidRPr="002D22FD" w:rsidRDefault="002D22FD" w:rsidP="002D22FD">
      <w:pPr>
        <w:spacing w:before="60"/>
        <w:ind w:left="720" w:right="567"/>
        <w:jc w:val="both"/>
        <w:rPr>
          <w:rFonts w:ascii="Arial" w:hAnsi="Arial" w:cs="Arial"/>
          <w:color w:val="000000" w:themeColor="text1"/>
          <w:sz w:val="20"/>
          <w:szCs w:val="20"/>
        </w:rPr>
      </w:pPr>
      <w:r w:rsidRPr="002D22FD">
        <w:rPr>
          <w:rFonts w:ascii="Arial" w:hAnsi="Arial" w:cs="Arial"/>
          <w:color w:val="000000" w:themeColor="text1"/>
          <w:sz w:val="20"/>
          <w:szCs w:val="20"/>
        </w:rPr>
        <w:t>“States Parties shall assure to the child who is capable of forming his or her own views the right to express those views freely in all matters affecting the child, the views of the child being given due weight in accordance with the age and maturity of the child.  For this purpose, the child shall in particular be provided the opportunity to be heard in any judicial and administrative proceedings affecting the child, either directly, or through a representative or appropriate body, in a manner consistent with the procedural rules of national law.”</w:t>
      </w:r>
    </w:p>
    <w:p w14:paraId="0B841BC3" w14:textId="77777777" w:rsidR="00AA2C2D" w:rsidRDefault="00AA2C2D" w:rsidP="002D22FD">
      <w:pPr>
        <w:spacing w:before="120"/>
        <w:jc w:val="both"/>
        <w:rPr>
          <w:rFonts w:ascii="Arial" w:hAnsi="Arial" w:cs="Arial"/>
          <w:color w:val="000000" w:themeColor="text1"/>
          <w:sz w:val="20"/>
          <w:szCs w:val="20"/>
        </w:rPr>
      </w:pPr>
      <w:r>
        <w:rPr>
          <w:rFonts w:ascii="Arial" w:hAnsi="Arial" w:cs="Arial"/>
          <w:color w:val="000000" w:themeColor="text1"/>
          <w:sz w:val="20"/>
          <w:szCs w:val="20"/>
        </w:rPr>
        <w:t>T</w:t>
      </w:r>
      <w:r w:rsidR="002D22FD" w:rsidRPr="002D22FD">
        <w:rPr>
          <w:rFonts w:ascii="Arial" w:hAnsi="Arial" w:cs="Arial"/>
          <w:color w:val="000000" w:themeColor="text1"/>
          <w:sz w:val="20"/>
          <w:szCs w:val="20"/>
        </w:rPr>
        <w:t xml:space="preserve">he Convention has effectively been incorporated into domestic Victorian law, </w:t>
      </w:r>
      <w:r>
        <w:rPr>
          <w:rFonts w:ascii="Arial" w:hAnsi="Arial" w:cs="Arial"/>
          <w:color w:val="000000" w:themeColor="text1"/>
          <w:sz w:val="20"/>
          <w:szCs w:val="20"/>
        </w:rPr>
        <w:t>primarily</w:t>
      </w:r>
      <w:r w:rsidR="002D22FD" w:rsidRPr="002D22FD">
        <w:rPr>
          <w:rFonts w:ascii="Arial" w:hAnsi="Arial" w:cs="Arial"/>
          <w:color w:val="000000" w:themeColor="text1"/>
          <w:sz w:val="20"/>
          <w:szCs w:val="20"/>
        </w:rPr>
        <w:t xml:space="preserve"> in the ‘best interests principles’ in </w:t>
      </w:r>
      <w:r>
        <w:rPr>
          <w:rFonts w:ascii="Arial" w:hAnsi="Arial" w:cs="Arial"/>
          <w:color w:val="000000" w:themeColor="text1"/>
          <w:sz w:val="20"/>
          <w:szCs w:val="20"/>
        </w:rPr>
        <w:t>Part 1.2</w:t>
      </w:r>
      <w:r w:rsidR="002D22FD" w:rsidRPr="002D22FD">
        <w:rPr>
          <w:rFonts w:ascii="Arial" w:hAnsi="Arial" w:cs="Arial"/>
          <w:color w:val="000000" w:themeColor="text1"/>
          <w:sz w:val="20"/>
          <w:szCs w:val="20"/>
        </w:rPr>
        <w:t xml:space="preserve"> of the CYFA.  See also</w:t>
      </w:r>
      <w:r w:rsidRPr="002D22FD">
        <w:rPr>
          <w:rFonts w:ascii="Arial" w:hAnsi="Arial" w:cs="Arial"/>
          <w:color w:val="000000" w:themeColor="text1"/>
          <w:sz w:val="20"/>
          <w:szCs w:val="20"/>
        </w:rPr>
        <w:t>–</w:t>
      </w:r>
    </w:p>
    <w:p w14:paraId="3A22061E" w14:textId="77777777" w:rsidR="00AA2C2D" w:rsidRDefault="002D22FD">
      <w:pPr>
        <w:pStyle w:val="ListParagraph"/>
        <w:numPr>
          <w:ilvl w:val="0"/>
          <w:numId w:val="105"/>
        </w:numPr>
        <w:ind w:left="357" w:hanging="357"/>
        <w:jc w:val="both"/>
        <w:rPr>
          <w:rFonts w:ascii="Arial" w:hAnsi="Arial" w:cs="Arial"/>
          <w:color w:val="000000" w:themeColor="text1"/>
          <w:sz w:val="20"/>
        </w:rPr>
      </w:pPr>
      <w:r w:rsidRPr="00AA2C2D">
        <w:rPr>
          <w:rFonts w:ascii="Arial" w:hAnsi="Arial" w:cs="Arial"/>
          <w:color w:val="000000" w:themeColor="text1"/>
          <w:sz w:val="20"/>
        </w:rPr>
        <w:t xml:space="preserve">s.17 of the </w:t>
      </w:r>
      <w:r w:rsidRPr="00AA2C2D">
        <w:rPr>
          <w:rFonts w:ascii="Arial" w:hAnsi="Arial" w:cs="Arial"/>
          <w:i/>
          <w:iCs/>
          <w:color w:val="000000" w:themeColor="text1"/>
          <w:sz w:val="20"/>
        </w:rPr>
        <w:t>Charter of Human Rights and Responsibilities Act 2006</w:t>
      </w:r>
      <w:r w:rsidRPr="00AA2C2D">
        <w:rPr>
          <w:rFonts w:ascii="Arial" w:hAnsi="Arial" w:cs="Arial"/>
          <w:color w:val="000000" w:themeColor="text1"/>
          <w:sz w:val="20"/>
        </w:rPr>
        <w:t xml:space="preserve"> relating to “Protection of families and children”</w:t>
      </w:r>
      <w:r w:rsidR="00AA2C2D">
        <w:rPr>
          <w:rFonts w:ascii="Arial" w:hAnsi="Arial" w:cs="Arial"/>
          <w:color w:val="000000" w:themeColor="text1"/>
          <w:sz w:val="20"/>
        </w:rPr>
        <w:t>;</w:t>
      </w:r>
    </w:p>
    <w:p w14:paraId="18FFEEDE" w14:textId="3F804538" w:rsidR="002D22FD" w:rsidRPr="00AA2C2D" w:rsidRDefault="00AA2C2D">
      <w:pPr>
        <w:pStyle w:val="ListParagraph"/>
        <w:numPr>
          <w:ilvl w:val="0"/>
          <w:numId w:val="105"/>
        </w:numPr>
        <w:ind w:left="357" w:hanging="357"/>
        <w:jc w:val="both"/>
        <w:rPr>
          <w:rFonts w:ascii="Arial" w:hAnsi="Arial" w:cs="Arial"/>
          <w:color w:val="000000" w:themeColor="text1"/>
          <w:sz w:val="20"/>
        </w:rPr>
      </w:pPr>
      <w:r>
        <w:rPr>
          <w:rFonts w:ascii="Arial" w:hAnsi="Arial" w:cs="Arial"/>
          <w:color w:val="000000" w:themeColor="text1"/>
          <w:sz w:val="20"/>
        </w:rPr>
        <w:t>the judgment of Bell J in DOHS v Sanding [2011] VSC 42</w:t>
      </w:r>
      <w:r w:rsidR="005132A0" w:rsidRPr="008D24AD">
        <w:rPr>
          <w:rFonts w:ascii="Arial" w:hAnsi="Arial" w:cs="Arial"/>
          <w:color w:val="000000"/>
        </w:rPr>
        <w:t xml:space="preserve">; </w:t>
      </w:r>
      <w:r w:rsidR="005132A0" w:rsidRPr="005132A0">
        <w:rPr>
          <w:rFonts w:ascii="Arial" w:hAnsi="Arial" w:cs="Arial"/>
          <w:sz w:val="20"/>
          <w:szCs w:val="16"/>
        </w:rPr>
        <w:t>(2011) 36 VR 221</w:t>
      </w:r>
      <w:r>
        <w:rPr>
          <w:rFonts w:ascii="Arial" w:hAnsi="Arial" w:cs="Arial"/>
          <w:color w:val="000000" w:themeColor="text1"/>
          <w:sz w:val="20"/>
        </w:rPr>
        <w:t>, esp. at [11]</w:t>
      </w:r>
      <w:r w:rsidR="005132A0">
        <w:rPr>
          <w:rFonts w:ascii="Arial" w:hAnsi="Arial" w:cs="Arial"/>
          <w:color w:val="000000" w:themeColor="text1"/>
          <w:sz w:val="20"/>
        </w:rPr>
        <w:noBreakHyphen/>
      </w:r>
      <w:r>
        <w:rPr>
          <w:rFonts w:ascii="Arial" w:hAnsi="Arial" w:cs="Arial"/>
          <w:color w:val="000000" w:themeColor="text1"/>
          <w:sz w:val="20"/>
        </w:rPr>
        <w:t>[21] &amp; [209].</w:t>
      </w:r>
    </w:p>
    <w:p w14:paraId="76848AD0" w14:textId="73A25CB3" w:rsidR="002D22FD" w:rsidRPr="002D22FD" w:rsidRDefault="002D22FD" w:rsidP="002D22FD">
      <w:pPr>
        <w:spacing w:before="120"/>
        <w:jc w:val="both"/>
        <w:rPr>
          <w:rFonts w:ascii="Arial" w:hAnsi="Arial" w:cs="Arial"/>
          <w:color w:val="000000" w:themeColor="text1"/>
          <w:sz w:val="20"/>
          <w:szCs w:val="20"/>
        </w:rPr>
      </w:pPr>
      <w:r w:rsidRPr="002D22FD">
        <w:rPr>
          <w:rFonts w:ascii="Arial" w:hAnsi="Arial" w:cs="Arial"/>
          <w:color w:val="000000" w:themeColor="text1"/>
          <w:sz w:val="20"/>
          <w:szCs w:val="20"/>
        </w:rPr>
        <w:t xml:space="preserve">The goal of Articles 7 &amp; 9.3 of the Convention and s.17 of the Charter </w:t>
      </w:r>
      <w:r>
        <w:rPr>
          <w:rFonts w:ascii="Arial" w:hAnsi="Arial" w:cs="Arial"/>
          <w:color w:val="000000" w:themeColor="text1"/>
          <w:sz w:val="20"/>
          <w:szCs w:val="20"/>
        </w:rPr>
        <w:t>are</w:t>
      </w:r>
      <w:r w:rsidRPr="002D22FD">
        <w:rPr>
          <w:rFonts w:ascii="Arial" w:hAnsi="Arial" w:cs="Arial"/>
          <w:color w:val="000000" w:themeColor="text1"/>
          <w:sz w:val="20"/>
          <w:szCs w:val="20"/>
        </w:rPr>
        <w:t xml:space="preserve"> enshrined in paragraphs (a), (b), (c), (g), (h), (i), (j) &amp; (k) of s.10(3) of the CYFA.</w:t>
      </w:r>
      <w:r>
        <w:rPr>
          <w:rFonts w:ascii="Arial" w:hAnsi="Arial" w:cs="Arial"/>
          <w:color w:val="000000" w:themeColor="text1"/>
          <w:sz w:val="20"/>
          <w:szCs w:val="20"/>
        </w:rPr>
        <w:t xml:space="preserve">  </w:t>
      </w:r>
      <w:r w:rsidRPr="002D22FD">
        <w:rPr>
          <w:rFonts w:ascii="Arial" w:hAnsi="Arial" w:cs="Arial"/>
          <w:color w:val="000000" w:themeColor="text1"/>
          <w:sz w:val="20"/>
          <w:szCs w:val="20"/>
        </w:rPr>
        <w:t>In particular, the child’s “right to know and be cared for his or her parents” detailed in Article 7 and the child’s “right…to maintain personal relations and direct contact with both parents on a regular basis” detailed in Article 9.3 have enlivened the following matters in s.10(3) of the CYFA to which the Court must give consideration when they are relevant to any decision or action the Court has determined to make in proceedings in the Family Division–</w:t>
      </w:r>
    </w:p>
    <w:p w14:paraId="55CE4C31" w14:textId="77777777" w:rsidR="002D22FD" w:rsidRPr="002D22FD" w:rsidRDefault="002D22FD">
      <w:pPr>
        <w:numPr>
          <w:ilvl w:val="0"/>
          <w:numId w:val="100"/>
        </w:numPr>
        <w:spacing w:before="60"/>
        <w:ind w:left="573" w:hanging="573"/>
        <w:jc w:val="both"/>
        <w:rPr>
          <w:rFonts w:ascii="Arial" w:hAnsi="Arial" w:cs="Arial"/>
          <w:color w:val="000000" w:themeColor="text1"/>
          <w:sz w:val="20"/>
          <w:szCs w:val="20"/>
        </w:rPr>
      </w:pPr>
      <w:r w:rsidRPr="002D22FD">
        <w:rPr>
          <w:rFonts w:ascii="Arial" w:hAnsi="Arial" w:cs="Arial"/>
          <w:color w:val="000000" w:themeColor="text1"/>
          <w:sz w:val="20"/>
          <w:szCs w:val="20"/>
        </w:rPr>
        <w:t>the need to give the widest possible protection and assistance to the parent and child as the fundamental group unit of society and to ensure that intervention into that relationship is limited to that necessary to secure the safety and wellbeing of the child;</w:t>
      </w:r>
    </w:p>
    <w:p w14:paraId="664DCCBD" w14:textId="77777777" w:rsidR="002D22FD" w:rsidRPr="002D22FD" w:rsidRDefault="002D22FD">
      <w:pPr>
        <w:numPr>
          <w:ilvl w:val="0"/>
          <w:numId w:val="100"/>
        </w:numPr>
        <w:spacing w:before="60"/>
        <w:ind w:left="573" w:hanging="573"/>
        <w:jc w:val="both"/>
        <w:rPr>
          <w:rFonts w:ascii="Arial" w:hAnsi="Arial" w:cs="Arial"/>
          <w:color w:val="000000" w:themeColor="text1"/>
          <w:sz w:val="20"/>
          <w:szCs w:val="20"/>
        </w:rPr>
      </w:pPr>
      <w:r w:rsidRPr="002D22FD">
        <w:rPr>
          <w:rFonts w:ascii="Arial" w:hAnsi="Arial" w:cs="Arial"/>
          <w:color w:val="000000" w:themeColor="text1"/>
          <w:sz w:val="20"/>
          <w:szCs w:val="20"/>
        </w:rPr>
        <w:t>the need to strengthen, preserve and promote positive relationships between the child and the child’s parent, family members and persons significant to the child;</w:t>
      </w:r>
    </w:p>
    <w:p w14:paraId="51B45FCD" w14:textId="77777777" w:rsidR="002D22FD" w:rsidRPr="002D22FD" w:rsidRDefault="002D22FD">
      <w:pPr>
        <w:numPr>
          <w:ilvl w:val="0"/>
          <w:numId w:val="100"/>
        </w:numPr>
        <w:spacing w:before="60"/>
        <w:ind w:left="573" w:hanging="573"/>
        <w:jc w:val="both"/>
        <w:rPr>
          <w:rFonts w:ascii="Arial" w:hAnsi="Arial" w:cs="Arial"/>
          <w:color w:val="000000" w:themeColor="text1"/>
          <w:sz w:val="20"/>
          <w:szCs w:val="20"/>
        </w:rPr>
      </w:pPr>
      <w:r w:rsidRPr="002D22FD">
        <w:rPr>
          <w:rFonts w:ascii="Arial" w:hAnsi="Arial" w:cs="Arial"/>
          <w:color w:val="000000" w:themeColor="text1"/>
          <w:sz w:val="20"/>
          <w:szCs w:val="20"/>
        </w:rPr>
        <w:t>the need, in relation to an Aboriginal child, to protect and promote his or her Aboriginal cultural and spiritual identity and development by, wherever possible, maintaining and building their connections to their Aboriginal family and community;</w:t>
      </w:r>
    </w:p>
    <w:p w14:paraId="0FCC1FF4" w14:textId="77777777" w:rsidR="002D22FD" w:rsidRPr="002D22FD" w:rsidRDefault="002D22FD">
      <w:pPr>
        <w:numPr>
          <w:ilvl w:val="0"/>
          <w:numId w:val="103"/>
        </w:numPr>
        <w:spacing w:before="60"/>
        <w:ind w:left="573" w:hanging="573"/>
        <w:jc w:val="both"/>
        <w:rPr>
          <w:rFonts w:ascii="Arial" w:hAnsi="Arial" w:cs="Arial"/>
          <w:color w:val="000000" w:themeColor="text1"/>
          <w:sz w:val="20"/>
          <w:szCs w:val="20"/>
        </w:rPr>
      </w:pPr>
      <w:r w:rsidRPr="002D22FD">
        <w:rPr>
          <w:rFonts w:ascii="Arial" w:hAnsi="Arial" w:cs="Arial"/>
          <w:color w:val="000000" w:themeColor="text1"/>
          <w:sz w:val="20"/>
          <w:szCs w:val="20"/>
        </w:rPr>
        <w:t>a child is only to be removed from the care of his or her parent if there is an unacceptable risk of harm to the child;</w:t>
      </w:r>
    </w:p>
    <w:p w14:paraId="24F29D5F" w14:textId="77777777" w:rsidR="002D22FD" w:rsidRPr="002D22FD" w:rsidRDefault="002D22FD">
      <w:pPr>
        <w:numPr>
          <w:ilvl w:val="0"/>
          <w:numId w:val="101"/>
        </w:numPr>
        <w:spacing w:before="60"/>
        <w:ind w:left="573" w:hanging="573"/>
        <w:jc w:val="both"/>
        <w:rPr>
          <w:rFonts w:ascii="Arial" w:hAnsi="Arial" w:cs="Arial"/>
          <w:color w:val="000000" w:themeColor="text1"/>
          <w:sz w:val="20"/>
          <w:szCs w:val="20"/>
        </w:rPr>
      </w:pPr>
      <w:r w:rsidRPr="002D22FD">
        <w:rPr>
          <w:rFonts w:ascii="Arial" w:hAnsi="Arial" w:cs="Arial"/>
          <w:color w:val="000000" w:themeColor="text1"/>
          <w:sz w:val="20"/>
          <w:szCs w:val="20"/>
        </w:rPr>
        <w:t>the desirability, when a child is removed from the care of his or her parent, to plan the reunification of the child with his or her parent;</w:t>
      </w:r>
    </w:p>
    <w:p w14:paraId="0A8C152A" w14:textId="77777777" w:rsidR="002D22FD" w:rsidRPr="002D22FD" w:rsidRDefault="002D22FD">
      <w:pPr>
        <w:numPr>
          <w:ilvl w:val="0"/>
          <w:numId w:val="102"/>
        </w:numPr>
        <w:spacing w:before="60"/>
        <w:ind w:left="573" w:hanging="573"/>
        <w:jc w:val="both"/>
        <w:rPr>
          <w:rFonts w:ascii="Arial" w:hAnsi="Arial" w:cs="Arial"/>
          <w:color w:val="000000" w:themeColor="text1"/>
          <w:sz w:val="20"/>
          <w:szCs w:val="20"/>
        </w:rPr>
      </w:pPr>
      <w:r w:rsidRPr="002D22FD">
        <w:rPr>
          <w:rFonts w:ascii="Arial" w:hAnsi="Arial" w:cs="Arial"/>
          <w:color w:val="000000" w:themeColor="text1"/>
          <w:sz w:val="20"/>
          <w:szCs w:val="20"/>
        </w:rPr>
        <w:t>contact arrangements between the child and the child’s parents, siblings, family members and other persons significant to the child.</w:t>
      </w:r>
    </w:p>
    <w:p w14:paraId="1D5ACE2B" w14:textId="1E2921F1" w:rsidR="002D22FD" w:rsidRPr="008D24AD" w:rsidRDefault="002D22FD" w:rsidP="002D22FD">
      <w:pPr>
        <w:spacing w:before="120"/>
        <w:jc w:val="both"/>
        <w:rPr>
          <w:rFonts w:ascii="Arial" w:hAnsi="Arial" w:cs="Arial"/>
          <w:color w:val="000000"/>
          <w:sz w:val="20"/>
          <w:szCs w:val="20"/>
        </w:rPr>
      </w:pPr>
      <w:r w:rsidRPr="008D24AD">
        <w:rPr>
          <w:rFonts w:ascii="Arial" w:hAnsi="Arial" w:cs="Arial"/>
          <w:color w:val="000000"/>
          <w:sz w:val="20"/>
          <w:szCs w:val="20"/>
        </w:rPr>
        <w:t xml:space="preserve">The goal of Article 12 of the Convention </w:t>
      </w:r>
      <w:r w:rsidR="00AA2C2D">
        <w:rPr>
          <w:rFonts w:ascii="Arial" w:hAnsi="Arial" w:cs="Arial"/>
          <w:color w:val="000000"/>
          <w:sz w:val="20"/>
          <w:szCs w:val="20"/>
        </w:rPr>
        <w:t>is</w:t>
      </w:r>
      <w:r w:rsidRPr="008D24AD">
        <w:rPr>
          <w:rFonts w:ascii="Arial" w:hAnsi="Arial" w:cs="Arial"/>
          <w:color w:val="000000"/>
          <w:sz w:val="20"/>
          <w:szCs w:val="20"/>
        </w:rPr>
        <w:t xml:space="preserve"> enshrined in s.10(3)(d) of the CYFA:</w:t>
      </w:r>
    </w:p>
    <w:p w14:paraId="3FA411CD" w14:textId="77777777" w:rsidR="002D22FD" w:rsidRPr="008D24AD" w:rsidRDefault="002D22FD">
      <w:pPr>
        <w:numPr>
          <w:ilvl w:val="0"/>
          <w:numId w:val="104"/>
        </w:numPr>
        <w:spacing w:before="60"/>
        <w:ind w:left="573" w:hanging="573"/>
        <w:jc w:val="both"/>
        <w:rPr>
          <w:rFonts w:ascii="Arial" w:hAnsi="Arial" w:cs="Arial"/>
          <w:color w:val="000000"/>
          <w:sz w:val="20"/>
          <w:szCs w:val="20"/>
        </w:rPr>
      </w:pPr>
      <w:r w:rsidRPr="008D24AD">
        <w:rPr>
          <w:rFonts w:ascii="Arial" w:hAnsi="Arial" w:cs="Arial"/>
          <w:color w:val="000000"/>
          <w:sz w:val="20"/>
          <w:szCs w:val="20"/>
        </w:rPr>
        <w:t>the child’s views and wishes, if they can be reasonably ascertained, …should be given such weight as is appropriate in the circumstances.</w:t>
      </w:r>
    </w:p>
    <w:p w14:paraId="3B14A2F5" w14:textId="6FEC40C7" w:rsidR="002D22FD" w:rsidRPr="005132A0" w:rsidRDefault="00AA2C2D" w:rsidP="008B0555">
      <w:pPr>
        <w:spacing w:before="120"/>
        <w:jc w:val="both"/>
        <w:rPr>
          <w:rFonts w:ascii="Arial" w:hAnsi="Arial" w:cs="Arial"/>
          <w:color w:val="000000" w:themeColor="text1"/>
          <w:sz w:val="20"/>
          <w:szCs w:val="20"/>
        </w:rPr>
      </w:pPr>
      <w:r w:rsidRPr="005132A0">
        <w:rPr>
          <w:rFonts w:ascii="Arial" w:hAnsi="Arial" w:cs="Arial"/>
          <w:color w:val="000000" w:themeColor="text1"/>
          <w:sz w:val="20"/>
          <w:szCs w:val="20"/>
        </w:rPr>
        <w:t xml:space="preserve">The fact that contact is </w:t>
      </w:r>
      <w:r w:rsidRPr="005132A0">
        <w:rPr>
          <w:rFonts w:ascii="Arial" w:hAnsi="Arial" w:cs="Arial"/>
          <w:b/>
          <w:bCs/>
          <w:color w:val="000000" w:themeColor="text1"/>
          <w:sz w:val="20"/>
          <w:szCs w:val="20"/>
        </w:rPr>
        <w:t>a right</w:t>
      </w:r>
      <w:r w:rsidRPr="005132A0">
        <w:rPr>
          <w:rFonts w:ascii="Arial" w:hAnsi="Arial" w:cs="Arial"/>
          <w:color w:val="000000" w:themeColor="text1"/>
          <w:sz w:val="20"/>
          <w:szCs w:val="20"/>
        </w:rPr>
        <w:t xml:space="preserve"> of the child does not mean that it isn’t a right of the parent as well.  However, it </w:t>
      </w:r>
      <w:r w:rsidR="002D22FD" w:rsidRPr="005132A0">
        <w:rPr>
          <w:rFonts w:ascii="Arial" w:hAnsi="Arial" w:cs="Arial"/>
          <w:color w:val="000000" w:themeColor="text1"/>
          <w:sz w:val="20"/>
          <w:szCs w:val="20"/>
        </w:rPr>
        <w:t xml:space="preserve">appears from the ‘best interests provisions’ in </w:t>
      </w:r>
      <w:r w:rsidR="008B0555" w:rsidRPr="005132A0">
        <w:rPr>
          <w:rFonts w:ascii="Arial" w:hAnsi="Arial" w:cs="Arial"/>
          <w:color w:val="000000" w:themeColor="text1"/>
          <w:sz w:val="20"/>
          <w:szCs w:val="20"/>
        </w:rPr>
        <w:t>Part 1.2 of the CYFA – and especially from s.10(1) which provides that “For the purposes of [the CYFA] the best interests of the child must always be paramount’ – that contact is primar</w:t>
      </w:r>
      <w:r w:rsidR="005132A0" w:rsidRPr="005132A0">
        <w:rPr>
          <w:rFonts w:ascii="Arial" w:hAnsi="Arial" w:cs="Arial"/>
          <w:color w:val="000000" w:themeColor="text1"/>
          <w:sz w:val="20"/>
          <w:szCs w:val="20"/>
        </w:rPr>
        <w:t>il</w:t>
      </w:r>
      <w:r w:rsidR="008B0555" w:rsidRPr="005132A0">
        <w:rPr>
          <w:rFonts w:ascii="Arial" w:hAnsi="Arial" w:cs="Arial"/>
          <w:color w:val="000000" w:themeColor="text1"/>
          <w:sz w:val="20"/>
          <w:szCs w:val="20"/>
        </w:rPr>
        <w:t xml:space="preserve">y </w:t>
      </w:r>
      <w:r w:rsidR="005132A0" w:rsidRPr="005132A0">
        <w:rPr>
          <w:rFonts w:ascii="Arial" w:hAnsi="Arial" w:cs="Arial"/>
          <w:b/>
          <w:bCs/>
          <w:color w:val="000000" w:themeColor="text1"/>
          <w:sz w:val="20"/>
          <w:szCs w:val="20"/>
        </w:rPr>
        <w:t>the</w:t>
      </w:r>
      <w:r w:rsidR="005132A0" w:rsidRPr="005132A0">
        <w:rPr>
          <w:rFonts w:ascii="Arial" w:hAnsi="Arial" w:cs="Arial"/>
          <w:color w:val="000000" w:themeColor="text1"/>
          <w:sz w:val="20"/>
          <w:szCs w:val="20"/>
        </w:rPr>
        <w:t xml:space="preserve"> </w:t>
      </w:r>
      <w:r w:rsidR="008B0555" w:rsidRPr="005132A0">
        <w:rPr>
          <w:rFonts w:ascii="Arial" w:hAnsi="Arial" w:cs="Arial"/>
          <w:color w:val="000000" w:themeColor="text1"/>
          <w:sz w:val="20"/>
          <w:szCs w:val="20"/>
        </w:rPr>
        <w:t xml:space="preserve">right of the child.  </w:t>
      </w:r>
      <w:r w:rsidR="005132A0" w:rsidRPr="005132A0">
        <w:rPr>
          <w:rFonts w:ascii="Arial" w:hAnsi="Arial" w:cs="Arial"/>
          <w:color w:val="000000" w:themeColor="text1"/>
          <w:sz w:val="20"/>
          <w:szCs w:val="20"/>
        </w:rPr>
        <w:t xml:space="preserve">The result is that </w:t>
      </w:r>
      <w:r w:rsidR="005132A0" w:rsidRPr="005132A0">
        <w:rPr>
          <w:rFonts w:ascii="Arial" w:hAnsi="Arial" w:cs="Arial"/>
          <w:sz w:val="20"/>
          <w:szCs w:val="20"/>
        </w:rPr>
        <w:t xml:space="preserve">the rights of the child in relation to contact and everything else trump the corresponding rights of the parent or any other </w:t>
      </w:r>
      <w:r w:rsidR="005132A0">
        <w:rPr>
          <w:rFonts w:ascii="Arial" w:hAnsi="Arial" w:cs="Arial"/>
          <w:sz w:val="20"/>
          <w:szCs w:val="20"/>
        </w:rPr>
        <w:t>adult</w:t>
      </w:r>
      <w:r w:rsidR="005132A0" w:rsidRPr="005132A0">
        <w:rPr>
          <w:rFonts w:ascii="Arial" w:hAnsi="Arial" w:cs="Arial"/>
          <w:sz w:val="20"/>
          <w:szCs w:val="20"/>
        </w:rPr>
        <w:t>.</w:t>
      </w:r>
    </w:p>
    <w:p w14:paraId="3760AAAF" w14:textId="77777777" w:rsidR="004A0EA3" w:rsidRDefault="004A0EA3" w:rsidP="004A0EA3">
      <w:pPr>
        <w:pStyle w:val="Header"/>
        <w:tabs>
          <w:tab w:val="clear" w:pos="4153"/>
          <w:tab w:val="clear" w:pos="8306"/>
        </w:tabs>
        <w:jc w:val="both"/>
        <w:rPr>
          <w:rFonts w:ascii="Arial" w:hAnsi="Arial" w:cs="Arial"/>
          <w:color w:val="000000"/>
        </w:rPr>
      </w:pPr>
    </w:p>
    <w:p w14:paraId="3CA52EF4" w14:textId="77777777" w:rsidR="00693223" w:rsidRDefault="00693223" w:rsidP="00655B47">
      <w:pPr>
        <w:pStyle w:val="Heading3"/>
        <w:keepNext/>
        <w:keepLines/>
        <w:widowControl/>
        <w:spacing w:line="240" w:lineRule="auto"/>
        <w:rPr>
          <w:rFonts w:ascii="Arial" w:hAnsi="Arial" w:cs="Arial"/>
          <w:b/>
          <w:bCs/>
          <w:sz w:val="20"/>
        </w:rPr>
      </w:pPr>
      <w:bookmarkStart w:id="591" w:name="_4.5.4_Terms_used"/>
      <w:bookmarkStart w:id="592" w:name="B454"/>
      <w:bookmarkStart w:id="593" w:name="_Toc30644648"/>
      <w:bookmarkStart w:id="594" w:name="_Toc30645198"/>
      <w:bookmarkStart w:id="595" w:name="_Toc30646409"/>
      <w:bookmarkStart w:id="596" w:name="_Toc30646704"/>
      <w:bookmarkStart w:id="597" w:name="_Toc30646815"/>
      <w:bookmarkStart w:id="598" w:name="_Toc30648172"/>
      <w:bookmarkStart w:id="599" w:name="_Toc30649070"/>
      <w:bookmarkStart w:id="600" w:name="_Toc30649146"/>
      <w:bookmarkStart w:id="601" w:name="_Toc30649407"/>
      <w:bookmarkStart w:id="602" w:name="_Toc30649732"/>
      <w:bookmarkStart w:id="603" w:name="_Toc30651672"/>
      <w:bookmarkStart w:id="604" w:name="_Toc30652662"/>
      <w:bookmarkStart w:id="605" w:name="_Toc30652758"/>
      <w:bookmarkStart w:id="606" w:name="_Toc30654103"/>
      <w:bookmarkStart w:id="607" w:name="_Toc30654454"/>
      <w:bookmarkStart w:id="608" w:name="_Toc30655073"/>
      <w:bookmarkStart w:id="609" w:name="_Toc30655330"/>
      <w:bookmarkStart w:id="610" w:name="_Toc30657008"/>
      <w:bookmarkStart w:id="611" w:name="_Toc30661757"/>
      <w:bookmarkStart w:id="612" w:name="_Toc30666445"/>
      <w:bookmarkStart w:id="613" w:name="_Toc30666675"/>
      <w:bookmarkStart w:id="614" w:name="_Toc30667850"/>
      <w:bookmarkStart w:id="615" w:name="_Toc30669228"/>
      <w:bookmarkStart w:id="616" w:name="_Toc30671444"/>
      <w:bookmarkStart w:id="617" w:name="_Toc30673971"/>
      <w:bookmarkStart w:id="618" w:name="_Toc30691193"/>
      <w:bookmarkStart w:id="619" w:name="_Toc30691566"/>
      <w:bookmarkStart w:id="620" w:name="_Toc30691946"/>
      <w:bookmarkStart w:id="621" w:name="_Toc30692705"/>
      <w:bookmarkStart w:id="622" w:name="_Toc30693084"/>
      <w:bookmarkStart w:id="623" w:name="_Toc30693462"/>
      <w:bookmarkStart w:id="624" w:name="_Toc30693840"/>
      <w:bookmarkStart w:id="625" w:name="_Toc30694221"/>
      <w:bookmarkStart w:id="626" w:name="_Toc30698810"/>
      <w:bookmarkStart w:id="627" w:name="_Toc30699188"/>
      <w:bookmarkStart w:id="628" w:name="_Toc30699573"/>
      <w:bookmarkStart w:id="629" w:name="_Toc30700728"/>
      <w:bookmarkStart w:id="630" w:name="_Toc30701115"/>
      <w:bookmarkStart w:id="631" w:name="_Toc30743724"/>
      <w:bookmarkStart w:id="632" w:name="_Toc30754547"/>
      <w:bookmarkStart w:id="633" w:name="_Toc30756987"/>
      <w:bookmarkStart w:id="634" w:name="_Toc30757536"/>
      <w:bookmarkStart w:id="635" w:name="_Toc30757936"/>
      <w:bookmarkStart w:id="636" w:name="_Toc30762697"/>
      <w:bookmarkStart w:id="637" w:name="_Toc30767351"/>
      <w:bookmarkStart w:id="638" w:name="_Toc34823367"/>
      <w:bookmarkEnd w:id="586"/>
      <w:bookmarkEnd w:id="587"/>
      <w:bookmarkEnd w:id="588"/>
      <w:bookmarkEnd w:id="589"/>
      <w:bookmarkEnd w:id="590"/>
      <w:bookmarkEnd w:id="591"/>
      <w:bookmarkEnd w:id="592"/>
      <w:r>
        <w:rPr>
          <w:rFonts w:ascii="Arial" w:hAnsi="Arial" w:cs="Arial"/>
          <w:b/>
          <w:bCs/>
          <w:sz w:val="20"/>
        </w:rPr>
        <w:t>4.5.4</w:t>
      </w:r>
      <w:r>
        <w:rPr>
          <w:rFonts w:ascii="Arial" w:hAnsi="Arial" w:cs="Arial"/>
          <w:b/>
          <w:bCs/>
          <w:sz w:val="20"/>
        </w:rPr>
        <w:tab/>
        <w:t>Terms used in the Family Law Act</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28071DA2" w14:textId="77777777" w:rsidR="00693223" w:rsidRDefault="00693223" w:rsidP="00655B47">
      <w:pPr>
        <w:keepNext/>
        <w:keepLines/>
        <w:jc w:val="both"/>
        <w:rPr>
          <w:rFonts w:ascii="Arial" w:hAnsi="Arial" w:cs="Arial"/>
          <w:sz w:val="18"/>
        </w:rPr>
      </w:pPr>
    </w:p>
    <w:p w14:paraId="3408A545" w14:textId="77777777" w:rsidR="00D43B59" w:rsidRDefault="00693223" w:rsidP="00D43B59">
      <w:pPr>
        <w:jc w:val="both"/>
        <w:rPr>
          <w:rFonts w:ascii="Arial" w:hAnsi="Arial" w:cs="Arial"/>
          <w:sz w:val="20"/>
        </w:rPr>
      </w:pPr>
      <w:r>
        <w:rPr>
          <w:rFonts w:ascii="Arial" w:hAnsi="Arial" w:cs="Arial"/>
          <w:sz w:val="20"/>
        </w:rPr>
        <w:t xml:space="preserve">Prior to the </w:t>
      </w:r>
      <w:r>
        <w:rPr>
          <w:rFonts w:ascii="Arial" w:hAnsi="Arial" w:cs="Arial"/>
          <w:sz w:val="20"/>
          <w:u w:val="single"/>
        </w:rPr>
        <w:t>Family Law Reform Act 1995 (</w:t>
      </w:r>
      <w:proofErr w:type="spellStart"/>
      <w:r>
        <w:rPr>
          <w:rFonts w:ascii="Arial" w:hAnsi="Arial" w:cs="Arial"/>
          <w:sz w:val="20"/>
          <w:u w:val="single"/>
        </w:rPr>
        <w:t>Cth</w:t>
      </w:r>
      <w:proofErr w:type="spellEnd"/>
      <w:r>
        <w:rPr>
          <w:rFonts w:ascii="Arial" w:hAnsi="Arial" w:cs="Arial"/>
          <w:sz w:val="20"/>
          <w:u w:val="single"/>
        </w:rPr>
        <w:t>)</w:t>
      </w:r>
      <w:r>
        <w:rPr>
          <w:rFonts w:ascii="Arial" w:hAnsi="Arial" w:cs="Arial"/>
          <w:sz w:val="20"/>
        </w:rPr>
        <w:t xml:space="preserve"> the terms "custody", "gua</w:t>
      </w:r>
      <w:r w:rsidR="00802CC2">
        <w:rPr>
          <w:rFonts w:ascii="Arial" w:hAnsi="Arial" w:cs="Arial"/>
          <w:sz w:val="20"/>
        </w:rPr>
        <w:t xml:space="preserve">rdianship" &amp; "access" were </w:t>
      </w:r>
      <w:r>
        <w:rPr>
          <w:rFonts w:ascii="Arial" w:hAnsi="Arial" w:cs="Arial"/>
          <w:sz w:val="20"/>
        </w:rPr>
        <w:t xml:space="preserve">central to orders made by the Family Court of Australia.  That Act, which came into force on </w:t>
      </w:r>
      <w:smartTag w:uri="urn:schemas-microsoft-com:office:smarttags" w:element="date">
        <w:smartTagPr>
          <w:attr w:name="Month" w:val="6"/>
          <w:attr w:name="Day" w:val="11"/>
          <w:attr w:name="Year" w:val="1996"/>
        </w:smartTagPr>
        <w:r>
          <w:rPr>
            <w:rFonts w:ascii="Arial" w:hAnsi="Arial" w:cs="Arial"/>
            <w:sz w:val="20"/>
          </w:rPr>
          <w:t>11/06/1996</w:t>
        </w:r>
      </w:smartTag>
      <w:r>
        <w:rPr>
          <w:rFonts w:ascii="Arial" w:hAnsi="Arial" w:cs="Arial"/>
          <w:sz w:val="20"/>
        </w:rPr>
        <w:t>, amended significant sections of the Family Law Act 1975 (</w:t>
      </w:r>
      <w:proofErr w:type="spellStart"/>
      <w:r>
        <w:rPr>
          <w:rFonts w:ascii="Arial" w:hAnsi="Arial" w:cs="Arial"/>
          <w:sz w:val="20"/>
        </w:rPr>
        <w:t>Cth</w:t>
      </w:r>
      <w:proofErr w:type="spellEnd"/>
      <w:r>
        <w:rPr>
          <w:rFonts w:ascii="Arial" w:hAnsi="Arial" w:cs="Arial"/>
          <w:sz w:val="20"/>
        </w:rPr>
        <w:t>) relating to children.  The changes included removal of the old terms and introduction of the concepts of</w:t>
      </w:r>
      <w:r w:rsidR="00D43B59">
        <w:rPr>
          <w:rFonts w:ascii="Arial" w:hAnsi="Arial" w:cs="Arial"/>
          <w:sz w:val="20"/>
        </w:rPr>
        <w:t xml:space="preserve"> "parental responsibility", “residence”, “contact” and “specific issues orders”.  By further amendments made by the </w:t>
      </w:r>
      <w:r w:rsidR="00D43B59" w:rsidRPr="00D43B59">
        <w:rPr>
          <w:rFonts w:ascii="Arial" w:hAnsi="Arial" w:cs="Arial"/>
          <w:sz w:val="20"/>
          <w:u w:val="single"/>
        </w:rPr>
        <w:t>Family Law Amendment (Shared Parental Responsibility) Act 2006 (</w:t>
      </w:r>
      <w:proofErr w:type="spellStart"/>
      <w:r w:rsidR="00D43B59" w:rsidRPr="00D43B59">
        <w:rPr>
          <w:rFonts w:ascii="Arial" w:hAnsi="Arial" w:cs="Arial"/>
          <w:sz w:val="20"/>
          <w:u w:val="single"/>
        </w:rPr>
        <w:t>Cth</w:t>
      </w:r>
      <w:proofErr w:type="spellEnd"/>
      <w:r w:rsidR="00D43B59" w:rsidRPr="00D43B59">
        <w:rPr>
          <w:rFonts w:ascii="Arial" w:hAnsi="Arial" w:cs="Arial"/>
          <w:sz w:val="20"/>
          <w:u w:val="single"/>
        </w:rPr>
        <w:t>)</w:t>
      </w:r>
      <w:r w:rsidR="00D43B59">
        <w:rPr>
          <w:rFonts w:ascii="Arial" w:hAnsi="Arial" w:cs="Arial"/>
          <w:sz w:val="20"/>
        </w:rPr>
        <w:t xml:space="preserve"> [No.46 of 2006] as and from 22/05/2006 “residence” is now termed “live with” and “contact” is now termed “spend time with”.</w:t>
      </w:r>
    </w:p>
    <w:p w14:paraId="4AB9249A" w14:textId="77777777" w:rsidR="00D43B59" w:rsidRDefault="00D43B59" w:rsidP="00D43B59">
      <w:pPr>
        <w:rPr>
          <w:rFonts w:ascii="Arial" w:hAnsi="Arial" w:cs="Arial"/>
          <w:sz w:val="20"/>
        </w:rPr>
      </w:pPr>
    </w:p>
    <w:p w14:paraId="3BBE0E4C" w14:textId="77777777" w:rsidR="00693223" w:rsidRDefault="00693223">
      <w:pPr>
        <w:jc w:val="both"/>
        <w:rPr>
          <w:rFonts w:ascii="Arial" w:hAnsi="Arial" w:cs="Arial"/>
          <w:sz w:val="20"/>
        </w:rPr>
      </w:pPr>
      <w:r>
        <w:rPr>
          <w:rFonts w:ascii="Arial" w:hAnsi="Arial" w:cs="Arial"/>
          <w:sz w:val="20"/>
        </w:rPr>
        <w:t>These changes were designed to recognise the desirability of continuing joint responsibility for and co-operation in parenting even though a marriage or relationship had broken down.  They were prompted by the belief of the government of the day that the old concepts were a source of many of the ongoing difficulties between separated parents as they foster a notion of 'property' in children.  The new terminology is not entirely interchangeable with the old: for instance parental responsibility is not exactly the same as guardianship, though they share some common features.</w:t>
      </w:r>
    </w:p>
    <w:p w14:paraId="05375819" w14:textId="77777777" w:rsidR="00D43B59" w:rsidRPr="00655B47" w:rsidRDefault="00D43B59">
      <w:pPr>
        <w:rPr>
          <w:rFonts w:ascii="Arial" w:hAnsi="Arial" w:cs="Arial"/>
          <w:sz w:val="18"/>
          <w:szCs w:val="22"/>
        </w:rPr>
      </w:pPr>
    </w:p>
    <w:p w14:paraId="373B6C6F" w14:textId="382E7082" w:rsidR="00693223" w:rsidRDefault="00693223">
      <w:pPr>
        <w:pStyle w:val="Heading2"/>
        <w:keepNext/>
        <w:tabs>
          <w:tab w:val="left" w:pos="567"/>
        </w:tabs>
        <w:spacing w:line="240" w:lineRule="auto"/>
        <w:rPr>
          <w:rFonts w:ascii="Arial" w:hAnsi="Arial" w:cs="Arial"/>
          <w:b/>
          <w:bCs/>
        </w:rPr>
      </w:pPr>
      <w:bookmarkStart w:id="639" w:name="_4.6_Protective_intervention"/>
      <w:bookmarkStart w:id="640" w:name="B46"/>
      <w:bookmarkStart w:id="641" w:name="_Toc30607530"/>
      <w:bookmarkStart w:id="642" w:name="_Toc30607659"/>
      <w:bookmarkStart w:id="643" w:name="_Toc30607984"/>
      <w:bookmarkStart w:id="644" w:name="_Toc30608817"/>
      <w:bookmarkStart w:id="645" w:name="_Toc30610031"/>
      <w:bookmarkStart w:id="646" w:name="_Toc30610275"/>
      <w:bookmarkStart w:id="647" w:name="_Toc30638429"/>
      <w:bookmarkStart w:id="648" w:name="_Toc30644242"/>
      <w:bookmarkStart w:id="649" w:name="_Toc30644649"/>
      <w:bookmarkStart w:id="650" w:name="_Toc30645199"/>
      <w:bookmarkStart w:id="651" w:name="_Toc30646410"/>
      <w:bookmarkStart w:id="652" w:name="_Toc30646705"/>
      <w:bookmarkStart w:id="653" w:name="_Toc30646816"/>
      <w:bookmarkStart w:id="654" w:name="_Toc30648173"/>
      <w:bookmarkStart w:id="655" w:name="_Toc30649071"/>
      <w:bookmarkStart w:id="656" w:name="_Toc30649147"/>
      <w:bookmarkStart w:id="657" w:name="_Toc30649408"/>
      <w:bookmarkStart w:id="658" w:name="_Toc30649733"/>
      <w:bookmarkStart w:id="659" w:name="_Toc30651673"/>
      <w:bookmarkStart w:id="660" w:name="_Toc30652663"/>
      <w:bookmarkStart w:id="661" w:name="_Toc30652759"/>
      <w:bookmarkStart w:id="662" w:name="_Toc30654104"/>
      <w:bookmarkStart w:id="663" w:name="_Toc30654455"/>
      <w:bookmarkStart w:id="664" w:name="_Toc30655074"/>
      <w:bookmarkStart w:id="665" w:name="_Toc30655331"/>
      <w:bookmarkStart w:id="666" w:name="_Toc30657009"/>
      <w:bookmarkStart w:id="667" w:name="_Toc30661758"/>
      <w:bookmarkStart w:id="668" w:name="_Toc30666446"/>
      <w:bookmarkStart w:id="669" w:name="_Toc30666676"/>
      <w:bookmarkStart w:id="670" w:name="_Toc30667851"/>
      <w:bookmarkStart w:id="671" w:name="_Toc30669229"/>
      <w:bookmarkStart w:id="672" w:name="_Toc30671445"/>
      <w:bookmarkStart w:id="673" w:name="_Toc30673972"/>
      <w:bookmarkStart w:id="674" w:name="_Toc30691194"/>
      <w:bookmarkStart w:id="675" w:name="_Toc30691567"/>
      <w:bookmarkStart w:id="676" w:name="_Toc30691947"/>
      <w:bookmarkStart w:id="677" w:name="_Toc30692706"/>
      <w:bookmarkStart w:id="678" w:name="_Toc30693085"/>
      <w:bookmarkStart w:id="679" w:name="_Toc30693463"/>
      <w:bookmarkStart w:id="680" w:name="_Toc30693841"/>
      <w:bookmarkStart w:id="681" w:name="_Toc30694222"/>
      <w:bookmarkStart w:id="682" w:name="_Toc30698811"/>
      <w:bookmarkStart w:id="683" w:name="_Toc30699189"/>
      <w:bookmarkStart w:id="684" w:name="_Toc30699574"/>
      <w:bookmarkStart w:id="685" w:name="_Toc30700729"/>
      <w:bookmarkStart w:id="686" w:name="_Toc30701116"/>
      <w:bookmarkStart w:id="687" w:name="_Toc30743725"/>
      <w:bookmarkStart w:id="688" w:name="_Toc30754548"/>
      <w:bookmarkStart w:id="689" w:name="_Toc30756988"/>
      <w:bookmarkStart w:id="690" w:name="_Toc30757537"/>
      <w:bookmarkStart w:id="691" w:name="_Toc30757937"/>
      <w:bookmarkStart w:id="692" w:name="_Toc30762698"/>
      <w:bookmarkStart w:id="693" w:name="_Toc30767352"/>
      <w:bookmarkStart w:id="694" w:name="_Toc34823368"/>
      <w:bookmarkEnd w:id="639"/>
      <w:bookmarkEnd w:id="640"/>
      <w:r>
        <w:rPr>
          <w:rFonts w:ascii="Arial" w:hAnsi="Arial" w:cs="Arial"/>
          <w:b/>
          <w:bCs/>
        </w:rPr>
        <w:t>4.6</w:t>
      </w:r>
      <w:r>
        <w:rPr>
          <w:rFonts w:ascii="Arial" w:hAnsi="Arial" w:cs="Arial"/>
          <w:b/>
          <w:bCs/>
        </w:rPr>
        <w:tab/>
      </w:r>
      <w:r w:rsidR="00863BC7">
        <w:rPr>
          <w:rFonts w:ascii="Arial" w:hAnsi="Arial" w:cs="Arial"/>
          <w:b/>
          <w:bCs/>
        </w:rPr>
        <w:t xml:space="preserve">Protective intervention reports [previously termed </w:t>
      </w:r>
      <w:r w:rsidR="00272B88">
        <w:rPr>
          <w:rFonts w:ascii="Arial" w:hAnsi="Arial" w:cs="Arial"/>
          <w:b/>
          <w:bCs/>
        </w:rPr>
        <w:t>“</w:t>
      </w:r>
      <w:r>
        <w:rPr>
          <w:rFonts w:ascii="Arial" w:hAnsi="Arial" w:cs="Arial"/>
          <w:b/>
          <w:bCs/>
        </w:rPr>
        <w:t>Notifications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00272B88">
        <w:rPr>
          <w:rFonts w:ascii="Arial" w:hAnsi="Arial" w:cs="Arial"/>
          <w:b/>
          <w:bCs/>
        </w:rPr>
        <w:t>”</w:t>
      </w:r>
      <w:r w:rsidR="00863BC7">
        <w:rPr>
          <w:rFonts w:ascii="Arial" w:hAnsi="Arial" w:cs="Arial"/>
          <w:b/>
          <w:bCs/>
        </w:rPr>
        <w:t>]</w:t>
      </w:r>
    </w:p>
    <w:p w14:paraId="7DBB9E62" w14:textId="77777777" w:rsidR="00693223" w:rsidRPr="00655B47" w:rsidRDefault="00693223">
      <w:pPr>
        <w:jc w:val="both"/>
        <w:rPr>
          <w:rFonts w:ascii="Arial" w:hAnsi="Arial" w:cs="Arial"/>
          <w:sz w:val="18"/>
          <w:szCs w:val="22"/>
        </w:rPr>
      </w:pPr>
    </w:p>
    <w:p w14:paraId="21B8216C" w14:textId="3B8A6897" w:rsidR="00693223" w:rsidRPr="00785E1A" w:rsidRDefault="00693223">
      <w:pPr>
        <w:jc w:val="both"/>
        <w:rPr>
          <w:rFonts w:ascii="Arial" w:hAnsi="Arial" w:cs="Arial"/>
          <w:color w:val="000000"/>
          <w:sz w:val="20"/>
        </w:rPr>
      </w:pPr>
      <w:r w:rsidRPr="00785E1A">
        <w:rPr>
          <w:rFonts w:ascii="Arial" w:hAnsi="Arial" w:cs="Arial"/>
          <w:color w:val="000000"/>
          <w:sz w:val="20"/>
        </w:rPr>
        <w:t xml:space="preserve">Most </w:t>
      </w:r>
      <w:r w:rsidR="008E10E3" w:rsidRPr="00785E1A">
        <w:rPr>
          <w:rFonts w:ascii="Arial" w:hAnsi="Arial" w:cs="Arial"/>
          <w:color w:val="000000"/>
          <w:sz w:val="20"/>
        </w:rPr>
        <w:t>protection applications and breach notices</w:t>
      </w:r>
      <w:r w:rsidRPr="00785E1A">
        <w:rPr>
          <w:rFonts w:ascii="Arial" w:hAnsi="Arial" w:cs="Arial"/>
          <w:color w:val="000000"/>
          <w:sz w:val="20"/>
        </w:rPr>
        <w:t xml:space="preserve"> in the Family Division of the Children's Court are initiated by the Department as a consequence of a </w:t>
      </w:r>
      <w:r w:rsidR="00863BC7" w:rsidRPr="00785E1A">
        <w:rPr>
          <w:rFonts w:ascii="Arial" w:hAnsi="Arial" w:cs="Arial"/>
          <w:color w:val="000000"/>
          <w:sz w:val="20"/>
        </w:rPr>
        <w:t xml:space="preserve">report </w:t>
      </w:r>
      <w:r w:rsidRPr="00785E1A">
        <w:rPr>
          <w:rFonts w:ascii="Arial" w:hAnsi="Arial" w:cs="Arial"/>
          <w:color w:val="000000"/>
          <w:sz w:val="20"/>
        </w:rPr>
        <w:t>received by it of suspected child abuse.</w:t>
      </w:r>
      <w:r w:rsidR="00272B88" w:rsidRPr="00785E1A">
        <w:rPr>
          <w:rFonts w:ascii="Arial" w:hAnsi="Arial" w:cs="Arial"/>
          <w:color w:val="000000"/>
          <w:sz w:val="20"/>
        </w:rPr>
        <w:t xml:space="preserve">  Under the CYPA these were termed “notifications”.  Under the CYFA they are termed “protective intervention reports”.  Save for the change in terminology, the </w:t>
      </w:r>
      <w:r w:rsidR="00C777FC" w:rsidRPr="00785E1A">
        <w:rPr>
          <w:rFonts w:ascii="Arial" w:hAnsi="Arial" w:cs="Arial"/>
          <w:color w:val="000000"/>
          <w:sz w:val="20"/>
        </w:rPr>
        <w:t xml:space="preserve">provisions </w:t>
      </w:r>
      <w:r w:rsidR="006E5B6E" w:rsidRPr="00785E1A">
        <w:rPr>
          <w:rFonts w:ascii="Arial" w:hAnsi="Arial" w:cs="Arial"/>
          <w:color w:val="000000"/>
          <w:sz w:val="20"/>
        </w:rPr>
        <w:t>in ss.182</w:t>
      </w:r>
      <w:r w:rsidR="00F00C4A">
        <w:rPr>
          <w:rFonts w:ascii="Arial" w:hAnsi="Arial" w:cs="Arial"/>
          <w:color w:val="000000"/>
          <w:sz w:val="20"/>
        </w:rPr>
        <w:noBreakHyphen/>
      </w:r>
      <w:r w:rsidR="006E5B6E" w:rsidRPr="00785E1A">
        <w:rPr>
          <w:rFonts w:ascii="Arial" w:hAnsi="Arial" w:cs="Arial"/>
          <w:color w:val="000000"/>
          <w:sz w:val="20"/>
        </w:rPr>
        <w:t xml:space="preserve">184, 186, 189-191 &amp; 204-209 of the </w:t>
      </w:r>
      <w:r w:rsidR="00C777FC" w:rsidRPr="00785E1A">
        <w:rPr>
          <w:rFonts w:ascii="Arial" w:hAnsi="Arial" w:cs="Arial"/>
          <w:color w:val="000000"/>
          <w:sz w:val="20"/>
        </w:rPr>
        <w:t>CYFA are in substantially the same terms as their predecessors in ss.</w:t>
      </w:r>
      <w:r w:rsidR="006E5B6E" w:rsidRPr="00785E1A">
        <w:rPr>
          <w:rFonts w:ascii="Arial" w:hAnsi="Arial" w:cs="Arial"/>
          <w:color w:val="000000"/>
          <w:sz w:val="20"/>
        </w:rPr>
        <w:t>64, 65(2) &amp; 66-67</w:t>
      </w:r>
      <w:r w:rsidR="00C777FC" w:rsidRPr="00785E1A">
        <w:rPr>
          <w:rFonts w:ascii="Arial" w:hAnsi="Arial" w:cs="Arial"/>
          <w:color w:val="000000"/>
          <w:sz w:val="20"/>
        </w:rPr>
        <w:t xml:space="preserve"> of the CYPA.</w:t>
      </w:r>
    </w:p>
    <w:p w14:paraId="2FE6DD9D" w14:textId="77777777" w:rsidR="00693223" w:rsidRPr="00655B47" w:rsidRDefault="00693223">
      <w:pPr>
        <w:jc w:val="both"/>
        <w:rPr>
          <w:rFonts w:ascii="Arial" w:hAnsi="Arial" w:cs="Arial"/>
          <w:color w:val="000000"/>
          <w:sz w:val="18"/>
          <w:szCs w:val="22"/>
        </w:rPr>
      </w:pPr>
    </w:p>
    <w:p w14:paraId="46D09E69" w14:textId="77777777" w:rsidR="00E732EA" w:rsidRPr="00785E1A" w:rsidRDefault="00E732EA" w:rsidP="00E732EA">
      <w:pPr>
        <w:pStyle w:val="Heading3"/>
        <w:keepNext/>
        <w:keepLines/>
        <w:spacing w:after="120" w:line="240" w:lineRule="auto"/>
        <w:rPr>
          <w:rFonts w:ascii="Arial" w:hAnsi="Arial" w:cs="Arial"/>
          <w:b/>
          <w:bCs/>
          <w:color w:val="000000"/>
          <w:sz w:val="12"/>
        </w:rPr>
      </w:pPr>
      <w:bookmarkStart w:id="695" w:name="_4.6.1_Anonymity_of"/>
      <w:bookmarkStart w:id="696" w:name="B461"/>
      <w:bookmarkEnd w:id="695"/>
      <w:bookmarkEnd w:id="696"/>
      <w:r w:rsidRPr="00785E1A">
        <w:rPr>
          <w:rFonts w:ascii="Arial" w:hAnsi="Arial" w:cs="Arial"/>
          <w:b/>
          <w:bCs/>
          <w:color w:val="000000"/>
          <w:sz w:val="20"/>
        </w:rPr>
        <w:t>4.6.1</w:t>
      </w:r>
      <w:r w:rsidRPr="00785E1A">
        <w:rPr>
          <w:rFonts w:ascii="Arial" w:hAnsi="Arial" w:cs="Arial"/>
          <w:b/>
          <w:bCs/>
          <w:color w:val="000000"/>
          <w:sz w:val="20"/>
        </w:rPr>
        <w:tab/>
        <w:t>Anonymity of protective intervention reporter [notifier]</w:t>
      </w:r>
    </w:p>
    <w:p w14:paraId="4C59FBD5" w14:textId="77777777" w:rsidR="00E732EA" w:rsidRDefault="00E732EA" w:rsidP="00E732EA">
      <w:pPr>
        <w:jc w:val="both"/>
        <w:rPr>
          <w:rFonts w:ascii="Arial" w:hAnsi="Arial" w:cs="Arial"/>
          <w:sz w:val="20"/>
        </w:rPr>
      </w:pPr>
      <w:r>
        <w:rPr>
          <w:rFonts w:ascii="Arial" w:hAnsi="Arial" w:cs="Arial"/>
          <w:sz w:val="20"/>
        </w:rPr>
        <w:t>A reporter is anonymous.  Evidence that identifies the person who made a report as the reporter, or is likely to lead to the identification of that person as the reporter, is only admissible in any legal proceeding if the court or tribunal grants leave for the evidence to be given or if the reporter consents in writing to the admission of that evidence: s.190(2) of the CYFA.  Such leave is very rarely granted and may only be granted under s.190(4) if-</w:t>
      </w:r>
    </w:p>
    <w:p w14:paraId="331F047A" w14:textId="77777777" w:rsidR="00E732EA" w:rsidRDefault="00E732EA" w:rsidP="00E732EA">
      <w:pPr>
        <w:ind w:left="363" w:hanging="363"/>
        <w:jc w:val="both"/>
        <w:rPr>
          <w:rFonts w:ascii="Arial" w:hAnsi="Arial" w:cs="Arial"/>
          <w:sz w:val="20"/>
        </w:rPr>
      </w:pPr>
      <w:r>
        <w:rPr>
          <w:rFonts w:ascii="Arial" w:hAnsi="Arial" w:cs="Arial"/>
          <w:sz w:val="20"/>
        </w:rPr>
        <w:t>(a)</w:t>
      </w:r>
      <w:r>
        <w:rPr>
          <w:rFonts w:ascii="Arial" w:hAnsi="Arial" w:cs="Arial"/>
          <w:sz w:val="20"/>
        </w:rPr>
        <w:tab/>
        <w:t xml:space="preserve">in the case of a proceeding in a court or VCAT, the court or tribunal is satisfied that it is necessary for the evidence to be given to ensure the safety and </w:t>
      </w:r>
      <w:proofErr w:type="spellStart"/>
      <w:r>
        <w:rPr>
          <w:rFonts w:ascii="Arial" w:hAnsi="Arial" w:cs="Arial"/>
          <w:sz w:val="20"/>
        </w:rPr>
        <w:t>well being</w:t>
      </w:r>
      <w:proofErr w:type="spellEnd"/>
      <w:r>
        <w:rPr>
          <w:rFonts w:ascii="Arial" w:hAnsi="Arial" w:cs="Arial"/>
          <w:sz w:val="20"/>
        </w:rPr>
        <w:t xml:space="preserve"> of the child;</w:t>
      </w:r>
    </w:p>
    <w:p w14:paraId="47FB9DF4" w14:textId="77777777" w:rsidR="00E732EA" w:rsidRDefault="00E732EA" w:rsidP="00E732EA">
      <w:pPr>
        <w:ind w:left="363" w:hanging="363"/>
        <w:jc w:val="both"/>
        <w:rPr>
          <w:rFonts w:ascii="Arial" w:hAnsi="Arial" w:cs="Arial"/>
          <w:sz w:val="20"/>
        </w:rPr>
      </w:pPr>
      <w:r>
        <w:rPr>
          <w:rFonts w:ascii="Arial" w:hAnsi="Arial" w:cs="Arial"/>
          <w:sz w:val="20"/>
        </w:rPr>
        <w:t>(b)</w:t>
      </w:r>
      <w:r>
        <w:rPr>
          <w:rFonts w:ascii="Arial" w:hAnsi="Arial" w:cs="Arial"/>
          <w:sz w:val="20"/>
        </w:rPr>
        <w:tab/>
        <w:t>in any other case, the court or tribunal is satisfied that the interests of justice require the evidence to be given.</w:t>
      </w:r>
    </w:p>
    <w:p w14:paraId="1AE7671E" w14:textId="77777777" w:rsidR="00E732EA" w:rsidRPr="00655B47" w:rsidRDefault="00E732EA" w:rsidP="00E732EA">
      <w:pPr>
        <w:jc w:val="both"/>
        <w:rPr>
          <w:rFonts w:ascii="Arial" w:hAnsi="Arial" w:cs="Arial"/>
          <w:b/>
          <w:bCs/>
          <w:sz w:val="18"/>
          <w:szCs w:val="22"/>
        </w:rPr>
      </w:pPr>
      <w:bookmarkStart w:id="697" w:name="_Hlk149040274"/>
    </w:p>
    <w:p w14:paraId="3A6BBCB2" w14:textId="77777777" w:rsidR="00E732EA" w:rsidRPr="00785E1A" w:rsidRDefault="00E732EA" w:rsidP="00E732EA">
      <w:pPr>
        <w:pStyle w:val="Heading3"/>
        <w:keepNext/>
        <w:keepLines/>
        <w:spacing w:after="120" w:line="240" w:lineRule="auto"/>
        <w:rPr>
          <w:rFonts w:ascii="Arial" w:hAnsi="Arial" w:cs="Arial"/>
          <w:b/>
          <w:bCs/>
          <w:color w:val="000000"/>
          <w:sz w:val="20"/>
        </w:rPr>
      </w:pPr>
      <w:bookmarkStart w:id="698" w:name="_4.6.2_Mandatory_protective"/>
      <w:bookmarkStart w:id="699" w:name="B462"/>
      <w:bookmarkStart w:id="700" w:name="_Toc30648177"/>
      <w:bookmarkStart w:id="701" w:name="_Toc30649075"/>
      <w:bookmarkStart w:id="702" w:name="_Toc30649151"/>
      <w:bookmarkStart w:id="703" w:name="_Toc30649412"/>
      <w:bookmarkStart w:id="704" w:name="_Toc30649737"/>
      <w:bookmarkStart w:id="705" w:name="_Toc30651677"/>
      <w:bookmarkStart w:id="706" w:name="_Toc30652667"/>
      <w:bookmarkStart w:id="707" w:name="_Toc30652763"/>
      <w:bookmarkStart w:id="708" w:name="_Toc30654108"/>
      <w:bookmarkStart w:id="709" w:name="_Toc30654459"/>
      <w:bookmarkStart w:id="710" w:name="_Toc30655078"/>
      <w:bookmarkStart w:id="711" w:name="_Toc30655335"/>
      <w:bookmarkStart w:id="712" w:name="_Toc30657013"/>
      <w:bookmarkStart w:id="713" w:name="_Toc30661762"/>
      <w:bookmarkStart w:id="714" w:name="_Toc30666450"/>
      <w:bookmarkStart w:id="715" w:name="_Toc30666680"/>
      <w:bookmarkStart w:id="716" w:name="_Toc30667855"/>
      <w:bookmarkStart w:id="717" w:name="_Toc30669233"/>
      <w:bookmarkStart w:id="718" w:name="_Toc30671449"/>
      <w:bookmarkStart w:id="719" w:name="_Toc30673976"/>
      <w:bookmarkStart w:id="720" w:name="_Toc30691198"/>
      <w:bookmarkStart w:id="721" w:name="_Toc30691571"/>
      <w:bookmarkStart w:id="722" w:name="_Toc30691951"/>
      <w:bookmarkStart w:id="723" w:name="_Toc30692710"/>
      <w:bookmarkStart w:id="724" w:name="_Toc30693089"/>
      <w:bookmarkStart w:id="725" w:name="_Toc30693467"/>
      <w:bookmarkStart w:id="726" w:name="_Toc30693845"/>
      <w:bookmarkStart w:id="727" w:name="_Toc30694226"/>
      <w:bookmarkStart w:id="728" w:name="_Toc30698815"/>
      <w:bookmarkStart w:id="729" w:name="_Toc30699193"/>
      <w:bookmarkStart w:id="730" w:name="_Toc30699578"/>
      <w:bookmarkStart w:id="731" w:name="_Toc30700733"/>
      <w:bookmarkStart w:id="732" w:name="_Toc30701120"/>
      <w:bookmarkStart w:id="733" w:name="_Toc30743729"/>
      <w:bookmarkStart w:id="734" w:name="_Toc30754552"/>
      <w:bookmarkStart w:id="735" w:name="_Toc30756992"/>
      <w:bookmarkStart w:id="736" w:name="_Toc30757541"/>
      <w:bookmarkStart w:id="737" w:name="_Toc30757941"/>
      <w:bookmarkStart w:id="738" w:name="_Toc30762702"/>
      <w:bookmarkStart w:id="739" w:name="_Toc30767356"/>
      <w:bookmarkStart w:id="740" w:name="_Toc34823372"/>
      <w:bookmarkEnd w:id="698"/>
      <w:bookmarkEnd w:id="699"/>
      <w:r w:rsidRPr="00785E1A">
        <w:rPr>
          <w:rFonts w:ascii="Arial" w:hAnsi="Arial" w:cs="Arial"/>
          <w:b/>
          <w:bCs/>
          <w:color w:val="000000"/>
          <w:sz w:val="20"/>
        </w:rPr>
        <w:t>4.6.2</w:t>
      </w:r>
      <w:r w:rsidRPr="00785E1A">
        <w:rPr>
          <w:rFonts w:ascii="Arial" w:hAnsi="Arial" w:cs="Arial"/>
          <w:b/>
          <w:bCs/>
          <w:color w:val="000000"/>
          <w:sz w:val="20"/>
        </w:rPr>
        <w:tab/>
        <w:t xml:space="preserve">Mandatory </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sidRPr="00785E1A">
        <w:rPr>
          <w:rFonts w:ascii="Arial" w:hAnsi="Arial" w:cs="Arial"/>
          <w:b/>
          <w:bCs/>
          <w:color w:val="000000"/>
          <w:sz w:val="20"/>
        </w:rPr>
        <w:t>protective intervention report</w:t>
      </w:r>
    </w:p>
    <w:p w14:paraId="5232C77D" w14:textId="7E9D705A" w:rsidR="00E732EA" w:rsidRPr="00785E1A" w:rsidRDefault="00E732EA" w:rsidP="00790396">
      <w:pPr>
        <w:jc w:val="both"/>
        <w:rPr>
          <w:rFonts w:ascii="Arial" w:hAnsi="Arial" w:cs="Arial"/>
          <w:color w:val="000000"/>
          <w:sz w:val="20"/>
        </w:rPr>
      </w:pPr>
      <w:r w:rsidRPr="00785E1A">
        <w:rPr>
          <w:rFonts w:ascii="Arial" w:hAnsi="Arial" w:cs="Arial"/>
          <w:color w:val="000000"/>
          <w:sz w:val="20"/>
        </w:rPr>
        <w:t>A professional person referred to in s.182 of the CYFA who, in the course of practising his or her profession or carrying out the duties of his or her office, position or employment, forms the belief on reasonable grounds that a child is in need of protection from either physical or sexual abuse is required by s.184(1), under pain of a penalty of 10 penalty units, to report to the Secretary that belief and the reasonable grounds for it as soon as practicable</w:t>
      </w:r>
      <w:r w:rsidR="00E15EE0">
        <w:rPr>
          <w:rFonts w:ascii="Arial" w:hAnsi="Arial" w:cs="Arial"/>
          <w:color w:val="000000"/>
          <w:sz w:val="20"/>
        </w:rPr>
        <w:t>–</w:t>
      </w:r>
    </w:p>
    <w:p w14:paraId="011BE38D" w14:textId="77777777" w:rsidR="00E732EA" w:rsidRPr="00785E1A" w:rsidRDefault="00E732EA" w:rsidP="00E732EA">
      <w:pPr>
        <w:tabs>
          <w:tab w:val="left" w:pos="363"/>
        </w:tabs>
        <w:ind w:left="363" w:hanging="363"/>
        <w:jc w:val="both"/>
        <w:rPr>
          <w:rFonts w:ascii="Arial" w:hAnsi="Arial" w:cs="Arial"/>
          <w:color w:val="000000"/>
          <w:sz w:val="20"/>
        </w:rPr>
      </w:pPr>
      <w:r w:rsidRPr="00785E1A">
        <w:rPr>
          <w:rFonts w:ascii="Arial" w:hAnsi="Arial" w:cs="Arial"/>
          <w:color w:val="000000"/>
          <w:sz w:val="20"/>
        </w:rPr>
        <w:t>(a)</w:t>
      </w:r>
      <w:r w:rsidRPr="00785E1A">
        <w:rPr>
          <w:rFonts w:ascii="Arial" w:hAnsi="Arial" w:cs="Arial"/>
          <w:color w:val="000000"/>
          <w:sz w:val="20"/>
        </w:rPr>
        <w:tab/>
        <w:t>after forming the belief; and</w:t>
      </w:r>
    </w:p>
    <w:p w14:paraId="25F5433C" w14:textId="77777777" w:rsidR="00E732EA" w:rsidRPr="00785E1A" w:rsidRDefault="00E732EA" w:rsidP="00E732EA">
      <w:pPr>
        <w:tabs>
          <w:tab w:val="left" w:pos="363"/>
        </w:tabs>
        <w:ind w:left="363" w:hanging="363"/>
        <w:jc w:val="both"/>
        <w:rPr>
          <w:rFonts w:ascii="Arial" w:hAnsi="Arial" w:cs="Arial"/>
          <w:color w:val="000000"/>
          <w:sz w:val="20"/>
        </w:rPr>
      </w:pPr>
      <w:r w:rsidRPr="00785E1A">
        <w:rPr>
          <w:rFonts w:ascii="Arial" w:hAnsi="Arial" w:cs="Arial"/>
          <w:color w:val="000000"/>
          <w:sz w:val="20"/>
        </w:rPr>
        <w:t>(b)</w:t>
      </w:r>
      <w:r w:rsidRPr="00785E1A">
        <w:rPr>
          <w:rFonts w:ascii="Arial" w:hAnsi="Arial" w:cs="Arial"/>
          <w:color w:val="000000"/>
          <w:sz w:val="20"/>
        </w:rPr>
        <w:tab/>
        <w:t>after each occasion on which he or she becomes aware of any further reasonable grounds for the belief.</w:t>
      </w:r>
    </w:p>
    <w:p w14:paraId="4D211250" w14:textId="77777777" w:rsidR="00E732EA" w:rsidRPr="00655B47" w:rsidRDefault="00E732EA" w:rsidP="00E732EA">
      <w:pPr>
        <w:jc w:val="both"/>
        <w:rPr>
          <w:rFonts w:ascii="Arial" w:hAnsi="Arial" w:cs="Arial"/>
          <w:color w:val="000000"/>
          <w:sz w:val="18"/>
          <w:szCs w:val="22"/>
        </w:rPr>
      </w:pPr>
      <w:bookmarkStart w:id="741" w:name="_Hlk149046324"/>
    </w:p>
    <w:p w14:paraId="08C87147" w14:textId="6EDE2415" w:rsidR="00E732EA" w:rsidRDefault="00E732EA" w:rsidP="00E15EE0">
      <w:pPr>
        <w:spacing w:after="120"/>
        <w:jc w:val="both"/>
        <w:rPr>
          <w:rFonts w:ascii="Arial" w:hAnsi="Arial" w:cs="Arial"/>
          <w:color w:val="000000"/>
          <w:sz w:val="20"/>
        </w:rPr>
      </w:pPr>
      <w:r w:rsidRPr="00785E1A">
        <w:rPr>
          <w:rFonts w:ascii="Arial" w:hAnsi="Arial" w:cs="Arial"/>
          <w:color w:val="000000"/>
          <w:sz w:val="20"/>
        </w:rPr>
        <w:t xml:space="preserve">The professionals referred to in s.182 </w:t>
      </w:r>
      <w:r w:rsidR="00E15EE0">
        <w:rPr>
          <w:rFonts w:ascii="Arial" w:hAnsi="Arial" w:cs="Arial"/>
          <w:color w:val="000000"/>
          <w:sz w:val="20"/>
        </w:rPr>
        <w:t>ar</w:t>
      </w:r>
      <w:r w:rsidRPr="00785E1A">
        <w:rPr>
          <w:rFonts w:ascii="Arial" w:hAnsi="Arial" w:cs="Arial"/>
          <w:color w:val="000000"/>
          <w:sz w:val="20"/>
        </w:rPr>
        <w:t>e</w:t>
      </w:r>
      <w:r w:rsidR="00DD65BB">
        <w:rPr>
          <w:rFonts w:ascii="Arial" w:hAnsi="Arial" w:cs="Arial"/>
          <w:color w:val="000000"/>
          <w:sz w:val="20"/>
        </w:rPr>
        <w:t xml:space="preserve"> </w:t>
      </w:r>
      <w:r w:rsidR="00E94168">
        <w:rPr>
          <w:rFonts w:ascii="Arial" w:hAnsi="Arial" w:cs="Arial"/>
          <w:color w:val="000000"/>
          <w:sz w:val="20"/>
        </w:rPr>
        <w:t>set out in the following table</w:t>
      </w:r>
      <w:r w:rsidR="00790396">
        <w:rPr>
          <w:rFonts w:ascii="Arial" w:hAnsi="Arial" w:cs="Arial"/>
          <w:color w:val="000000"/>
          <w:sz w:val="20"/>
        </w:rPr>
        <w:t>:</w:t>
      </w:r>
    </w:p>
    <w:tbl>
      <w:tblPr>
        <w:tblStyle w:val="TableGrid"/>
        <w:tblW w:w="0" w:type="auto"/>
        <w:tblLook w:val="04A0" w:firstRow="1" w:lastRow="0" w:firstColumn="1" w:lastColumn="0" w:noHBand="0" w:noVBand="1"/>
      </w:tblPr>
      <w:tblGrid>
        <w:gridCol w:w="1315"/>
        <w:gridCol w:w="6985"/>
      </w:tblGrid>
      <w:tr w:rsidR="00387412" w:rsidRPr="00387412" w14:paraId="6E6F5414" w14:textId="77777777" w:rsidTr="00387412">
        <w:tc>
          <w:tcPr>
            <w:tcW w:w="1315" w:type="dxa"/>
            <w:shd w:val="clear" w:color="auto" w:fill="000000" w:themeFill="text1"/>
          </w:tcPr>
          <w:p w14:paraId="6E137E64" w14:textId="44AA6827" w:rsidR="00387412" w:rsidRPr="00387412" w:rsidRDefault="00387412" w:rsidP="0083712E">
            <w:pPr>
              <w:keepNext/>
              <w:keepLines/>
              <w:jc w:val="center"/>
              <w:rPr>
                <w:rFonts w:ascii="Arial" w:hAnsi="Arial" w:cs="Arial"/>
                <w:b/>
                <w:bCs/>
                <w:color w:val="FFFFFF" w:themeColor="background1"/>
                <w:sz w:val="20"/>
              </w:rPr>
            </w:pPr>
            <w:r>
              <w:rPr>
                <w:rFonts w:ascii="Arial" w:hAnsi="Arial" w:cs="Arial"/>
                <w:b/>
                <w:bCs/>
                <w:color w:val="FFFFFF" w:themeColor="background1"/>
                <w:sz w:val="20"/>
              </w:rPr>
              <w:t>CYFA</w:t>
            </w:r>
          </w:p>
        </w:tc>
        <w:tc>
          <w:tcPr>
            <w:tcW w:w="6985" w:type="dxa"/>
            <w:shd w:val="clear" w:color="auto" w:fill="000000" w:themeFill="text1"/>
          </w:tcPr>
          <w:p w14:paraId="7CE4BE8E" w14:textId="45827C59" w:rsidR="00387412" w:rsidRPr="00387412" w:rsidRDefault="00387412" w:rsidP="0083712E">
            <w:pPr>
              <w:keepNext/>
              <w:keepLines/>
              <w:jc w:val="center"/>
              <w:rPr>
                <w:rFonts w:ascii="Arial" w:hAnsi="Arial" w:cs="Arial"/>
                <w:b/>
                <w:bCs/>
                <w:color w:val="FFFFFF" w:themeColor="background1"/>
                <w:sz w:val="20"/>
              </w:rPr>
            </w:pPr>
            <w:r>
              <w:rPr>
                <w:rFonts w:ascii="Arial" w:hAnsi="Arial" w:cs="Arial"/>
                <w:b/>
                <w:bCs/>
                <w:color w:val="FFFFFF" w:themeColor="background1"/>
                <w:sz w:val="20"/>
              </w:rPr>
              <w:t>PROFESSIONAL PERSON</w:t>
            </w:r>
          </w:p>
        </w:tc>
      </w:tr>
      <w:tr w:rsidR="00E15EE0" w14:paraId="2AE82573" w14:textId="77777777" w:rsidTr="00635308">
        <w:tc>
          <w:tcPr>
            <w:tcW w:w="1315" w:type="dxa"/>
          </w:tcPr>
          <w:p w14:paraId="747594B9" w14:textId="77777777" w:rsidR="00E15EE0" w:rsidRDefault="00E15EE0" w:rsidP="0083712E">
            <w:pPr>
              <w:keepNext/>
              <w:keepLines/>
              <w:jc w:val="both"/>
              <w:rPr>
                <w:rFonts w:ascii="Arial" w:hAnsi="Arial" w:cs="Arial"/>
                <w:color w:val="000000"/>
                <w:sz w:val="20"/>
              </w:rPr>
            </w:pPr>
            <w:r>
              <w:rPr>
                <w:rFonts w:ascii="Arial" w:hAnsi="Arial" w:cs="Arial"/>
                <w:color w:val="000000"/>
                <w:sz w:val="20"/>
              </w:rPr>
              <w:t>s.182(1)(a)</w:t>
            </w:r>
          </w:p>
        </w:tc>
        <w:tc>
          <w:tcPr>
            <w:tcW w:w="6985" w:type="dxa"/>
          </w:tcPr>
          <w:p w14:paraId="5DD7626F" w14:textId="21996C58" w:rsidR="00E15EE0" w:rsidRDefault="00E15EE0" w:rsidP="0083712E">
            <w:pPr>
              <w:keepNext/>
              <w:keepLines/>
              <w:jc w:val="both"/>
              <w:rPr>
                <w:rFonts w:ascii="Arial" w:hAnsi="Arial" w:cs="Arial"/>
                <w:color w:val="000000"/>
                <w:sz w:val="20"/>
              </w:rPr>
            </w:pPr>
            <w:r>
              <w:rPr>
                <w:rFonts w:ascii="Arial" w:hAnsi="Arial" w:cs="Arial"/>
                <w:color w:val="000000"/>
                <w:sz w:val="20"/>
              </w:rPr>
              <w:t>a registered medical practitioner</w:t>
            </w:r>
          </w:p>
        </w:tc>
      </w:tr>
      <w:tr w:rsidR="00E15EE0" w14:paraId="6B7BF6A8" w14:textId="77777777" w:rsidTr="00E15EE0">
        <w:tc>
          <w:tcPr>
            <w:tcW w:w="1315" w:type="dxa"/>
            <w:shd w:val="clear" w:color="auto" w:fill="DDDDDD"/>
          </w:tcPr>
          <w:p w14:paraId="71C9FD0F" w14:textId="0A327086" w:rsidR="00E15EE0" w:rsidRDefault="00E15EE0" w:rsidP="0083712E">
            <w:pPr>
              <w:keepNext/>
              <w:keepLines/>
              <w:jc w:val="both"/>
              <w:rPr>
                <w:rFonts w:ascii="Arial" w:hAnsi="Arial" w:cs="Arial"/>
                <w:color w:val="000000"/>
                <w:sz w:val="20"/>
              </w:rPr>
            </w:pPr>
            <w:r>
              <w:rPr>
                <w:rFonts w:ascii="Arial" w:hAnsi="Arial" w:cs="Arial"/>
                <w:color w:val="000000"/>
                <w:sz w:val="20"/>
              </w:rPr>
              <w:t>s.182(1)(b)</w:t>
            </w:r>
          </w:p>
        </w:tc>
        <w:tc>
          <w:tcPr>
            <w:tcW w:w="6985" w:type="dxa"/>
            <w:shd w:val="clear" w:color="auto" w:fill="DDDDDD"/>
          </w:tcPr>
          <w:p w14:paraId="6CFE1BC3" w14:textId="380131EF" w:rsidR="00E15EE0" w:rsidRDefault="00E15EE0" w:rsidP="0083712E">
            <w:pPr>
              <w:keepNext/>
              <w:keepLines/>
              <w:jc w:val="both"/>
              <w:rPr>
                <w:rFonts w:ascii="Arial" w:hAnsi="Arial" w:cs="Arial"/>
                <w:color w:val="000000"/>
                <w:sz w:val="20"/>
              </w:rPr>
            </w:pPr>
            <w:r>
              <w:rPr>
                <w:rFonts w:ascii="Arial" w:hAnsi="Arial" w:cs="Arial"/>
                <w:color w:val="000000"/>
                <w:sz w:val="20"/>
              </w:rPr>
              <w:t>a nurse</w:t>
            </w:r>
          </w:p>
        </w:tc>
      </w:tr>
      <w:tr w:rsidR="00E15EE0" w14:paraId="276B97A2" w14:textId="77777777" w:rsidTr="00E15EE0">
        <w:tc>
          <w:tcPr>
            <w:tcW w:w="1315" w:type="dxa"/>
          </w:tcPr>
          <w:p w14:paraId="4682D92A" w14:textId="1AD74C61" w:rsidR="00E15EE0" w:rsidRDefault="00E15EE0" w:rsidP="00E732EA">
            <w:pPr>
              <w:jc w:val="both"/>
              <w:rPr>
                <w:rFonts w:ascii="Arial" w:hAnsi="Arial" w:cs="Arial"/>
                <w:color w:val="000000"/>
                <w:sz w:val="20"/>
              </w:rPr>
            </w:pPr>
            <w:r>
              <w:rPr>
                <w:rFonts w:ascii="Arial" w:hAnsi="Arial" w:cs="Arial"/>
                <w:color w:val="000000"/>
                <w:sz w:val="20"/>
              </w:rPr>
              <w:t>s.182(1)(</w:t>
            </w:r>
            <w:proofErr w:type="spellStart"/>
            <w:r>
              <w:rPr>
                <w:rFonts w:ascii="Arial" w:hAnsi="Arial" w:cs="Arial"/>
                <w:color w:val="000000"/>
                <w:sz w:val="20"/>
              </w:rPr>
              <w:t>ba</w:t>
            </w:r>
            <w:proofErr w:type="spellEnd"/>
            <w:r>
              <w:rPr>
                <w:rFonts w:ascii="Arial" w:hAnsi="Arial" w:cs="Arial"/>
                <w:color w:val="000000"/>
                <w:sz w:val="20"/>
              </w:rPr>
              <w:t>)</w:t>
            </w:r>
          </w:p>
        </w:tc>
        <w:tc>
          <w:tcPr>
            <w:tcW w:w="6985" w:type="dxa"/>
          </w:tcPr>
          <w:p w14:paraId="24D2008B" w14:textId="730840C3" w:rsidR="00E15EE0" w:rsidRDefault="00E15EE0" w:rsidP="00E732EA">
            <w:pPr>
              <w:jc w:val="both"/>
              <w:rPr>
                <w:rFonts w:ascii="Arial" w:hAnsi="Arial" w:cs="Arial"/>
                <w:color w:val="000000"/>
                <w:sz w:val="20"/>
              </w:rPr>
            </w:pPr>
            <w:r>
              <w:rPr>
                <w:rFonts w:ascii="Arial" w:hAnsi="Arial" w:cs="Arial"/>
                <w:color w:val="000000"/>
                <w:sz w:val="20"/>
              </w:rPr>
              <w:t>a midwife</w:t>
            </w:r>
          </w:p>
        </w:tc>
      </w:tr>
      <w:tr w:rsidR="00E15EE0" w14:paraId="0D09E5D8" w14:textId="77777777" w:rsidTr="00E15EE0">
        <w:tc>
          <w:tcPr>
            <w:tcW w:w="1315" w:type="dxa"/>
            <w:shd w:val="clear" w:color="auto" w:fill="DDDDDD"/>
          </w:tcPr>
          <w:p w14:paraId="65A4F219" w14:textId="66BF0CE8" w:rsidR="00E15EE0" w:rsidRDefault="00E15EE0" w:rsidP="00E732EA">
            <w:pPr>
              <w:jc w:val="both"/>
              <w:rPr>
                <w:rFonts w:ascii="Arial" w:hAnsi="Arial" w:cs="Arial"/>
                <w:color w:val="000000"/>
                <w:sz w:val="20"/>
              </w:rPr>
            </w:pPr>
            <w:r>
              <w:rPr>
                <w:rFonts w:ascii="Arial" w:hAnsi="Arial" w:cs="Arial"/>
                <w:color w:val="000000"/>
                <w:sz w:val="20"/>
              </w:rPr>
              <w:t>s.182(1)(c)</w:t>
            </w:r>
          </w:p>
        </w:tc>
        <w:tc>
          <w:tcPr>
            <w:tcW w:w="6985" w:type="dxa"/>
            <w:shd w:val="clear" w:color="auto" w:fill="DDDDDD"/>
          </w:tcPr>
          <w:p w14:paraId="03E89788" w14:textId="542F9CBD" w:rsidR="00E15EE0" w:rsidRDefault="00E15EE0" w:rsidP="00E732EA">
            <w:pPr>
              <w:jc w:val="both"/>
              <w:rPr>
                <w:rFonts w:ascii="Arial" w:hAnsi="Arial" w:cs="Arial"/>
                <w:color w:val="000000"/>
                <w:sz w:val="20"/>
              </w:rPr>
            </w:pPr>
            <w:r>
              <w:rPr>
                <w:rFonts w:ascii="Arial" w:hAnsi="Arial" w:cs="Arial"/>
                <w:color w:val="000000"/>
                <w:sz w:val="20"/>
              </w:rPr>
              <w:t xml:space="preserve">a person who is registered as a teacher or an early childhood teacher under the </w:t>
            </w:r>
            <w:r w:rsidRPr="00E15EE0">
              <w:rPr>
                <w:rFonts w:ascii="Arial" w:hAnsi="Arial" w:cs="Arial"/>
                <w:i/>
                <w:iCs/>
                <w:color w:val="000000"/>
                <w:sz w:val="20"/>
              </w:rPr>
              <w:t>Education and Training Reform Act 2006</w:t>
            </w:r>
            <w:r>
              <w:rPr>
                <w:rFonts w:ascii="Arial" w:hAnsi="Arial" w:cs="Arial"/>
                <w:color w:val="000000"/>
                <w:sz w:val="20"/>
              </w:rPr>
              <w:t xml:space="preserve"> or has been granted permission to teach under that Act</w:t>
            </w:r>
          </w:p>
        </w:tc>
      </w:tr>
      <w:tr w:rsidR="00E15EE0" w14:paraId="701B7FD7" w14:textId="77777777" w:rsidTr="00E15EE0">
        <w:tc>
          <w:tcPr>
            <w:tcW w:w="1315" w:type="dxa"/>
          </w:tcPr>
          <w:p w14:paraId="4FC3541A" w14:textId="6BD21CFE" w:rsidR="00E15EE0" w:rsidRDefault="00E15EE0" w:rsidP="00E732EA">
            <w:pPr>
              <w:jc w:val="both"/>
              <w:rPr>
                <w:rFonts w:ascii="Arial" w:hAnsi="Arial" w:cs="Arial"/>
                <w:color w:val="000000"/>
                <w:sz w:val="20"/>
              </w:rPr>
            </w:pPr>
            <w:r>
              <w:rPr>
                <w:rFonts w:ascii="Arial" w:hAnsi="Arial" w:cs="Arial"/>
                <w:color w:val="000000"/>
                <w:sz w:val="20"/>
              </w:rPr>
              <w:t>s.182(1)(d)</w:t>
            </w:r>
          </w:p>
        </w:tc>
        <w:tc>
          <w:tcPr>
            <w:tcW w:w="6985" w:type="dxa"/>
          </w:tcPr>
          <w:p w14:paraId="137E51F9" w14:textId="13B68F4E" w:rsidR="00E15EE0" w:rsidRDefault="00E15EE0" w:rsidP="00E732EA">
            <w:pPr>
              <w:jc w:val="both"/>
              <w:rPr>
                <w:rFonts w:ascii="Arial" w:hAnsi="Arial" w:cs="Arial"/>
                <w:color w:val="000000"/>
                <w:sz w:val="20"/>
              </w:rPr>
            </w:pPr>
            <w:r>
              <w:rPr>
                <w:rFonts w:ascii="Arial" w:hAnsi="Arial" w:cs="Arial"/>
                <w:color w:val="000000"/>
                <w:sz w:val="20"/>
              </w:rPr>
              <w:t xml:space="preserve">the principal of a Government school or a non-Government school within the meaning of the </w:t>
            </w:r>
            <w:r w:rsidRPr="00E15EE0">
              <w:rPr>
                <w:rFonts w:ascii="Arial" w:hAnsi="Arial" w:cs="Arial"/>
                <w:i/>
                <w:iCs/>
                <w:color w:val="000000"/>
                <w:sz w:val="20"/>
              </w:rPr>
              <w:t>Education and Training Reform Act 2006</w:t>
            </w:r>
          </w:p>
        </w:tc>
      </w:tr>
      <w:tr w:rsidR="00E15EE0" w14:paraId="55C9790E" w14:textId="77777777" w:rsidTr="00E15EE0">
        <w:tc>
          <w:tcPr>
            <w:tcW w:w="1315" w:type="dxa"/>
            <w:shd w:val="clear" w:color="auto" w:fill="DDDDDD"/>
          </w:tcPr>
          <w:p w14:paraId="2A7E5678" w14:textId="37EED3B5" w:rsidR="00E15EE0" w:rsidRDefault="00E15EE0" w:rsidP="00E732EA">
            <w:pPr>
              <w:jc w:val="both"/>
              <w:rPr>
                <w:rFonts w:ascii="Arial" w:hAnsi="Arial" w:cs="Arial"/>
                <w:color w:val="000000"/>
                <w:sz w:val="20"/>
              </w:rPr>
            </w:pPr>
            <w:r>
              <w:rPr>
                <w:rFonts w:ascii="Arial" w:hAnsi="Arial" w:cs="Arial"/>
                <w:color w:val="000000"/>
                <w:sz w:val="20"/>
              </w:rPr>
              <w:lastRenderedPageBreak/>
              <w:t>s.182(1)(e)</w:t>
            </w:r>
          </w:p>
        </w:tc>
        <w:tc>
          <w:tcPr>
            <w:tcW w:w="6985" w:type="dxa"/>
            <w:shd w:val="clear" w:color="auto" w:fill="DDDDDD"/>
          </w:tcPr>
          <w:p w14:paraId="4BC8148E" w14:textId="6CFC8936" w:rsidR="00E15EE0" w:rsidRDefault="00E15EE0" w:rsidP="00E732EA">
            <w:pPr>
              <w:jc w:val="both"/>
              <w:rPr>
                <w:rFonts w:ascii="Arial" w:hAnsi="Arial" w:cs="Arial"/>
                <w:color w:val="000000"/>
                <w:sz w:val="20"/>
              </w:rPr>
            </w:pPr>
            <w:r>
              <w:rPr>
                <w:rFonts w:ascii="Arial" w:hAnsi="Arial" w:cs="Arial"/>
                <w:color w:val="000000"/>
                <w:sz w:val="20"/>
              </w:rPr>
              <w:t>a police officer</w:t>
            </w:r>
          </w:p>
        </w:tc>
      </w:tr>
      <w:tr w:rsidR="00010C54" w14:paraId="4CC0670F" w14:textId="77777777" w:rsidTr="00010C54">
        <w:tc>
          <w:tcPr>
            <w:tcW w:w="1315" w:type="dxa"/>
          </w:tcPr>
          <w:p w14:paraId="0E8CE1D0" w14:textId="7346CC9F" w:rsidR="00010C54" w:rsidRDefault="00010C54" w:rsidP="00E732EA">
            <w:pPr>
              <w:jc w:val="both"/>
              <w:rPr>
                <w:rFonts w:ascii="Arial" w:hAnsi="Arial" w:cs="Arial"/>
                <w:color w:val="000000"/>
                <w:sz w:val="20"/>
              </w:rPr>
            </w:pPr>
            <w:r>
              <w:rPr>
                <w:rFonts w:ascii="Arial" w:hAnsi="Arial" w:cs="Arial"/>
                <w:color w:val="000000"/>
                <w:sz w:val="20"/>
              </w:rPr>
              <w:t>s.182(1)(</w:t>
            </w:r>
            <w:proofErr w:type="spellStart"/>
            <w:r>
              <w:rPr>
                <w:rFonts w:ascii="Arial" w:hAnsi="Arial" w:cs="Arial"/>
                <w:color w:val="000000"/>
                <w:sz w:val="20"/>
              </w:rPr>
              <w:t>ea</w:t>
            </w:r>
            <w:proofErr w:type="spellEnd"/>
            <w:r>
              <w:rPr>
                <w:rFonts w:ascii="Arial" w:hAnsi="Arial" w:cs="Arial"/>
                <w:color w:val="000000"/>
                <w:sz w:val="20"/>
              </w:rPr>
              <w:t>)</w:t>
            </w:r>
          </w:p>
        </w:tc>
        <w:tc>
          <w:tcPr>
            <w:tcW w:w="6985" w:type="dxa"/>
          </w:tcPr>
          <w:p w14:paraId="4DBFA8ED" w14:textId="66175684" w:rsidR="00010C54" w:rsidRDefault="00010C54" w:rsidP="00E732EA">
            <w:pPr>
              <w:jc w:val="both"/>
              <w:rPr>
                <w:rFonts w:ascii="Arial" w:hAnsi="Arial" w:cs="Arial"/>
                <w:color w:val="000000"/>
                <w:sz w:val="20"/>
              </w:rPr>
            </w:pPr>
            <w:r>
              <w:rPr>
                <w:rFonts w:ascii="Arial" w:hAnsi="Arial" w:cs="Arial"/>
                <w:color w:val="000000"/>
                <w:sz w:val="20"/>
              </w:rPr>
              <w:t>a person in religious ministry</w:t>
            </w:r>
          </w:p>
        </w:tc>
      </w:tr>
      <w:tr w:rsidR="00E15EE0" w14:paraId="6509607A" w14:textId="77777777" w:rsidTr="00010C54">
        <w:tc>
          <w:tcPr>
            <w:tcW w:w="1315" w:type="dxa"/>
            <w:shd w:val="clear" w:color="auto" w:fill="DDDDDD"/>
          </w:tcPr>
          <w:p w14:paraId="6F4A73DA" w14:textId="6240AFC2" w:rsidR="00E15EE0" w:rsidRDefault="00E15EE0" w:rsidP="00E732EA">
            <w:pPr>
              <w:jc w:val="both"/>
              <w:rPr>
                <w:rFonts w:ascii="Arial" w:hAnsi="Arial" w:cs="Arial"/>
                <w:color w:val="000000"/>
                <w:sz w:val="20"/>
              </w:rPr>
            </w:pPr>
            <w:r>
              <w:rPr>
                <w:rFonts w:ascii="Arial" w:hAnsi="Arial" w:cs="Arial"/>
                <w:color w:val="000000"/>
                <w:sz w:val="20"/>
              </w:rPr>
              <w:t>s.182(1)(</w:t>
            </w:r>
            <w:r w:rsidR="00010C54">
              <w:rPr>
                <w:rFonts w:ascii="Arial" w:hAnsi="Arial" w:cs="Arial"/>
                <w:color w:val="000000"/>
                <w:sz w:val="20"/>
              </w:rPr>
              <w:t>f)</w:t>
            </w:r>
          </w:p>
        </w:tc>
        <w:tc>
          <w:tcPr>
            <w:tcW w:w="6985" w:type="dxa"/>
            <w:shd w:val="clear" w:color="auto" w:fill="DDDDDD"/>
          </w:tcPr>
          <w:p w14:paraId="164B625E" w14:textId="5B43B0BC" w:rsidR="00E15EE0" w:rsidRDefault="00010C54" w:rsidP="00E732EA">
            <w:pPr>
              <w:jc w:val="both"/>
              <w:rPr>
                <w:rFonts w:ascii="Arial" w:hAnsi="Arial" w:cs="Arial"/>
                <w:color w:val="000000"/>
                <w:sz w:val="20"/>
              </w:rPr>
            </w:pPr>
            <w:r>
              <w:rPr>
                <w:rFonts w:ascii="Arial" w:hAnsi="Arial" w:cs="Arial"/>
                <w:color w:val="000000"/>
                <w:sz w:val="20"/>
              </w:rPr>
              <w:t xml:space="preserve">the proprietor of, or a person with a post-secondary qualification in the care, education or minding of children who is employed by a children’s service to which the </w:t>
            </w:r>
            <w:r w:rsidRPr="00085234">
              <w:rPr>
                <w:rFonts w:ascii="Arial" w:hAnsi="Arial" w:cs="Arial"/>
                <w:i/>
                <w:iCs/>
                <w:color w:val="000000"/>
                <w:sz w:val="20"/>
              </w:rPr>
              <w:t>Children’s Services Act 1996</w:t>
            </w:r>
            <w:r>
              <w:rPr>
                <w:rFonts w:ascii="Arial" w:hAnsi="Arial" w:cs="Arial"/>
                <w:color w:val="000000"/>
                <w:sz w:val="20"/>
              </w:rPr>
              <w:t xml:space="preserve"> applies or a person who is a nominee within the meaning of that Act for the children’s service</w:t>
            </w:r>
          </w:p>
        </w:tc>
      </w:tr>
      <w:tr w:rsidR="00E15EE0" w14:paraId="45CAEDAA" w14:textId="77777777" w:rsidTr="00E15EE0">
        <w:tc>
          <w:tcPr>
            <w:tcW w:w="1315" w:type="dxa"/>
          </w:tcPr>
          <w:p w14:paraId="75A56747" w14:textId="5F36181A" w:rsidR="00E15EE0" w:rsidRDefault="00010C54" w:rsidP="00E732EA">
            <w:pPr>
              <w:jc w:val="both"/>
              <w:rPr>
                <w:rFonts w:ascii="Arial" w:hAnsi="Arial" w:cs="Arial"/>
                <w:color w:val="000000"/>
                <w:sz w:val="20"/>
              </w:rPr>
            </w:pPr>
            <w:r>
              <w:rPr>
                <w:rFonts w:ascii="Arial" w:hAnsi="Arial" w:cs="Arial"/>
                <w:color w:val="000000"/>
                <w:sz w:val="20"/>
              </w:rPr>
              <w:t>s.182(1)(fa)</w:t>
            </w:r>
          </w:p>
        </w:tc>
        <w:tc>
          <w:tcPr>
            <w:tcW w:w="6985" w:type="dxa"/>
          </w:tcPr>
          <w:p w14:paraId="6577F3A5" w14:textId="30C8AFAB" w:rsidR="00E15EE0" w:rsidRDefault="00D132FF" w:rsidP="00E732EA">
            <w:pPr>
              <w:jc w:val="both"/>
              <w:rPr>
                <w:rFonts w:ascii="Arial" w:hAnsi="Arial" w:cs="Arial"/>
                <w:color w:val="000000"/>
                <w:sz w:val="20"/>
              </w:rPr>
            </w:pPr>
            <w:r>
              <w:rPr>
                <w:rFonts w:ascii="Arial" w:hAnsi="Arial" w:cs="Arial"/>
                <w:color w:val="000000"/>
                <w:sz w:val="20"/>
              </w:rPr>
              <w:t>t</w:t>
            </w:r>
            <w:r w:rsidR="00010C54">
              <w:rPr>
                <w:rFonts w:ascii="Arial" w:hAnsi="Arial" w:cs="Arial"/>
                <w:color w:val="000000"/>
                <w:sz w:val="20"/>
              </w:rPr>
              <w:t xml:space="preserve">he approved provider or nominated supervisor of, or a person with a post-secondary qualification in the care, education or minding of children who is employed or engaged by an education and care service within the meaning of the </w:t>
            </w:r>
            <w:r w:rsidR="00010C54" w:rsidRPr="00085234">
              <w:rPr>
                <w:rFonts w:ascii="Arial" w:hAnsi="Arial" w:cs="Arial"/>
                <w:i/>
                <w:iCs/>
                <w:color w:val="000000"/>
                <w:sz w:val="20"/>
              </w:rPr>
              <w:t>Education and Care Services National Law (Victoria)</w:t>
            </w:r>
          </w:p>
        </w:tc>
      </w:tr>
      <w:tr w:rsidR="00E15EE0" w14:paraId="336D3C96" w14:textId="77777777" w:rsidTr="00E15EE0">
        <w:tc>
          <w:tcPr>
            <w:tcW w:w="1315" w:type="dxa"/>
            <w:shd w:val="clear" w:color="auto" w:fill="DDDDDD"/>
          </w:tcPr>
          <w:p w14:paraId="2006B49B" w14:textId="6F76DE0D" w:rsidR="00E15EE0" w:rsidRDefault="00D132FF" w:rsidP="00E732EA">
            <w:pPr>
              <w:jc w:val="both"/>
              <w:rPr>
                <w:rFonts w:ascii="Arial" w:hAnsi="Arial" w:cs="Arial"/>
                <w:color w:val="000000"/>
                <w:sz w:val="20"/>
              </w:rPr>
            </w:pPr>
            <w:r w:rsidRPr="003431A4">
              <w:rPr>
                <w:rFonts w:ascii="Arial" w:hAnsi="Arial" w:cs="Arial"/>
                <w:sz w:val="20"/>
              </w:rPr>
              <w:t>s.182(1)(i)</w:t>
            </w:r>
          </w:p>
        </w:tc>
        <w:tc>
          <w:tcPr>
            <w:tcW w:w="6985" w:type="dxa"/>
            <w:shd w:val="clear" w:color="auto" w:fill="DDDDDD"/>
          </w:tcPr>
          <w:p w14:paraId="3C4B64F7" w14:textId="40A53FF3" w:rsidR="00E15EE0" w:rsidRDefault="00D132FF" w:rsidP="00E732EA">
            <w:pPr>
              <w:jc w:val="both"/>
              <w:rPr>
                <w:rFonts w:ascii="Arial" w:hAnsi="Arial" w:cs="Arial"/>
                <w:color w:val="000000"/>
                <w:sz w:val="20"/>
              </w:rPr>
            </w:pPr>
            <w:r>
              <w:rPr>
                <w:rFonts w:ascii="Arial" w:hAnsi="Arial" w:cs="Arial"/>
                <w:color w:val="000000"/>
                <w:sz w:val="20"/>
              </w:rPr>
              <w:t>a registered psychologist</w:t>
            </w:r>
          </w:p>
        </w:tc>
      </w:tr>
      <w:tr w:rsidR="00E15EE0" w14:paraId="018C0860" w14:textId="77777777" w:rsidTr="00E15EE0">
        <w:tc>
          <w:tcPr>
            <w:tcW w:w="1315" w:type="dxa"/>
          </w:tcPr>
          <w:p w14:paraId="3E315143" w14:textId="402F419F" w:rsidR="00E15EE0" w:rsidRDefault="00D132FF" w:rsidP="00E732EA">
            <w:pPr>
              <w:jc w:val="both"/>
              <w:rPr>
                <w:rFonts w:ascii="Arial" w:hAnsi="Arial" w:cs="Arial"/>
                <w:color w:val="000000"/>
                <w:sz w:val="20"/>
              </w:rPr>
            </w:pPr>
            <w:r>
              <w:rPr>
                <w:rFonts w:ascii="Arial" w:hAnsi="Arial" w:cs="Arial"/>
                <w:color w:val="000000"/>
                <w:sz w:val="20"/>
              </w:rPr>
              <w:t>s.182(1)(j)</w:t>
            </w:r>
          </w:p>
        </w:tc>
        <w:tc>
          <w:tcPr>
            <w:tcW w:w="6985" w:type="dxa"/>
          </w:tcPr>
          <w:p w14:paraId="05073BC1" w14:textId="32CA14DB" w:rsidR="00E15EE0" w:rsidRDefault="00D132FF" w:rsidP="00E732EA">
            <w:pPr>
              <w:jc w:val="both"/>
              <w:rPr>
                <w:rFonts w:ascii="Arial" w:hAnsi="Arial" w:cs="Arial"/>
                <w:color w:val="000000"/>
                <w:sz w:val="20"/>
              </w:rPr>
            </w:pPr>
            <w:r>
              <w:rPr>
                <w:rFonts w:ascii="Arial" w:hAnsi="Arial" w:cs="Arial"/>
                <w:color w:val="000000"/>
                <w:sz w:val="20"/>
              </w:rPr>
              <w:t>a youth justice officer</w:t>
            </w:r>
          </w:p>
        </w:tc>
      </w:tr>
      <w:tr w:rsidR="00010C54" w14:paraId="68622003" w14:textId="77777777" w:rsidTr="00010C54">
        <w:tc>
          <w:tcPr>
            <w:tcW w:w="1315" w:type="dxa"/>
            <w:shd w:val="clear" w:color="auto" w:fill="DDDDDD"/>
          </w:tcPr>
          <w:p w14:paraId="2B457D87" w14:textId="273A3C7F" w:rsidR="00010C54" w:rsidRDefault="00D132FF" w:rsidP="00E732EA">
            <w:pPr>
              <w:jc w:val="both"/>
              <w:rPr>
                <w:rFonts w:ascii="Arial" w:hAnsi="Arial" w:cs="Arial"/>
                <w:color w:val="000000"/>
                <w:sz w:val="20"/>
              </w:rPr>
            </w:pPr>
            <w:r>
              <w:rPr>
                <w:rFonts w:ascii="Arial" w:hAnsi="Arial" w:cs="Arial"/>
                <w:color w:val="000000"/>
                <w:sz w:val="20"/>
              </w:rPr>
              <w:t>s.182(1)(k)</w:t>
            </w:r>
          </w:p>
        </w:tc>
        <w:tc>
          <w:tcPr>
            <w:tcW w:w="6985" w:type="dxa"/>
            <w:shd w:val="clear" w:color="auto" w:fill="DDDDDD"/>
          </w:tcPr>
          <w:p w14:paraId="23ED79B0" w14:textId="668237B9" w:rsidR="00010C54" w:rsidRDefault="00D132FF" w:rsidP="00E732EA">
            <w:pPr>
              <w:jc w:val="both"/>
              <w:rPr>
                <w:rFonts w:ascii="Arial" w:hAnsi="Arial" w:cs="Arial"/>
                <w:color w:val="000000"/>
                <w:sz w:val="20"/>
              </w:rPr>
            </w:pPr>
            <w:r>
              <w:rPr>
                <w:rFonts w:ascii="Arial" w:hAnsi="Arial" w:cs="Arial"/>
                <w:color w:val="000000"/>
                <w:sz w:val="20"/>
              </w:rPr>
              <w:t>a youth parole officer</w:t>
            </w:r>
          </w:p>
        </w:tc>
      </w:tr>
      <w:tr w:rsidR="00010C54" w14:paraId="362BEAD1" w14:textId="77777777" w:rsidTr="00E15EE0">
        <w:tc>
          <w:tcPr>
            <w:tcW w:w="1315" w:type="dxa"/>
          </w:tcPr>
          <w:p w14:paraId="6CEEE58A" w14:textId="366E6FB7" w:rsidR="00010C54" w:rsidRDefault="00D132FF" w:rsidP="00E732EA">
            <w:pPr>
              <w:jc w:val="both"/>
              <w:rPr>
                <w:rFonts w:ascii="Arial" w:hAnsi="Arial" w:cs="Arial"/>
                <w:color w:val="000000"/>
                <w:sz w:val="20"/>
              </w:rPr>
            </w:pPr>
            <w:r>
              <w:rPr>
                <w:rFonts w:ascii="Arial" w:hAnsi="Arial" w:cs="Arial"/>
                <w:color w:val="000000"/>
                <w:sz w:val="20"/>
              </w:rPr>
              <w:t>s.182(1)(l)</w:t>
            </w:r>
          </w:p>
        </w:tc>
        <w:tc>
          <w:tcPr>
            <w:tcW w:w="6985" w:type="dxa"/>
          </w:tcPr>
          <w:p w14:paraId="7E79BD01" w14:textId="601AC945" w:rsidR="00010C54" w:rsidRDefault="00D132FF" w:rsidP="00E732EA">
            <w:pPr>
              <w:jc w:val="both"/>
              <w:rPr>
                <w:rFonts w:ascii="Arial" w:hAnsi="Arial" w:cs="Arial"/>
                <w:color w:val="000000"/>
                <w:sz w:val="20"/>
              </w:rPr>
            </w:pPr>
            <w:r>
              <w:rPr>
                <w:rFonts w:ascii="Arial" w:hAnsi="Arial" w:cs="Arial"/>
                <w:color w:val="000000"/>
                <w:sz w:val="20"/>
              </w:rPr>
              <w:t xml:space="preserve">a member of a prescribed class of persons: by operation of paragraph 13A of the </w:t>
            </w:r>
            <w:r w:rsidRPr="00032ED5">
              <w:rPr>
                <w:rFonts w:ascii="Arial" w:hAnsi="Arial" w:cs="Arial"/>
                <w:i/>
                <w:iCs/>
                <w:color w:val="000000"/>
                <w:sz w:val="20"/>
              </w:rPr>
              <w:t>Children, Youth and Families Regulations 2017</w:t>
            </w:r>
            <w:r>
              <w:rPr>
                <w:rFonts w:ascii="Arial" w:hAnsi="Arial" w:cs="Arial"/>
                <w:color w:val="000000"/>
                <w:sz w:val="20"/>
              </w:rPr>
              <w:t xml:space="preserve"> these </w:t>
            </w:r>
            <w:r w:rsidR="00032ED5">
              <w:rPr>
                <w:rFonts w:ascii="Arial" w:hAnsi="Arial" w:cs="Arial"/>
                <w:color w:val="000000"/>
                <w:sz w:val="20"/>
              </w:rPr>
              <w:t>classes ar</w:t>
            </w:r>
            <w:r>
              <w:rPr>
                <w:rFonts w:ascii="Arial" w:hAnsi="Arial" w:cs="Arial"/>
                <w:color w:val="000000"/>
                <w:sz w:val="20"/>
              </w:rPr>
              <w:t>e:</w:t>
            </w:r>
          </w:p>
          <w:p w14:paraId="0E10F888" w14:textId="65FB0BEF" w:rsidR="00D132FF" w:rsidRDefault="00D132FF">
            <w:pPr>
              <w:pStyle w:val="ListParagraph"/>
              <w:numPr>
                <w:ilvl w:val="1"/>
                <w:numId w:val="70"/>
              </w:numPr>
              <w:ind w:left="448" w:hanging="448"/>
              <w:jc w:val="both"/>
              <w:rPr>
                <w:rFonts w:ascii="Arial" w:hAnsi="Arial" w:cs="Arial"/>
                <w:color w:val="000000"/>
                <w:sz w:val="20"/>
              </w:rPr>
            </w:pPr>
            <w:r>
              <w:rPr>
                <w:rFonts w:ascii="Arial" w:hAnsi="Arial" w:cs="Arial"/>
                <w:color w:val="000000"/>
                <w:sz w:val="20"/>
              </w:rPr>
              <w:t>out of home care workers;</w:t>
            </w:r>
          </w:p>
          <w:p w14:paraId="7856153B" w14:textId="5BA1C56B" w:rsidR="00D132FF" w:rsidRDefault="00D132FF">
            <w:pPr>
              <w:pStyle w:val="ListParagraph"/>
              <w:numPr>
                <w:ilvl w:val="1"/>
                <w:numId w:val="70"/>
              </w:numPr>
              <w:ind w:left="448" w:hanging="448"/>
              <w:jc w:val="both"/>
              <w:rPr>
                <w:rFonts w:ascii="Arial" w:hAnsi="Arial" w:cs="Arial"/>
                <w:color w:val="000000"/>
                <w:sz w:val="20"/>
              </w:rPr>
            </w:pPr>
            <w:r>
              <w:rPr>
                <w:rFonts w:ascii="Arial" w:hAnsi="Arial" w:cs="Arial"/>
                <w:color w:val="000000"/>
                <w:sz w:val="20"/>
              </w:rPr>
              <w:t>school counsellors;</w:t>
            </w:r>
          </w:p>
          <w:p w14:paraId="23E8D479" w14:textId="6198956E" w:rsidR="00D132FF" w:rsidRPr="00D132FF" w:rsidRDefault="00D132FF">
            <w:pPr>
              <w:pStyle w:val="ListParagraph"/>
              <w:numPr>
                <w:ilvl w:val="1"/>
                <w:numId w:val="70"/>
              </w:numPr>
              <w:ind w:left="448" w:hanging="448"/>
              <w:jc w:val="both"/>
              <w:rPr>
                <w:rFonts w:ascii="Arial" w:hAnsi="Arial" w:cs="Arial"/>
                <w:color w:val="000000"/>
                <w:sz w:val="20"/>
              </w:rPr>
            </w:pPr>
            <w:r>
              <w:rPr>
                <w:rFonts w:ascii="Arial" w:hAnsi="Arial" w:cs="Arial"/>
                <w:color w:val="000000"/>
                <w:sz w:val="20"/>
              </w:rPr>
              <w:t>youth justice custodial workers.</w:t>
            </w:r>
          </w:p>
        </w:tc>
      </w:tr>
    </w:tbl>
    <w:p w14:paraId="42AED0C5" w14:textId="478BDFAC" w:rsidR="00E15EE0" w:rsidRDefault="00E15EE0" w:rsidP="00E732EA">
      <w:pPr>
        <w:jc w:val="both"/>
        <w:rPr>
          <w:rFonts w:ascii="Arial" w:hAnsi="Arial" w:cs="Arial"/>
          <w:color w:val="000000"/>
          <w:sz w:val="20"/>
        </w:rPr>
      </w:pPr>
    </w:p>
    <w:p w14:paraId="5C10959C" w14:textId="26F44288" w:rsidR="00E15EE0" w:rsidRDefault="00D132FF" w:rsidP="00032ED5">
      <w:pPr>
        <w:spacing w:after="120"/>
        <w:jc w:val="both"/>
        <w:rPr>
          <w:rFonts w:ascii="Arial" w:hAnsi="Arial" w:cs="Arial"/>
          <w:color w:val="000000"/>
          <w:sz w:val="20"/>
        </w:rPr>
      </w:pPr>
      <w:r>
        <w:rPr>
          <w:rFonts w:ascii="Arial" w:hAnsi="Arial" w:cs="Arial"/>
          <w:color w:val="000000"/>
          <w:sz w:val="20"/>
        </w:rPr>
        <w:t xml:space="preserve">Additional professionals are referred to in s.182(1)(g) &amp; 182(1)(h) but </w:t>
      </w:r>
      <w:r w:rsidR="00085234">
        <w:rPr>
          <w:rFonts w:ascii="Arial" w:hAnsi="Arial" w:cs="Arial"/>
          <w:color w:val="000000"/>
          <w:sz w:val="20"/>
        </w:rPr>
        <w:t xml:space="preserve">if </w:t>
      </w:r>
      <w:r>
        <w:rPr>
          <w:rFonts w:ascii="Arial" w:hAnsi="Arial" w:cs="Arial"/>
          <w:color w:val="000000"/>
          <w:sz w:val="20"/>
        </w:rPr>
        <w:t xml:space="preserve">these </w:t>
      </w:r>
      <w:r w:rsidR="00032ED5">
        <w:rPr>
          <w:rFonts w:ascii="Arial" w:hAnsi="Arial" w:cs="Arial"/>
          <w:color w:val="000000"/>
          <w:sz w:val="20"/>
        </w:rPr>
        <w:t xml:space="preserve">persons </w:t>
      </w:r>
      <w:r w:rsidR="00085234">
        <w:rPr>
          <w:rFonts w:ascii="Arial" w:hAnsi="Arial" w:cs="Arial"/>
          <w:color w:val="000000"/>
          <w:sz w:val="20"/>
        </w:rPr>
        <w:t xml:space="preserve">do not fall into any of the above categories they </w:t>
      </w:r>
      <w:r>
        <w:rPr>
          <w:rFonts w:ascii="Arial" w:hAnsi="Arial" w:cs="Arial"/>
          <w:color w:val="000000"/>
          <w:sz w:val="20"/>
        </w:rPr>
        <w:t xml:space="preserve">are only mandatory reporters on and from a date which </w:t>
      </w:r>
      <w:r w:rsidR="00387412">
        <w:rPr>
          <w:rFonts w:ascii="Arial" w:hAnsi="Arial" w:cs="Arial"/>
          <w:color w:val="000000"/>
          <w:sz w:val="20"/>
        </w:rPr>
        <w:t xml:space="preserve">the writer </w:t>
      </w:r>
      <w:r w:rsidR="00B17E6E">
        <w:rPr>
          <w:rFonts w:ascii="Arial" w:hAnsi="Arial" w:cs="Arial"/>
          <w:color w:val="000000"/>
          <w:sz w:val="20"/>
        </w:rPr>
        <w:t>believe</w:t>
      </w:r>
      <w:r w:rsidR="00387412">
        <w:rPr>
          <w:rFonts w:ascii="Arial" w:hAnsi="Arial" w:cs="Arial"/>
          <w:color w:val="000000"/>
          <w:sz w:val="20"/>
        </w:rPr>
        <w:t xml:space="preserve">s </w:t>
      </w:r>
      <w:r>
        <w:rPr>
          <w:rFonts w:ascii="Arial" w:hAnsi="Arial" w:cs="Arial"/>
          <w:color w:val="000000"/>
          <w:sz w:val="20"/>
        </w:rPr>
        <w:t>has not yet been prescribed:</w:t>
      </w:r>
    </w:p>
    <w:tbl>
      <w:tblPr>
        <w:tblStyle w:val="TableGrid"/>
        <w:tblW w:w="0" w:type="auto"/>
        <w:tblLook w:val="04A0" w:firstRow="1" w:lastRow="0" w:firstColumn="1" w:lastColumn="0" w:noHBand="0" w:noVBand="1"/>
      </w:tblPr>
      <w:tblGrid>
        <w:gridCol w:w="1315"/>
        <w:gridCol w:w="6985"/>
      </w:tblGrid>
      <w:tr w:rsidR="00032ED5" w14:paraId="5FBFDE96" w14:textId="77777777" w:rsidTr="00635308">
        <w:tc>
          <w:tcPr>
            <w:tcW w:w="1315" w:type="dxa"/>
            <w:shd w:val="clear" w:color="auto" w:fill="DDDDDD"/>
          </w:tcPr>
          <w:p w14:paraId="396B6794" w14:textId="05D27EEC" w:rsidR="00032ED5" w:rsidRDefault="00032ED5" w:rsidP="00635308">
            <w:pPr>
              <w:jc w:val="both"/>
              <w:rPr>
                <w:rFonts w:ascii="Arial" w:hAnsi="Arial" w:cs="Arial"/>
                <w:color w:val="000000"/>
                <w:sz w:val="20"/>
              </w:rPr>
            </w:pPr>
            <w:r>
              <w:rPr>
                <w:rFonts w:ascii="Arial" w:hAnsi="Arial" w:cs="Arial"/>
                <w:color w:val="000000"/>
                <w:sz w:val="20"/>
              </w:rPr>
              <w:t>s.182(1)(g)</w:t>
            </w:r>
          </w:p>
        </w:tc>
        <w:tc>
          <w:tcPr>
            <w:tcW w:w="6985" w:type="dxa"/>
            <w:shd w:val="clear" w:color="auto" w:fill="DDDDDD"/>
          </w:tcPr>
          <w:p w14:paraId="68715B13" w14:textId="18C448FB" w:rsidR="00032ED5" w:rsidRDefault="00032ED5" w:rsidP="00635308">
            <w:pPr>
              <w:jc w:val="both"/>
              <w:rPr>
                <w:rFonts w:ascii="Arial" w:hAnsi="Arial" w:cs="Arial"/>
                <w:color w:val="000000"/>
                <w:sz w:val="20"/>
              </w:rPr>
            </w:pPr>
            <w:r>
              <w:rPr>
                <w:rFonts w:ascii="Arial" w:hAnsi="Arial" w:cs="Arial"/>
                <w:color w:val="000000"/>
                <w:sz w:val="20"/>
              </w:rPr>
              <w:t>a person with a post-secondary qualification in youth, social or welfare work who works in the health, education or community or welfare services field and who is not referred to in s.182(1)(h)</w:t>
            </w:r>
          </w:p>
        </w:tc>
      </w:tr>
      <w:tr w:rsidR="00032ED5" w14:paraId="11A71261" w14:textId="77777777" w:rsidTr="00635308">
        <w:tc>
          <w:tcPr>
            <w:tcW w:w="1315" w:type="dxa"/>
          </w:tcPr>
          <w:p w14:paraId="5ECB15E7" w14:textId="16C6E209" w:rsidR="00032ED5" w:rsidRDefault="00032ED5" w:rsidP="00635308">
            <w:pPr>
              <w:jc w:val="both"/>
              <w:rPr>
                <w:rFonts w:ascii="Arial" w:hAnsi="Arial" w:cs="Arial"/>
                <w:color w:val="000000"/>
                <w:sz w:val="20"/>
              </w:rPr>
            </w:pPr>
            <w:r>
              <w:rPr>
                <w:rFonts w:ascii="Arial" w:hAnsi="Arial" w:cs="Arial"/>
                <w:color w:val="000000"/>
                <w:sz w:val="20"/>
              </w:rPr>
              <w:t>s.182(1)(h)</w:t>
            </w:r>
          </w:p>
        </w:tc>
        <w:tc>
          <w:tcPr>
            <w:tcW w:w="6985" w:type="dxa"/>
          </w:tcPr>
          <w:p w14:paraId="301430F6" w14:textId="3C458169" w:rsidR="00032ED5" w:rsidRDefault="00032ED5" w:rsidP="00635308">
            <w:pPr>
              <w:jc w:val="both"/>
              <w:rPr>
                <w:rFonts w:ascii="Arial" w:hAnsi="Arial" w:cs="Arial"/>
                <w:color w:val="000000"/>
                <w:sz w:val="20"/>
              </w:rPr>
            </w:pPr>
            <w:r>
              <w:rPr>
                <w:rFonts w:ascii="Arial" w:hAnsi="Arial" w:cs="Arial"/>
                <w:color w:val="000000"/>
                <w:sz w:val="20"/>
              </w:rPr>
              <w:t xml:space="preserve">A person employed under Part 3 of the </w:t>
            </w:r>
            <w:r w:rsidRPr="00085234">
              <w:rPr>
                <w:rFonts w:ascii="Arial" w:hAnsi="Arial" w:cs="Arial"/>
                <w:i/>
                <w:iCs/>
                <w:color w:val="000000"/>
                <w:sz w:val="20"/>
              </w:rPr>
              <w:t>Public Administration Act 2004</w:t>
            </w:r>
            <w:r>
              <w:rPr>
                <w:rFonts w:ascii="Arial" w:hAnsi="Arial" w:cs="Arial"/>
                <w:color w:val="000000"/>
                <w:sz w:val="20"/>
              </w:rPr>
              <w:t xml:space="preserve"> to perform the duties of a youth and child welfare worker</w:t>
            </w:r>
          </w:p>
        </w:tc>
      </w:tr>
    </w:tbl>
    <w:p w14:paraId="01BD5FA5" w14:textId="36B4976D" w:rsidR="003431A4" w:rsidRDefault="003431A4" w:rsidP="003431A4">
      <w:pPr>
        <w:jc w:val="both"/>
        <w:rPr>
          <w:rFonts w:ascii="Arial" w:hAnsi="Arial" w:cs="Arial"/>
          <w:bCs/>
          <w:sz w:val="20"/>
          <w:szCs w:val="20"/>
        </w:rPr>
      </w:pPr>
    </w:p>
    <w:p w14:paraId="4921F1B6" w14:textId="49FAE2FA" w:rsidR="003431A4" w:rsidRDefault="003431A4" w:rsidP="003431A4">
      <w:pPr>
        <w:jc w:val="both"/>
        <w:rPr>
          <w:rFonts w:ascii="Arial" w:hAnsi="Arial" w:cs="Arial"/>
          <w:bCs/>
          <w:sz w:val="20"/>
          <w:szCs w:val="20"/>
        </w:rPr>
      </w:pPr>
      <w:r>
        <w:rPr>
          <w:rFonts w:ascii="Arial" w:hAnsi="Arial" w:cs="Arial"/>
          <w:bCs/>
          <w:sz w:val="20"/>
          <w:szCs w:val="20"/>
        </w:rPr>
        <w:t xml:space="preserve">For further information see </w:t>
      </w:r>
      <w:hyperlink r:id="rId16" w:history="1">
        <w:r w:rsidRPr="003431A4">
          <w:rPr>
            <w:rStyle w:val="Hyperlink"/>
            <w:rFonts w:ascii="Arial" w:hAnsi="Arial" w:cs="Arial"/>
            <w:bCs/>
            <w:sz w:val="20"/>
            <w:szCs w:val="20"/>
          </w:rPr>
          <w:t>https://providers.dffh.vic.gov.au/mandatory-reporting</w:t>
        </w:r>
      </w:hyperlink>
      <w:r>
        <w:rPr>
          <w:rFonts w:ascii="Arial" w:hAnsi="Arial" w:cs="Arial"/>
          <w:bCs/>
          <w:sz w:val="20"/>
          <w:szCs w:val="20"/>
        </w:rPr>
        <w:t>.  Th</w:t>
      </w:r>
      <w:r w:rsidR="00A373F4">
        <w:rPr>
          <w:rFonts w:ascii="Arial" w:hAnsi="Arial" w:cs="Arial"/>
          <w:bCs/>
          <w:sz w:val="20"/>
          <w:szCs w:val="20"/>
        </w:rPr>
        <w:t>is </w:t>
      </w:r>
      <w:r>
        <w:rPr>
          <w:rFonts w:ascii="Arial" w:hAnsi="Arial" w:cs="Arial"/>
          <w:bCs/>
          <w:sz w:val="20"/>
          <w:szCs w:val="20"/>
        </w:rPr>
        <w:t xml:space="preserve">document also contains links to the following DFFH fact sheets which </w:t>
      </w:r>
      <w:r w:rsidRPr="003431A4">
        <w:rPr>
          <w:rFonts w:ascii="Arial" w:hAnsi="Arial" w:cs="Arial"/>
          <w:color w:val="0A0A0A"/>
          <w:sz w:val="20"/>
          <w:szCs w:val="20"/>
        </w:rPr>
        <w:t>provide detailed information to assist professional groups to comply with mandatory reporting requirements</w:t>
      </w:r>
      <w:r>
        <w:rPr>
          <w:rFonts w:ascii="Arial" w:hAnsi="Arial" w:cs="Arial"/>
          <w:bCs/>
          <w:sz w:val="20"/>
          <w:szCs w:val="20"/>
        </w:rPr>
        <w:t>:</w:t>
      </w:r>
    </w:p>
    <w:p w14:paraId="14BA4BD8" w14:textId="3A32AF11" w:rsidR="00AF5A59" w:rsidRDefault="00AF5A59">
      <w:pPr>
        <w:numPr>
          <w:ilvl w:val="0"/>
          <w:numId w:val="98"/>
        </w:numPr>
        <w:shd w:val="clear" w:color="auto" w:fill="FFFFFF"/>
        <w:ind w:left="357" w:hanging="357"/>
        <w:rPr>
          <w:rFonts w:ascii="Arial" w:hAnsi="Arial" w:cs="Arial"/>
          <w:color w:val="0A0A0A"/>
          <w:sz w:val="20"/>
          <w:szCs w:val="20"/>
        </w:rPr>
      </w:pPr>
      <w:hyperlink r:id="rId17" w:history="1">
        <w:r w:rsidRPr="00AF5A59">
          <w:rPr>
            <w:rStyle w:val="Hyperlink"/>
            <w:rFonts w:ascii="Arial" w:hAnsi="Arial" w:cs="Arial"/>
            <w:sz w:val="20"/>
            <w:szCs w:val="20"/>
          </w:rPr>
          <w:t>generic fact sheet</w:t>
        </w:r>
      </w:hyperlink>
    </w:p>
    <w:p w14:paraId="4572E3CF" w14:textId="751D8FDD" w:rsidR="00AF5A59" w:rsidRDefault="00AF5A59">
      <w:pPr>
        <w:numPr>
          <w:ilvl w:val="0"/>
          <w:numId w:val="98"/>
        </w:numPr>
        <w:shd w:val="clear" w:color="auto" w:fill="FFFFFF"/>
        <w:ind w:left="357" w:hanging="357"/>
        <w:rPr>
          <w:rFonts w:ascii="Arial" w:hAnsi="Arial" w:cs="Arial"/>
          <w:color w:val="0A0A0A"/>
          <w:sz w:val="20"/>
          <w:szCs w:val="20"/>
        </w:rPr>
      </w:pPr>
      <w:hyperlink r:id="rId18" w:history="1">
        <w:r w:rsidRPr="00AF5A59">
          <w:rPr>
            <w:rStyle w:val="Hyperlink"/>
            <w:rFonts w:ascii="Arial" w:hAnsi="Arial" w:cs="Arial"/>
            <w:sz w:val="20"/>
            <w:szCs w:val="20"/>
          </w:rPr>
          <w:t>early childhood fact</w:t>
        </w:r>
        <w:r>
          <w:rPr>
            <w:rStyle w:val="Hyperlink"/>
            <w:rFonts w:ascii="Arial" w:hAnsi="Arial" w:cs="Arial"/>
            <w:sz w:val="20"/>
            <w:szCs w:val="20"/>
          </w:rPr>
          <w:t xml:space="preserve"> </w:t>
        </w:r>
        <w:r w:rsidRPr="00AF5A59">
          <w:rPr>
            <w:rStyle w:val="Hyperlink"/>
            <w:rFonts w:ascii="Arial" w:hAnsi="Arial" w:cs="Arial"/>
            <w:sz w:val="20"/>
            <w:szCs w:val="20"/>
          </w:rPr>
          <w:t>sheet</w:t>
        </w:r>
      </w:hyperlink>
    </w:p>
    <w:p w14:paraId="438B15CC" w14:textId="1373AEB8" w:rsidR="00AF5A59" w:rsidRDefault="00AF5A59">
      <w:pPr>
        <w:numPr>
          <w:ilvl w:val="0"/>
          <w:numId w:val="98"/>
        </w:numPr>
        <w:shd w:val="clear" w:color="auto" w:fill="FFFFFF"/>
        <w:ind w:left="357" w:hanging="357"/>
        <w:rPr>
          <w:rFonts w:ascii="Arial" w:hAnsi="Arial" w:cs="Arial"/>
          <w:color w:val="0A0A0A"/>
          <w:sz w:val="20"/>
          <w:szCs w:val="20"/>
        </w:rPr>
      </w:pPr>
      <w:hyperlink r:id="rId19" w:history="1">
        <w:r w:rsidRPr="00AF5A59">
          <w:rPr>
            <w:rStyle w:val="Hyperlink"/>
            <w:rFonts w:ascii="Arial" w:hAnsi="Arial" w:cs="Arial"/>
            <w:sz w:val="20"/>
            <w:szCs w:val="20"/>
          </w:rPr>
          <w:t>religious ministry fact sheet</w:t>
        </w:r>
      </w:hyperlink>
    </w:p>
    <w:p w14:paraId="58027B7E" w14:textId="7DACBC79" w:rsidR="00132F1C" w:rsidRPr="003431A4" w:rsidRDefault="00132F1C">
      <w:pPr>
        <w:numPr>
          <w:ilvl w:val="0"/>
          <w:numId w:val="98"/>
        </w:numPr>
        <w:shd w:val="clear" w:color="auto" w:fill="FFFFFF"/>
        <w:ind w:left="357" w:hanging="357"/>
        <w:rPr>
          <w:rFonts w:ascii="Arial" w:hAnsi="Arial" w:cs="Arial"/>
          <w:color w:val="0A0A0A"/>
          <w:sz w:val="20"/>
          <w:szCs w:val="20"/>
        </w:rPr>
      </w:pPr>
      <w:hyperlink r:id="rId20" w:history="1">
        <w:r w:rsidRPr="00132F1C">
          <w:rPr>
            <w:rStyle w:val="Hyperlink"/>
            <w:rFonts w:ascii="Arial" w:hAnsi="Arial" w:cs="Arial"/>
            <w:sz w:val="20"/>
            <w:szCs w:val="20"/>
          </w:rPr>
          <w:t>registered psychologists</w:t>
        </w:r>
      </w:hyperlink>
    </w:p>
    <w:p w14:paraId="2C1B3E8A" w14:textId="66C75D26" w:rsidR="00AF5A59" w:rsidRDefault="00AF5A59">
      <w:pPr>
        <w:numPr>
          <w:ilvl w:val="0"/>
          <w:numId w:val="98"/>
        </w:numPr>
        <w:shd w:val="clear" w:color="auto" w:fill="FFFFFF"/>
        <w:ind w:left="357" w:hanging="357"/>
        <w:rPr>
          <w:rFonts w:ascii="Arial" w:hAnsi="Arial" w:cs="Arial"/>
          <w:color w:val="0A0A0A"/>
          <w:sz w:val="20"/>
          <w:szCs w:val="20"/>
        </w:rPr>
      </w:pPr>
      <w:hyperlink r:id="rId21" w:history="1">
        <w:r w:rsidRPr="00AF5A59">
          <w:rPr>
            <w:rStyle w:val="Hyperlink"/>
            <w:rFonts w:ascii="Arial" w:hAnsi="Arial" w:cs="Arial"/>
            <w:sz w:val="20"/>
            <w:szCs w:val="20"/>
          </w:rPr>
          <w:t>out of home care workers fact</w:t>
        </w:r>
        <w:r>
          <w:rPr>
            <w:rStyle w:val="Hyperlink"/>
            <w:rFonts w:ascii="Arial" w:hAnsi="Arial" w:cs="Arial"/>
            <w:sz w:val="20"/>
            <w:szCs w:val="20"/>
          </w:rPr>
          <w:t xml:space="preserve"> </w:t>
        </w:r>
        <w:r w:rsidRPr="00AF5A59">
          <w:rPr>
            <w:rStyle w:val="Hyperlink"/>
            <w:rFonts w:ascii="Arial" w:hAnsi="Arial" w:cs="Arial"/>
            <w:sz w:val="20"/>
            <w:szCs w:val="20"/>
          </w:rPr>
          <w:t>sheet</w:t>
        </w:r>
      </w:hyperlink>
    </w:p>
    <w:p w14:paraId="094D69ED" w14:textId="45E54CEA" w:rsidR="00132F1C" w:rsidRDefault="00132F1C">
      <w:pPr>
        <w:numPr>
          <w:ilvl w:val="0"/>
          <w:numId w:val="98"/>
        </w:numPr>
        <w:shd w:val="clear" w:color="auto" w:fill="FFFFFF"/>
        <w:ind w:left="357" w:hanging="357"/>
        <w:rPr>
          <w:rFonts w:ascii="Arial" w:hAnsi="Arial" w:cs="Arial"/>
          <w:color w:val="0A0A0A"/>
          <w:sz w:val="20"/>
          <w:szCs w:val="20"/>
        </w:rPr>
      </w:pPr>
      <w:hyperlink r:id="rId22" w:history="1">
        <w:r w:rsidRPr="00132F1C">
          <w:rPr>
            <w:rStyle w:val="Hyperlink"/>
            <w:rFonts w:ascii="Arial" w:hAnsi="Arial" w:cs="Arial"/>
            <w:sz w:val="20"/>
            <w:szCs w:val="20"/>
          </w:rPr>
          <w:t>school counsellors fact sheet</w:t>
        </w:r>
      </w:hyperlink>
    </w:p>
    <w:p w14:paraId="08C4843A" w14:textId="626F2F4F" w:rsidR="00132F1C" w:rsidRDefault="00132F1C">
      <w:pPr>
        <w:numPr>
          <w:ilvl w:val="0"/>
          <w:numId w:val="98"/>
        </w:numPr>
        <w:shd w:val="clear" w:color="auto" w:fill="FFFFFF"/>
        <w:ind w:left="357" w:hanging="357"/>
        <w:rPr>
          <w:rFonts w:ascii="Arial" w:hAnsi="Arial" w:cs="Arial"/>
          <w:color w:val="0A0A0A"/>
          <w:sz w:val="20"/>
          <w:szCs w:val="20"/>
        </w:rPr>
      </w:pPr>
      <w:hyperlink r:id="rId23" w:history="1">
        <w:r w:rsidRPr="008418E7">
          <w:rPr>
            <w:rStyle w:val="Hyperlink"/>
            <w:rFonts w:ascii="Arial" w:hAnsi="Arial" w:cs="Arial"/>
            <w:sz w:val="20"/>
            <w:szCs w:val="20"/>
          </w:rPr>
          <w:t>youth justice workers</w:t>
        </w:r>
      </w:hyperlink>
    </w:p>
    <w:p w14:paraId="6FD1A3EE" w14:textId="1F72393A" w:rsidR="00132F1C" w:rsidRDefault="00132F1C">
      <w:pPr>
        <w:numPr>
          <w:ilvl w:val="0"/>
          <w:numId w:val="98"/>
        </w:numPr>
        <w:shd w:val="clear" w:color="auto" w:fill="FFFFFF"/>
        <w:ind w:left="357" w:hanging="357"/>
        <w:rPr>
          <w:rFonts w:ascii="Arial" w:hAnsi="Arial" w:cs="Arial"/>
          <w:color w:val="0A0A0A"/>
          <w:sz w:val="20"/>
          <w:szCs w:val="20"/>
        </w:rPr>
      </w:pPr>
      <w:hyperlink r:id="rId24" w:history="1">
        <w:r w:rsidRPr="00947AA2">
          <w:rPr>
            <w:rStyle w:val="Hyperlink"/>
            <w:rFonts w:ascii="Arial" w:hAnsi="Arial" w:cs="Arial"/>
            <w:sz w:val="20"/>
            <w:szCs w:val="20"/>
          </w:rPr>
          <w:t>frequently asked questions</w:t>
        </w:r>
      </w:hyperlink>
      <w:r>
        <w:rPr>
          <w:rFonts w:ascii="Arial" w:hAnsi="Arial" w:cs="Arial"/>
          <w:color w:val="0A0A0A"/>
          <w:sz w:val="20"/>
          <w:szCs w:val="20"/>
        </w:rPr>
        <w:t>.</w:t>
      </w:r>
    </w:p>
    <w:p w14:paraId="54613DF5" w14:textId="3192CAEE" w:rsidR="00AF5A59" w:rsidRDefault="00AF5A59" w:rsidP="003431A4">
      <w:pPr>
        <w:jc w:val="both"/>
        <w:rPr>
          <w:rFonts w:ascii="Arial" w:hAnsi="Arial" w:cs="Arial"/>
          <w:bCs/>
          <w:sz w:val="20"/>
          <w:szCs w:val="20"/>
        </w:rPr>
      </w:pPr>
    </w:p>
    <w:p w14:paraId="2701C1EC" w14:textId="0F55C5C7" w:rsidR="00693223" w:rsidRPr="00785E1A" w:rsidRDefault="00693223" w:rsidP="00447CE9">
      <w:pPr>
        <w:pStyle w:val="Heading3"/>
        <w:spacing w:line="240" w:lineRule="auto"/>
        <w:rPr>
          <w:rFonts w:ascii="Arial" w:hAnsi="Arial" w:cs="Arial"/>
          <w:b/>
          <w:bCs/>
          <w:color w:val="000000"/>
          <w:sz w:val="20"/>
        </w:rPr>
      </w:pPr>
      <w:bookmarkStart w:id="742" w:name="_4.6.3_Child_protection"/>
      <w:bookmarkStart w:id="743" w:name="_Toc30648174"/>
      <w:bookmarkStart w:id="744" w:name="_Toc30649072"/>
      <w:bookmarkStart w:id="745" w:name="_Toc30649148"/>
      <w:bookmarkStart w:id="746" w:name="_Toc30649409"/>
      <w:bookmarkStart w:id="747" w:name="_Toc30649734"/>
      <w:bookmarkStart w:id="748" w:name="_Toc30651674"/>
      <w:bookmarkStart w:id="749" w:name="_Toc30652664"/>
      <w:bookmarkStart w:id="750" w:name="_Toc30652760"/>
      <w:bookmarkStart w:id="751" w:name="_Toc30654105"/>
      <w:bookmarkStart w:id="752" w:name="_Toc30654456"/>
      <w:bookmarkStart w:id="753" w:name="_Toc30655075"/>
      <w:bookmarkStart w:id="754" w:name="_Toc30655332"/>
      <w:bookmarkStart w:id="755" w:name="_Toc30657010"/>
      <w:bookmarkStart w:id="756" w:name="_Toc30661759"/>
      <w:bookmarkStart w:id="757" w:name="_Toc30666447"/>
      <w:bookmarkStart w:id="758" w:name="_Toc30666677"/>
      <w:bookmarkStart w:id="759" w:name="_Toc30667852"/>
      <w:bookmarkStart w:id="760" w:name="_Toc30669230"/>
      <w:bookmarkStart w:id="761" w:name="_Toc30671446"/>
      <w:bookmarkStart w:id="762" w:name="_Toc30673973"/>
      <w:bookmarkStart w:id="763" w:name="_Toc30691195"/>
      <w:bookmarkStart w:id="764" w:name="_Toc30691568"/>
      <w:bookmarkStart w:id="765" w:name="_Toc30691948"/>
      <w:bookmarkStart w:id="766" w:name="_Toc30692707"/>
      <w:bookmarkStart w:id="767" w:name="_Toc30693086"/>
      <w:bookmarkStart w:id="768" w:name="_Toc30693464"/>
      <w:bookmarkStart w:id="769" w:name="_Toc30693842"/>
      <w:bookmarkStart w:id="770" w:name="_Toc30694223"/>
      <w:bookmarkStart w:id="771" w:name="_Toc30698812"/>
      <w:bookmarkStart w:id="772" w:name="_Toc30699190"/>
      <w:bookmarkStart w:id="773" w:name="_Toc30699575"/>
      <w:bookmarkStart w:id="774" w:name="_Toc30700730"/>
      <w:bookmarkStart w:id="775" w:name="_Toc30701117"/>
      <w:bookmarkStart w:id="776" w:name="_Toc30743726"/>
      <w:bookmarkStart w:id="777" w:name="_Toc30754549"/>
      <w:bookmarkStart w:id="778" w:name="_Toc30756989"/>
      <w:bookmarkStart w:id="779" w:name="_Toc30757538"/>
      <w:bookmarkStart w:id="780" w:name="_Toc30757938"/>
      <w:bookmarkStart w:id="781" w:name="_Toc30762699"/>
      <w:bookmarkStart w:id="782" w:name="_Toc30767353"/>
      <w:bookmarkStart w:id="783" w:name="_Toc34823369"/>
      <w:bookmarkEnd w:id="697"/>
      <w:bookmarkEnd w:id="741"/>
      <w:bookmarkEnd w:id="742"/>
      <w:r w:rsidRPr="00785E1A">
        <w:rPr>
          <w:rFonts w:ascii="Arial" w:hAnsi="Arial" w:cs="Arial"/>
          <w:b/>
          <w:bCs/>
          <w:color w:val="000000"/>
          <w:sz w:val="20"/>
        </w:rPr>
        <w:t>4.6.</w:t>
      </w:r>
      <w:r w:rsidR="004E262E" w:rsidRPr="00785E1A">
        <w:rPr>
          <w:rFonts w:ascii="Arial" w:hAnsi="Arial" w:cs="Arial"/>
          <w:b/>
          <w:bCs/>
          <w:color w:val="000000"/>
          <w:sz w:val="20"/>
        </w:rPr>
        <w:t>3</w:t>
      </w:r>
      <w:r w:rsidRPr="00785E1A">
        <w:rPr>
          <w:rFonts w:ascii="Arial" w:hAnsi="Arial" w:cs="Arial"/>
          <w:b/>
          <w:bCs/>
          <w:color w:val="000000"/>
          <w:sz w:val="20"/>
        </w:rPr>
        <w:tab/>
      </w:r>
      <w:r w:rsidR="00507332">
        <w:rPr>
          <w:rFonts w:ascii="Arial" w:hAnsi="Arial" w:cs="Arial"/>
          <w:b/>
          <w:bCs/>
          <w:color w:val="000000"/>
          <w:sz w:val="20"/>
        </w:rPr>
        <w:t>C</w:t>
      </w:r>
      <w:r w:rsidR="00367C49" w:rsidRPr="00785E1A">
        <w:rPr>
          <w:rFonts w:ascii="Arial" w:hAnsi="Arial" w:cs="Arial"/>
          <w:b/>
          <w:bCs/>
          <w:color w:val="000000"/>
          <w:sz w:val="20"/>
        </w:rPr>
        <w:t>hild protection report</w:t>
      </w:r>
      <w:r w:rsidR="00507332">
        <w:rPr>
          <w:rFonts w:ascii="Arial" w:hAnsi="Arial" w:cs="Arial"/>
          <w:b/>
          <w:bCs/>
          <w:color w:val="000000"/>
          <w:sz w:val="20"/>
        </w:rPr>
        <w:t xml:space="preserve"> statistics (</w:t>
      </w:r>
      <w:r w:rsidR="003B7A66">
        <w:rPr>
          <w:rFonts w:ascii="Arial" w:hAnsi="Arial" w:cs="Arial"/>
          <w:b/>
          <w:bCs/>
          <w:color w:val="000000"/>
          <w:sz w:val="20"/>
        </w:rPr>
        <w:t>Victoria</w:t>
      </w:r>
      <w:r w:rsidR="00507332">
        <w:rPr>
          <w:rFonts w:ascii="Arial" w:hAnsi="Arial" w:cs="Arial"/>
          <w:b/>
          <w:bCs/>
          <w:color w:val="000000"/>
          <w:sz w:val="20"/>
        </w:rPr>
        <w:t xml:space="preserve"> &amp; Australia)</w:t>
      </w:r>
      <w:r w:rsidR="003B7A66">
        <w:rPr>
          <w:rFonts w:ascii="Arial" w:hAnsi="Arial" w:cs="Arial"/>
          <w:b/>
          <w:bCs/>
          <w:color w:val="000000"/>
          <w:sz w:val="20"/>
        </w:rPr>
        <w:t xml:space="preserve"> </w:t>
      </w:r>
      <w:r w:rsidR="00E0794B" w:rsidRPr="00785E1A">
        <w:rPr>
          <w:rFonts w:ascii="Arial" w:hAnsi="Arial" w:cs="Arial"/>
          <w:b/>
          <w:bCs/>
          <w:color w:val="000000"/>
          <w:sz w:val="20"/>
        </w:rPr>
        <w:t>–</w:t>
      </w:r>
      <w:r w:rsidRPr="00785E1A">
        <w:rPr>
          <w:rFonts w:ascii="Arial" w:hAnsi="Arial" w:cs="Arial"/>
          <w:b/>
          <w:bCs/>
          <w:color w:val="000000"/>
          <w:sz w:val="20"/>
        </w:rPr>
        <w:t xml:space="preserve"> 19</w:t>
      </w:r>
      <w:r w:rsidR="003B7A66">
        <w:rPr>
          <w:rFonts w:ascii="Arial" w:hAnsi="Arial" w:cs="Arial"/>
          <w:b/>
          <w:bCs/>
          <w:color w:val="000000"/>
          <w:sz w:val="20"/>
        </w:rPr>
        <w:t>8</w:t>
      </w:r>
      <w:r w:rsidRPr="00785E1A">
        <w:rPr>
          <w:rFonts w:ascii="Arial" w:hAnsi="Arial" w:cs="Arial"/>
          <w:b/>
          <w:bCs/>
          <w:color w:val="000000"/>
          <w:sz w:val="20"/>
        </w:rPr>
        <w:t>9</w:t>
      </w:r>
      <w:r w:rsidR="003B7A66">
        <w:rPr>
          <w:rFonts w:ascii="Arial" w:hAnsi="Arial" w:cs="Arial"/>
          <w:b/>
          <w:bCs/>
          <w:color w:val="000000"/>
          <w:sz w:val="20"/>
        </w:rPr>
        <w:t xml:space="preserve"> to </w:t>
      </w:r>
      <w:r w:rsidRPr="00785E1A">
        <w:rPr>
          <w:rFonts w:ascii="Arial" w:hAnsi="Arial" w:cs="Arial"/>
          <w:b/>
          <w:bCs/>
          <w:color w:val="000000"/>
          <w:sz w:val="20"/>
        </w:rPr>
        <w:t>20</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sidR="00507332">
        <w:rPr>
          <w:rFonts w:ascii="Arial" w:hAnsi="Arial" w:cs="Arial"/>
          <w:b/>
          <w:bCs/>
          <w:color w:val="000000"/>
          <w:sz w:val="20"/>
        </w:rPr>
        <w:t>2</w:t>
      </w:r>
      <w:r w:rsidR="00551938">
        <w:rPr>
          <w:rFonts w:ascii="Arial" w:hAnsi="Arial" w:cs="Arial"/>
          <w:b/>
          <w:bCs/>
          <w:color w:val="000000"/>
          <w:sz w:val="20"/>
        </w:rPr>
        <w:t>3</w:t>
      </w:r>
    </w:p>
    <w:p w14:paraId="554A1BDA" w14:textId="040FB346" w:rsidR="00507332" w:rsidRDefault="00507332" w:rsidP="00507332">
      <w:pPr>
        <w:pStyle w:val="Heading3"/>
        <w:widowControl/>
        <w:spacing w:line="240" w:lineRule="auto"/>
        <w:rPr>
          <w:rFonts w:ascii="Arial" w:hAnsi="Arial" w:cs="Arial"/>
          <w:color w:val="000000"/>
          <w:sz w:val="20"/>
        </w:rPr>
      </w:pPr>
    </w:p>
    <w:p w14:paraId="695D2BFD" w14:textId="0C630609" w:rsidR="008358C0" w:rsidRPr="0035780D" w:rsidRDefault="008358C0" w:rsidP="008358C0">
      <w:pPr>
        <w:pStyle w:val="Heading3"/>
        <w:widowControl/>
        <w:shd w:val="clear" w:color="auto" w:fill="000000" w:themeFill="text1"/>
        <w:spacing w:line="240" w:lineRule="auto"/>
        <w:jc w:val="center"/>
        <w:rPr>
          <w:rFonts w:ascii="Arial" w:hAnsi="Arial" w:cs="Arial"/>
          <w:b/>
          <w:bCs/>
          <w:color w:val="FFFFFF" w:themeColor="background1"/>
          <w:szCs w:val="24"/>
        </w:rPr>
      </w:pPr>
      <w:r w:rsidRPr="0035780D">
        <w:rPr>
          <w:rFonts w:ascii="Arial" w:hAnsi="Arial" w:cs="Arial"/>
          <w:b/>
          <w:bCs/>
          <w:color w:val="FFFFFF" w:themeColor="background1"/>
          <w:szCs w:val="24"/>
        </w:rPr>
        <w:t>VICTORIA</w:t>
      </w:r>
    </w:p>
    <w:p w14:paraId="5AEAFD99" w14:textId="77777777" w:rsidR="008358C0" w:rsidRPr="003B7A66" w:rsidRDefault="008358C0" w:rsidP="00507332">
      <w:pPr>
        <w:pStyle w:val="Heading3"/>
        <w:widowControl/>
        <w:spacing w:line="240" w:lineRule="auto"/>
        <w:rPr>
          <w:rFonts w:ascii="Arial" w:hAnsi="Arial" w:cs="Arial"/>
          <w:color w:val="000000"/>
          <w:sz w:val="20"/>
        </w:rPr>
      </w:pPr>
    </w:p>
    <w:p w14:paraId="171B5097" w14:textId="77777777" w:rsidR="00507332" w:rsidRPr="00785E1A" w:rsidRDefault="00507332" w:rsidP="00507332">
      <w:pPr>
        <w:jc w:val="both"/>
        <w:rPr>
          <w:rFonts w:ascii="Arial" w:hAnsi="Arial" w:cs="Arial"/>
          <w:color w:val="000000"/>
          <w:sz w:val="20"/>
        </w:rPr>
      </w:pPr>
      <w:r>
        <w:rPr>
          <w:rFonts w:ascii="Arial" w:hAnsi="Arial" w:cs="Arial"/>
          <w:sz w:val="20"/>
        </w:rPr>
        <w:t xml:space="preserve">The number of notifications to Victoria's Child Protection Service increased substantially in the 1990s, as illustrated by the following graph provided by Mr Peter Green, Manager DOHS Child Protection &amp; Care in a paper entitled </w:t>
      </w:r>
      <w:r>
        <w:rPr>
          <w:rFonts w:ascii="Helv" w:hAnsi="Helv"/>
          <w:color w:val="000000"/>
          <w:sz w:val="20"/>
          <w:lang w:val="en-US"/>
        </w:rPr>
        <w:t>"Towards Better Policing Responses in Child Protection"</w:t>
      </w:r>
      <w:r>
        <w:rPr>
          <w:rFonts w:ascii="Arial" w:hAnsi="Arial" w:cs="Arial"/>
          <w:sz w:val="20"/>
        </w:rPr>
        <w:t xml:space="preserve"> at XVI World Congress of the International Association of Youth and Family Judges and Magistrates in October 2002.  In the 2000s the numbers of notifications were</w:t>
      </w:r>
      <w:r w:rsidRPr="00785E1A">
        <w:rPr>
          <w:rFonts w:ascii="Arial" w:hAnsi="Arial" w:cs="Arial"/>
          <w:color w:val="000000"/>
          <w:sz w:val="20"/>
        </w:rPr>
        <w:t xml:space="preserve"> relatively stable although the proportion substantiated </w:t>
      </w:r>
      <w:r>
        <w:rPr>
          <w:rFonts w:ascii="Arial" w:hAnsi="Arial" w:cs="Arial"/>
          <w:color w:val="000000"/>
          <w:sz w:val="20"/>
        </w:rPr>
        <w:t>fell</w:t>
      </w:r>
      <w:r w:rsidRPr="00785E1A">
        <w:rPr>
          <w:rFonts w:ascii="Arial" w:hAnsi="Arial" w:cs="Arial"/>
          <w:color w:val="000000"/>
          <w:sz w:val="20"/>
        </w:rPr>
        <w:t xml:space="preserve"> slightly.</w:t>
      </w:r>
    </w:p>
    <w:p w14:paraId="0DEF74E5" w14:textId="77777777" w:rsidR="00507332" w:rsidRPr="00785E1A" w:rsidRDefault="00507332" w:rsidP="00507332">
      <w:pPr>
        <w:pStyle w:val="Heading3"/>
        <w:spacing w:line="240" w:lineRule="auto"/>
        <w:rPr>
          <w:rFonts w:ascii="Arial" w:hAnsi="Arial" w:cs="Arial"/>
          <w:b/>
          <w:bCs/>
          <w:color w:val="000000"/>
          <w:sz w:val="16"/>
        </w:rPr>
      </w:pPr>
    </w:p>
    <w:p w14:paraId="366425F8" w14:textId="77777777" w:rsidR="00507332" w:rsidRDefault="00507332" w:rsidP="00507332">
      <w:pPr>
        <w:jc w:val="both"/>
        <w:rPr>
          <w:rFonts w:ascii="Arial" w:hAnsi="Arial" w:cs="Arial"/>
          <w:sz w:val="20"/>
        </w:rPr>
      </w:pPr>
      <w:r>
        <w:rPr>
          <w:noProof/>
        </w:rPr>
        <w:lastRenderedPageBreak/>
        <mc:AlternateContent>
          <mc:Choice Requires="wpg">
            <w:drawing>
              <wp:inline distT="0" distB="0" distL="0" distR="0" wp14:anchorId="577B7E0E" wp14:editId="379FD39A">
                <wp:extent cx="5255895" cy="2740660"/>
                <wp:effectExtent l="36195" t="39370" r="32385" b="39370"/>
                <wp:docPr id="150454353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5895" cy="2740660"/>
                          <a:chOff x="1825" y="4516"/>
                          <a:chExt cx="8634" cy="4316"/>
                        </a:xfrm>
                      </wpg:grpSpPr>
                      <wpg:graphicFrame>
                        <wpg:cNvPr id="982277595" name="Object 141"/>
                        <wpg:cNvFrPr>
                          <a:graphicFrameLocks noChangeAspect="1"/>
                        </wpg:cNvFrPr>
                        <wpg:xfrm>
                          <a:off x="1765" y="4458"/>
                          <a:ext cx="8752" cy="4435"/>
                        </wpg:xfrm>
                        <a:graphic>
                          <a:graphicData uri="http://schemas.openxmlformats.org/drawingml/2006/chart">
                            <c:chart xmlns:c="http://schemas.openxmlformats.org/drawingml/2006/chart" xmlns:r="http://schemas.openxmlformats.org/officeDocument/2006/relationships" r:id="rId25"/>
                          </a:graphicData>
                        </a:graphic>
                      </wpg:graphicFrame>
                      <wpg:grpSp>
                        <wpg:cNvPr id="791050106" name="Group 142"/>
                        <wpg:cNvGrpSpPr>
                          <a:grpSpLocks/>
                        </wpg:cNvGrpSpPr>
                        <wpg:grpSpPr bwMode="auto">
                          <a:xfrm>
                            <a:off x="3728" y="4628"/>
                            <a:ext cx="1931" cy="1808"/>
                            <a:chOff x="3730" y="2456"/>
                            <a:chExt cx="1931" cy="1808"/>
                          </a:xfrm>
                        </wpg:grpSpPr>
                        <wps:wsp>
                          <wps:cNvPr id="1201425034" name="Text Box 143"/>
                          <wps:cNvSpPr txBox="1">
                            <a:spLocks noChangeArrowheads="1"/>
                          </wps:cNvSpPr>
                          <wps:spPr bwMode="auto">
                            <a:xfrm>
                              <a:off x="3730" y="2456"/>
                              <a:ext cx="1931" cy="1088"/>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61310201" w14:textId="77777777" w:rsidR="00507332" w:rsidRDefault="00507332" w:rsidP="00507332">
                                <w:pPr>
                                  <w:jc w:val="both"/>
                                  <w:rPr>
                                    <w:rFonts w:ascii="Arial" w:hAnsi="Arial" w:cs="Arial"/>
                                    <w:color w:val="000000"/>
                                    <w:sz w:val="18"/>
                                    <w:szCs w:val="28"/>
                                    <w:lang w:val="en-US"/>
                                  </w:rPr>
                                </w:pPr>
                                <w:r>
                                  <w:rPr>
                                    <w:rFonts w:ascii="Arial" w:hAnsi="Arial" w:cs="Arial"/>
                                    <w:color w:val="000000"/>
                                    <w:sz w:val="18"/>
                                    <w:szCs w:val="28"/>
                                    <w:lang w:val="en-US"/>
                                  </w:rPr>
                                  <w:t>March 1992: Phase out of Police/Child protection Dual Track System</w:t>
                                </w:r>
                              </w:p>
                            </w:txbxContent>
                          </wps:txbx>
                          <wps:bodyPr rot="0" vert="horz" wrap="square" lIns="91440" tIns="45720" rIns="91440" bIns="45720" anchor="t" anchorCtr="0" upright="1">
                            <a:noAutofit/>
                          </wps:bodyPr>
                        </wps:wsp>
                        <wps:wsp>
                          <wps:cNvPr id="378740855" name="Line 144"/>
                          <wps:cNvCnPr>
                            <a:cxnSpLocks noChangeShapeType="1"/>
                          </wps:cNvCnPr>
                          <wps:spPr bwMode="auto">
                            <a:xfrm>
                              <a:off x="4948" y="3483"/>
                              <a:ext cx="245" cy="781"/>
                            </a:xfrm>
                            <a:prstGeom prst="line">
                              <a:avLst/>
                            </a:prstGeom>
                            <a:noFill/>
                            <a:ln w="63500">
                              <a:solidFill>
                                <a:srgbClr val="000000"/>
                              </a:solidFill>
                              <a:round/>
                              <a:headEnd type="none" w="sm" len="sm"/>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wps:wsp>
                      </wpg:grpSp>
                      <wps:wsp>
                        <wps:cNvPr id="1063137853" name="Text Box 145"/>
                        <wps:cNvSpPr txBox="1">
                          <a:spLocks noChangeArrowheads="1"/>
                        </wps:cNvSpPr>
                        <wps:spPr bwMode="auto">
                          <a:xfrm>
                            <a:off x="5779" y="6498"/>
                            <a:ext cx="1955" cy="1258"/>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026D0D5" w14:textId="77777777" w:rsidR="00507332" w:rsidRDefault="00507332" w:rsidP="00507332">
                              <w:pPr>
                                <w:jc w:val="both"/>
                                <w:rPr>
                                  <w:rFonts w:ascii="Arial" w:hAnsi="Arial" w:cs="Arial"/>
                                  <w:color w:val="000000"/>
                                  <w:sz w:val="18"/>
                                  <w:szCs w:val="28"/>
                                  <w:lang w:val="en-US"/>
                                </w:rPr>
                              </w:pPr>
                              <w:r>
                                <w:rPr>
                                  <w:rFonts w:ascii="Arial" w:hAnsi="Arial" w:cs="Arial"/>
                                  <w:color w:val="000000"/>
                                  <w:sz w:val="18"/>
                                  <w:szCs w:val="28"/>
                                  <w:lang w:val="en-US"/>
                                </w:rPr>
                                <w:t>November 1993:  Doctors, Police and Nurses mandated to report physical and sexual abuse</w:t>
                              </w:r>
                            </w:p>
                          </w:txbxContent>
                        </wps:txbx>
                        <wps:bodyPr rot="0" vert="horz" wrap="square" lIns="91440" tIns="45720" rIns="91440" bIns="45720" anchor="t" anchorCtr="0" upright="1">
                          <a:noAutofit/>
                        </wps:bodyPr>
                      </wps:wsp>
                      <wps:wsp>
                        <wps:cNvPr id="1235622929" name="Text Box 146"/>
                        <wps:cNvSpPr txBox="1">
                          <a:spLocks noChangeArrowheads="1"/>
                        </wps:cNvSpPr>
                        <wps:spPr bwMode="auto">
                          <a:xfrm>
                            <a:off x="8028" y="6500"/>
                            <a:ext cx="1951" cy="12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C264781" w14:textId="77777777" w:rsidR="00507332" w:rsidRDefault="00507332" w:rsidP="00507332">
                              <w:pPr>
                                <w:jc w:val="both"/>
                                <w:rPr>
                                  <w:rFonts w:ascii="Arial" w:hAnsi="Arial" w:cs="Arial"/>
                                  <w:color w:val="000000"/>
                                  <w:sz w:val="18"/>
                                  <w:szCs w:val="28"/>
                                  <w:lang w:val="en-US"/>
                                </w:rPr>
                              </w:pPr>
                              <w:r>
                                <w:rPr>
                                  <w:rFonts w:ascii="Arial" w:hAnsi="Arial" w:cs="Arial"/>
                                  <w:color w:val="000000"/>
                                  <w:sz w:val="18"/>
                                  <w:szCs w:val="28"/>
                                  <w:lang w:val="en-US"/>
                                </w:rPr>
                                <w:t xml:space="preserve">July 1994: </w:t>
                              </w:r>
                            </w:p>
                            <w:p w14:paraId="43920EAF" w14:textId="77777777" w:rsidR="00507332" w:rsidRDefault="00507332" w:rsidP="00507332">
                              <w:pPr>
                                <w:jc w:val="both"/>
                                <w:rPr>
                                  <w:rFonts w:ascii="Arial" w:hAnsi="Arial" w:cs="Arial"/>
                                  <w:color w:val="000000"/>
                                  <w:szCs w:val="28"/>
                                  <w:lang w:val="en-US"/>
                                </w:rPr>
                              </w:pPr>
                              <w:r>
                                <w:rPr>
                                  <w:rFonts w:ascii="Arial" w:hAnsi="Arial" w:cs="Arial"/>
                                  <w:color w:val="000000"/>
                                  <w:sz w:val="18"/>
                                  <w:szCs w:val="28"/>
                                  <w:lang w:val="en-US"/>
                                </w:rPr>
                                <w:t>Teachers Mandated to report physical and sexual abuse</w:t>
                              </w:r>
                            </w:p>
                          </w:txbxContent>
                        </wps:txbx>
                        <wps:bodyPr rot="0" vert="horz" wrap="square" lIns="91440" tIns="45720" rIns="91440" bIns="45720" anchor="t" anchorCtr="0" upright="1">
                          <a:noAutofit/>
                        </wps:bodyPr>
                      </wps:wsp>
                      <wps:wsp>
                        <wps:cNvPr id="126943263" name="Line 147"/>
                        <wps:cNvCnPr>
                          <a:cxnSpLocks noChangeShapeType="1"/>
                        </wps:cNvCnPr>
                        <wps:spPr bwMode="auto">
                          <a:xfrm flipH="1" flipV="1">
                            <a:off x="5899" y="6076"/>
                            <a:ext cx="240" cy="48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161846" name="Line 148"/>
                        <wps:cNvCnPr>
                          <a:cxnSpLocks noChangeShapeType="1"/>
                        </wps:cNvCnPr>
                        <wps:spPr bwMode="auto">
                          <a:xfrm>
                            <a:off x="6139" y="5836"/>
                            <a:ext cx="2160" cy="600"/>
                          </a:xfrm>
                          <a:prstGeom prst="line">
                            <a:avLst/>
                          </a:prstGeom>
                          <a:noFill/>
                          <a:ln w="57150">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7B7E0E" id="Group 140" o:spid="_x0000_s1029" style="width:413.85pt;height:215.8pt;mso-position-horizontal-relative:char;mso-position-vertical-relative:line" coordorigin="1825,4516" coordsize="8634,4316" o:gfxdata="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41" o:spid="_x0000_s1030" type="#_x0000_t75" style="position:absolute;left:1735;top:4430;width:8812;height:4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">
                  <v:imagedata r:id="rId26" o:title=""/>
                </v:shape>
                <v:group id="Group 142" o:spid="_x0000_s1031" style="position:absolute;left:3728;top:4628;width:1931;height:1808" coordorigin="3730,2456" coordsize="193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">
                  <v:shape id="Text Box 143" o:spid="_x0000_s1032" type="#_x0000_t202" style="position:absolute;left:3730;top:2456;width:1931;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" stroked="f" strokeweight="0">
                    <v:textbox>
                      <w:txbxContent>
                        <w:p w14:paraId="61310201" w14:textId="77777777" w:rsidR="00507332" w:rsidRDefault="00507332" w:rsidP="00507332">
                          <w:pPr>
                            <w:jc w:val="both"/>
                            <w:rPr>
                              <w:rFonts w:ascii="Arial" w:hAnsi="Arial" w:cs="Arial"/>
                              <w:color w:val="000000"/>
                              <w:sz w:val="18"/>
                              <w:szCs w:val="28"/>
                              <w:lang w:val="en-US"/>
                            </w:rPr>
                          </w:pPr>
                          <w:r>
                            <w:rPr>
                              <w:rFonts w:ascii="Arial" w:hAnsi="Arial" w:cs="Arial"/>
                              <w:color w:val="000000"/>
                              <w:sz w:val="18"/>
                              <w:szCs w:val="28"/>
                              <w:lang w:val="en-US"/>
                            </w:rPr>
                            <w:t>March 1992: Phase out of Police/Child protection Dual Track System</w:t>
                          </w:r>
                        </w:p>
                      </w:txbxContent>
                    </v:textbox>
                  </v:shape>
                  <v:line id="Line 144" o:spid="_x0000_s1033" style="position:absolute;visibility:visible;mso-wrap-style:square" from="4948,3483" to="5193,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" strokeweight="5pt">
                    <v:stroke startarrowwidth="narrow" startarrowlength="short" endarrow="block"/>
                    <v:shadow color="#969696"/>
                  </v:line>
                </v:group>
                <v:shape id="Text Box 145" o:spid="_x0000_s1034" type="#_x0000_t202" style="position:absolute;left:5779;top:6498;width:1955;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" stroked="f" strokeweight="0">
                  <v:textbox>
                    <w:txbxContent>
                      <w:p w14:paraId="3026D0D5" w14:textId="77777777" w:rsidR="00507332" w:rsidRDefault="00507332" w:rsidP="00507332">
                        <w:pPr>
                          <w:jc w:val="both"/>
                          <w:rPr>
                            <w:rFonts w:ascii="Arial" w:hAnsi="Arial" w:cs="Arial"/>
                            <w:color w:val="000000"/>
                            <w:sz w:val="18"/>
                            <w:szCs w:val="28"/>
                            <w:lang w:val="en-US"/>
                          </w:rPr>
                        </w:pPr>
                        <w:r>
                          <w:rPr>
                            <w:rFonts w:ascii="Arial" w:hAnsi="Arial" w:cs="Arial"/>
                            <w:color w:val="000000"/>
                            <w:sz w:val="18"/>
                            <w:szCs w:val="28"/>
                            <w:lang w:val="en-US"/>
                          </w:rPr>
                          <w:t>November 1993:  Doctors, Police and Nurses mandated to report physical and sexual abuse</w:t>
                        </w:r>
                      </w:p>
                    </w:txbxContent>
                  </v:textbox>
                </v:shape>
                <v:shape id="Text Box 146" o:spid="_x0000_s1035" type="#_x0000_t202" style="position:absolute;left:8028;top:6500;width:1951;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" stroked="f" strokeweight="0">
                  <v:textbox>
                    <w:txbxContent>
                      <w:p w14:paraId="5C264781" w14:textId="77777777" w:rsidR="00507332" w:rsidRDefault="00507332" w:rsidP="00507332">
                        <w:pPr>
                          <w:jc w:val="both"/>
                          <w:rPr>
                            <w:rFonts w:ascii="Arial" w:hAnsi="Arial" w:cs="Arial"/>
                            <w:color w:val="000000"/>
                            <w:sz w:val="18"/>
                            <w:szCs w:val="28"/>
                            <w:lang w:val="en-US"/>
                          </w:rPr>
                        </w:pPr>
                        <w:r>
                          <w:rPr>
                            <w:rFonts w:ascii="Arial" w:hAnsi="Arial" w:cs="Arial"/>
                            <w:color w:val="000000"/>
                            <w:sz w:val="18"/>
                            <w:szCs w:val="28"/>
                            <w:lang w:val="en-US"/>
                          </w:rPr>
                          <w:t xml:space="preserve">July 1994: </w:t>
                        </w:r>
                      </w:p>
                      <w:p w14:paraId="43920EAF" w14:textId="77777777" w:rsidR="00507332" w:rsidRDefault="00507332" w:rsidP="00507332">
                        <w:pPr>
                          <w:jc w:val="both"/>
                          <w:rPr>
                            <w:rFonts w:ascii="Arial" w:hAnsi="Arial" w:cs="Arial"/>
                            <w:color w:val="000000"/>
                            <w:szCs w:val="28"/>
                            <w:lang w:val="en-US"/>
                          </w:rPr>
                        </w:pPr>
                        <w:r>
                          <w:rPr>
                            <w:rFonts w:ascii="Arial" w:hAnsi="Arial" w:cs="Arial"/>
                            <w:color w:val="000000"/>
                            <w:sz w:val="18"/>
                            <w:szCs w:val="28"/>
                            <w:lang w:val="en-US"/>
                          </w:rPr>
                          <w:t>Teachers Mandated to report physical and sexual abuse</w:t>
                        </w:r>
                      </w:p>
                    </w:txbxContent>
                  </v:textbox>
                </v:shape>
                <v:line id="Line 147" o:spid="_x0000_s1036" style="position:absolute;flip:x y;visibility:visible;mso-wrap-style:square" from="5899,6076" to="6139,6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" strokeweight="4.5pt">
                  <v:stroke endarrow="block"/>
                </v:line>
                <v:line id="Line 148" o:spid="_x0000_s1037" style="position:absolute;visibility:visible;mso-wrap-style:square" from="6139,5836" to="829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" strokeweight="4.5pt">
                  <v:stroke startarrow="block"/>
                </v:line>
                <w10:anchorlock/>
              </v:group>
              <o:OLEObject Type="Embed" ProgID="Excel.Chart.8" ShapeID="Object 141" DrawAspect="Content" ObjectID="_1838457902" r:id="rId27">
                <o:FieldCodes>\s</o:FieldCodes>
              </o:OLEObject>
            </w:pict>
          </mc:Fallback>
        </mc:AlternateContent>
      </w:r>
    </w:p>
    <w:p w14:paraId="3B117E73" w14:textId="77777777" w:rsidR="00507332" w:rsidRPr="003B7A66" w:rsidRDefault="00507332" w:rsidP="00507332">
      <w:pPr>
        <w:jc w:val="both"/>
        <w:rPr>
          <w:rFonts w:ascii="Arial" w:hAnsi="Arial" w:cs="Arial"/>
          <w:bCs/>
          <w:color w:val="000000"/>
          <w:sz w:val="20"/>
        </w:rPr>
      </w:pPr>
    </w:p>
    <w:p w14:paraId="292CD613" w14:textId="3C5D7995" w:rsidR="00507332" w:rsidRDefault="00507332" w:rsidP="00507332">
      <w:pPr>
        <w:keepNext/>
        <w:keepLines/>
        <w:jc w:val="both"/>
        <w:rPr>
          <w:rFonts w:ascii="Arial" w:hAnsi="Arial" w:cs="Arial"/>
          <w:sz w:val="20"/>
        </w:rPr>
      </w:pPr>
      <w:r>
        <w:rPr>
          <w:rFonts w:ascii="Arial" w:hAnsi="Arial" w:cs="Arial"/>
          <w:sz w:val="20"/>
        </w:rPr>
        <w:t xml:space="preserve">Some characteristics of </w:t>
      </w:r>
      <w:r w:rsidR="008358C0">
        <w:rPr>
          <w:rFonts w:ascii="Arial" w:hAnsi="Arial" w:cs="Arial"/>
          <w:sz w:val="20"/>
        </w:rPr>
        <w:t xml:space="preserve">Victorian </w:t>
      </w:r>
      <w:r>
        <w:rPr>
          <w:rFonts w:ascii="Arial" w:hAnsi="Arial" w:cs="Arial"/>
          <w:sz w:val="20"/>
        </w:rPr>
        <w:t>notifications in 2002 were summarised by Mr Green as follows:</w:t>
      </w:r>
    </w:p>
    <w:p w14:paraId="381D57A4" w14:textId="77777777" w:rsidR="00507332" w:rsidRDefault="00507332" w:rsidP="00507332">
      <w:pPr>
        <w:numPr>
          <w:ilvl w:val="0"/>
          <w:numId w:val="10"/>
        </w:numPr>
        <w:jc w:val="both"/>
        <w:rPr>
          <w:rFonts w:ascii="Arial" w:hAnsi="Arial" w:cs="Arial"/>
          <w:sz w:val="20"/>
        </w:rPr>
      </w:pPr>
      <w:r>
        <w:rPr>
          <w:rFonts w:ascii="Arial" w:hAnsi="Arial" w:cs="Arial"/>
          <w:color w:val="000000"/>
          <w:sz w:val="20"/>
          <w:szCs w:val="12"/>
        </w:rPr>
        <w:t>very young children are over represented</w:t>
      </w:r>
    </w:p>
    <w:p w14:paraId="58B80605" w14:textId="77777777" w:rsidR="00507332" w:rsidRDefault="00507332" w:rsidP="00507332">
      <w:pPr>
        <w:numPr>
          <w:ilvl w:val="0"/>
          <w:numId w:val="10"/>
        </w:numPr>
        <w:jc w:val="both"/>
        <w:rPr>
          <w:rFonts w:ascii="Arial" w:hAnsi="Arial" w:cs="Arial"/>
          <w:sz w:val="20"/>
        </w:rPr>
      </w:pPr>
      <w:r>
        <w:rPr>
          <w:rFonts w:ascii="Arial" w:hAnsi="Arial" w:cs="Arial"/>
          <w:color w:val="000000"/>
          <w:sz w:val="20"/>
          <w:szCs w:val="16"/>
          <w:lang w:val="en-US"/>
        </w:rPr>
        <w:t>k</w:t>
      </w:r>
      <w:proofErr w:type="spellStart"/>
      <w:r>
        <w:rPr>
          <w:rFonts w:ascii="Arial" w:hAnsi="Arial" w:cs="Arial"/>
          <w:color w:val="000000"/>
          <w:sz w:val="20"/>
          <w:szCs w:val="16"/>
        </w:rPr>
        <w:t>ey</w:t>
      </w:r>
      <w:proofErr w:type="spellEnd"/>
      <w:r>
        <w:rPr>
          <w:rFonts w:ascii="Arial" w:hAnsi="Arial" w:cs="Arial"/>
          <w:color w:val="000000"/>
          <w:sz w:val="20"/>
          <w:szCs w:val="16"/>
        </w:rPr>
        <w:t xml:space="preserve"> parental characteristics of investigated families: family violence, alcohol abuse, substance abuse, psychiatric, intellectual and physical disability</w:t>
      </w:r>
    </w:p>
    <w:p w14:paraId="26CBC6AF" w14:textId="77777777" w:rsidR="00507332" w:rsidRDefault="00507332" w:rsidP="00507332">
      <w:pPr>
        <w:numPr>
          <w:ilvl w:val="0"/>
          <w:numId w:val="10"/>
        </w:numPr>
        <w:jc w:val="both"/>
        <w:rPr>
          <w:rFonts w:ascii="Arial" w:hAnsi="Arial" w:cs="Arial"/>
          <w:sz w:val="20"/>
        </w:rPr>
      </w:pPr>
      <w:r>
        <w:rPr>
          <w:rFonts w:ascii="Arial" w:hAnsi="Arial" w:cs="Arial"/>
          <w:color w:val="000000"/>
          <w:sz w:val="20"/>
          <w:szCs w:val="12"/>
        </w:rPr>
        <w:t>45% of families investigated are sole parent families (compared to 20% in the general population)</w:t>
      </w:r>
    </w:p>
    <w:p w14:paraId="7291EB62" w14:textId="77777777" w:rsidR="00507332" w:rsidRDefault="00507332" w:rsidP="00507332">
      <w:pPr>
        <w:numPr>
          <w:ilvl w:val="0"/>
          <w:numId w:val="10"/>
        </w:numPr>
        <w:jc w:val="both"/>
        <w:rPr>
          <w:rFonts w:ascii="Arial" w:hAnsi="Arial" w:cs="Arial"/>
          <w:sz w:val="20"/>
        </w:rPr>
      </w:pPr>
      <w:r>
        <w:rPr>
          <w:rFonts w:ascii="Arial" w:hAnsi="Arial" w:cs="Arial"/>
          <w:color w:val="000000"/>
          <w:sz w:val="20"/>
          <w:szCs w:val="12"/>
        </w:rPr>
        <w:t>77% of families investigated are low income</w:t>
      </w:r>
    </w:p>
    <w:p w14:paraId="62FFF733" w14:textId="77777777" w:rsidR="00507332" w:rsidRDefault="00507332" w:rsidP="00507332">
      <w:pPr>
        <w:widowControl w:val="0"/>
        <w:numPr>
          <w:ilvl w:val="0"/>
          <w:numId w:val="9"/>
        </w:numPr>
        <w:jc w:val="both"/>
        <w:rPr>
          <w:rFonts w:ascii="Arial" w:eastAsia="Arial Unicode MS" w:hAnsi="Arial" w:cs="Arial"/>
          <w:color w:val="000000"/>
          <w:sz w:val="20"/>
          <w:szCs w:val="12"/>
        </w:rPr>
      </w:pPr>
      <w:r>
        <w:rPr>
          <w:rFonts w:ascii="Arial" w:hAnsi="Arial" w:cs="Arial"/>
          <w:color w:val="000000"/>
          <w:sz w:val="20"/>
          <w:szCs w:val="16"/>
        </w:rPr>
        <w:t>52%</w:t>
      </w:r>
      <w:r>
        <w:rPr>
          <w:rFonts w:ascii="Arial" w:hAnsi="Arial" w:cs="Arial"/>
          <w:color w:val="000000"/>
          <w:sz w:val="20"/>
          <w:szCs w:val="16"/>
          <w:lang w:val="en-US"/>
        </w:rPr>
        <w:t xml:space="preserve"> of parents</w:t>
      </w:r>
      <w:r>
        <w:rPr>
          <w:rFonts w:ascii="Arial" w:hAnsi="Arial" w:cs="Arial"/>
          <w:color w:val="000000"/>
          <w:sz w:val="20"/>
          <w:szCs w:val="16"/>
        </w:rPr>
        <w:t xml:space="preserve"> have experienced family violence</w:t>
      </w:r>
    </w:p>
    <w:p w14:paraId="10BB4F40" w14:textId="77777777" w:rsidR="00507332" w:rsidRDefault="00507332" w:rsidP="00507332">
      <w:pPr>
        <w:widowControl w:val="0"/>
        <w:numPr>
          <w:ilvl w:val="0"/>
          <w:numId w:val="9"/>
        </w:numPr>
        <w:jc w:val="both"/>
        <w:rPr>
          <w:rFonts w:ascii="Arial" w:hAnsi="Arial" w:cs="Arial"/>
          <w:color w:val="000000"/>
          <w:sz w:val="20"/>
          <w:szCs w:val="12"/>
        </w:rPr>
      </w:pPr>
      <w:r>
        <w:rPr>
          <w:rFonts w:ascii="Arial" w:hAnsi="Arial" w:cs="Arial"/>
          <w:color w:val="000000"/>
          <w:sz w:val="20"/>
          <w:szCs w:val="12"/>
        </w:rPr>
        <w:t>33% of parents investigated have substance abuse problems</w:t>
      </w:r>
    </w:p>
    <w:p w14:paraId="7CDBF70E" w14:textId="77777777" w:rsidR="00507332" w:rsidRDefault="00507332" w:rsidP="00507332">
      <w:pPr>
        <w:widowControl w:val="0"/>
        <w:numPr>
          <w:ilvl w:val="0"/>
          <w:numId w:val="9"/>
        </w:numPr>
        <w:jc w:val="both"/>
        <w:rPr>
          <w:rFonts w:ascii="Arial" w:hAnsi="Arial" w:cs="Arial"/>
          <w:color w:val="000000"/>
          <w:sz w:val="20"/>
          <w:szCs w:val="12"/>
        </w:rPr>
      </w:pPr>
      <w:r>
        <w:rPr>
          <w:rFonts w:ascii="Arial" w:hAnsi="Arial" w:cs="Arial"/>
          <w:color w:val="000000"/>
          <w:sz w:val="20"/>
          <w:szCs w:val="12"/>
        </w:rPr>
        <w:t>31% of parents investigated have alcohol abuse problems</w:t>
      </w:r>
    </w:p>
    <w:p w14:paraId="1DA1C5C1" w14:textId="77777777" w:rsidR="00507332" w:rsidRDefault="00507332" w:rsidP="00507332">
      <w:pPr>
        <w:widowControl w:val="0"/>
        <w:numPr>
          <w:ilvl w:val="0"/>
          <w:numId w:val="9"/>
        </w:numPr>
        <w:jc w:val="both"/>
        <w:rPr>
          <w:rFonts w:ascii="Arial" w:hAnsi="Arial" w:cs="Arial"/>
          <w:color w:val="000000"/>
          <w:sz w:val="20"/>
          <w:szCs w:val="12"/>
        </w:rPr>
      </w:pPr>
      <w:r>
        <w:rPr>
          <w:rFonts w:ascii="Arial" w:hAnsi="Arial" w:cs="Arial"/>
          <w:color w:val="000000"/>
          <w:sz w:val="20"/>
          <w:szCs w:val="12"/>
        </w:rPr>
        <w:t>19% of parents investigated have a psychiatric disability</w:t>
      </w:r>
    </w:p>
    <w:p w14:paraId="622C45B8" w14:textId="77777777" w:rsidR="00507332" w:rsidRDefault="00507332" w:rsidP="00507332">
      <w:pPr>
        <w:widowControl w:val="0"/>
        <w:numPr>
          <w:ilvl w:val="0"/>
          <w:numId w:val="9"/>
        </w:numPr>
        <w:jc w:val="both"/>
        <w:rPr>
          <w:rFonts w:ascii="Arial" w:hAnsi="Arial" w:cs="Arial"/>
          <w:color w:val="000000"/>
          <w:szCs w:val="12"/>
        </w:rPr>
      </w:pPr>
      <w:r>
        <w:rPr>
          <w:rFonts w:ascii="Arial" w:hAnsi="Arial" w:cs="Arial"/>
          <w:color w:val="000000"/>
          <w:sz w:val="20"/>
          <w:szCs w:val="12"/>
        </w:rPr>
        <w:t>the proportion of parents with one or more of these characteristics has increased from 40% to more than 70%, the proportion with 2 or more has increased from 9% to 44%.</w:t>
      </w:r>
    </w:p>
    <w:p w14:paraId="3FE58BFE" w14:textId="77777777" w:rsidR="00F00C4A" w:rsidRDefault="00F00C4A" w:rsidP="00F00C4A">
      <w:pPr>
        <w:jc w:val="both"/>
        <w:rPr>
          <w:rFonts w:ascii="Arial" w:hAnsi="Arial" w:cs="Arial"/>
          <w:bCs/>
          <w:color w:val="000000"/>
          <w:sz w:val="20"/>
        </w:rPr>
      </w:pPr>
    </w:p>
    <w:p w14:paraId="0E3B6240" w14:textId="47DB374E" w:rsidR="00112373" w:rsidRPr="00785E1A" w:rsidRDefault="00112373" w:rsidP="00F00C4A">
      <w:pPr>
        <w:spacing w:after="120"/>
        <w:jc w:val="both"/>
        <w:rPr>
          <w:rFonts w:ascii="Arial" w:hAnsi="Arial" w:cs="Arial"/>
          <w:bCs/>
          <w:color w:val="000000"/>
          <w:sz w:val="20"/>
        </w:rPr>
      </w:pPr>
      <w:r w:rsidRPr="00785E1A">
        <w:rPr>
          <w:rFonts w:ascii="Arial" w:hAnsi="Arial" w:cs="Arial"/>
          <w:bCs/>
          <w:color w:val="000000"/>
          <w:sz w:val="20"/>
        </w:rPr>
        <w:t>The following chart shows child protection notifications by notification sources in Victoria in 1999-2000:</w:t>
      </w:r>
    </w:p>
    <w:p w14:paraId="64DB325C" w14:textId="77777777" w:rsidR="00693223" w:rsidRDefault="00112373" w:rsidP="00112373">
      <w:pPr>
        <w:ind w:left="-567" w:right="-567"/>
        <w:jc w:val="center"/>
        <w:rPr>
          <w:rFonts w:ascii="Arial" w:hAnsi="Arial" w:cs="Arial"/>
          <w:sz w:val="20"/>
        </w:rPr>
      </w:pPr>
      <w:r>
        <w:object w:dxaOrig="17033" w:dyaOrig="10234" w14:anchorId="4A7DC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35pt;height:256pt" o:ole="" o:bordertopcolor="this" o:borderleftcolor="this" o:borderbottomcolor="this" o:borderrightcolor="this">
            <v:imagedata r:id="rId28" o:title="" cropbottom="6324f"/>
            <o:lock v:ext="edit" aspectratio="f"/>
            <w10:bordertop type="single" width="4"/>
            <w10:borderleft type="single" width="4"/>
            <w10:borderbottom type="single" width="4"/>
            <w10:borderright type="single" width="4"/>
          </v:shape>
          <o:OLEObject Type="Embed" ProgID="Excel.Sheet.8" ShapeID="_x0000_i1025" DrawAspect="Content" ObjectID="_1850039557" r:id="rId29"/>
        </w:object>
      </w:r>
    </w:p>
    <w:p w14:paraId="1D96527D" w14:textId="77777777" w:rsidR="008826E7" w:rsidRPr="00387412" w:rsidRDefault="008826E7" w:rsidP="008826E7">
      <w:pPr>
        <w:jc w:val="both"/>
        <w:rPr>
          <w:rFonts w:ascii="Arial" w:hAnsi="Arial" w:cs="Arial"/>
          <w:bCs/>
          <w:sz w:val="20"/>
        </w:rPr>
      </w:pPr>
    </w:p>
    <w:p w14:paraId="3BBAC0D6" w14:textId="2A651C29" w:rsidR="00267046" w:rsidRPr="00785E1A" w:rsidRDefault="00267046" w:rsidP="00C50A0B">
      <w:pPr>
        <w:keepNext/>
        <w:keepLines/>
        <w:spacing w:after="120"/>
        <w:jc w:val="both"/>
        <w:rPr>
          <w:rFonts w:ascii="Arial" w:hAnsi="Arial" w:cs="Arial"/>
          <w:color w:val="000000"/>
          <w:sz w:val="20"/>
        </w:rPr>
      </w:pPr>
      <w:r w:rsidRPr="00785E1A">
        <w:rPr>
          <w:rFonts w:ascii="Arial" w:hAnsi="Arial" w:cs="Arial"/>
          <w:color w:val="000000"/>
          <w:sz w:val="20"/>
        </w:rPr>
        <w:lastRenderedPageBreak/>
        <w:t>The following table</w:t>
      </w:r>
      <w:r w:rsidR="00655B47">
        <w:rPr>
          <w:rFonts w:ascii="Arial" w:hAnsi="Arial" w:cs="Arial"/>
          <w:color w:val="000000"/>
          <w:sz w:val="20"/>
        </w:rPr>
        <w:t xml:space="preserve"> is </w:t>
      </w:r>
      <w:r w:rsidRPr="00785E1A">
        <w:rPr>
          <w:rFonts w:ascii="Arial" w:hAnsi="Arial" w:cs="Arial"/>
          <w:color w:val="000000"/>
          <w:sz w:val="20"/>
        </w:rPr>
        <w:t xml:space="preserve">compiled from “Child </w:t>
      </w:r>
      <w:r w:rsidR="003B47AB">
        <w:rPr>
          <w:rFonts w:ascii="Arial" w:hAnsi="Arial" w:cs="Arial"/>
          <w:color w:val="000000"/>
          <w:sz w:val="20"/>
        </w:rPr>
        <w:t>p</w:t>
      </w:r>
      <w:r w:rsidRPr="00785E1A">
        <w:rPr>
          <w:rFonts w:ascii="Arial" w:hAnsi="Arial" w:cs="Arial"/>
          <w:color w:val="000000"/>
          <w:sz w:val="20"/>
        </w:rPr>
        <w:t>rotection Australia”</w:t>
      </w:r>
      <w:r w:rsidR="00705FED" w:rsidRPr="00785E1A">
        <w:rPr>
          <w:rFonts w:ascii="Arial" w:hAnsi="Arial" w:cs="Arial"/>
          <w:color w:val="000000"/>
          <w:sz w:val="20"/>
        </w:rPr>
        <w:t xml:space="preserve"> </w:t>
      </w:r>
      <w:r w:rsidR="00112373" w:rsidRPr="00785E1A">
        <w:rPr>
          <w:rFonts w:ascii="Arial" w:hAnsi="Arial" w:cs="Arial"/>
          <w:color w:val="000000"/>
          <w:sz w:val="20"/>
        </w:rPr>
        <w:t>publication</w:t>
      </w:r>
      <w:r w:rsidR="00705FED" w:rsidRPr="00785E1A">
        <w:rPr>
          <w:rFonts w:ascii="Arial" w:hAnsi="Arial" w:cs="Arial"/>
          <w:color w:val="000000"/>
          <w:sz w:val="20"/>
        </w:rPr>
        <w:t>s</w:t>
      </w:r>
      <w:r w:rsidRPr="00785E1A">
        <w:rPr>
          <w:rFonts w:ascii="Arial" w:hAnsi="Arial" w:cs="Arial"/>
          <w:color w:val="000000"/>
          <w:sz w:val="20"/>
        </w:rPr>
        <w:t xml:space="preserve"> </w:t>
      </w:r>
      <w:r w:rsidR="00112373" w:rsidRPr="00785E1A">
        <w:rPr>
          <w:rFonts w:ascii="Arial" w:hAnsi="Arial" w:cs="Arial"/>
          <w:bCs/>
          <w:color w:val="000000"/>
          <w:sz w:val="20"/>
        </w:rPr>
        <w:t>in the Child Welfare Series published by the Australian Institute of Health and Welfare, Canberra</w:t>
      </w:r>
      <w:r w:rsidR="00655B47">
        <w:rPr>
          <w:rFonts w:ascii="Arial" w:hAnsi="Arial" w:cs="Arial"/>
          <w:color w:val="000000"/>
          <w:sz w:val="20"/>
        </w:rPr>
        <w:t>.</w:t>
      </w:r>
    </w:p>
    <w:tbl>
      <w:tblPr>
        <w:tblW w:w="8392" w:type="dxa"/>
        <w:tblInd w:w="-5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359"/>
        <w:gridCol w:w="1678"/>
        <w:gridCol w:w="1678"/>
        <w:gridCol w:w="1677"/>
      </w:tblGrid>
      <w:tr w:rsidR="00655B47" w:rsidRPr="00DB31F5" w14:paraId="213CAC32" w14:textId="77777777" w:rsidTr="008358C0">
        <w:tc>
          <w:tcPr>
            <w:tcW w:w="5000" w:type="pct"/>
            <w:gridSpan w:val="4"/>
            <w:tcBorders>
              <w:top w:val="single" w:sz="18" w:space="0" w:color="auto"/>
              <w:bottom w:val="single" w:sz="18" w:space="0" w:color="auto"/>
            </w:tcBorders>
            <w:shd w:val="clear" w:color="auto" w:fill="000000" w:themeFill="text1"/>
          </w:tcPr>
          <w:p w14:paraId="0400795E" w14:textId="4C6C0FEC" w:rsidR="00655B47" w:rsidRPr="008358C0" w:rsidRDefault="00655B47" w:rsidP="00DB31F5">
            <w:pPr>
              <w:keepNext/>
              <w:jc w:val="center"/>
              <w:rPr>
                <w:rFonts w:ascii="Arial" w:hAnsi="Arial" w:cs="Arial"/>
                <w:b/>
                <w:color w:val="FFFFFF" w:themeColor="background1"/>
                <w:sz w:val="20"/>
              </w:rPr>
            </w:pPr>
            <w:r w:rsidRPr="008358C0">
              <w:rPr>
                <w:rFonts w:ascii="Arial" w:hAnsi="Arial" w:cs="Arial"/>
                <w:b/>
                <w:color w:val="FFFFFF" w:themeColor="background1"/>
                <w:sz w:val="20"/>
              </w:rPr>
              <w:t>ORIGIN (IN % TERMS) OF INVESTIGATED VICTORIAN CHILD PROTECTION REPORTS</w:t>
            </w:r>
          </w:p>
        </w:tc>
      </w:tr>
      <w:tr w:rsidR="00926EE1" w:rsidRPr="00DB31F5" w14:paraId="16F09BE3" w14:textId="77777777" w:rsidTr="00F00C4A">
        <w:tc>
          <w:tcPr>
            <w:tcW w:w="2001" w:type="pct"/>
            <w:tcBorders>
              <w:top w:val="single" w:sz="18" w:space="0" w:color="auto"/>
              <w:bottom w:val="single" w:sz="18" w:space="0" w:color="auto"/>
            </w:tcBorders>
            <w:shd w:val="pct10" w:color="auto" w:fill="auto"/>
          </w:tcPr>
          <w:p w14:paraId="0684B46D" w14:textId="77777777" w:rsidR="00926EE1" w:rsidRPr="00DB31F5" w:rsidRDefault="00926EE1" w:rsidP="00DB31F5">
            <w:pPr>
              <w:keepNext/>
              <w:jc w:val="center"/>
              <w:rPr>
                <w:rFonts w:ascii="Arial" w:hAnsi="Arial" w:cs="Arial"/>
                <w:b/>
                <w:color w:val="000000"/>
                <w:sz w:val="20"/>
              </w:rPr>
            </w:pPr>
            <w:r w:rsidRPr="00DB31F5">
              <w:rPr>
                <w:rFonts w:ascii="Arial" w:hAnsi="Arial" w:cs="Arial"/>
                <w:b/>
                <w:color w:val="000000"/>
                <w:sz w:val="20"/>
              </w:rPr>
              <w:t>SOURCE OF REPORT</w:t>
            </w:r>
          </w:p>
        </w:tc>
        <w:tc>
          <w:tcPr>
            <w:tcW w:w="1000" w:type="pct"/>
            <w:tcBorders>
              <w:top w:val="single" w:sz="18" w:space="0" w:color="auto"/>
              <w:bottom w:val="single" w:sz="18" w:space="0" w:color="auto"/>
            </w:tcBorders>
            <w:shd w:val="pct10" w:color="auto" w:fill="auto"/>
          </w:tcPr>
          <w:p w14:paraId="2C0A758B" w14:textId="4A70557E" w:rsidR="00926EE1" w:rsidRPr="00DB31F5" w:rsidRDefault="00926EE1" w:rsidP="00DB31F5">
            <w:pPr>
              <w:keepNext/>
              <w:jc w:val="center"/>
              <w:rPr>
                <w:rFonts w:ascii="Arial" w:hAnsi="Arial" w:cs="Arial"/>
                <w:b/>
                <w:color w:val="000000"/>
                <w:sz w:val="20"/>
              </w:rPr>
            </w:pPr>
            <w:r w:rsidRPr="00DB31F5">
              <w:rPr>
                <w:rFonts w:ascii="Arial" w:hAnsi="Arial" w:cs="Arial"/>
                <w:b/>
                <w:color w:val="000000"/>
                <w:sz w:val="20"/>
              </w:rPr>
              <w:t>2007</w:t>
            </w:r>
            <w:r w:rsidR="009D6EF3">
              <w:rPr>
                <w:rFonts w:ascii="Arial" w:hAnsi="Arial" w:cs="Arial"/>
                <w:b/>
                <w:color w:val="000000"/>
                <w:sz w:val="20"/>
              </w:rPr>
              <w:t>/</w:t>
            </w:r>
            <w:r w:rsidRPr="00DB31F5">
              <w:rPr>
                <w:rFonts w:ascii="Arial" w:hAnsi="Arial" w:cs="Arial"/>
                <w:b/>
                <w:color w:val="000000"/>
                <w:sz w:val="20"/>
              </w:rPr>
              <w:t>2008</w:t>
            </w:r>
          </w:p>
        </w:tc>
        <w:tc>
          <w:tcPr>
            <w:tcW w:w="1000" w:type="pct"/>
            <w:tcBorders>
              <w:top w:val="single" w:sz="18" w:space="0" w:color="auto"/>
              <w:bottom w:val="single" w:sz="18" w:space="0" w:color="auto"/>
            </w:tcBorders>
            <w:shd w:val="pct10" w:color="auto" w:fill="auto"/>
          </w:tcPr>
          <w:p w14:paraId="284C14F6" w14:textId="78F092BA" w:rsidR="00926EE1" w:rsidRPr="00DB31F5" w:rsidRDefault="00926EE1" w:rsidP="00DB31F5">
            <w:pPr>
              <w:keepNext/>
              <w:jc w:val="center"/>
              <w:rPr>
                <w:rFonts w:ascii="Arial" w:hAnsi="Arial" w:cs="Arial"/>
                <w:b/>
                <w:color w:val="000000"/>
                <w:sz w:val="20"/>
              </w:rPr>
            </w:pPr>
            <w:r w:rsidRPr="00DB31F5">
              <w:rPr>
                <w:rFonts w:ascii="Arial" w:hAnsi="Arial" w:cs="Arial"/>
                <w:b/>
                <w:color w:val="000000"/>
                <w:sz w:val="20"/>
              </w:rPr>
              <w:t>2008</w:t>
            </w:r>
            <w:r w:rsidR="009D6EF3">
              <w:rPr>
                <w:rFonts w:ascii="Arial" w:hAnsi="Arial" w:cs="Arial"/>
                <w:b/>
                <w:color w:val="000000"/>
                <w:sz w:val="20"/>
              </w:rPr>
              <w:t>/</w:t>
            </w:r>
            <w:r w:rsidRPr="00DB31F5">
              <w:rPr>
                <w:rFonts w:ascii="Arial" w:hAnsi="Arial" w:cs="Arial"/>
                <w:b/>
                <w:color w:val="000000"/>
                <w:sz w:val="20"/>
              </w:rPr>
              <w:t>2009</w:t>
            </w:r>
          </w:p>
        </w:tc>
        <w:tc>
          <w:tcPr>
            <w:tcW w:w="1000" w:type="pct"/>
            <w:tcBorders>
              <w:top w:val="single" w:sz="18" w:space="0" w:color="auto"/>
              <w:bottom w:val="single" w:sz="18" w:space="0" w:color="auto"/>
            </w:tcBorders>
            <w:shd w:val="pct10" w:color="auto" w:fill="auto"/>
          </w:tcPr>
          <w:p w14:paraId="09CCF571" w14:textId="091D7EDB" w:rsidR="00926EE1" w:rsidRPr="00DB31F5" w:rsidRDefault="00926EE1" w:rsidP="00DB31F5">
            <w:pPr>
              <w:keepNext/>
              <w:jc w:val="center"/>
              <w:rPr>
                <w:rFonts w:ascii="Arial" w:hAnsi="Arial" w:cs="Arial"/>
                <w:b/>
                <w:color w:val="000000"/>
                <w:sz w:val="20"/>
              </w:rPr>
            </w:pPr>
            <w:r w:rsidRPr="00DB31F5">
              <w:rPr>
                <w:rFonts w:ascii="Arial" w:hAnsi="Arial" w:cs="Arial"/>
                <w:b/>
                <w:color w:val="000000"/>
                <w:sz w:val="20"/>
              </w:rPr>
              <w:t>2009</w:t>
            </w:r>
            <w:r w:rsidR="009D6EF3">
              <w:rPr>
                <w:rFonts w:ascii="Arial" w:hAnsi="Arial" w:cs="Arial"/>
                <w:b/>
                <w:color w:val="000000"/>
                <w:sz w:val="20"/>
              </w:rPr>
              <w:t>/</w:t>
            </w:r>
            <w:r w:rsidRPr="00DB31F5">
              <w:rPr>
                <w:rFonts w:ascii="Arial" w:hAnsi="Arial" w:cs="Arial"/>
                <w:b/>
                <w:color w:val="000000"/>
                <w:sz w:val="20"/>
              </w:rPr>
              <w:t>2010</w:t>
            </w:r>
          </w:p>
        </w:tc>
      </w:tr>
      <w:tr w:rsidR="00926EE1" w:rsidRPr="00DB31F5" w14:paraId="663DD487" w14:textId="77777777" w:rsidTr="00F00C4A">
        <w:tc>
          <w:tcPr>
            <w:tcW w:w="2001" w:type="pct"/>
            <w:tcBorders>
              <w:top w:val="single" w:sz="18" w:space="0" w:color="auto"/>
              <w:bottom w:val="single" w:sz="4" w:space="0" w:color="auto"/>
            </w:tcBorders>
          </w:tcPr>
          <w:p w14:paraId="279910E8" w14:textId="77777777" w:rsidR="00926EE1" w:rsidRPr="00DB31F5" w:rsidRDefault="00926EE1" w:rsidP="00DB31F5">
            <w:pPr>
              <w:keepNext/>
              <w:jc w:val="both"/>
              <w:rPr>
                <w:rFonts w:ascii="Arial" w:hAnsi="Arial" w:cs="Arial"/>
                <w:color w:val="000000"/>
                <w:sz w:val="20"/>
              </w:rPr>
            </w:pPr>
            <w:r w:rsidRPr="00DB31F5">
              <w:rPr>
                <w:rFonts w:ascii="Arial" w:hAnsi="Arial" w:cs="Arial"/>
                <w:color w:val="000000"/>
                <w:sz w:val="20"/>
              </w:rPr>
              <w:t>Police</w:t>
            </w:r>
          </w:p>
        </w:tc>
        <w:tc>
          <w:tcPr>
            <w:tcW w:w="1000" w:type="pct"/>
            <w:tcBorders>
              <w:top w:val="single" w:sz="18" w:space="0" w:color="auto"/>
              <w:bottom w:val="single" w:sz="4" w:space="0" w:color="auto"/>
            </w:tcBorders>
          </w:tcPr>
          <w:p w14:paraId="362A6C06" w14:textId="77777777" w:rsidR="00926EE1" w:rsidRPr="00DB31F5" w:rsidRDefault="009B3EF9" w:rsidP="00DB31F5">
            <w:pPr>
              <w:keepNext/>
              <w:jc w:val="center"/>
              <w:rPr>
                <w:rFonts w:ascii="Arial" w:hAnsi="Arial" w:cs="Arial"/>
                <w:color w:val="000000"/>
                <w:sz w:val="20"/>
              </w:rPr>
            </w:pPr>
            <w:r w:rsidRPr="00DB31F5">
              <w:rPr>
                <w:rFonts w:ascii="Arial" w:hAnsi="Arial" w:cs="Arial"/>
                <w:color w:val="000000"/>
                <w:sz w:val="20"/>
              </w:rPr>
              <w:t>24.7</w:t>
            </w:r>
          </w:p>
        </w:tc>
        <w:tc>
          <w:tcPr>
            <w:tcW w:w="1000" w:type="pct"/>
            <w:tcBorders>
              <w:top w:val="single" w:sz="18" w:space="0" w:color="auto"/>
              <w:bottom w:val="single" w:sz="4" w:space="0" w:color="auto"/>
            </w:tcBorders>
          </w:tcPr>
          <w:p w14:paraId="147EF08F" w14:textId="77777777" w:rsidR="00926EE1" w:rsidRPr="00DB31F5" w:rsidRDefault="00926EE1" w:rsidP="00DB31F5">
            <w:pPr>
              <w:keepNext/>
              <w:jc w:val="center"/>
              <w:rPr>
                <w:rFonts w:ascii="Arial" w:hAnsi="Arial" w:cs="Arial"/>
                <w:color w:val="000000"/>
                <w:sz w:val="20"/>
              </w:rPr>
            </w:pPr>
            <w:r w:rsidRPr="00DB31F5">
              <w:rPr>
                <w:rFonts w:ascii="Arial" w:hAnsi="Arial" w:cs="Arial"/>
                <w:color w:val="000000"/>
                <w:sz w:val="20"/>
              </w:rPr>
              <w:t>24.8</w:t>
            </w:r>
          </w:p>
        </w:tc>
        <w:tc>
          <w:tcPr>
            <w:tcW w:w="1000" w:type="pct"/>
            <w:tcBorders>
              <w:top w:val="single" w:sz="18" w:space="0" w:color="auto"/>
              <w:bottom w:val="single" w:sz="4" w:space="0" w:color="auto"/>
            </w:tcBorders>
          </w:tcPr>
          <w:p w14:paraId="64DF5146" w14:textId="77777777" w:rsidR="00926EE1" w:rsidRPr="00DB31F5" w:rsidRDefault="00926EE1" w:rsidP="00DB31F5">
            <w:pPr>
              <w:keepNext/>
              <w:jc w:val="center"/>
              <w:rPr>
                <w:rFonts w:ascii="Arial" w:hAnsi="Arial" w:cs="Arial"/>
                <w:color w:val="000000"/>
                <w:sz w:val="20"/>
              </w:rPr>
            </w:pPr>
            <w:r w:rsidRPr="00DB31F5">
              <w:rPr>
                <w:rFonts w:ascii="Arial" w:hAnsi="Arial" w:cs="Arial"/>
                <w:color w:val="000000"/>
                <w:sz w:val="20"/>
              </w:rPr>
              <w:t>31.0</w:t>
            </w:r>
          </w:p>
        </w:tc>
      </w:tr>
      <w:tr w:rsidR="00926EE1" w:rsidRPr="00DB31F5" w14:paraId="07D1BF3D" w14:textId="77777777" w:rsidTr="00F00C4A">
        <w:tc>
          <w:tcPr>
            <w:tcW w:w="2001" w:type="pct"/>
            <w:tcBorders>
              <w:top w:val="single" w:sz="4" w:space="0" w:color="auto"/>
            </w:tcBorders>
          </w:tcPr>
          <w:p w14:paraId="6D0F20AC" w14:textId="77777777" w:rsidR="00926EE1" w:rsidRPr="00DB31F5" w:rsidRDefault="00926EE1" w:rsidP="00DB31F5">
            <w:pPr>
              <w:keepNext/>
              <w:jc w:val="both"/>
              <w:rPr>
                <w:rFonts w:ascii="Arial" w:hAnsi="Arial" w:cs="Arial"/>
                <w:color w:val="000000"/>
                <w:sz w:val="20"/>
              </w:rPr>
            </w:pPr>
            <w:r w:rsidRPr="00DB31F5">
              <w:rPr>
                <w:rFonts w:ascii="Arial" w:hAnsi="Arial" w:cs="Arial"/>
                <w:color w:val="000000"/>
                <w:sz w:val="20"/>
              </w:rPr>
              <w:t>School personnel</w:t>
            </w:r>
          </w:p>
        </w:tc>
        <w:tc>
          <w:tcPr>
            <w:tcW w:w="1000" w:type="pct"/>
            <w:tcBorders>
              <w:top w:val="single" w:sz="4" w:space="0" w:color="auto"/>
            </w:tcBorders>
          </w:tcPr>
          <w:p w14:paraId="78655A52" w14:textId="77777777" w:rsidR="00926EE1" w:rsidRPr="00DB31F5" w:rsidRDefault="009B3EF9" w:rsidP="00DB31F5">
            <w:pPr>
              <w:keepNext/>
              <w:jc w:val="center"/>
              <w:rPr>
                <w:rFonts w:ascii="Arial" w:hAnsi="Arial" w:cs="Arial"/>
                <w:color w:val="000000"/>
                <w:sz w:val="20"/>
              </w:rPr>
            </w:pPr>
            <w:r w:rsidRPr="00DB31F5">
              <w:rPr>
                <w:rFonts w:ascii="Arial" w:hAnsi="Arial" w:cs="Arial"/>
                <w:color w:val="000000"/>
                <w:sz w:val="20"/>
              </w:rPr>
              <w:t>11.8</w:t>
            </w:r>
          </w:p>
        </w:tc>
        <w:tc>
          <w:tcPr>
            <w:tcW w:w="1000" w:type="pct"/>
            <w:tcBorders>
              <w:top w:val="single" w:sz="4" w:space="0" w:color="auto"/>
            </w:tcBorders>
          </w:tcPr>
          <w:p w14:paraId="6346F519" w14:textId="77777777" w:rsidR="00926EE1" w:rsidRPr="00DB31F5" w:rsidRDefault="00926EE1" w:rsidP="00DB31F5">
            <w:pPr>
              <w:keepNext/>
              <w:jc w:val="center"/>
              <w:rPr>
                <w:rFonts w:ascii="Arial" w:hAnsi="Arial" w:cs="Arial"/>
                <w:color w:val="000000"/>
                <w:sz w:val="20"/>
              </w:rPr>
            </w:pPr>
            <w:r w:rsidRPr="00DB31F5">
              <w:rPr>
                <w:rFonts w:ascii="Arial" w:hAnsi="Arial" w:cs="Arial"/>
                <w:color w:val="000000"/>
                <w:sz w:val="20"/>
              </w:rPr>
              <w:t>13.9</w:t>
            </w:r>
          </w:p>
        </w:tc>
        <w:tc>
          <w:tcPr>
            <w:tcW w:w="1000" w:type="pct"/>
            <w:tcBorders>
              <w:top w:val="single" w:sz="4" w:space="0" w:color="auto"/>
            </w:tcBorders>
          </w:tcPr>
          <w:p w14:paraId="34359CEB" w14:textId="77777777" w:rsidR="00926EE1" w:rsidRPr="00DB31F5" w:rsidRDefault="00926EE1" w:rsidP="00DB31F5">
            <w:pPr>
              <w:keepNext/>
              <w:jc w:val="center"/>
              <w:rPr>
                <w:rFonts w:ascii="Arial" w:hAnsi="Arial" w:cs="Arial"/>
                <w:color w:val="000000"/>
                <w:sz w:val="20"/>
              </w:rPr>
            </w:pPr>
            <w:r w:rsidRPr="00DB31F5">
              <w:rPr>
                <w:rFonts w:ascii="Arial" w:hAnsi="Arial" w:cs="Arial"/>
                <w:color w:val="000000"/>
                <w:sz w:val="20"/>
              </w:rPr>
              <w:t>13.3</w:t>
            </w:r>
          </w:p>
        </w:tc>
      </w:tr>
      <w:tr w:rsidR="00926EE1" w:rsidRPr="00DB31F5" w14:paraId="14F8D679" w14:textId="77777777" w:rsidTr="00F00C4A">
        <w:tc>
          <w:tcPr>
            <w:tcW w:w="2001" w:type="pct"/>
          </w:tcPr>
          <w:p w14:paraId="14A22ECD" w14:textId="77777777" w:rsidR="00926EE1" w:rsidRPr="00DB31F5" w:rsidRDefault="00926EE1" w:rsidP="00DB31F5">
            <w:pPr>
              <w:keepNext/>
              <w:jc w:val="both"/>
              <w:rPr>
                <w:rFonts w:ascii="Arial" w:hAnsi="Arial" w:cs="Arial"/>
                <w:color w:val="000000"/>
                <w:sz w:val="20"/>
              </w:rPr>
            </w:pPr>
            <w:r w:rsidRPr="00DB31F5">
              <w:rPr>
                <w:rFonts w:ascii="Arial" w:hAnsi="Arial" w:cs="Arial"/>
                <w:color w:val="000000"/>
                <w:sz w:val="20"/>
              </w:rPr>
              <w:t>Hospital/health centre</w:t>
            </w:r>
          </w:p>
        </w:tc>
        <w:tc>
          <w:tcPr>
            <w:tcW w:w="1000" w:type="pct"/>
          </w:tcPr>
          <w:p w14:paraId="2CEA2552" w14:textId="77777777" w:rsidR="00926EE1" w:rsidRPr="00DB31F5" w:rsidRDefault="009B3EF9" w:rsidP="00DB31F5">
            <w:pPr>
              <w:keepNext/>
              <w:jc w:val="center"/>
              <w:rPr>
                <w:rFonts w:ascii="Arial" w:hAnsi="Arial" w:cs="Arial"/>
                <w:color w:val="000000"/>
                <w:sz w:val="20"/>
              </w:rPr>
            </w:pPr>
            <w:r w:rsidRPr="00DB31F5">
              <w:rPr>
                <w:rFonts w:ascii="Arial" w:hAnsi="Arial" w:cs="Arial"/>
                <w:color w:val="000000"/>
                <w:sz w:val="20"/>
              </w:rPr>
              <w:t>7.8</w:t>
            </w:r>
          </w:p>
        </w:tc>
        <w:tc>
          <w:tcPr>
            <w:tcW w:w="1000" w:type="pct"/>
          </w:tcPr>
          <w:p w14:paraId="2DA69322" w14:textId="77777777" w:rsidR="00926EE1" w:rsidRPr="00DB31F5" w:rsidRDefault="00926EE1" w:rsidP="00DB31F5">
            <w:pPr>
              <w:keepNext/>
              <w:jc w:val="center"/>
              <w:rPr>
                <w:rFonts w:ascii="Arial" w:hAnsi="Arial" w:cs="Arial"/>
                <w:color w:val="000000"/>
                <w:sz w:val="20"/>
              </w:rPr>
            </w:pPr>
            <w:r w:rsidRPr="00DB31F5">
              <w:rPr>
                <w:rFonts w:ascii="Arial" w:hAnsi="Arial" w:cs="Arial"/>
                <w:color w:val="000000"/>
                <w:sz w:val="20"/>
              </w:rPr>
              <w:t>6.9</w:t>
            </w:r>
          </w:p>
        </w:tc>
        <w:tc>
          <w:tcPr>
            <w:tcW w:w="1000" w:type="pct"/>
          </w:tcPr>
          <w:p w14:paraId="6A6738BF" w14:textId="77777777" w:rsidR="00926EE1" w:rsidRPr="00DB31F5" w:rsidRDefault="00926EE1" w:rsidP="00DB31F5">
            <w:pPr>
              <w:keepNext/>
              <w:jc w:val="center"/>
              <w:rPr>
                <w:rFonts w:ascii="Arial" w:hAnsi="Arial" w:cs="Arial"/>
                <w:color w:val="000000"/>
                <w:sz w:val="20"/>
              </w:rPr>
            </w:pPr>
            <w:r w:rsidRPr="00DB31F5">
              <w:rPr>
                <w:rFonts w:ascii="Arial" w:hAnsi="Arial" w:cs="Arial"/>
                <w:color w:val="000000"/>
                <w:sz w:val="20"/>
              </w:rPr>
              <w:t>6.1</w:t>
            </w:r>
          </w:p>
        </w:tc>
      </w:tr>
      <w:tr w:rsidR="00926EE1" w:rsidRPr="00DB31F5" w14:paraId="3CBE8B27" w14:textId="77777777" w:rsidTr="00F00C4A">
        <w:tc>
          <w:tcPr>
            <w:tcW w:w="2001" w:type="pct"/>
          </w:tcPr>
          <w:p w14:paraId="2948A6B1"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Parent/guardian</w:t>
            </w:r>
          </w:p>
        </w:tc>
        <w:tc>
          <w:tcPr>
            <w:tcW w:w="1000" w:type="pct"/>
          </w:tcPr>
          <w:p w14:paraId="632F99C2"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7.2</w:t>
            </w:r>
          </w:p>
        </w:tc>
        <w:tc>
          <w:tcPr>
            <w:tcW w:w="1000" w:type="pct"/>
          </w:tcPr>
          <w:p w14:paraId="342A8FED"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6.4</w:t>
            </w:r>
          </w:p>
        </w:tc>
        <w:tc>
          <w:tcPr>
            <w:tcW w:w="1000" w:type="pct"/>
          </w:tcPr>
          <w:p w14:paraId="5FE058E1"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6.2</w:t>
            </w:r>
          </w:p>
        </w:tc>
      </w:tr>
      <w:tr w:rsidR="00926EE1" w:rsidRPr="00DB31F5" w14:paraId="6A5253FC" w14:textId="77777777" w:rsidTr="00F00C4A">
        <w:tc>
          <w:tcPr>
            <w:tcW w:w="2001" w:type="pct"/>
          </w:tcPr>
          <w:p w14:paraId="74ED21B8"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Non-government organization</w:t>
            </w:r>
          </w:p>
        </w:tc>
        <w:tc>
          <w:tcPr>
            <w:tcW w:w="1000" w:type="pct"/>
          </w:tcPr>
          <w:p w14:paraId="483385C8"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10.6</w:t>
            </w:r>
          </w:p>
        </w:tc>
        <w:tc>
          <w:tcPr>
            <w:tcW w:w="1000" w:type="pct"/>
          </w:tcPr>
          <w:p w14:paraId="7BA01FE5"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9.4</w:t>
            </w:r>
          </w:p>
        </w:tc>
        <w:tc>
          <w:tcPr>
            <w:tcW w:w="1000" w:type="pct"/>
          </w:tcPr>
          <w:p w14:paraId="48F49704"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8.9</w:t>
            </w:r>
          </w:p>
        </w:tc>
      </w:tr>
      <w:tr w:rsidR="00926EE1" w:rsidRPr="00DB31F5" w14:paraId="6BA9CB37" w14:textId="77777777" w:rsidTr="00F00C4A">
        <w:tc>
          <w:tcPr>
            <w:tcW w:w="2001" w:type="pct"/>
          </w:tcPr>
          <w:p w14:paraId="736CDB16"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Sibling/other relative</w:t>
            </w:r>
          </w:p>
        </w:tc>
        <w:tc>
          <w:tcPr>
            <w:tcW w:w="1000" w:type="pct"/>
          </w:tcPr>
          <w:p w14:paraId="321DD474"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8.3</w:t>
            </w:r>
          </w:p>
        </w:tc>
        <w:tc>
          <w:tcPr>
            <w:tcW w:w="1000" w:type="pct"/>
          </w:tcPr>
          <w:p w14:paraId="3D6C2A8D"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7.3</w:t>
            </w:r>
          </w:p>
        </w:tc>
        <w:tc>
          <w:tcPr>
            <w:tcW w:w="1000" w:type="pct"/>
          </w:tcPr>
          <w:p w14:paraId="79A936D7"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6.6</w:t>
            </w:r>
          </w:p>
        </w:tc>
      </w:tr>
      <w:tr w:rsidR="00926EE1" w:rsidRPr="00DB31F5" w14:paraId="18C32366" w14:textId="77777777" w:rsidTr="00F00C4A">
        <w:tc>
          <w:tcPr>
            <w:tcW w:w="2001" w:type="pct"/>
          </w:tcPr>
          <w:p w14:paraId="6BE5F995"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Anonymous</w:t>
            </w:r>
          </w:p>
        </w:tc>
        <w:tc>
          <w:tcPr>
            <w:tcW w:w="1000" w:type="pct"/>
          </w:tcPr>
          <w:p w14:paraId="70A4CC07"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0.0</w:t>
            </w:r>
          </w:p>
        </w:tc>
        <w:tc>
          <w:tcPr>
            <w:tcW w:w="1000" w:type="pct"/>
          </w:tcPr>
          <w:p w14:paraId="7D340EF7"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0.0</w:t>
            </w:r>
          </w:p>
        </w:tc>
        <w:tc>
          <w:tcPr>
            <w:tcW w:w="1000" w:type="pct"/>
          </w:tcPr>
          <w:p w14:paraId="512F259F"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0.0</w:t>
            </w:r>
          </w:p>
        </w:tc>
      </w:tr>
      <w:tr w:rsidR="00926EE1" w:rsidRPr="00DB31F5" w14:paraId="14B51B97" w14:textId="77777777" w:rsidTr="00F00C4A">
        <w:tc>
          <w:tcPr>
            <w:tcW w:w="2001" w:type="pct"/>
          </w:tcPr>
          <w:p w14:paraId="1131C358"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Friend/neighbour</w:t>
            </w:r>
          </w:p>
        </w:tc>
        <w:tc>
          <w:tcPr>
            <w:tcW w:w="1000" w:type="pct"/>
          </w:tcPr>
          <w:p w14:paraId="3D1FBECA"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6.1</w:t>
            </w:r>
          </w:p>
        </w:tc>
        <w:tc>
          <w:tcPr>
            <w:tcW w:w="1000" w:type="pct"/>
          </w:tcPr>
          <w:p w14:paraId="05E73197"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5.5</w:t>
            </w:r>
          </w:p>
        </w:tc>
        <w:tc>
          <w:tcPr>
            <w:tcW w:w="1000" w:type="pct"/>
          </w:tcPr>
          <w:p w14:paraId="1166180B"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4.7</w:t>
            </w:r>
          </w:p>
        </w:tc>
      </w:tr>
      <w:tr w:rsidR="00926EE1" w:rsidRPr="00DB31F5" w14:paraId="4C6FBEB1" w14:textId="77777777" w:rsidTr="00F00C4A">
        <w:tc>
          <w:tcPr>
            <w:tcW w:w="2001" w:type="pct"/>
          </w:tcPr>
          <w:p w14:paraId="02F02F2D"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Social worker</w:t>
            </w:r>
          </w:p>
        </w:tc>
        <w:tc>
          <w:tcPr>
            <w:tcW w:w="1000" w:type="pct"/>
          </w:tcPr>
          <w:p w14:paraId="534E711E"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0.2</w:t>
            </w:r>
          </w:p>
        </w:tc>
        <w:tc>
          <w:tcPr>
            <w:tcW w:w="1000" w:type="pct"/>
          </w:tcPr>
          <w:p w14:paraId="03566658"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0.4</w:t>
            </w:r>
          </w:p>
        </w:tc>
        <w:tc>
          <w:tcPr>
            <w:tcW w:w="1000" w:type="pct"/>
          </w:tcPr>
          <w:p w14:paraId="24A0EB4D"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0.2</w:t>
            </w:r>
          </w:p>
        </w:tc>
      </w:tr>
      <w:tr w:rsidR="00926EE1" w:rsidRPr="00DB31F5" w14:paraId="3BD8837F" w14:textId="77777777" w:rsidTr="00F00C4A">
        <w:tc>
          <w:tcPr>
            <w:tcW w:w="2001" w:type="pct"/>
          </w:tcPr>
          <w:p w14:paraId="75F35E58"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Medical practitioner</w:t>
            </w:r>
          </w:p>
        </w:tc>
        <w:tc>
          <w:tcPr>
            <w:tcW w:w="1000" w:type="pct"/>
          </w:tcPr>
          <w:p w14:paraId="14775234"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3.2</w:t>
            </w:r>
          </w:p>
        </w:tc>
        <w:tc>
          <w:tcPr>
            <w:tcW w:w="1000" w:type="pct"/>
          </w:tcPr>
          <w:p w14:paraId="40994EA9"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3.5</w:t>
            </w:r>
          </w:p>
        </w:tc>
        <w:tc>
          <w:tcPr>
            <w:tcW w:w="1000" w:type="pct"/>
          </w:tcPr>
          <w:p w14:paraId="546B84F5"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3.4</w:t>
            </w:r>
          </w:p>
        </w:tc>
      </w:tr>
      <w:tr w:rsidR="00926EE1" w:rsidRPr="00DB31F5" w14:paraId="4043468C" w14:textId="77777777" w:rsidTr="00F00C4A">
        <w:tc>
          <w:tcPr>
            <w:tcW w:w="2001" w:type="pct"/>
          </w:tcPr>
          <w:p w14:paraId="7C396677"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Departmental officer</w:t>
            </w:r>
          </w:p>
        </w:tc>
        <w:tc>
          <w:tcPr>
            <w:tcW w:w="1000" w:type="pct"/>
          </w:tcPr>
          <w:p w14:paraId="411CE070"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0.1</w:t>
            </w:r>
          </w:p>
        </w:tc>
        <w:tc>
          <w:tcPr>
            <w:tcW w:w="1000" w:type="pct"/>
          </w:tcPr>
          <w:p w14:paraId="0BDAF03F"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0.3</w:t>
            </w:r>
          </w:p>
        </w:tc>
        <w:tc>
          <w:tcPr>
            <w:tcW w:w="1000" w:type="pct"/>
          </w:tcPr>
          <w:p w14:paraId="693F6645"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0.2</w:t>
            </w:r>
          </w:p>
        </w:tc>
      </w:tr>
      <w:tr w:rsidR="00926EE1" w:rsidRPr="00DB31F5" w14:paraId="2E84A423" w14:textId="77777777" w:rsidTr="00F00C4A">
        <w:tc>
          <w:tcPr>
            <w:tcW w:w="2001" w:type="pct"/>
          </w:tcPr>
          <w:p w14:paraId="6FF64EC2"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Other health personnel</w:t>
            </w:r>
          </w:p>
        </w:tc>
        <w:tc>
          <w:tcPr>
            <w:tcW w:w="1000" w:type="pct"/>
          </w:tcPr>
          <w:p w14:paraId="573869E0"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6.4</w:t>
            </w:r>
          </w:p>
        </w:tc>
        <w:tc>
          <w:tcPr>
            <w:tcW w:w="1000" w:type="pct"/>
          </w:tcPr>
          <w:p w14:paraId="2A42AAE4"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6.9</w:t>
            </w:r>
          </w:p>
        </w:tc>
        <w:tc>
          <w:tcPr>
            <w:tcW w:w="1000" w:type="pct"/>
          </w:tcPr>
          <w:p w14:paraId="5AA2B19C"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6.0</w:t>
            </w:r>
          </w:p>
        </w:tc>
      </w:tr>
      <w:tr w:rsidR="00926EE1" w:rsidRPr="00DB31F5" w14:paraId="2833738B" w14:textId="77777777" w:rsidTr="00F00C4A">
        <w:tc>
          <w:tcPr>
            <w:tcW w:w="2001" w:type="pct"/>
          </w:tcPr>
          <w:p w14:paraId="31998CDC"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Childcare personnel</w:t>
            </w:r>
          </w:p>
        </w:tc>
        <w:tc>
          <w:tcPr>
            <w:tcW w:w="1000" w:type="pct"/>
          </w:tcPr>
          <w:p w14:paraId="6ABDABF6"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0.0</w:t>
            </w:r>
          </w:p>
        </w:tc>
        <w:tc>
          <w:tcPr>
            <w:tcW w:w="1000" w:type="pct"/>
          </w:tcPr>
          <w:p w14:paraId="097AE69F"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0.0</w:t>
            </w:r>
          </w:p>
        </w:tc>
        <w:tc>
          <w:tcPr>
            <w:tcW w:w="1000" w:type="pct"/>
          </w:tcPr>
          <w:p w14:paraId="4AEE049A"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0.0</w:t>
            </w:r>
          </w:p>
        </w:tc>
      </w:tr>
      <w:tr w:rsidR="00926EE1" w:rsidRPr="00DB31F5" w14:paraId="570708E9" w14:textId="77777777" w:rsidTr="00F00C4A">
        <w:tc>
          <w:tcPr>
            <w:tcW w:w="2001" w:type="pct"/>
            <w:tcBorders>
              <w:bottom w:val="single" w:sz="4" w:space="0" w:color="auto"/>
            </w:tcBorders>
          </w:tcPr>
          <w:p w14:paraId="58E46F0A"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Subject child</w:t>
            </w:r>
          </w:p>
        </w:tc>
        <w:tc>
          <w:tcPr>
            <w:tcW w:w="1000" w:type="pct"/>
            <w:tcBorders>
              <w:bottom w:val="single" w:sz="4" w:space="0" w:color="auto"/>
            </w:tcBorders>
          </w:tcPr>
          <w:p w14:paraId="4E84C0C7"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0.0</w:t>
            </w:r>
          </w:p>
        </w:tc>
        <w:tc>
          <w:tcPr>
            <w:tcW w:w="1000" w:type="pct"/>
            <w:tcBorders>
              <w:bottom w:val="single" w:sz="4" w:space="0" w:color="auto"/>
            </w:tcBorders>
          </w:tcPr>
          <w:p w14:paraId="55E46C95"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0.0</w:t>
            </w:r>
          </w:p>
        </w:tc>
        <w:tc>
          <w:tcPr>
            <w:tcW w:w="1000" w:type="pct"/>
            <w:tcBorders>
              <w:bottom w:val="single" w:sz="4" w:space="0" w:color="auto"/>
            </w:tcBorders>
          </w:tcPr>
          <w:p w14:paraId="37266540"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0.0</w:t>
            </w:r>
          </w:p>
        </w:tc>
      </w:tr>
      <w:tr w:rsidR="00926EE1" w:rsidRPr="00DB31F5" w14:paraId="286997CF" w14:textId="77777777" w:rsidTr="00F00C4A">
        <w:tc>
          <w:tcPr>
            <w:tcW w:w="2001" w:type="pct"/>
            <w:tcBorders>
              <w:top w:val="single" w:sz="4" w:space="0" w:color="auto"/>
              <w:bottom w:val="single" w:sz="18" w:space="0" w:color="auto"/>
            </w:tcBorders>
          </w:tcPr>
          <w:p w14:paraId="43EDC97B" w14:textId="77777777" w:rsidR="00926EE1" w:rsidRPr="00DB31F5" w:rsidRDefault="00926EE1" w:rsidP="00DB31F5">
            <w:pPr>
              <w:jc w:val="both"/>
              <w:rPr>
                <w:rFonts w:ascii="Arial" w:hAnsi="Arial" w:cs="Arial"/>
                <w:color w:val="000000"/>
                <w:sz w:val="20"/>
              </w:rPr>
            </w:pPr>
            <w:r w:rsidRPr="00DB31F5">
              <w:rPr>
                <w:rFonts w:ascii="Arial" w:hAnsi="Arial" w:cs="Arial"/>
                <w:color w:val="000000"/>
                <w:sz w:val="20"/>
              </w:rPr>
              <w:t>Other</w:t>
            </w:r>
          </w:p>
        </w:tc>
        <w:tc>
          <w:tcPr>
            <w:tcW w:w="1000" w:type="pct"/>
            <w:tcBorders>
              <w:top w:val="single" w:sz="4" w:space="0" w:color="auto"/>
              <w:bottom w:val="single" w:sz="18" w:space="0" w:color="auto"/>
            </w:tcBorders>
          </w:tcPr>
          <w:p w14:paraId="145750AC" w14:textId="77777777" w:rsidR="00926EE1" w:rsidRPr="00DB31F5" w:rsidRDefault="009B3EF9" w:rsidP="00DB31F5">
            <w:pPr>
              <w:jc w:val="center"/>
              <w:rPr>
                <w:rFonts w:ascii="Arial" w:hAnsi="Arial" w:cs="Arial"/>
                <w:color w:val="000000"/>
                <w:sz w:val="20"/>
              </w:rPr>
            </w:pPr>
            <w:r w:rsidRPr="00DB31F5">
              <w:rPr>
                <w:rFonts w:ascii="Arial" w:hAnsi="Arial" w:cs="Arial"/>
                <w:color w:val="000000"/>
                <w:sz w:val="20"/>
              </w:rPr>
              <w:t>13.6</w:t>
            </w:r>
          </w:p>
        </w:tc>
        <w:tc>
          <w:tcPr>
            <w:tcW w:w="1000" w:type="pct"/>
            <w:tcBorders>
              <w:top w:val="single" w:sz="4" w:space="0" w:color="auto"/>
              <w:bottom w:val="single" w:sz="18" w:space="0" w:color="auto"/>
            </w:tcBorders>
          </w:tcPr>
          <w:p w14:paraId="74BE99EB"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14.6</w:t>
            </w:r>
          </w:p>
        </w:tc>
        <w:tc>
          <w:tcPr>
            <w:tcW w:w="1000" w:type="pct"/>
            <w:tcBorders>
              <w:top w:val="single" w:sz="4" w:space="0" w:color="auto"/>
              <w:bottom w:val="single" w:sz="18" w:space="0" w:color="auto"/>
            </w:tcBorders>
          </w:tcPr>
          <w:p w14:paraId="4F23B87E" w14:textId="77777777" w:rsidR="00926EE1" w:rsidRPr="00DB31F5" w:rsidRDefault="00926EE1" w:rsidP="00DB31F5">
            <w:pPr>
              <w:jc w:val="center"/>
              <w:rPr>
                <w:rFonts w:ascii="Arial" w:hAnsi="Arial" w:cs="Arial"/>
                <w:color w:val="000000"/>
                <w:sz w:val="20"/>
              </w:rPr>
            </w:pPr>
            <w:r w:rsidRPr="00DB31F5">
              <w:rPr>
                <w:rFonts w:ascii="Arial" w:hAnsi="Arial" w:cs="Arial"/>
                <w:color w:val="000000"/>
                <w:sz w:val="20"/>
              </w:rPr>
              <w:t>13.5</w:t>
            </w:r>
          </w:p>
        </w:tc>
      </w:tr>
      <w:tr w:rsidR="00926EE1" w:rsidRPr="00DB31F5" w14:paraId="45DBF601" w14:textId="77777777" w:rsidTr="00F00C4A">
        <w:tc>
          <w:tcPr>
            <w:tcW w:w="2001" w:type="pct"/>
            <w:tcBorders>
              <w:top w:val="single" w:sz="18" w:space="0" w:color="auto"/>
              <w:bottom w:val="single" w:sz="18" w:space="0" w:color="auto"/>
            </w:tcBorders>
          </w:tcPr>
          <w:p w14:paraId="75F1B876" w14:textId="77777777" w:rsidR="00926EE1" w:rsidRPr="00DB31F5" w:rsidRDefault="00926EE1" w:rsidP="00DB31F5">
            <w:pPr>
              <w:jc w:val="center"/>
              <w:rPr>
                <w:rFonts w:ascii="Arial" w:hAnsi="Arial" w:cs="Arial"/>
                <w:b/>
                <w:color w:val="000000"/>
                <w:sz w:val="20"/>
              </w:rPr>
            </w:pPr>
            <w:r w:rsidRPr="00DB31F5">
              <w:rPr>
                <w:rFonts w:ascii="Arial" w:hAnsi="Arial" w:cs="Arial"/>
                <w:b/>
                <w:color w:val="000000"/>
                <w:sz w:val="20"/>
              </w:rPr>
              <w:t>TOTAL</w:t>
            </w:r>
          </w:p>
        </w:tc>
        <w:tc>
          <w:tcPr>
            <w:tcW w:w="1000" w:type="pct"/>
            <w:tcBorders>
              <w:top w:val="single" w:sz="18" w:space="0" w:color="auto"/>
              <w:bottom w:val="single" w:sz="18" w:space="0" w:color="auto"/>
            </w:tcBorders>
          </w:tcPr>
          <w:p w14:paraId="553E8605" w14:textId="77777777" w:rsidR="00926EE1" w:rsidRPr="00DB31F5" w:rsidRDefault="00926EE1" w:rsidP="00DB31F5">
            <w:pPr>
              <w:jc w:val="center"/>
              <w:rPr>
                <w:rFonts w:ascii="Arial" w:hAnsi="Arial" w:cs="Arial"/>
                <w:color w:val="000000"/>
                <w:sz w:val="20"/>
              </w:rPr>
            </w:pPr>
            <w:r w:rsidRPr="00DB31F5">
              <w:rPr>
                <w:rFonts w:ascii="Arial" w:hAnsi="Arial" w:cs="Arial"/>
                <w:b/>
                <w:color w:val="000000"/>
                <w:sz w:val="20"/>
              </w:rPr>
              <w:t>100.0%</w:t>
            </w:r>
          </w:p>
        </w:tc>
        <w:tc>
          <w:tcPr>
            <w:tcW w:w="1000" w:type="pct"/>
            <w:tcBorders>
              <w:top w:val="single" w:sz="18" w:space="0" w:color="auto"/>
              <w:bottom w:val="single" w:sz="18" w:space="0" w:color="auto"/>
            </w:tcBorders>
          </w:tcPr>
          <w:p w14:paraId="5AA85118" w14:textId="77777777" w:rsidR="00926EE1" w:rsidRPr="00DB31F5" w:rsidRDefault="00926EE1" w:rsidP="00DB31F5">
            <w:pPr>
              <w:jc w:val="center"/>
              <w:rPr>
                <w:rFonts w:ascii="Arial" w:hAnsi="Arial" w:cs="Arial"/>
                <w:b/>
                <w:color w:val="000000"/>
                <w:sz w:val="20"/>
              </w:rPr>
            </w:pPr>
            <w:r w:rsidRPr="00DB31F5">
              <w:rPr>
                <w:rFonts w:ascii="Arial" w:hAnsi="Arial" w:cs="Arial"/>
                <w:b/>
                <w:color w:val="000000"/>
                <w:sz w:val="20"/>
              </w:rPr>
              <w:t>100%</w:t>
            </w:r>
          </w:p>
        </w:tc>
        <w:tc>
          <w:tcPr>
            <w:tcW w:w="1000" w:type="pct"/>
            <w:tcBorders>
              <w:top w:val="single" w:sz="18" w:space="0" w:color="auto"/>
              <w:bottom w:val="single" w:sz="18" w:space="0" w:color="auto"/>
            </w:tcBorders>
          </w:tcPr>
          <w:p w14:paraId="063BF969" w14:textId="77777777" w:rsidR="00926EE1" w:rsidRPr="00DB31F5" w:rsidRDefault="00926EE1" w:rsidP="00DB31F5">
            <w:pPr>
              <w:jc w:val="center"/>
              <w:rPr>
                <w:rFonts w:ascii="Arial" w:hAnsi="Arial" w:cs="Arial"/>
                <w:b/>
                <w:color w:val="000000"/>
                <w:sz w:val="20"/>
              </w:rPr>
            </w:pPr>
            <w:r w:rsidRPr="00DB31F5">
              <w:rPr>
                <w:rFonts w:ascii="Arial" w:hAnsi="Arial" w:cs="Arial"/>
                <w:b/>
                <w:color w:val="000000"/>
                <w:sz w:val="20"/>
              </w:rPr>
              <w:t>100.0%</w:t>
            </w:r>
          </w:p>
        </w:tc>
      </w:tr>
    </w:tbl>
    <w:p w14:paraId="1FB52181" w14:textId="77777777" w:rsidR="00F00C4A" w:rsidRDefault="00F00C4A" w:rsidP="008826E7">
      <w:pPr>
        <w:jc w:val="both"/>
        <w:rPr>
          <w:rFonts w:ascii="Arial" w:hAnsi="Arial" w:cs="Arial"/>
          <w:color w:val="000000"/>
          <w:sz w:val="20"/>
        </w:rPr>
      </w:pPr>
    </w:p>
    <w:p w14:paraId="3A48824E" w14:textId="2E8475C3" w:rsidR="00385B99" w:rsidRPr="00785E1A" w:rsidRDefault="00385B99" w:rsidP="00137C50">
      <w:pPr>
        <w:spacing w:after="120"/>
        <w:jc w:val="both"/>
        <w:rPr>
          <w:rFonts w:ascii="Arial" w:hAnsi="Arial" w:cs="Arial"/>
          <w:color w:val="000000"/>
          <w:sz w:val="20"/>
        </w:rPr>
      </w:pPr>
      <w:r w:rsidRPr="00785E1A">
        <w:rPr>
          <w:rFonts w:ascii="Arial" w:hAnsi="Arial" w:cs="Arial"/>
          <w:color w:val="000000"/>
          <w:sz w:val="20"/>
        </w:rPr>
        <w:t xml:space="preserve">The following snapshots </w:t>
      </w:r>
      <w:r w:rsidR="00137C50" w:rsidRPr="00785E1A">
        <w:rPr>
          <w:rFonts w:ascii="Arial" w:hAnsi="Arial" w:cs="Arial"/>
          <w:color w:val="000000"/>
          <w:sz w:val="20"/>
        </w:rPr>
        <w:t xml:space="preserve">show that </w:t>
      </w:r>
      <w:r w:rsidR="00E15E58">
        <w:rPr>
          <w:rFonts w:ascii="Arial" w:hAnsi="Arial" w:cs="Arial"/>
          <w:color w:val="000000"/>
          <w:sz w:val="20"/>
        </w:rPr>
        <w:t xml:space="preserve">the number of Victorian child protection reports continue to grow year after year and </w:t>
      </w:r>
      <w:r w:rsidR="009D6EF3">
        <w:rPr>
          <w:rFonts w:ascii="Arial" w:hAnsi="Arial" w:cs="Arial"/>
          <w:color w:val="000000"/>
          <w:sz w:val="20"/>
        </w:rPr>
        <w:t xml:space="preserve">of the </w:t>
      </w:r>
      <w:r w:rsidR="00137C50" w:rsidRPr="00785E1A">
        <w:rPr>
          <w:rFonts w:ascii="Arial" w:hAnsi="Arial" w:cs="Arial"/>
          <w:color w:val="000000"/>
          <w:sz w:val="20"/>
        </w:rPr>
        <w:t xml:space="preserve">Victorian child protection reports investigated by </w:t>
      </w:r>
      <w:r w:rsidR="00785D2D">
        <w:rPr>
          <w:rFonts w:ascii="Arial" w:hAnsi="Arial" w:cs="Arial"/>
          <w:color w:val="000000"/>
          <w:sz w:val="20"/>
        </w:rPr>
        <w:t>DFFH</w:t>
      </w:r>
      <w:r w:rsidR="00A309B2">
        <w:rPr>
          <w:rFonts w:ascii="Arial" w:hAnsi="Arial" w:cs="Arial"/>
          <w:color w:val="000000"/>
          <w:sz w:val="20"/>
        </w:rPr>
        <w:t xml:space="preserve"> </w:t>
      </w:r>
      <w:r w:rsidR="00842179" w:rsidRPr="00785E1A">
        <w:rPr>
          <w:rFonts w:ascii="Arial" w:hAnsi="Arial" w:cs="Arial"/>
          <w:color w:val="000000"/>
          <w:sz w:val="20"/>
        </w:rPr>
        <w:t xml:space="preserve">between a half and two thirds </w:t>
      </w:r>
      <w:r w:rsidR="009D6EF3">
        <w:rPr>
          <w:rFonts w:ascii="Arial" w:hAnsi="Arial" w:cs="Arial"/>
          <w:color w:val="000000"/>
          <w:sz w:val="20"/>
        </w:rPr>
        <w:t>we</w:t>
      </w:r>
      <w:r w:rsidR="00137C50" w:rsidRPr="00785E1A">
        <w:rPr>
          <w:rFonts w:ascii="Arial" w:hAnsi="Arial" w:cs="Arial"/>
          <w:color w:val="000000"/>
          <w:sz w:val="20"/>
        </w:rPr>
        <w:t>re substantiated</w:t>
      </w:r>
      <w:r w:rsidR="009D6EF3">
        <w:rPr>
          <w:rFonts w:ascii="Arial" w:hAnsi="Arial" w:cs="Arial"/>
          <w:color w:val="000000"/>
          <w:sz w:val="20"/>
        </w:rPr>
        <w:t xml:space="preserve"> in the relevant years.</w:t>
      </w:r>
    </w:p>
    <w:tbl>
      <w:tblPr>
        <w:tblW w:w="827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559"/>
        <w:gridCol w:w="1559"/>
        <w:gridCol w:w="1694"/>
        <w:gridCol w:w="1906"/>
        <w:gridCol w:w="1560"/>
      </w:tblGrid>
      <w:tr w:rsidR="008358C0" w:rsidRPr="008358C0" w14:paraId="61253B39" w14:textId="77777777" w:rsidTr="008358C0">
        <w:tc>
          <w:tcPr>
            <w:tcW w:w="5000" w:type="pct"/>
            <w:gridSpan w:val="5"/>
            <w:tcBorders>
              <w:top w:val="single" w:sz="12" w:space="0" w:color="auto"/>
              <w:left w:val="single" w:sz="12" w:space="0" w:color="auto"/>
              <w:bottom w:val="single" w:sz="4" w:space="0" w:color="auto"/>
            </w:tcBorders>
            <w:shd w:val="clear" w:color="auto" w:fill="000000" w:themeFill="text1"/>
          </w:tcPr>
          <w:p w14:paraId="0ABBC946" w14:textId="77777777" w:rsidR="00E42774" w:rsidRPr="008358C0" w:rsidRDefault="00E42774" w:rsidP="00193618">
            <w:pPr>
              <w:keepNext/>
              <w:jc w:val="center"/>
              <w:rPr>
                <w:rFonts w:ascii="Arial" w:hAnsi="Arial" w:cs="Arial"/>
                <w:b/>
                <w:color w:val="FFFFFF" w:themeColor="background1"/>
                <w:sz w:val="28"/>
                <w:szCs w:val="36"/>
              </w:rPr>
            </w:pPr>
            <w:r w:rsidRPr="008358C0">
              <w:rPr>
                <w:rFonts w:ascii="Arial" w:hAnsi="Arial" w:cs="Arial"/>
                <w:b/>
                <w:color w:val="FFFFFF" w:themeColor="background1"/>
                <w:sz w:val="28"/>
                <w:szCs w:val="36"/>
              </w:rPr>
              <w:t>VICTORIAN NOTIFICATIONS/REPORTS</w:t>
            </w:r>
          </w:p>
        </w:tc>
      </w:tr>
      <w:tr w:rsidR="00E42774" w:rsidRPr="00785E1A" w14:paraId="688B16DE" w14:textId="77777777" w:rsidTr="008358C0">
        <w:trPr>
          <w:trHeight w:val="600"/>
        </w:trPr>
        <w:tc>
          <w:tcPr>
            <w:tcW w:w="942" w:type="pct"/>
            <w:tcBorders>
              <w:top w:val="single" w:sz="12" w:space="0" w:color="auto"/>
              <w:left w:val="single" w:sz="12" w:space="0" w:color="auto"/>
            </w:tcBorders>
            <w:shd w:val="pct10" w:color="auto" w:fill="auto"/>
          </w:tcPr>
          <w:p w14:paraId="6C5DEDC5" w14:textId="77777777" w:rsidR="00E42774" w:rsidRPr="00785E1A" w:rsidRDefault="00E42774" w:rsidP="00193618">
            <w:pPr>
              <w:keepNext/>
              <w:spacing w:before="120"/>
              <w:jc w:val="center"/>
              <w:rPr>
                <w:rFonts w:ascii="Arial" w:hAnsi="Arial" w:cs="Arial"/>
                <w:b/>
                <w:color w:val="000000"/>
                <w:sz w:val="20"/>
              </w:rPr>
            </w:pPr>
            <w:r w:rsidRPr="00785E1A">
              <w:rPr>
                <w:rFonts w:ascii="Arial" w:hAnsi="Arial" w:cs="Arial"/>
                <w:b/>
                <w:color w:val="000000"/>
                <w:sz w:val="20"/>
              </w:rPr>
              <w:t>YEAR</w:t>
            </w:r>
          </w:p>
        </w:tc>
        <w:tc>
          <w:tcPr>
            <w:tcW w:w="942" w:type="pct"/>
            <w:tcBorders>
              <w:top w:val="single" w:sz="12" w:space="0" w:color="auto"/>
              <w:left w:val="single" w:sz="12" w:space="0" w:color="auto"/>
            </w:tcBorders>
            <w:shd w:val="pct10" w:color="auto" w:fill="auto"/>
          </w:tcPr>
          <w:p w14:paraId="6A778644" w14:textId="77777777" w:rsidR="00E42774" w:rsidRPr="00785E1A" w:rsidRDefault="00E42774" w:rsidP="00193618">
            <w:pPr>
              <w:keepNext/>
              <w:spacing w:before="120"/>
              <w:jc w:val="center"/>
              <w:rPr>
                <w:rFonts w:ascii="Arial" w:hAnsi="Arial" w:cs="Arial"/>
                <w:b/>
                <w:color w:val="000000"/>
                <w:sz w:val="20"/>
              </w:rPr>
            </w:pPr>
            <w:r w:rsidRPr="00785E1A">
              <w:rPr>
                <w:rFonts w:ascii="Arial" w:hAnsi="Arial" w:cs="Arial"/>
                <w:b/>
                <w:color w:val="000000"/>
                <w:sz w:val="20"/>
              </w:rPr>
              <w:t>TOTAL NUMBER</w:t>
            </w:r>
          </w:p>
        </w:tc>
        <w:tc>
          <w:tcPr>
            <w:tcW w:w="1023" w:type="pct"/>
            <w:tcBorders>
              <w:top w:val="single" w:sz="12" w:space="0" w:color="auto"/>
              <w:left w:val="single" w:sz="12" w:space="0" w:color="auto"/>
            </w:tcBorders>
            <w:shd w:val="pct10" w:color="auto" w:fill="auto"/>
          </w:tcPr>
          <w:p w14:paraId="0666C788" w14:textId="77777777" w:rsidR="00E42774" w:rsidRPr="00785E1A" w:rsidRDefault="00E42774" w:rsidP="00E42774">
            <w:pPr>
              <w:keepNext/>
              <w:spacing w:before="120"/>
              <w:jc w:val="center"/>
              <w:rPr>
                <w:rFonts w:ascii="Arial" w:hAnsi="Arial" w:cs="Arial"/>
                <w:b/>
                <w:color w:val="000000"/>
                <w:sz w:val="20"/>
              </w:rPr>
            </w:pPr>
            <w:r w:rsidRPr="00785E1A">
              <w:rPr>
                <w:rFonts w:ascii="Arial" w:hAnsi="Arial" w:cs="Arial"/>
                <w:b/>
                <w:color w:val="000000"/>
                <w:sz w:val="20"/>
              </w:rPr>
              <w:t>NUMBER INVESTIGATED</w:t>
            </w:r>
          </w:p>
        </w:tc>
        <w:tc>
          <w:tcPr>
            <w:tcW w:w="1151" w:type="pct"/>
            <w:tcBorders>
              <w:top w:val="single" w:sz="12" w:space="0" w:color="auto"/>
              <w:left w:val="single" w:sz="12" w:space="0" w:color="auto"/>
            </w:tcBorders>
            <w:shd w:val="pct10" w:color="auto" w:fill="auto"/>
          </w:tcPr>
          <w:p w14:paraId="3001644E" w14:textId="77777777" w:rsidR="00E42774" w:rsidRPr="00785E1A" w:rsidRDefault="00E42774" w:rsidP="00E42774">
            <w:pPr>
              <w:keepNext/>
              <w:spacing w:before="120"/>
              <w:jc w:val="center"/>
              <w:rPr>
                <w:rFonts w:ascii="Arial" w:hAnsi="Arial" w:cs="Arial"/>
                <w:b/>
                <w:color w:val="000000"/>
                <w:sz w:val="20"/>
              </w:rPr>
            </w:pPr>
            <w:r w:rsidRPr="00785E1A">
              <w:rPr>
                <w:rFonts w:ascii="Arial" w:hAnsi="Arial" w:cs="Arial"/>
                <w:b/>
                <w:color w:val="000000"/>
                <w:sz w:val="20"/>
              </w:rPr>
              <w:t>NUMBER SUBSTANTIATED</w:t>
            </w:r>
          </w:p>
        </w:tc>
        <w:tc>
          <w:tcPr>
            <w:tcW w:w="942" w:type="pct"/>
            <w:tcBorders>
              <w:top w:val="single" w:sz="12" w:space="0" w:color="auto"/>
              <w:left w:val="single" w:sz="12" w:space="0" w:color="auto"/>
            </w:tcBorders>
            <w:shd w:val="pct10" w:color="auto" w:fill="auto"/>
          </w:tcPr>
          <w:p w14:paraId="4071CB25" w14:textId="77777777" w:rsidR="00E42774" w:rsidRPr="00785E1A" w:rsidRDefault="00E42774" w:rsidP="00193618">
            <w:pPr>
              <w:keepNext/>
              <w:jc w:val="center"/>
              <w:rPr>
                <w:rFonts w:ascii="Arial" w:hAnsi="Arial" w:cs="Arial"/>
                <w:b/>
                <w:color w:val="000000"/>
                <w:sz w:val="20"/>
              </w:rPr>
            </w:pPr>
            <w:r w:rsidRPr="00785E1A">
              <w:rPr>
                <w:rFonts w:ascii="Arial" w:hAnsi="Arial" w:cs="Arial"/>
                <w:b/>
                <w:color w:val="000000"/>
                <w:sz w:val="20"/>
              </w:rPr>
              <w:t>NUMBER OF PROTECTION APPLIC’NS</w:t>
            </w:r>
          </w:p>
        </w:tc>
      </w:tr>
      <w:tr w:rsidR="00E42774" w:rsidRPr="00785E1A" w14:paraId="18C9B7A2" w14:textId="77777777" w:rsidTr="008358C0">
        <w:tc>
          <w:tcPr>
            <w:tcW w:w="942" w:type="pct"/>
            <w:tcBorders>
              <w:top w:val="single" w:sz="12" w:space="0" w:color="000000"/>
              <w:left w:val="single" w:sz="12" w:space="0" w:color="auto"/>
              <w:bottom w:val="single" w:sz="4" w:space="0" w:color="auto"/>
            </w:tcBorders>
          </w:tcPr>
          <w:p w14:paraId="3AF926FA" w14:textId="7F306BC5" w:rsidR="00E42774" w:rsidRPr="00785E1A" w:rsidRDefault="00E42774" w:rsidP="00785E1A">
            <w:pPr>
              <w:keepNext/>
              <w:jc w:val="center"/>
              <w:rPr>
                <w:rFonts w:ascii="Arial" w:hAnsi="Arial" w:cs="Arial"/>
                <w:color w:val="000000"/>
                <w:sz w:val="20"/>
              </w:rPr>
            </w:pPr>
            <w:r w:rsidRPr="00785E1A">
              <w:rPr>
                <w:rFonts w:ascii="Arial" w:hAnsi="Arial" w:cs="Arial"/>
                <w:color w:val="000000"/>
                <w:sz w:val="20"/>
              </w:rPr>
              <w:t>1997</w:t>
            </w:r>
            <w:r w:rsidR="009D6EF3">
              <w:rPr>
                <w:rFonts w:ascii="Arial" w:hAnsi="Arial" w:cs="Arial"/>
                <w:color w:val="000000"/>
                <w:sz w:val="20"/>
              </w:rPr>
              <w:t>/</w:t>
            </w:r>
            <w:r w:rsidRPr="00785E1A">
              <w:rPr>
                <w:rFonts w:ascii="Arial" w:hAnsi="Arial" w:cs="Arial"/>
                <w:color w:val="000000"/>
                <w:sz w:val="20"/>
              </w:rPr>
              <w:t>1998</w:t>
            </w:r>
          </w:p>
        </w:tc>
        <w:tc>
          <w:tcPr>
            <w:tcW w:w="942" w:type="pct"/>
            <w:tcBorders>
              <w:top w:val="single" w:sz="12" w:space="0" w:color="000000"/>
              <w:left w:val="single" w:sz="12" w:space="0" w:color="auto"/>
              <w:bottom w:val="single" w:sz="4" w:space="0" w:color="auto"/>
            </w:tcBorders>
          </w:tcPr>
          <w:p w14:paraId="035926FB" w14:textId="77777777" w:rsidR="00E42774" w:rsidRPr="00785E1A" w:rsidRDefault="00E42774" w:rsidP="00785E1A">
            <w:pPr>
              <w:keepNext/>
              <w:jc w:val="center"/>
              <w:rPr>
                <w:rFonts w:ascii="Arial" w:hAnsi="Arial" w:cs="Arial"/>
                <w:color w:val="000000"/>
                <w:sz w:val="20"/>
              </w:rPr>
            </w:pPr>
            <w:r w:rsidRPr="00785E1A">
              <w:rPr>
                <w:rFonts w:ascii="Arial" w:hAnsi="Arial" w:cs="Arial"/>
                <w:color w:val="000000"/>
                <w:sz w:val="20"/>
              </w:rPr>
              <w:t>33,164</w:t>
            </w:r>
          </w:p>
        </w:tc>
        <w:tc>
          <w:tcPr>
            <w:tcW w:w="1023" w:type="pct"/>
            <w:tcBorders>
              <w:top w:val="single" w:sz="12" w:space="0" w:color="000000"/>
              <w:left w:val="single" w:sz="12" w:space="0" w:color="auto"/>
              <w:bottom w:val="single" w:sz="4" w:space="0" w:color="auto"/>
            </w:tcBorders>
          </w:tcPr>
          <w:p w14:paraId="0E391CB7" w14:textId="77777777" w:rsidR="00E42774" w:rsidRPr="00785E1A" w:rsidRDefault="00392896" w:rsidP="00785E1A">
            <w:pPr>
              <w:keepNext/>
              <w:jc w:val="center"/>
              <w:rPr>
                <w:rFonts w:ascii="Arial" w:hAnsi="Arial" w:cs="Arial"/>
                <w:color w:val="000000"/>
                <w:sz w:val="20"/>
              </w:rPr>
            </w:pPr>
            <w:r w:rsidRPr="00785E1A">
              <w:rPr>
                <w:rFonts w:ascii="Arial" w:hAnsi="Arial" w:cs="Arial"/>
                <w:color w:val="000000"/>
                <w:sz w:val="20"/>
              </w:rPr>
              <w:t>14,682</w:t>
            </w:r>
          </w:p>
        </w:tc>
        <w:tc>
          <w:tcPr>
            <w:tcW w:w="1151" w:type="pct"/>
            <w:tcBorders>
              <w:top w:val="single" w:sz="12" w:space="0" w:color="000000"/>
              <w:left w:val="single" w:sz="12" w:space="0" w:color="auto"/>
              <w:bottom w:val="single" w:sz="4" w:space="0" w:color="auto"/>
            </w:tcBorders>
          </w:tcPr>
          <w:p w14:paraId="400F4E6E" w14:textId="77777777" w:rsidR="00E42774" w:rsidRPr="00785E1A" w:rsidRDefault="00392896" w:rsidP="00785E1A">
            <w:pPr>
              <w:keepNext/>
              <w:jc w:val="center"/>
              <w:rPr>
                <w:rFonts w:ascii="Arial" w:hAnsi="Arial" w:cs="Arial"/>
                <w:color w:val="000000"/>
                <w:sz w:val="20"/>
              </w:rPr>
            </w:pPr>
            <w:r w:rsidRPr="00785E1A">
              <w:rPr>
                <w:rFonts w:ascii="Arial" w:hAnsi="Arial" w:cs="Arial"/>
                <w:color w:val="000000"/>
                <w:sz w:val="20"/>
              </w:rPr>
              <w:t>7,412</w:t>
            </w:r>
          </w:p>
        </w:tc>
        <w:tc>
          <w:tcPr>
            <w:tcW w:w="942" w:type="pct"/>
            <w:tcBorders>
              <w:top w:val="single" w:sz="12" w:space="0" w:color="000000"/>
              <w:left w:val="single" w:sz="12" w:space="0" w:color="auto"/>
              <w:bottom w:val="single" w:sz="4" w:space="0" w:color="auto"/>
            </w:tcBorders>
          </w:tcPr>
          <w:p w14:paraId="2640A369" w14:textId="77777777" w:rsidR="00E42774" w:rsidRPr="00785E1A" w:rsidRDefault="00392896" w:rsidP="00785E1A">
            <w:pPr>
              <w:keepNext/>
              <w:jc w:val="center"/>
              <w:rPr>
                <w:rFonts w:ascii="Arial" w:hAnsi="Arial" w:cs="Arial"/>
                <w:color w:val="000000"/>
                <w:sz w:val="20"/>
              </w:rPr>
            </w:pPr>
            <w:r w:rsidRPr="00785E1A">
              <w:rPr>
                <w:rFonts w:ascii="Arial" w:hAnsi="Arial" w:cs="Arial"/>
                <w:color w:val="000000"/>
                <w:sz w:val="20"/>
              </w:rPr>
              <w:t>2,135</w:t>
            </w:r>
          </w:p>
        </w:tc>
      </w:tr>
      <w:tr w:rsidR="001726EF" w:rsidRPr="00785E1A" w14:paraId="1C046131" w14:textId="77777777" w:rsidTr="008358C0">
        <w:tc>
          <w:tcPr>
            <w:tcW w:w="942" w:type="pct"/>
            <w:tcBorders>
              <w:top w:val="single" w:sz="4" w:space="0" w:color="auto"/>
              <w:left w:val="single" w:sz="12" w:space="0" w:color="auto"/>
              <w:bottom w:val="single" w:sz="4" w:space="0" w:color="auto"/>
            </w:tcBorders>
          </w:tcPr>
          <w:p w14:paraId="5424584D" w14:textId="556EB2CF" w:rsidR="001726EF" w:rsidRPr="00785E1A" w:rsidRDefault="001726EF" w:rsidP="00193618">
            <w:pPr>
              <w:jc w:val="center"/>
              <w:rPr>
                <w:rFonts w:ascii="Arial" w:hAnsi="Arial" w:cs="Arial"/>
                <w:color w:val="000000"/>
                <w:sz w:val="20"/>
              </w:rPr>
            </w:pPr>
            <w:r w:rsidRPr="00785E1A">
              <w:rPr>
                <w:rFonts w:ascii="Arial" w:hAnsi="Arial" w:cs="Arial"/>
                <w:color w:val="000000"/>
                <w:sz w:val="20"/>
              </w:rPr>
              <w:t>2004</w:t>
            </w:r>
            <w:r w:rsidR="009D6EF3">
              <w:rPr>
                <w:rFonts w:ascii="Arial" w:hAnsi="Arial" w:cs="Arial"/>
                <w:color w:val="000000"/>
                <w:sz w:val="20"/>
              </w:rPr>
              <w:t>/</w:t>
            </w:r>
            <w:r w:rsidRPr="00785E1A">
              <w:rPr>
                <w:rFonts w:ascii="Arial" w:hAnsi="Arial" w:cs="Arial"/>
                <w:color w:val="000000"/>
                <w:sz w:val="20"/>
              </w:rPr>
              <w:t>2005</w:t>
            </w:r>
          </w:p>
        </w:tc>
        <w:tc>
          <w:tcPr>
            <w:tcW w:w="942" w:type="pct"/>
            <w:tcBorders>
              <w:top w:val="single" w:sz="4" w:space="0" w:color="auto"/>
              <w:left w:val="single" w:sz="12" w:space="0" w:color="auto"/>
              <w:bottom w:val="single" w:sz="4" w:space="0" w:color="auto"/>
            </w:tcBorders>
          </w:tcPr>
          <w:p w14:paraId="115C5B24" w14:textId="77777777" w:rsidR="001726EF" w:rsidRPr="00785E1A" w:rsidRDefault="001726EF" w:rsidP="00A40623">
            <w:pPr>
              <w:jc w:val="center"/>
              <w:rPr>
                <w:rFonts w:ascii="Arial" w:hAnsi="Arial" w:cs="Arial"/>
                <w:color w:val="000000"/>
                <w:sz w:val="20"/>
              </w:rPr>
            </w:pPr>
            <w:r w:rsidRPr="00785E1A">
              <w:rPr>
                <w:rFonts w:ascii="Arial" w:hAnsi="Arial" w:cs="Arial"/>
                <w:color w:val="000000"/>
                <w:sz w:val="20"/>
              </w:rPr>
              <w:t>37,523</w:t>
            </w:r>
          </w:p>
        </w:tc>
        <w:tc>
          <w:tcPr>
            <w:tcW w:w="1023" w:type="pct"/>
            <w:tcBorders>
              <w:top w:val="single" w:sz="4" w:space="0" w:color="auto"/>
              <w:left w:val="single" w:sz="12" w:space="0" w:color="auto"/>
              <w:bottom w:val="single" w:sz="4" w:space="0" w:color="auto"/>
            </w:tcBorders>
          </w:tcPr>
          <w:p w14:paraId="1F212D67" w14:textId="77777777" w:rsidR="001726EF" w:rsidRPr="00785E1A" w:rsidRDefault="00C943C5" w:rsidP="00193618">
            <w:pPr>
              <w:jc w:val="center"/>
              <w:rPr>
                <w:rFonts w:ascii="Arial" w:hAnsi="Arial" w:cs="Arial"/>
                <w:color w:val="000000"/>
                <w:sz w:val="20"/>
              </w:rPr>
            </w:pPr>
            <w:r w:rsidRPr="00785E1A">
              <w:rPr>
                <w:rFonts w:ascii="Arial" w:hAnsi="Arial" w:cs="Arial"/>
                <w:color w:val="000000"/>
                <w:sz w:val="20"/>
              </w:rPr>
              <w:t>n/a</w:t>
            </w:r>
          </w:p>
        </w:tc>
        <w:tc>
          <w:tcPr>
            <w:tcW w:w="1151" w:type="pct"/>
            <w:tcBorders>
              <w:top w:val="single" w:sz="4" w:space="0" w:color="auto"/>
              <w:left w:val="single" w:sz="12" w:space="0" w:color="auto"/>
              <w:bottom w:val="single" w:sz="4" w:space="0" w:color="auto"/>
            </w:tcBorders>
          </w:tcPr>
          <w:p w14:paraId="56D77A2B" w14:textId="77777777" w:rsidR="001726EF" w:rsidRPr="00785E1A" w:rsidRDefault="009B3EF9" w:rsidP="00193618">
            <w:pPr>
              <w:jc w:val="center"/>
              <w:rPr>
                <w:rFonts w:ascii="Arial" w:hAnsi="Arial" w:cs="Arial"/>
                <w:color w:val="000000"/>
                <w:sz w:val="20"/>
              </w:rPr>
            </w:pPr>
            <w:r w:rsidRPr="00785E1A">
              <w:rPr>
                <w:rFonts w:ascii="Arial" w:hAnsi="Arial" w:cs="Arial"/>
                <w:color w:val="000000"/>
                <w:sz w:val="20"/>
              </w:rPr>
              <w:t>7,398</w:t>
            </w:r>
          </w:p>
        </w:tc>
        <w:tc>
          <w:tcPr>
            <w:tcW w:w="942" w:type="pct"/>
            <w:tcBorders>
              <w:top w:val="single" w:sz="4" w:space="0" w:color="auto"/>
              <w:left w:val="single" w:sz="12" w:space="0" w:color="auto"/>
              <w:bottom w:val="single" w:sz="4" w:space="0" w:color="auto"/>
            </w:tcBorders>
          </w:tcPr>
          <w:p w14:paraId="2376B4D7" w14:textId="77777777" w:rsidR="001726EF" w:rsidRPr="00785E1A" w:rsidRDefault="00842179" w:rsidP="00193618">
            <w:pPr>
              <w:jc w:val="center"/>
              <w:rPr>
                <w:rFonts w:ascii="Arial" w:hAnsi="Arial" w:cs="Arial"/>
                <w:color w:val="000000"/>
                <w:sz w:val="20"/>
              </w:rPr>
            </w:pPr>
            <w:r w:rsidRPr="00785E1A">
              <w:rPr>
                <w:rFonts w:ascii="Arial" w:hAnsi="Arial" w:cs="Arial"/>
                <w:color w:val="000000"/>
                <w:sz w:val="20"/>
              </w:rPr>
              <w:t>2,586</w:t>
            </w:r>
          </w:p>
        </w:tc>
      </w:tr>
      <w:tr w:rsidR="001726EF" w:rsidRPr="00D00CAA" w14:paraId="795D4217" w14:textId="77777777" w:rsidTr="008358C0">
        <w:tc>
          <w:tcPr>
            <w:tcW w:w="942" w:type="pct"/>
            <w:tcBorders>
              <w:top w:val="single" w:sz="4" w:space="0" w:color="auto"/>
              <w:left w:val="single" w:sz="12" w:space="0" w:color="auto"/>
              <w:bottom w:val="single" w:sz="4" w:space="0" w:color="auto"/>
            </w:tcBorders>
          </w:tcPr>
          <w:p w14:paraId="6F115A68" w14:textId="1B1277C9" w:rsidR="001726EF" w:rsidRPr="00D00CAA" w:rsidRDefault="001726EF" w:rsidP="00193618">
            <w:pPr>
              <w:jc w:val="center"/>
              <w:rPr>
                <w:rFonts w:ascii="Arial" w:hAnsi="Arial" w:cs="Arial"/>
                <w:color w:val="000000"/>
                <w:sz w:val="20"/>
              </w:rPr>
            </w:pPr>
            <w:r w:rsidRPr="00D00CAA">
              <w:rPr>
                <w:rFonts w:ascii="Arial" w:hAnsi="Arial" w:cs="Arial"/>
                <w:color w:val="000000"/>
                <w:sz w:val="20"/>
              </w:rPr>
              <w:t>2005</w:t>
            </w:r>
            <w:r w:rsidR="009D6EF3">
              <w:rPr>
                <w:rFonts w:ascii="Arial" w:hAnsi="Arial" w:cs="Arial"/>
                <w:color w:val="000000"/>
                <w:sz w:val="20"/>
              </w:rPr>
              <w:t>/</w:t>
            </w:r>
            <w:r w:rsidRPr="00D00CAA">
              <w:rPr>
                <w:rFonts w:ascii="Arial" w:hAnsi="Arial" w:cs="Arial"/>
                <w:color w:val="000000"/>
                <w:sz w:val="20"/>
              </w:rPr>
              <w:t>2006</w:t>
            </w:r>
          </w:p>
        </w:tc>
        <w:tc>
          <w:tcPr>
            <w:tcW w:w="942" w:type="pct"/>
            <w:tcBorders>
              <w:top w:val="single" w:sz="4" w:space="0" w:color="auto"/>
              <w:left w:val="single" w:sz="12" w:space="0" w:color="auto"/>
              <w:bottom w:val="single" w:sz="4" w:space="0" w:color="auto"/>
            </w:tcBorders>
          </w:tcPr>
          <w:p w14:paraId="07C63E2C" w14:textId="77777777" w:rsidR="001726EF" w:rsidRPr="00D00CAA" w:rsidRDefault="001726EF" w:rsidP="00A40623">
            <w:pPr>
              <w:jc w:val="center"/>
              <w:rPr>
                <w:rFonts w:ascii="Arial" w:hAnsi="Arial" w:cs="Arial"/>
                <w:color w:val="000000"/>
                <w:sz w:val="20"/>
              </w:rPr>
            </w:pPr>
            <w:r w:rsidRPr="00D00CAA">
              <w:rPr>
                <w:rFonts w:ascii="Arial" w:hAnsi="Arial" w:cs="Arial"/>
                <w:color w:val="000000"/>
                <w:sz w:val="20"/>
              </w:rPr>
              <w:t>37,987</w:t>
            </w:r>
          </w:p>
        </w:tc>
        <w:tc>
          <w:tcPr>
            <w:tcW w:w="1023" w:type="pct"/>
            <w:tcBorders>
              <w:top w:val="single" w:sz="4" w:space="0" w:color="auto"/>
              <w:left w:val="single" w:sz="12" w:space="0" w:color="auto"/>
              <w:bottom w:val="single" w:sz="4" w:space="0" w:color="auto"/>
            </w:tcBorders>
          </w:tcPr>
          <w:p w14:paraId="5B4BD129" w14:textId="77777777" w:rsidR="001726EF" w:rsidRPr="00D00CAA" w:rsidRDefault="00C943C5" w:rsidP="00193618">
            <w:pPr>
              <w:jc w:val="center"/>
              <w:rPr>
                <w:rFonts w:ascii="Arial" w:hAnsi="Arial" w:cs="Arial"/>
                <w:color w:val="000000"/>
                <w:sz w:val="20"/>
              </w:rPr>
            </w:pPr>
            <w:r w:rsidRPr="00D00CAA">
              <w:rPr>
                <w:rFonts w:ascii="Arial" w:hAnsi="Arial" w:cs="Arial"/>
                <w:color w:val="000000"/>
                <w:sz w:val="20"/>
              </w:rPr>
              <w:t>n/a</w:t>
            </w:r>
          </w:p>
        </w:tc>
        <w:tc>
          <w:tcPr>
            <w:tcW w:w="1151" w:type="pct"/>
            <w:tcBorders>
              <w:top w:val="single" w:sz="4" w:space="0" w:color="auto"/>
              <w:left w:val="single" w:sz="12" w:space="0" w:color="auto"/>
              <w:bottom w:val="single" w:sz="4" w:space="0" w:color="auto"/>
            </w:tcBorders>
          </w:tcPr>
          <w:p w14:paraId="06A3EE0F" w14:textId="77777777" w:rsidR="001726EF" w:rsidRPr="00D00CAA" w:rsidRDefault="009B3EF9" w:rsidP="00193618">
            <w:pPr>
              <w:jc w:val="center"/>
              <w:rPr>
                <w:rFonts w:ascii="Arial" w:hAnsi="Arial" w:cs="Arial"/>
                <w:color w:val="000000"/>
                <w:sz w:val="20"/>
              </w:rPr>
            </w:pPr>
            <w:r w:rsidRPr="00D00CAA">
              <w:rPr>
                <w:rFonts w:ascii="Arial" w:hAnsi="Arial" w:cs="Arial"/>
                <w:color w:val="000000"/>
                <w:sz w:val="20"/>
              </w:rPr>
              <w:t>7,563</w:t>
            </w:r>
          </w:p>
        </w:tc>
        <w:tc>
          <w:tcPr>
            <w:tcW w:w="942" w:type="pct"/>
            <w:tcBorders>
              <w:top w:val="single" w:sz="4" w:space="0" w:color="auto"/>
              <w:left w:val="single" w:sz="12" w:space="0" w:color="auto"/>
              <w:bottom w:val="single" w:sz="4" w:space="0" w:color="auto"/>
            </w:tcBorders>
          </w:tcPr>
          <w:p w14:paraId="59F078F5" w14:textId="77777777" w:rsidR="001726EF" w:rsidRPr="00D00CAA" w:rsidRDefault="00842179" w:rsidP="00193618">
            <w:pPr>
              <w:jc w:val="center"/>
              <w:rPr>
                <w:rFonts w:ascii="Arial" w:hAnsi="Arial" w:cs="Arial"/>
                <w:color w:val="000000"/>
                <w:sz w:val="20"/>
              </w:rPr>
            </w:pPr>
            <w:r w:rsidRPr="00D00CAA">
              <w:rPr>
                <w:rFonts w:ascii="Arial" w:hAnsi="Arial" w:cs="Arial"/>
                <w:color w:val="000000"/>
                <w:sz w:val="20"/>
              </w:rPr>
              <w:t>2,916</w:t>
            </w:r>
          </w:p>
        </w:tc>
      </w:tr>
      <w:tr w:rsidR="001726EF" w:rsidRPr="00D00CAA" w14:paraId="1C4550C3" w14:textId="77777777" w:rsidTr="008358C0">
        <w:tc>
          <w:tcPr>
            <w:tcW w:w="942" w:type="pct"/>
            <w:tcBorders>
              <w:top w:val="single" w:sz="4" w:space="0" w:color="auto"/>
              <w:left w:val="single" w:sz="12" w:space="0" w:color="auto"/>
              <w:bottom w:val="single" w:sz="4" w:space="0" w:color="auto"/>
            </w:tcBorders>
          </w:tcPr>
          <w:p w14:paraId="09BD6C90" w14:textId="3FEE94AE" w:rsidR="001726EF" w:rsidRPr="00D00CAA" w:rsidRDefault="001726EF" w:rsidP="00193618">
            <w:pPr>
              <w:jc w:val="center"/>
              <w:rPr>
                <w:rFonts w:ascii="Arial" w:hAnsi="Arial" w:cs="Arial"/>
                <w:color w:val="000000"/>
                <w:sz w:val="20"/>
              </w:rPr>
            </w:pPr>
            <w:r w:rsidRPr="00D00CAA">
              <w:rPr>
                <w:rFonts w:ascii="Arial" w:hAnsi="Arial" w:cs="Arial"/>
                <w:color w:val="000000"/>
                <w:sz w:val="20"/>
              </w:rPr>
              <w:t>2006</w:t>
            </w:r>
            <w:r w:rsidR="009D6EF3">
              <w:rPr>
                <w:rFonts w:ascii="Arial" w:hAnsi="Arial" w:cs="Arial"/>
                <w:color w:val="000000"/>
                <w:sz w:val="20"/>
              </w:rPr>
              <w:t>/</w:t>
            </w:r>
            <w:r w:rsidRPr="00D00CAA">
              <w:rPr>
                <w:rFonts w:ascii="Arial" w:hAnsi="Arial" w:cs="Arial"/>
                <w:color w:val="000000"/>
                <w:sz w:val="20"/>
              </w:rPr>
              <w:t>2007</w:t>
            </w:r>
          </w:p>
        </w:tc>
        <w:tc>
          <w:tcPr>
            <w:tcW w:w="942" w:type="pct"/>
            <w:tcBorders>
              <w:top w:val="single" w:sz="4" w:space="0" w:color="auto"/>
              <w:left w:val="single" w:sz="12" w:space="0" w:color="auto"/>
              <w:bottom w:val="single" w:sz="4" w:space="0" w:color="auto"/>
            </w:tcBorders>
          </w:tcPr>
          <w:p w14:paraId="42FA7BB2"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38,675</w:t>
            </w:r>
          </w:p>
        </w:tc>
        <w:tc>
          <w:tcPr>
            <w:tcW w:w="1023" w:type="pct"/>
            <w:tcBorders>
              <w:top w:val="single" w:sz="4" w:space="0" w:color="auto"/>
              <w:left w:val="single" w:sz="12" w:space="0" w:color="auto"/>
              <w:bottom w:val="single" w:sz="4" w:space="0" w:color="auto"/>
            </w:tcBorders>
          </w:tcPr>
          <w:p w14:paraId="1E683C06" w14:textId="77777777" w:rsidR="001726EF" w:rsidRPr="00D00CAA" w:rsidRDefault="00842179" w:rsidP="00193618">
            <w:pPr>
              <w:jc w:val="center"/>
              <w:rPr>
                <w:rFonts w:ascii="Arial" w:hAnsi="Arial" w:cs="Arial"/>
                <w:color w:val="000000"/>
                <w:sz w:val="20"/>
              </w:rPr>
            </w:pPr>
            <w:r w:rsidRPr="00D00CAA">
              <w:rPr>
                <w:rFonts w:ascii="Arial" w:hAnsi="Arial" w:cs="Arial"/>
                <w:color w:val="000000"/>
                <w:sz w:val="20"/>
              </w:rPr>
              <w:t>10,537</w:t>
            </w:r>
          </w:p>
        </w:tc>
        <w:tc>
          <w:tcPr>
            <w:tcW w:w="1151" w:type="pct"/>
            <w:tcBorders>
              <w:top w:val="single" w:sz="4" w:space="0" w:color="auto"/>
              <w:left w:val="single" w:sz="12" w:space="0" w:color="auto"/>
              <w:bottom w:val="single" w:sz="4" w:space="0" w:color="auto"/>
            </w:tcBorders>
          </w:tcPr>
          <w:p w14:paraId="1FD37C49"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6,828</w:t>
            </w:r>
          </w:p>
        </w:tc>
        <w:tc>
          <w:tcPr>
            <w:tcW w:w="942" w:type="pct"/>
            <w:tcBorders>
              <w:top w:val="single" w:sz="4" w:space="0" w:color="auto"/>
              <w:left w:val="single" w:sz="12" w:space="0" w:color="auto"/>
              <w:bottom w:val="single" w:sz="4" w:space="0" w:color="auto"/>
            </w:tcBorders>
          </w:tcPr>
          <w:p w14:paraId="0F53C8A6" w14:textId="77777777" w:rsidR="001726EF" w:rsidRPr="00D00CAA" w:rsidRDefault="00842179" w:rsidP="00193618">
            <w:pPr>
              <w:jc w:val="center"/>
              <w:rPr>
                <w:rFonts w:ascii="Arial" w:hAnsi="Arial" w:cs="Arial"/>
                <w:color w:val="000000"/>
                <w:sz w:val="20"/>
              </w:rPr>
            </w:pPr>
            <w:r w:rsidRPr="00D00CAA">
              <w:rPr>
                <w:rFonts w:ascii="Arial" w:hAnsi="Arial" w:cs="Arial"/>
                <w:color w:val="000000"/>
                <w:sz w:val="20"/>
              </w:rPr>
              <w:t>3,101</w:t>
            </w:r>
          </w:p>
        </w:tc>
      </w:tr>
      <w:tr w:rsidR="001726EF" w:rsidRPr="00D00CAA" w14:paraId="3CC28A2D" w14:textId="77777777" w:rsidTr="008358C0">
        <w:tc>
          <w:tcPr>
            <w:tcW w:w="942" w:type="pct"/>
            <w:tcBorders>
              <w:top w:val="single" w:sz="4" w:space="0" w:color="auto"/>
              <w:left w:val="single" w:sz="12" w:space="0" w:color="auto"/>
              <w:bottom w:val="single" w:sz="4" w:space="0" w:color="auto"/>
            </w:tcBorders>
          </w:tcPr>
          <w:p w14:paraId="2A38151E" w14:textId="02F0FAA3" w:rsidR="001726EF" w:rsidRPr="00D00CAA" w:rsidRDefault="001726EF" w:rsidP="00193618">
            <w:pPr>
              <w:jc w:val="center"/>
              <w:rPr>
                <w:rFonts w:ascii="Arial" w:hAnsi="Arial" w:cs="Arial"/>
                <w:color w:val="000000"/>
                <w:sz w:val="20"/>
              </w:rPr>
            </w:pPr>
            <w:r w:rsidRPr="00D00CAA">
              <w:rPr>
                <w:rFonts w:ascii="Arial" w:hAnsi="Arial" w:cs="Arial"/>
                <w:color w:val="000000"/>
                <w:sz w:val="20"/>
              </w:rPr>
              <w:t>2007</w:t>
            </w:r>
            <w:r w:rsidR="009D6EF3">
              <w:rPr>
                <w:rFonts w:ascii="Arial" w:hAnsi="Arial" w:cs="Arial"/>
                <w:color w:val="000000"/>
                <w:sz w:val="20"/>
              </w:rPr>
              <w:t>/</w:t>
            </w:r>
            <w:r w:rsidRPr="00D00CAA">
              <w:rPr>
                <w:rFonts w:ascii="Arial" w:hAnsi="Arial" w:cs="Arial"/>
                <w:color w:val="000000"/>
                <w:sz w:val="20"/>
              </w:rPr>
              <w:t>2008</w:t>
            </w:r>
          </w:p>
        </w:tc>
        <w:tc>
          <w:tcPr>
            <w:tcW w:w="942" w:type="pct"/>
            <w:tcBorders>
              <w:top w:val="single" w:sz="4" w:space="0" w:color="auto"/>
              <w:left w:val="single" w:sz="12" w:space="0" w:color="auto"/>
              <w:bottom w:val="single" w:sz="4" w:space="0" w:color="auto"/>
            </w:tcBorders>
          </w:tcPr>
          <w:p w14:paraId="448EF64A" w14:textId="77777777" w:rsidR="001726EF" w:rsidRPr="00D00CAA" w:rsidRDefault="009B3EF9" w:rsidP="00193618">
            <w:pPr>
              <w:jc w:val="center"/>
              <w:rPr>
                <w:rFonts w:ascii="Arial" w:hAnsi="Arial" w:cs="Arial"/>
                <w:color w:val="000000"/>
                <w:sz w:val="20"/>
              </w:rPr>
            </w:pPr>
            <w:r w:rsidRPr="00D00CAA">
              <w:rPr>
                <w:rFonts w:ascii="Arial" w:hAnsi="Arial" w:cs="Arial"/>
                <w:color w:val="000000"/>
                <w:sz w:val="20"/>
              </w:rPr>
              <w:t>41,607</w:t>
            </w:r>
          </w:p>
        </w:tc>
        <w:tc>
          <w:tcPr>
            <w:tcW w:w="1023" w:type="pct"/>
            <w:tcBorders>
              <w:top w:val="single" w:sz="4" w:space="0" w:color="auto"/>
              <w:left w:val="single" w:sz="12" w:space="0" w:color="auto"/>
              <w:bottom w:val="single" w:sz="4" w:space="0" w:color="auto"/>
            </w:tcBorders>
          </w:tcPr>
          <w:p w14:paraId="3B8B5F48" w14:textId="77777777" w:rsidR="001726EF" w:rsidRPr="00D00CAA" w:rsidRDefault="009B3EF9" w:rsidP="00193618">
            <w:pPr>
              <w:jc w:val="center"/>
              <w:rPr>
                <w:rFonts w:ascii="Arial" w:hAnsi="Arial" w:cs="Arial"/>
                <w:color w:val="000000"/>
                <w:sz w:val="20"/>
              </w:rPr>
            </w:pPr>
            <w:r w:rsidRPr="00D00CAA">
              <w:rPr>
                <w:rFonts w:ascii="Arial" w:hAnsi="Arial" w:cs="Arial"/>
                <w:color w:val="000000"/>
                <w:sz w:val="20"/>
              </w:rPr>
              <w:t>10,080</w:t>
            </w:r>
          </w:p>
        </w:tc>
        <w:tc>
          <w:tcPr>
            <w:tcW w:w="1151" w:type="pct"/>
            <w:tcBorders>
              <w:top w:val="single" w:sz="4" w:space="0" w:color="auto"/>
              <w:left w:val="single" w:sz="12" w:space="0" w:color="auto"/>
              <w:bottom w:val="single" w:sz="4" w:space="0" w:color="auto"/>
            </w:tcBorders>
          </w:tcPr>
          <w:p w14:paraId="6CD3244C" w14:textId="77777777" w:rsidR="001726EF" w:rsidRPr="00D00CAA" w:rsidRDefault="009B3EF9" w:rsidP="00193618">
            <w:pPr>
              <w:jc w:val="center"/>
              <w:rPr>
                <w:rFonts w:ascii="Arial" w:hAnsi="Arial" w:cs="Arial"/>
                <w:color w:val="000000"/>
                <w:sz w:val="20"/>
              </w:rPr>
            </w:pPr>
            <w:r w:rsidRPr="00D00CAA">
              <w:rPr>
                <w:rFonts w:ascii="Arial" w:hAnsi="Arial" w:cs="Arial"/>
                <w:color w:val="000000"/>
                <w:sz w:val="20"/>
              </w:rPr>
              <w:t>6,365</w:t>
            </w:r>
          </w:p>
        </w:tc>
        <w:tc>
          <w:tcPr>
            <w:tcW w:w="942" w:type="pct"/>
            <w:tcBorders>
              <w:top w:val="single" w:sz="4" w:space="0" w:color="auto"/>
              <w:left w:val="single" w:sz="12" w:space="0" w:color="auto"/>
              <w:bottom w:val="single" w:sz="4" w:space="0" w:color="auto"/>
            </w:tcBorders>
          </w:tcPr>
          <w:p w14:paraId="7B245AF6"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3,353</w:t>
            </w:r>
          </w:p>
        </w:tc>
      </w:tr>
      <w:tr w:rsidR="001726EF" w:rsidRPr="00D00CAA" w14:paraId="48E3E54A" w14:textId="77777777" w:rsidTr="008358C0">
        <w:tc>
          <w:tcPr>
            <w:tcW w:w="942" w:type="pct"/>
            <w:tcBorders>
              <w:top w:val="single" w:sz="4" w:space="0" w:color="auto"/>
              <w:left w:val="single" w:sz="12" w:space="0" w:color="auto"/>
              <w:bottom w:val="single" w:sz="4" w:space="0" w:color="auto"/>
            </w:tcBorders>
          </w:tcPr>
          <w:p w14:paraId="0E3BAF1A" w14:textId="38A2FC8B" w:rsidR="001726EF" w:rsidRPr="00D00CAA" w:rsidRDefault="001726EF" w:rsidP="00193618">
            <w:pPr>
              <w:jc w:val="center"/>
              <w:rPr>
                <w:rFonts w:ascii="Arial" w:hAnsi="Arial" w:cs="Arial"/>
                <w:color w:val="000000"/>
                <w:sz w:val="20"/>
              </w:rPr>
            </w:pPr>
            <w:r w:rsidRPr="00D00CAA">
              <w:rPr>
                <w:rFonts w:ascii="Arial" w:hAnsi="Arial" w:cs="Arial"/>
                <w:color w:val="000000"/>
                <w:sz w:val="20"/>
              </w:rPr>
              <w:t>2008</w:t>
            </w:r>
            <w:r w:rsidR="009D6EF3">
              <w:rPr>
                <w:rFonts w:ascii="Arial" w:hAnsi="Arial" w:cs="Arial"/>
                <w:color w:val="000000"/>
                <w:sz w:val="20"/>
              </w:rPr>
              <w:t>/</w:t>
            </w:r>
            <w:r w:rsidRPr="00D00CAA">
              <w:rPr>
                <w:rFonts w:ascii="Arial" w:hAnsi="Arial" w:cs="Arial"/>
                <w:color w:val="000000"/>
                <w:sz w:val="20"/>
              </w:rPr>
              <w:t>2009</w:t>
            </w:r>
          </w:p>
        </w:tc>
        <w:tc>
          <w:tcPr>
            <w:tcW w:w="942" w:type="pct"/>
            <w:tcBorders>
              <w:top w:val="single" w:sz="4" w:space="0" w:color="auto"/>
              <w:left w:val="single" w:sz="12" w:space="0" w:color="auto"/>
              <w:bottom w:val="single" w:sz="4" w:space="0" w:color="auto"/>
            </w:tcBorders>
          </w:tcPr>
          <w:p w14:paraId="22B92840"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42,851</w:t>
            </w:r>
          </w:p>
        </w:tc>
        <w:tc>
          <w:tcPr>
            <w:tcW w:w="1023" w:type="pct"/>
            <w:tcBorders>
              <w:top w:val="single" w:sz="4" w:space="0" w:color="auto"/>
              <w:left w:val="single" w:sz="12" w:space="0" w:color="auto"/>
              <w:bottom w:val="single" w:sz="4" w:space="0" w:color="auto"/>
            </w:tcBorders>
          </w:tcPr>
          <w:p w14:paraId="3449F4BF"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10,300</w:t>
            </w:r>
          </w:p>
        </w:tc>
        <w:tc>
          <w:tcPr>
            <w:tcW w:w="1151" w:type="pct"/>
            <w:tcBorders>
              <w:top w:val="single" w:sz="4" w:space="0" w:color="auto"/>
              <w:left w:val="single" w:sz="12" w:space="0" w:color="auto"/>
              <w:bottom w:val="single" w:sz="4" w:space="0" w:color="auto"/>
            </w:tcBorders>
          </w:tcPr>
          <w:p w14:paraId="143F0088"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6,344</w:t>
            </w:r>
          </w:p>
        </w:tc>
        <w:tc>
          <w:tcPr>
            <w:tcW w:w="942" w:type="pct"/>
            <w:tcBorders>
              <w:top w:val="single" w:sz="4" w:space="0" w:color="auto"/>
              <w:left w:val="single" w:sz="12" w:space="0" w:color="auto"/>
              <w:bottom w:val="single" w:sz="4" w:space="0" w:color="auto"/>
            </w:tcBorders>
          </w:tcPr>
          <w:p w14:paraId="50041D46"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3,048</w:t>
            </w:r>
          </w:p>
        </w:tc>
      </w:tr>
      <w:tr w:rsidR="001726EF" w:rsidRPr="00D00CAA" w14:paraId="26934956" w14:textId="77777777" w:rsidTr="008358C0">
        <w:tc>
          <w:tcPr>
            <w:tcW w:w="942" w:type="pct"/>
            <w:tcBorders>
              <w:top w:val="single" w:sz="4" w:space="0" w:color="auto"/>
              <w:left w:val="single" w:sz="12" w:space="0" w:color="auto"/>
              <w:bottom w:val="single" w:sz="4" w:space="0" w:color="auto"/>
            </w:tcBorders>
          </w:tcPr>
          <w:p w14:paraId="69E02012" w14:textId="46A0C1BE" w:rsidR="001726EF" w:rsidRPr="00D00CAA" w:rsidRDefault="001726EF" w:rsidP="00193618">
            <w:pPr>
              <w:jc w:val="center"/>
              <w:rPr>
                <w:rFonts w:ascii="Arial" w:hAnsi="Arial" w:cs="Arial"/>
                <w:color w:val="000000"/>
                <w:sz w:val="20"/>
              </w:rPr>
            </w:pPr>
            <w:r w:rsidRPr="00D00CAA">
              <w:rPr>
                <w:rFonts w:ascii="Arial" w:hAnsi="Arial" w:cs="Arial"/>
                <w:color w:val="000000"/>
                <w:sz w:val="20"/>
              </w:rPr>
              <w:t>2009</w:t>
            </w:r>
            <w:r w:rsidR="009D6EF3">
              <w:rPr>
                <w:rFonts w:ascii="Arial" w:hAnsi="Arial" w:cs="Arial"/>
                <w:color w:val="000000"/>
                <w:sz w:val="20"/>
              </w:rPr>
              <w:t>/</w:t>
            </w:r>
            <w:r w:rsidRPr="00D00CAA">
              <w:rPr>
                <w:rFonts w:ascii="Arial" w:hAnsi="Arial" w:cs="Arial"/>
                <w:color w:val="000000"/>
                <w:sz w:val="20"/>
              </w:rPr>
              <w:t>2010</w:t>
            </w:r>
          </w:p>
        </w:tc>
        <w:tc>
          <w:tcPr>
            <w:tcW w:w="942" w:type="pct"/>
            <w:tcBorders>
              <w:top w:val="single" w:sz="4" w:space="0" w:color="auto"/>
              <w:left w:val="single" w:sz="12" w:space="0" w:color="auto"/>
              <w:bottom w:val="single" w:sz="4" w:space="0" w:color="auto"/>
            </w:tcBorders>
          </w:tcPr>
          <w:p w14:paraId="563B4AB9"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48,369</w:t>
            </w:r>
          </w:p>
        </w:tc>
        <w:tc>
          <w:tcPr>
            <w:tcW w:w="1023" w:type="pct"/>
            <w:tcBorders>
              <w:top w:val="single" w:sz="4" w:space="0" w:color="auto"/>
              <w:left w:val="single" w:sz="12" w:space="0" w:color="auto"/>
              <w:bottom w:val="single" w:sz="4" w:space="0" w:color="auto"/>
            </w:tcBorders>
          </w:tcPr>
          <w:p w14:paraId="3BAE8289"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12,174</w:t>
            </w:r>
          </w:p>
        </w:tc>
        <w:tc>
          <w:tcPr>
            <w:tcW w:w="1151" w:type="pct"/>
            <w:tcBorders>
              <w:top w:val="single" w:sz="4" w:space="0" w:color="auto"/>
              <w:left w:val="single" w:sz="12" w:space="0" w:color="auto"/>
              <w:bottom w:val="single" w:sz="4" w:space="0" w:color="auto"/>
            </w:tcBorders>
          </w:tcPr>
          <w:p w14:paraId="30D287C1" w14:textId="77777777" w:rsidR="001726EF" w:rsidRPr="00D00CAA" w:rsidRDefault="001726EF" w:rsidP="00193618">
            <w:pPr>
              <w:jc w:val="center"/>
              <w:rPr>
                <w:rFonts w:ascii="Arial" w:hAnsi="Arial" w:cs="Arial"/>
                <w:color w:val="000000"/>
                <w:sz w:val="20"/>
              </w:rPr>
            </w:pPr>
            <w:r w:rsidRPr="00D00CAA">
              <w:rPr>
                <w:rFonts w:ascii="Arial" w:hAnsi="Arial" w:cs="Arial"/>
                <w:color w:val="000000"/>
                <w:sz w:val="20"/>
              </w:rPr>
              <w:t>6,603</w:t>
            </w:r>
          </w:p>
        </w:tc>
        <w:tc>
          <w:tcPr>
            <w:tcW w:w="942" w:type="pct"/>
            <w:tcBorders>
              <w:top w:val="single" w:sz="4" w:space="0" w:color="auto"/>
              <w:left w:val="single" w:sz="12" w:space="0" w:color="auto"/>
              <w:bottom w:val="single" w:sz="4" w:space="0" w:color="auto"/>
            </w:tcBorders>
          </w:tcPr>
          <w:p w14:paraId="17AEC39E" w14:textId="77777777" w:rsidR="001726EF" w:rsidRPr="00D00CAA" w:rsidRDefault="00842179" w:rsidP="00193618">
            <w:pPr>
              <w:jc w:val="center"/>
              <w:rPr>
                <w:rFonts w:ascii="Arial" w:hAnsi="Arial" w:cs="Arial"/>
                <w:color w:val="000000"/>
                <w:sz w:val="20"/>
              </w:rPr>
            </w:pPr>
            <w:r w:rsidRPr="00D00CAA">
              <w:rPr>
                <w:rFonts w:ascii="Arial" w:hAnsi="Arial" w:cs="Arial"/>
                <w:color w:val="000000"/>
                <w:sz w:val="20"/>
              </w:rPr>
              <w:t>3,046</w:t>
            </w:r>
          </w:p>
        </w:tc>
      </w:tr>
      <w:tr w:rsidR="005D4FF3" w:rsidRPr="00D00CAA" w14:paraId="21750184" w14:textId="77777777" w:rsidTr="008358C0">
        <w:tc>
          <w:tcPr>
            <w:tcW w:w="942" w:type="pct"/>
            <w:tcBorders>
              <w:top w:val="single" w:sz="4" w:space="0" w:color="auto"/>
              <w:left w:val="single" w:sz="12" w:space="0" w:color="auto"/>
              <w:bottom w:val="single" w:sz="4" w:space="0" w:color="auto"/>
            </w:tcBorders>
          </w:tcPr>
          <w:p w14:paraId="7B711FE9" w14:textId="3B4B1764" w:rsidR="005D4FF3" w:rsidRPr="00D00CAA" w:rsidRDefault="005D4FF3" w:rsidP="00193618">
            <w:pPr>
              <w:jc w:val="center"/>
              <w:rPr>
                <w:rFonts w:ascii="Arial" w:hAnsi="Arial" w:cs="Arial"/>
                <w:color w:val="000000"/>
                <w:sz w:val="20"/>
              </w:rPr>
            </w:pPr>
            <w:r w:rsidRPr="00D00CAA">
              <w:rPr>
                <w:rFonts w:ascii="Arial" w:hAnsi="Arial" w:cs="Arial"/>
                <w:color w:val="000000"/>
                <w:sz w:val="20"/>
              </w:rPr>
              <w:t>2010</w:t>
            </w:r>
            <w:r w:rsidR="009D6EF3">
              <w:rPr>
                <w:rFonts w:ascii="Arial" w:hAnsi="Arial" w:cs="Arial"/>
                <w:color w:val="000000"/>
                <w:sz w:val="20"/>
              </w:rPr>
              <w:t>/</w:t>
            </w:r>
            <w:r w:rsidRPr="00D00CAA">
              <w:rPr>
                <w:rFonts w:ascii="Arial" w:hAnsi="Arial" w:cs="Arial"/>
                <w:color w:val="000000"/>
                <w:sz w:val="20"/>
              </w:rPr>
              <w:t>2011</w:t>
            </w:r>
          </w:p>
        </w:tc>
        <w:tc>
          <w:tcPr>
            <w:tcW w:w="942" w:type="pct"/>
            <w:tcBorders>
              <w:top w:val="single" w:sz="4" w:space="0" w:color="auto"/>
              <w:left w:val="single" w:sz="12" w:space="0" w:color="auto"/>
              <w:bottom w:val="single" w:sz="4" w:space="0" w:color="auto"/>
            </w:tcBorders>
          </w:tcPr>
          <w:p w14:paraId="3DE22C46" w14:textId="77777777" w:rsidR="005D4FF3" w:rsidRPr="00D00CAA" w:rsidRDefault="00607134" w:rsidP="00193618">
            <w:pPr>
              <w:jc w:val="center"/>
              <w:rPr>
                <w:rFonts w:ascii="Arial" w:hAnsi="Arial" w:cs="Arial"/>
                <w:color w:val="000000"/>
                <w:sz w:val="20"/>
              </w:rPr>
            </w:pPr>
            <w:r w:rsidRPr="00D00CAA">
              <w:rPr>
                <w:rFonts w:ascii="Arial" w:hAnsi="Arial" w:cs="Arial"/>
                <w:color w:val="000000"/>
                <w:sz w:val="20"/>
              </w:rPr>
              <w:t>55,718</w:t>
            </w:r>
          </w:p>
        </w:tc>
        <w:tc>
          <w:tcPr>
            <w:tcW w:w="1023" w:type="pct"/>
            <w:tcBorders>
              <w:top w:val="single" w:sz="4" w:space="0" w:color="auto"/>
              <w:left w:val="single" w:sz="12" w:space="0" w:color="auto"/>
              <w:bottom w:val="single" w:sz="4" w:space="0" w:color="auto"/>
            </w:tcBorders>
          </w:tcPr>
          <w:p w14:paraId="28C9525F" w14:textId="77777777" w:rsidR="005D4FF3" w:rsidRPr="00D00CAA" w:rsidRDefault="005829E6" w:rsidP="00193618">
            <w:pPr>
              <w:jc w:val="center"/>
              <w:rPr>
                <w:rFonts w:ascii="Arial" w:hAnsi="Arial" w:cs="Arial"/>
                <w:color w:val="000000"/>
                <w:sz w:val="20"/>
              </w:rPr>
            </w:pPr>
            <w:r w:rsidRPr="00D00CAA">
              <w:rPr>
                <w:rFonts w:ascii="Arial" w:hAnsi="Arial" w:cs="Arial"/>
                <w:color w:val="000000"/>
                <w:sz w:val="20"/>
              </w:rPr>
              <w:t>13,941</w:t>
            </w:r>
          </w:p>
        </w:tc>
        <w:tc>
          <w:tcPr>
            <w:tcW w:w="1151" w:type="pct"/>
            <w:tcBorders>
              <w:top w:val="single" w:sz="4" w:space="0" w:color="auto"/>
              <w:left w:val="single" w:sz="12" w:space="0" w:color="auto"/>
              <w:bottom w:val="single" w:sz="4" w:space="0" w:color="auto"/>
            </w:tcBorders>
          </w:tcPr>
          <w:p w14:paraId="4E69D14A" w14:textId="77777777" w:rsidR="005D4FF3" w:rsidRPr="00D00CAA" w:rsidRDefault="00607134" w:rsidP="00193618">
            <w:pPr>
              <w:jc w:val="center"/>
              <w:rPr>
                <w:rFonts w:ascii="Arial" w:hAnsi="Arial" w:cs="Arial"/>
                <w:color w:val="000000"/>
                <w:sz w:val="20"/>
              </w:rPr>
            </w:pPr>
            <w:r w:rsidRPr="00D00CAA">
              <w:rPr>
                <w:rFonts w:ascii="Arial" w:hAnsi="Arial" w:cs="Arial"/>
                <w:color w:val="000000"/>
                <w:sz w:val="20"/>
              </w:rPr>
              <w:t>7,643</w:t>
            </w:r>
          </w:p>
        </w:tc>
        <w:tc>
          <w:tcPr>
            <w:tcW w:w="942" w:type="pct"/>
            <w:tcBorders>
              <w:top w:val="single" w:sz="4" w:space="0" w:color="auto"/>
              <w:left w:val="single" w:sz="12" w:space="0" w:color="auto"/>
              <w:bottom w:val="single" w:sz="4" w:space="0" w:color="auto"/>
            </w:tcBorders>
          </w:tcPr>
          <w:p w14:paraId="4C8EE85C" w14:textId="77777777" w:rsidR="005D4FF3" w:rsidRPr="00D00CAA" w:rsidRDefault="00C650FB" w:rsidP="00193618">
            <w:pPr>
              <w:jc w:val="center"/>
              <w:rPr>
                <w:rFonts w:ascii="Arial" w:hAnsi="Arial" w:cs="Arial"/>
                <w:color w:val="000000"/>
                <w:sz w:val="20"/>
              </w:rPr>
            </w:pPr>
            <w:r w:rsidRPr="00D00CAA">
              <w:rPr>
                <w:rFonts w:ascii="Arial" w:hAnsi="Arial" w:cs="Arial"/>
                <w:color w:val="000000"/>
                <w:sz w:val="20"/>
              </w:rPr>
              <w:t>3,270</w:t>
            </w:r>
          </w:p>
        </w:tc>
      </w:tr>
      <w:tr w:rsidR="00177067" w:rsidRPr="003D5DFA" w14:paraId="58465FBC" w14:textId="77777777" w:rsidTr="008358C0">
        <w:tc>
          <w:tcPr>
            <w:tcW w:w="942" w:type="pct"/>
            <w:tcBorders>
              <w:top w:val="single" w:sz="4" w:space="0" w:color="auto"/>
              <w:left w:val="single" w:sz="12" w:space="0" w:color="auto"/>
              <w:bottom w:val="single" w:sz="4" w:space="0" w:color="auto"/>
            </w:tcBorders>
          </w:tcPr>
          <w:p w14:paraId="20C7F49B" w14:textId="3CAA92E1" w:rsidR="00177067" w:rsidRPr="003D5DFA" w:rsidRDefault="00177067" w:rsidP="00193618">
            <w:pPr>
              <w:jc w:val="center"/>
              <w:rPr>
                <w:rFonts w:ascii="Arial" w:hAnsi="Arial" w:cs="Arial"/>
                <w:color w:val="000000"/>
                <w:sz w:val="20"/>
              </w:rPr>
            </w:pPr>
            <w:r w:rsidRPr="003D5DFA">
              <w:rPr>
                <w:rFonts w:ascii="Arial" w:hAnsi="Arial" w:cs="Arial"/>
                <w:color w:val="000000"/>
                <w:sz w:val="20"/>
              </w:rPr>
              <w:t>2011</w:t>
            </w:r>
            <w:r w:rsidR="009D6EF3">
              <w:rPr>
                <w:rFonts w:ascii="Arial" w:hAnsi="Arial" w:cs="Arial"/>
                <w:color w:val="000000"/>
                <w:sz w:val="20"/>
              </w:rPr>
              <w:t>/</w:t>
            </w:r>
            <w:r w:rsidRPr="003D5DFA">
              <w:rPr>
                <w:rFonts w:ascii="Arial" w:hAnsi="Arial" w:cs="Arial"/>
                <w:color w:val="000000"/>
                <w:sz w:val="20"/>
              </w:rPr>
              <w:t>2012</w:t>
            </w:r>
          </w:p>
        </w:tc>
        <w:tc>
          <w:tcPr>
            <w:tcW w:w="942" w:type="pct"/>
            <w:tcBorders>
              <w:top w:val="single" w:sz="4" w:space="0" w:color="auto"/>
              <w:left w:val="single" w:sz="12" w:space="0" w:color="auto"/>
              <w:bottom w:val="single" w:sz="4" w:space="0" w:color="auto"/>
            </w:tcBorders>
          </w:tcPr>
          <w:p w14:paraId="31FF9502" w14:textId="77777777" w:rsidR="00177067" w:rsidRPr="003D5DFA" w:rsidRDefault="00826C57" w:rsidP="00193618">
            <w:pPr>
              <w:jc w:val="center"/>
              <w:rPr>
                <w:rFonts w:ascii="Arial" w:hAnsi="Arial" w:cs="Arial"/>
                <w:color w:val="000000"/>
                <w:sz w:val="20"/>
              </w:rPr>
            </w:pPr>
            <w:r w:rsidRPr="003D5DFA">
              <w:rPr>
                <w:rFonts w:ascii="Arial" w:hAnsi="Arial" w:cs="Arial"/>
                <w:color w:val="000000"/>
                <w:sz w:val="20"/>
              </w:rPr>
              <w:t>63,830</w:t>
            </w:r>
          </w:p>
        </w:tc>
        <w:tc>
          <w:tcPr>
            <w:tcW w:w="1023" w:type="pct"/>
            <w:tcBorders>
              <w:top w:val="single" w:sz="4" w:space="0" w:color="auto"/>
              <w:left w:val="single" w:sz="12" w:space="0" w:color="auto"/>
              <w:bottom w:val="single" w:sz="4" w:space="0" w:color="auto"/>
            </w:tcBorders>
          </w:tcPr>
          <w:p w14:paraId="35043822" w14:textId="77777777" w:rsidR="00177067" w:rsidRPr="003D5DFA" w:rsidRDefault="00655A55" w:rsidP="00193618">
            <w:pPr>
              <w:jc w:val="center"/>
              <w:rPr>
                <w:rFonts w:ascii="Arial" w:hAnsi="Arial" w:cs="Arial"/>
                <w:color w:val="000000"/>
                <w:sz w:val="20"/>
              </w:rPr>
            </w:pPr>
            <w:r w:rsidRPr="003D5DFA">
              <w:rPr>
                <w:rFonts w:ascii="Arial" w:hAnsi="Arial" w:cs="Arial"/>
                <w:color w:val="000000"/>
                <w:sz w:val="20"/>
              </w:rPr>
              <w:t>16,072</w:t>
            </w:r>
          </w:p>
        </w:tc>
        <w:tc>
          <w:tcPr>
            <w:tcW w:w="1151" w:type="pct"/>
            <w:tcBorders>
              <w:top w:val="single" w:sz="4" w:space="0" w:color="auto"/>
              <w:left w:val="single" w:sz="12" w:space="0" w:color="auto"/>
              <w:bottom w:val="single" w:sz="4" w:space="0" w:color="auto"/>
            </w:tcBorders>
          </w:tcPr>
          <w:p w14:paraId="7DEA31FC" w14:textId="77777777" w:rsidR="00177067" w:rsidRPr="003D5DFA" w:rsidRDefault="00655A55" w:rsidP="00193618">
            <w:pPr>
              <w:jc w:val="center"/>
              <w:rPr>
                <w:rFonts w:ascii="Arial" w:hAnsi="Arial" w:cs="Arial"/>
                <w:color w:val="000000"/>
                <w:sz w:val="20"/>
              </w:rPr>
            </w:pPr>
            <w:r w:rsidRPr="003D5DFA">
              <w:rPr>
                <w:rFonts w:ascii="Arial" w:hAnsi="Arial" w:cs="Arial"/>
                <w:color w:val="000000"/>
                <w:sz w:val="20"/>
              </w:rPr>
              <w:t>9,075</w:t>
            </w:r>
          </w:p>
        </w:tc>
        <w:tc>
          <w:tcPr>
            <w:tcW w:w="942" w:type="pct"/>
            <w:tcBorders>
              <w:top w:val="single" w:sz="4" w:space="0" w:color="auto"/>
              <w:left w:val="single" w:sz="12" w:space="0" w:color="auto"/>
              <w:bottom w:val="single" w:sz="4" w:space="0" w:color="auto"/>
            </w:tcBorders>
          </w:tcPr>
          <w:p w14:paraId="1C8C953F" w14:textId="77777777" w:rsidR="00177067" w:rsidRPr="003D5DFA" w:rsidRDefault="00284783" w:rsidP="00193618">
            <w:pPr>
              <w:jc w:val="center"/>
              <w:rPr>
                <w:rFonts w:ascii="Arial" w:hAnsi="Arial" w:cs="Arial"/>
                <w:color w:val="000000"/>
                <w:sz w:val="20"/>
              </w:rPr>
            </w:pPr>
            <w:r w:rsidRPr="003D5DFA">
              <w:rPr>
                <w:rFonts w:ascii="Arial" w:hAnsi="Arial" w:cs="Arial"/>
                <w:color w:val="000000"/>
                <w:sz w:val="20"/>
              </w:rPr>
              <w:t>3,920</w:t>
            </w:r>
          </w:p>
        </w:tc>
      </w:tr>
      <w:tr w:rsidR="00492F82" w:rsidRPr="003D5DFA" w14:paraId="44E494B2" w14:textId="77777777" w:rsidTr="008358C0">
        <w:tc>
          <w:tcPr>
            <w:tcW w:w="942" w:type="pct"/>
            <w:tcBorders>
              <w:top w:val="single" w:sz="4" w:space="0" w:color="auto"/>
              <w:left w:val="single" w:sz="12" w:space="0" w:color="auto"/>
              <w:bottom w:val="single" w:sz="4" w:space="0" w:color="auto"/>
              <w:right w:val="single" w:sz="4" w:space="0" w:color="auto"/>
            </w:tcBorders>
          </w:tcPr>
          <w:p w14:paraId="1ED3A4F0" w14:textId="63138562" w:rsidR="00492F82" w:rsidRPr="003D5DFA" w:rsidRDefault="00492F82" w:rsidP="00796A19">
            <w:pPr>
              <w:jc w:val="center"/>
              <w:rPr>
                <w:rFonts w:ascii="Arial" w:hAnsi="Arial" w:cs="Arial"/>
                <w:color w:val="000000"/>
                <w:sz w:val="20"/>
              </w:rPr>
            </w:pPr>
            <w:r w:rsidRPr="003D5DFA">
              <w:rPr>
                <w:rFonts w:ascii="Arial" w:hAnsi="Arial" w:cs="Arial"/>
                <w:color w:val="000000"/>
                <w:sz w:val="20"/>
              </w:rPr>
              <w:t>201</w:t>
            </w:r>
            <w:r>
              <w:rPr>
                <w:rFonts w:ascii="Arial" w:hAnsi="Arial" w:cs="Arial"/>
                <w:color w:val="000000"/>
                <w:sz w:val="20"/>
              </w:rPr>
              <w:t>2</w:t>
            </w:r>
            <w:r w:rsidR="009D6EF3">
              <w:rPr>
                <w:rFonts w:ascii="Arial" w:hAnsi="Arial" w:cs="Arial"/>
                <w:color w:val="000000"/>
                <w:sz w:val="20"/>
              </w:rPr>
              <w:t>/</w:t>
            </w:r>
            <w:r w:rsidRPr="003D5DFA">
              <w:rPr>
                <w:rFonts w:ascii="Arial" w:hAnsi="Arial" w:cs="Arial"/>
                <w:color w:val="000000"/>
                <w:sz w:val="20"/>
              </w:rPr>
              <w:t>201</w:t>
            </w:r>
            <w:r>
              <w:rPr>
                <w:rFonts w:ascii="Arial" w:hAnsi="Arial" w:cs="Arial"/>
                <w:color w:val="000000"/>
                <w:sz w:val="20"/>
              </w:rPr>
              <w:t>3</w:t>
            </w:r>
          </w:p>
        </w:tc>
        <w:tc>
          <w:tcPr>
            <w:tcW w:w="942" w:type="pct"/>
            <w:tcBorders>
              <w:top w:val="single" w:sz="4" w:space="0" w:color="auto"/>
              <w:left w:val="single" w:sz="12" w:space="0" w:color="auto"/>
              <w:bottom w:val="single" w:sz="4" w:space="0" w:color="auto"/>
              <w:right w:val="single" w:sz="4" w:space="0" w:color="auto"/>
            </w:tcBorders>
          </w:tcPr>
          <w:p w14:paraId="386B4568" w14:textId="77777777" w:rsidR="00492F82" w:rsidRPr="003D5DFA" w:rsidRDefault="00A309B2" w:rsidP="00796A19">
            <w:pPr>
              <w:jc w:val="center"/>
              <w:rPr>
                <w:rFonts w:ascii="Arial" w:hAnsi="Arial" w:cs="Arial"/>
                <w:color w:val="000000"/>
                <w:sz w:val="20"/>
              </w:rPr>
            </w:pPr>
            <w:r>
              <w:rPr>
                <w:rFonts w:ascii="Arial" w:hAnsi="Arial" w:cs="Arial"/>
                <w:color w:val="000000"/>
                <w:sz w:val="20"/>
              </w:rPr>
              <w:t>73,265</w:t>
            </w:r>
          </w:p>
        </w:tc>
        <w:tc>
          <w:tcPr>
            <w:tcW w:w="1023" w:type="pct"/>
            <w:tcBorders>
              <w:top w:val="single" w:sz="4" w:space="0" w:color="auto"/>
              <w:left w:val="single" w:sz="12" w:space="0" w:color="auto"/>
              <w:bottom w:val="single" w:sz="4" w:space="0" w:color="auto"/>
              <w:right w:val="single" w:sz="4" w:space="0" w:color="auto"/>
            </w:tcBorders>
          </w:tcPr>
          <w:p w14:paraId="065285CB" w14:textId="77777777" w:rsidR="00492F82" w:rsidRPr="003D5DFA" w:rsidRDefault="00A309B2" w:rsidP="00796A19">
            <w:pPr>
              <w:jc w:val="center"/>
              <w:rPr>
                <w:rFonts w:ascii="Arial" w:hAnsi="Arial" w:cs="Arial"/>
                <w:color w:val="000000"/>
                <w:sz w:val="20"/>
              </w:rPr>
            </w:pPr>
            <w:r>
              <w:rPr>
                <w:rFonts w:ascii="Arial" w:hAnsi="Arial" w:cs="Arial"/>
                <w:color w:val="000000"/>
                <w:sz w:val="20"/>
              </w:rPr>
              <w:t>17,476</w:t>
            </w:r>
          </w:p>
        </w:tc>
        <w:tc>
          <w:tcPr>
            <w:tcW w:w="1151" w:type="pct"/>
            <w:tcBorders>
              <w:top w:val="single" w:sz="4" w:space="0" w:color="auto"/>
              <w:left w:val="single" w:sz="12" w:space="0" w:color="auto"/>
              <w:bottom w:val="single" w:sz="4" w:space="0" w:color="auto"/>
              <w:right w:val="single" w:sz="4" w:space="0" w:color="auto"/>
            </w:tcBorders>
          </w:tcPr>
          <w:p w14:paraId="26E37C83" w14:textId="77777777" w:rsidR="00492F82" w:rsidRPr="003D5DFA" w:rsidRDefault="00A309B2" w:rsidP="00796A19">
            <w:pPr>
              <w:jc w:val="center"/>
              <w:rPr>
                <w:rFonts w:ascii="Arial" w:hAnsi="Arial" w:cs="Arial"/>
                <w:color w:val="000000"/>
                <w:sz w:val="20"/>
              </w:rPr>
            </w:pPr>
            <w:r>
              <w:rPr>
                <w:rFonts w:ascii="Arial" w:hAnsi="Arial" w:cs="Arial"/>
                <w:color w:val="000000"/>
                <w:sz w:val="20"/>
              </w:rPr>
              <w:t>10,489</w:t>
            </w:r>
          </w:p>
        </w:tc>
        <w:tc>
          <w:tcPr>
            <w:tcW w:w="942" w:type="pct"/>
            <w:tcBorders>
              <w:top w:val="single" w:sz="4" w:space="0" w:color="auto"/>
              <w:left w:val="single" w:sz="12" w:space="0" w:color="auto"/>
              <w:bottom w:val="single" w:sz="4" w:space="0" w:color="auto"/>
              <w:right w:val="single" w:sz="18" w:space="0" w:color="auto"/>
            </w:tcBorders>
          </w:tcPr>
          <w:p w14:paraId="002C772C" w14:textId="77777777" w:rsidR="00492F82" w:rsidRPr="003D5DFA" w:rsidRDefault="00A309B2" w:rsidP="00796A19">
            <w:pPr>
              <w:jc w:val="center"/>
              <w:rPr>
                <w:rFonts w:ascii="Arial" w:hAnsi="Arial" w:cs="Arial"/>
                <w:color w:val="000000"/>
                <w:sz w:val="20"/>
              </w:rPr>
            </w:pPr>
            <w:r>
              <w:rPr>
                <w:rFonts w:ascii="Arial" w:hAnsi="Arial" w:cs="Arial"/>
                <w:color w:val="000000"/>
                <w:sz w:val="20"/>
              </w:rPr>
              <w:t>3,804</w:t>
            </w:r>
          </w:p>
        </w:tc>
      </w:tr>
      <w:tr w:rsidR="00453F5C" w:rsidRPr="003D5DFA" w14:paraId="48BA2DF6" w14:textId="77777777" w:rsidTr="008358C0">
        <w:tc>
          <w:tcPr>
            <w:tcW w:w="942" w:type="pct"/>
            <w:tcBorders>
              <w:top w:val="single" w:sz="4" w:space="0" w:color="auto"/>
              <w:left w:val="single" w:sz="12" w:space="0" w:color="auto"/>
              <w:bottom w:val="single" w:sz="4" w:space="0" w:color="auto"/>
              <w:right w:val="single" w:sz="4" w:space="0" w:color="auto"/>
            </w:tcBorders>
          </w:tcPr>
          <w:p w14:paraId="102955F9" w14:textId="7BAAD3AE" w:rsidR="00453F5C" w:rsidRPr="003D5DFA" w:rsidRDefault="00453F5C" w:rsidP="00796A19">
            <w:pPr>
              <w:jc w:val="center"/>
              <w:rPr>
                <w:rFonts w:ascii="Arial" w:hAnsi="Arial" w:cs="Arial"/>
                <w:color w:val="000000"/>
                <w:sz w:val="20"/>
              </w:rPr>
            </w:pPr>
            <w:r>
              <w:rPr>
                <w:rFonts w:ascii="Arial" w:hAnsi="Arial" w:cs="Arial"/>
                <w:color w:val="000000"/>
                <w:sz w:val="20"/>
              </w:rPr>
              <w:t>2013</w:t>
            </w:r>
            <w:r w:rsidR="009D6EF3">
              <w:rPr>
                <w:rFonts w:ascii="Arial" w:hAnsi="Arial" w:cs="Arial"/>
                <w:color w:val="000000"/>
                <w:sz w:val="20"/>
              </w:rPr>
              <w:t>/</w:t>
            </w:r>
            <w:r>
              <w:rPr>
                <w:rFonts w:ascii="Arial" w:hAnsi="Arial" w:cs="Arial"/>
                <w:color w:val="000000"/>
                <w:sz w:val="20"/>
              </w:rPr>
              <w:t>2014</w:t>
            </w:r>
          </w:p>
        </w:tc>
        <w:tc>
          <w:tcPr>
            <w:tcW w:w="942" w:type="pct"/>
            <w:tcBorders>
              <w:top w:val="single" w:sz="4" w:space="0" w:color="auto"/>
              <w:left w:val="single" w:sz="12" w:space="0" w:color="auto"/>
              <w:bottom w:val="single" w:sz="4" w:space="0" w:color="auto"/>
              <w:right w:val="single" w:sz="4" w:space="0" w:color="auto"/>
            </w:tcBorders>
          </w:tcPr>
          <w:p w14:paraId="1CD3E323" w14:textId="77777777" w:rsidR="00453F5C" w:rsidRDefault="00453F5C" w:rsidP="00796A19">
            <w:pPr>
              <w:jc w:val="center"/>
              <w:rPr>
                <w:rFonts w:ascii="Arial" w:hAnsi="Arial" w:cs="Arial"/>
                <w:color w:val="000000"/>
                <w:sz w:val="20"/>
              </w:rPr>
            </w:pPr>
            <w:r>
              <w:rPr>
                <w:rFonts w:ascii="Arial" w:hAnsi="Arial" w:cs="Arial"/>
                <w:color w:val="000000"/>
                <w:sz w:val="20"/>
              </w:rPr>
              <w:t>82,056</w:t>
            </w:r>
          </w:p>
        </w:tc>
        <w:tc>
          <w:tcPr>
            <w:tcW w:w="1023" w:type="pct"/>
            <w:tcBorders>
              <w:top w:val="single" w:sz="4" w:space="0" w:color="auto"/>
              <w:left w:val="single" w:sz="12" w:space="0" w:color="auto"/>
              <w:bottom w:val="single" w:sz="4" w:space="0" w:color="auto"/>
              <w:right w:val="single" w:sz="4" w:space="0" w:color="auto"/>
            </w:tcBorders>
          </w:tcPr>
          <w:p w14:paraId="07BD799B" w14:textId="77777777" w:rsidR="00453F5C" w:rsidRDefault="00453F5C" w:rsidP="00796A19">
            <w:pPr>
              <w:jc w:val="center"/>
              <w:rPr>
                <w:rFonts w:ascii="Arial" w:hAnsi="Arial" w:cs="Arial"/>
                <w:color w:val="000000"/>
                <w:sz w:val="20"/>
              </w:rPr>
            </w:pPr>
            <w:r>
              <w:rPr>
                <w:rFonts w:ascii="Arial" w:hAnsi="Arial" w:cs="Arial"/>
                <w:color w:val="000000"/>
                <w:sz w:val="20"/>
              </w:rPr>
              <w:t>19,206</w:t>
            </w:r>
          </w:p>
        </w:tc>
        <w:tc>
          <w:tcPr>
            <w:tcW w:w="1151" w:type="pct"/>
            <w:tcBorders>
              <w:top w:val="single" w:sz="4" w:space="0" w:color="auto"/>
              <w:left w:val="single" w:sz="12" w:space="0" w:color="auto"/>
              <w:bottom w:val="single" w:sz="4" w:space="0" w:color="auto"/>
              <w:right w:val="single" w:sz="4" w:space="0" w:color="auto"/>
            </w:tcBorders>
          </w:tcPr>
          <w:p w14:paraId="0AEED227" w14:textId="77777777" w:rsidR="00453F5C" w:rsidRDefault="00453F5C" w:rsidP="00796A19">
            <w:pPr>
              <w:jc w:val="center"/>
              <w:rPr>
                <w:rFonts w:ascii="Arial" w:hAnsi="Arial" w:cs="Arial"/>
                <w:color w:val="000000"/>
                <w:sz w:val="20"/>
              </w:rPr>
            </w:pPr>
            <w:r>
              <w:rPr>
                <w:rFonts w:ascii="Arial" w:hAnsi="Arial" w:cs="Arial"/>
                <w:color w:val="000000"/>
                <w:sz w:val="20"/>
              </w:rPr>
              <w:t>11,395</w:t>
            </w:r>
          </w:p>
        </w:tc>
        <w:tc>
          <w:tcPr>
            <w:tcW w:w="942" w:type="pct"/>
            <w:tcBorders>
              <w:top w:val="single" w:sz="4" w:space="0" w:color="auto"/>
              <w:left w:val="single" w:sz="12" w:space="0" w:color="auto"/>
              <w:bottom w:val="single" w:sz="4" w:space="0" w:color="auto"/>
              <w:right w:val="single" w:sz="18" w:space="0" w:color="auto"/>
            </w:tcBorders>
          </w:tcPr>
          <w:p w14:paraId="0700E768" w14:textId="5FB475AD" w:rsidR="00453F5C" w:rsidRDefault="00625B1E" w:rsidP="00796A19">
            <w:pPr>
              <w:jc w:val="center"/>
              <w:rPr>
                <w:rFonts w:ascii="Arial" w:hAnsi="Arial" w:cs="Arial"/>
                <w:color w:val="000000"/>
                <w:sz w:val="20"/>
              </w:rPr>
            </w:pPr>
            <w:r>
              <w:rPr>
                <w:rFonts w:ascii="Arial" w:hAnsi="Arial" w:cs="Arial"/>
                <w:color w:val="000000"/>
                <w:sz w:val="20"/>
              </w:rPr>
              <w:t>4,2</w:t>
            </w:r>
            <w:r w:rsidR="00D01113">
              <w:rPr>
                <w:rFonts w:ascii="Arial" w:hAnsi="Arial" w:cs="Arial"/>
                <w:color w:val="000000"/>
                <w:sz w:val="20"/>
              </w:rPr>
              <w:t>9</w:t>
            </w:r>
            <w:r>
              <w:rPr>
                <w:rFonts w:ascii="Arial" w:hAnsi="Arial" w:cs="Arial"/>
                <w:color w:val="000000"/>
                <w:sz w:val="20"/>
              </w:rPr>
              <w:t>0</w:t>
            </w:r>
          </w:p>
        </w:tc>
      </w:tr>
      <w:tr w:rsidR="00B64CD9" w:rsidRPr="003D5DFA" w14:paraId="479E5B36" w14:textId="77777777" w:rsidTr="008358C0">
        <w:tc>
          <w:tcPr>
            <w:tcW w:w="942" w:type="pct"/>
            <w:tcBorders>
              <w:top w:val="single" w:sz="4" w:space="0" w:color="auto"/>
              <w:left w:val="single" w:sz="12" w:space="0" w:color="auto"/>
              <w:bottom w:val="single" w:sz="4" w:space="0" w:color="auto"/>
              <w:right w:val="single" w:sz="4" w:space="0" w:color="auto"/>
            </w:tcBorders>
            <w:shd w:val="clear" w:color="auto" w:fill="000000" w:themeFill="text1"/>
          </w:tcPr>
          <w:p w14:paraId="56022052" w14:textId="77777777" w:rsidR="00B64CD9" w:rsidRDefault="00B64CD9" w:rsidP="00796A19">
            <w:pPr>
              <w:jc w:val="center"/>
              <w:rPr>
                <w:rFonts w:ascii="Arial" w:hAnsi="Arial" w:cs="Arial"/>
                <w:color w:val="000000"/>
                <w:sz w:val="20"/>
              </w:rPr>
            </w:pPr>
          </w:p>
        </w:tc>
        <w:tc>
          <w:tcPr>
            <w:tcW w:w="942" w:type="pct"/>
            <w:tcBorders>
              <w:top w:val="single" w:sz="4" w:space="0" w:color="auto"/>
              <w:left w:val="single" w:sz="12" w:space="0" w:color="auto"/>
              <w:bottom w:val="single" w:sz="4" w:space="0" w:color="auto"/>
              <w:right w:val="single" w:sz="4" w:space="0" w:color="auto"/>
            </w:tcBorders>
            <w:shd w:val="clear" w:color="auto" w:fill="000000" w:themeFill="text1"/>
          </w:tcPr>
          <w:p w14:paraId="2A9ED3E4" w14:textId="77777777" w:rsidR="00B64CD9" w:rsidRDefault="00B64CD9" w:rsidP="00796A19">
            <w:pPr>
              <w:jc w:val="center"/>
              <w:rPr>
                <w:rFonts w:ascii="Arial" w:hAnsi="Arial" w:cs="Arial"/>
                <w:color w:val="000000"/>
                <w:sz w:val="20"/>
              </w:rPr>
            </w:pPr>
          </w:p>
        </w:tc>
        <w:tc>
          <w:tcPr>
            <w:tcW w:w="1023" w:type="pct"/>
            <w:tcBorders>
              <w:top w:val="single" w:sz="4" w:space="0" w:color="auto"/>
              <w:left w:val="single" w:sz="12" w:space="0" w:color="auto"/>
              <w:bottom w:val="single" w:sz="4" w:space="0" w:color="auto"/>
              <w:right w:val="single" w:sz="4" w:space="0" w:color="auto"/>
            </w:tcBorders>
            <w:shd w:val="clear" w:color="auto" w:fill="000000" w:themeFill="text1"/>
          </w:tcPr>
          <w:p w14:paraId="2A338D19" w14:textId="77777777" w:rsidR="00B64CD9" w:rsidRDefault="00B64CD9" w:rsidP="00796A19">
            <w:pPr>
              <w:jc w:val="center"/>
              <w:rPr>
                <w:rFonts w:ascii="Arial" w:hAnsi="Arial" w:cs="Arial"/>
                <w:color w:val="000000"/>
                <w:sz w:val="20"/>
              </w:rPr>
            </w:pPr>
          </w:p>
        </w:tc>
        <w:tc>
          <w:tcPr>
            <w:tcW w:w="1151" w:type="pct"/>
            <w:tcBorders>
              <w:top w:val="single" w:sz="4" w:space="0" w:color="auto"/>
              <w:left w:val="single" w:sz="12" w:space="0" w:color="auto"/>
              <w:bottom w:val="single" w:sz="4" w:space="0" w:color="auto"/>
              <w:right w:val="single" w:sz="4" w:space="0" w:color="auto"/>
            </w:tcBorders>
            <w:shd w:val="clear" w:color="auto" w:fill="000000" w:themeFill="text1"/>
          </w:tcPr>
          <w:p w14:paraId="16B8C590" w14:textId="77777777" w:rsidR="00B64CD9" w:rsidRDefault="00B64CD9" w:rsidP="00796A19">
            <w:pPr>
              <w:jc w:val="center"/>
              <w:rPr>
                <w:rFonts w:ascii="Arial" w:hAnsi="Arial" w:cs="Arial"/>
                <w:color w:val="000000"/>
                <w:sz w:val="20"/>
              </w:rPr>
            </w:pPr>
          </w:p>
        </w:tc>
        <w:tc>
          <w:tcPr>
            <w:tcW w:w="942" w:type="pct"/>
            <w:tcBorders>
              <w:top w:val="single" w:sz="4" w:space="0" w:color="auto"/>
              <w:left w:val="single" w:sz="12" w:space="0" w:color="auto"/>
              <w:bottom w:val="single" w:sz="4" w:space="0" w:color="auto"/>
              <w:right w:val="single" w:sz="18" w:space="0" w:color="auto"/>
            </w:tcBorders>
            <w:shd w:val="clear" w:color="auto" w:fill="000000" w:themeFill="text1"/>
          </w:tcPr>
          <w:p w14:paraId="497FD1BF" w14:textId="77777777" w:rsidR="00B64CD9" w:rsidRDefault="00B64CD9" w:rsidP="00796A19">
            <w:pPr>
              <w:jc w:val="center"/>
              <w:rPr>
                <w:rFonts w:ascii="Arial" w:hAnsi="Arial" w:cs="Arial"/>
                <w:color w:val="000000"/>
                <w:sz w:val="20"/>
              </w:rPr>
            </w:pPr>
          </w:p>
        </w:tc>
      </w:tr>
      <w:tr w:rsidR="00B64CD9" w:rsidRPr="003D5DFA" w14:paraId="11ABD619" w14:textId="77777777" w:rsidTr="008358C0">
        <w:tc>
          <w:tcPr>
            <w:tcW w:w="942" w:type="pct"/>
            <w:tcBorders>
              <w:top w:val="single" w:sz="4" w:space="0" w:color="auto"/>
              <w:left w:val="single" w:sz="12" w:space="0" w:color="auto"/>
              <w:bottom w:val="single" w:sz="4" w:space="0" w:color="auto"/>
              <w:right w:val="single" w:sz="4" w:space="0" w:color="auto"/>
            </w:tcBorders>
          </w:tcPr>
          <w:p w14:paraId="0491CD35" w14:textId="048BD399" w:rsidR="00B64CD9" w:rsidRDefault="00215923" w:rsidP="00796A19">
            <w:pPr>
              <w:jc w:val="center"/>
              <w:rPr>
                <w:rFonts w:ascii="Arial" w:hAnsi="Arial" w:cs="Arial"/>
                <w:color w:val="000000"/>
                <w:sz w:val="20"/>
              </w:rPr>
            </w:pPr>
            <w:r>
              <w:rPr>
                <w:rFonts w:ascii="Arial" w:hAnsi="Arial" w:cs="Arial"/>
                <w:color w:val="000000"/>
                <w:sz w:val="20"/>
              </w:rPr>
              <w:t>2019/2020</w:t>
            </w:r>
          </w:p>
        </w:tc>
        <w:tc>
          <w:tcPr>
            <w:tcW w:w="942" w:type="pct"/>
            <w:tcBorders>
              <w:top w:val="single" w:sz="4" w:space="0" w:color="auto"/>
              <w:left w:val="single" w:sz="12" w:space="0" w:color="auto"/>
              <w:bottom w:val="single" w:sz="4" w:space="0" w:color="auto"/>
              <w:right w:val="single" w:sz="4" w:space="0" w:color="auto"/>
            </w:tcBorders>
          </w:tcPr>
          <w:p w14:paraId="687A2A77" w14:textId="4EE2B39C" w:rsidR="00B64CD9" w:rsidRDefault="00215923" w:rsidP="00796A19">
            <w:pPr>
              <w:jc w:val="center"/>
              <w:rPr>
                <w:rFonts w:ascii="Arial" w:hAnsi="Arial" w:cs="Arial"/>
                <w:color w:val="000000"/>
                <w:sz w:val="20"/>
              </w:rPr>
            </w:pPr>
            <w:r>
              <w:rPr>
                <w:rFonts w:ascii="Arial" w:hAnsi="Arial" w:cs="Arial"/>
                <w:color w:val="000000"/>
                <w:sz w:val="20"/>
              </w:rPr>
              <w:t>121,739</w:t>
            </w:r>
          </w:p>
        </w:tc>
        <w:tc>
          <w:tcPr>
            <w:tcW w:w="1023" w:type="pct"/>
            <w:tcBorders>
              <w:top w:val="single" w:sz="4" w:space="0" w:color="auto"/>
              <w:left w:val="single" w:sz="12" w:space="0" w:color="auto"/>
              <w:bottom w:val="single" w:sz="4" w:space="0" w:color="auto"/>
              <w:right w:val="single" w:sz="4" w:space="0" w:color="auto"/>
            </w:tcBorders>
          </w:tcPr>
          <w:p w14:paraId="31BC0A9F" w14:textId="2C91B3B6" w:rsidR="00B64CD9" w:rsidRDefault="00215923" w:rsidP="00796A19">
            <w:pPr>
              <w:jc w:val="center"/>
              <w:rPr>
                <w:rFonts w:ascii="Arial" w:hAnsi="Arial" w:cs="Arial"/>
                <w:color w:val="000000"/>
                <w:sz w:val="20"/>
              </w:rPr>
            </w:pPr>
            <w:r>
              <w:rPr>
                <w:rFonts w:ascii="Arial" w:hAnsi="Arial" w:cs="Arial"/>
                <w:color w:val="000000"/>
                <w:sz w:val="20"/>
              </w:rPr>
              <w:t>33,783</w:t>
            </w:r>
          </w:p>
        </w:tc>
        <w:tc>
          <w:tcPr>
            <w:tcW w:w="1151" w:type="pct"/>
            <w:tcBorders>
              <w:top w:val="single" w:sz="4" w:space="0" w:color="auto"/>
              <w:left w:val="single" w:sz="12" w:space="0" w:color="auto"/>
              <w:bottom w:val="single" w:sz="4" w:space="0" w:color="auto"/>
              <w:right w:val="single" w:sz="4" w:space="0" w:color="auto"/>
            </w:tcBorders>
          </w:tcPr>
          <w:p w14:paraId="23C4FF36" w14:textId="77777777" w:rsidR="00B64CD9" w:rsidRDefault="00215923" w:rsidP="00796A19">
            <w:pPr>
              <w:jc w:val="center"/>
              <w:rPr>
                <w:rFonts w:ascii="Arial" w:hAnsi="Arial" w:cs="Arial"/>
                <w:color w:val="000000"/>
                <w:sz w:val="20"/>
              </w:rPr>
            </w:pPr>
            <w:r>
              <w:rPr>
                <w:rFonts w:ascii="Arial" w:hAnsi="Arial" w:cs="Arial"/>
                <w:color w:val="000000"/>
                <w:sz w:val="20"/>
              </w:rPr>
              <w:t>16,714</w:t>
            </w:r>
          </w:p>
          <w:p w14:paraId="15F0451D" w14:textId="5BC9C5B2" w:rsidR="008358C0" w:rsidRDefault="008358C0" w:rsidP="00796A19">
            <w:pPr>
              <w:jc w:val="center"/>
              <w:rPr>
                <w:rFonts w:ascii="Arial" w:hAnsi="Arial" w:cs="Arial"/>
                <w:color w:val="000000"/>
                <w:sz w:val="20"/>
              </w:rPr>
            </w:pPr>
            <w:r>
              <w:rPr>
                <w:rFonts w:ascii="Arial" w:hAnsi="Arial" w:cs="Arial"/>
                <w:color w:val="000000"/>
                <w:sz w:val="20"/>
              </w:rPr>
              <w:t>[2,341 indigenous]</w:t>
            </w:r>
          </w:p>
        </w:tc>
        <w:tc>
          <w:tcPr>
            <w:tcW w:w="942" w:type="pct"/>
            <w:tcBorders>
              <w:top w:val="single" w:sz="4" w:space="0" w:color="auto"/>
              <w:left w:val="single" w:sz="12" w:space="0" w:color="auto"/>
              <w:bottom w:val="single" w:sz="4" w:space="0" w:color="auto"/>
              <w:right w:val="single" w:sz="18" w:space="0" w:color="auto"/>
            </w:tcBorders>
          </w:tcPr>
          <w:p w14:paraId="3D982AB9" w14:textId="5C8EA99F" w:rsidR="00B64CD9" w:rsidRDefault="00D01113" w:rsidP="00796A19">
            <w:pPr>
              <w:jc w:val="center"/>
              <w:rPr>
                <w:rFonts w:ascii="Arial" w:hAnsi="Arial" w:cs="Arial"/>
                <w:color w:val="000000"/>
                <w:sz w:val="20"/>
              </w:rPr>
            </w:pPr>
            <w:r>
              <w:rPr>
                <w:rFonts w:ascii="Arial" w:hAnsi="Arial" w:cs="Arial"/>
                <w:color w:val="000000"/>
                <w:sz w:val="20"/>
              </w:rPr>
              <w:t>5,881</w:t>
            </w:r>
          </w:p>
        </w:tc>
      </w:tr>
      <w:tr w:rsidR="00B64CD9" w:rsidRPr="003D5DFA" w14:paraId="15DE54EF" w14:textId="77777777" w:rsidTr="008358C0">
        <w:tc>
          <w:tcPr>
            <w:tcW w:w="942" w:type="pct"/>
            <w:tcBorders>
              <w:top w:val="single" w:sz="4" w:space="0" w:color="auto"/>
              <w:left w:val="single" w:sz="12" w:space="0" w:color="auto"/>
              <w:bottom w:val="single" w:sz="4" w:space="0" w:color="auto"/>
              <w:right w:val="single" w:sz="4" w:space="0" w:color="auto"/>
            </w:tcBorders>
          </w:tcPr>
          <w:p w14:paraId="7D131894" w14:textId="60AB1861" w:rsidR="00B64CD9" w:rsidRDefault="00215923" w:rsidP="00796A19">
            <w:pPr>
              <w:jc w:val="center"/>
              <w:rPr>
                <w:rFonts w:ascii="Arial" w:hAnsi="Arial" w:cs="Arial"/>
                <w:color w:val="000000"/>
                <w:sz w:val="20"/>
              </w:rPr>
            </w:pPr>
            <w:r>
              <w:rPr>
                <w:rFonts w:ascii="Arial" w:hAnsi="Arial" w:cs="Arial"/>
                <w:color w:val="000000"/>
                <w:sz w:val="20"/>
              </w:rPr>
              <w:t>2020/2021</w:t>
            </w:r>
          </w:p>
        </w:tc>
        <w:tc>
          <w:tcPr>
            <w:tcW w:w="942" w:type="pct"/>
            <w:tcBorders>
              <w:top w:val="single" w:sz="4" w:space="0" w:color="auto"/>
              <w:left w:val="single" w:sz="12" w:space="0" w:color="auto"/>
              <w:bottom w:val="single" w:sz="4" w:space="0" w:color="auto"/>
              <w:right w:val="single" w:sz="4" w:space="0" w:color="auto"/>
            </w:tcBorders>
          </w:tcPr>
          <w:p w14:paraId="60A2D050" w14:textId="253E79D9" w:rsidR="00B64CD9" w:rsidRDefault="00215923" w:rsidP="00796A19">
            <w:pPr>
              <w:jc w:val="center"/>
              <w:rPr>
                <w:rFonts w:ascii="Arial" w:hAnsi="Arial" w:cs="Arial"/>
                <w:color w:val="000000"/>
                <w:sz w:val="20"/>
              </w:rPr>
            </w:pPr>
            <w:r>
              <w:rPr>
                <w:rFonts w:ascii="Arial" w:hAnsi="Arial" w:cs="Arial"/>
                <w:color w:val="000000"/>
                <w:sz w:val="20"/>
              </w:rPr>
              <w:t>121,715</w:t>
            </w:r>
          </w:p>
        </w:tc>
        <w:tc>
          <w:tcPr>
            <w:tcW w:w="1023" w:type="pct"/>
            <w:tcBorders>
              <w:top w:val="single" w:sz="4" w:space="0" w:color="auto"/>
              <w:left w:val="single" w:sz="12" w:space="0" w:color="auto"/>
              <w:bottom w:val="single" w:sz="4" w:space="0" w:color="auto"/>
              <w:right w:val="single" w:sz="4" w:space="0" w:color="auto"/>
            </w:tcBorders>
          </w:tcPr>
          <w:p w14:paraId="611E724A" w14:textId="242A3410" w:rsidR="00B64CD9" w:rsidRDefault="00215923" w:rsidP="00796A19">
            <w:pPr>
              <w:jc w:val="center"/>
              <w:rPr>
                <w:rFonts w:ascii="Arial" w:hAnsi="Arial" w:cs="Arial"/>
                <w:color w:val="000000"/>
                <w:sz w:val="20"/>
              </w:rPr>
            </w:pPr>
            <w:r>
              <w:rPr>
                <w:rFonts w:ascii="Arial" w:hAnsi="Arial" w:cs="Arial"/>
                <w:color w:val="000000"/>
                <w:sz w:val="20"/>
              </w:rPr>
              <w:t>33,320</w:t>
            </w:r>
          </w:p>
        </w:tc>
        <w:tc>
          <w:tcPr>
            <w:tcW w:w="1151" w:type="pct"/>
            <w:tcBorders>
              <w:top w:val="single" w:sz="4" w:space="0" w:color="auto"/>
              <w:left w:val="single" w:sz="12" w:space="0" w:color="auto"/>
              <w:bottom w:val="single" w:sz="4" w:space="0" w:color="auto"/>
              <w:right w:val="single" w:sz="4" w:space="0" w:color="auto"/>
            </w:tcBorders>
          </w:tcPr>
          <w:p w14:paraId="681369EE" w14:textId="2A398FDD" w:rsidR="00B64CD9" w:rsidRDefault="00215923" w:rsidP="00796A19">
            <w:pPr>
              <w:jc w:val="center"/>
              <w:rPr>
                <w:rFonts w:ascii="Arial" w:hAnsi="Arial" w:cs="Arial"/>
                <w:color w:val="000000"/>
                <w:sz w:val="20"/>
              </w:rPr>
            </w:pPr>
            <w:r>
              <w:rPr>
                <w:rFonts w:ascii="Arial" w:hAnsi="Arial" w:cs="Arial"/>
                <w:color w:val="000000"/>
                <w:sz w:val="20"/>
              </w:rPr>
              <w:t>16,830</w:t>
            </w:r>
          </w:p>
        </w:tc>
        <w:tc>
          <w:tcPr>
            <w:tcW w:w="942" w:type="pct"/>
            <w:tcBorders>
              <w:top w:val="single" w:sz="4" w:space="0" w:color="auto"/>
              <w:left w:val="single" w:sz="12" w:space="0" w:color="auto"/>
              <w:bottom w:val="single" w:sz="4" w:space="0" w:color="auto"/>
              <w:right w:val="single" w:sz="18" w:space="0" w:color="auto"/>
            </w:tcBorders>
          </w:tcPr>
          <w:p w14:paraId="4BD3C2A0" w14:textId="616FFA88" w:rsidR="00B64CD9" w:rsidRDefault="00D01113" w:rsidP="00796A19">
            <w:pPr>
              <w:jc w:val="center"/>
              <w:rPr>
                <w:rFonts w:ascii="Arial" w:hAnsi="Arial" w:cs="Arial"/>
                <w:color w:val="000000"/>
                <w:sz w:val="20"/>
              </w:rPr>
            </w:pPr>
            <w:r>
              <w:rPr>
                <w:rFonts w:ascii="Arial" w:hAnsi="Arial" w:cs="Arial"/>
                <w:color w:val="000000"/>
                <w:sz w:val="20"/>
              </w:rPr>
              <w:t>4,723</w:t>
            </w:r>
          </w:p>
        </w:tc>
      </w:tr>
      <w:tr w:rsidR="00B64CD9" w:rsidRPr="003D5DFA" w14:paraId="230E17C3" w14:textId="77777777" w:rsidTr="008358C0">
        <w:tc>
          <w:tcPr>
            <w:tcW w:w="942" w:type="pct"/>
            <w:tcBorders>
              <w:top w:val="single" w:sz="4" w:space="0" w:color="auto"/>
              <w:left w:val="single" w:sz="12" w:space="0" w:color="auto"/>
              <w:bottom w:val="single" w:sz="4" w:space="0" w:color="auto"/>
              <w:right w:val="single" w:sz="4" w:space="0" w:color="auto"/>
            </w:tcBorders>
          </w:tcPr>
          <w:p w14:paraId="79BE23BA" w14:textId="7EAF1043" w:rsidR="00B64CD9" w:rsidRDefault="00215923" w:rsidP="00796A19">
            <w:pPr>
              <w:jc w:val="center"/>
              <w:rPr>
                <w:rFonts w:ascii="Arial" w:hAnsi="Arial" w:cs="Arial"/>
                <w:color w:val="000000"/>
                <w:sz w:val="20"/>
              </w:rPr>
            </w:pPr>
            <w:r>
              <w:rPr>
                <w:rFonts w:ascii="Arial" w:hAnsi="Arial" w:cs="Arial"/>
                <w:color w:val="000000"/>
                <w:sz w:val="20"/>
              </w:rPr>
              <w:t>2021/2022</w:t>
            </w:r>
          </w:p>
        </w:tc>
        <w:tc>
          <w:tcPr>
            <w:tcW w:w="942" w:type="pct"/>
            <w:tcBorders>
              <w:top w:val="single" w:sz="4" w:space="0" w:color="auto"/>
              <w:left w:val="single" w:sz="12" w:space="0" w:color="auto"/>
              <w:bottom w:val="single" w:sz="4" w:space="0" w:color="auto"/>
              <w:right w:val="single" w:sz="4" w:space="0" w:color="auto"/>
            </w:tcBorders>
          </w:tcPr>
          <w:p w14:paraId="0E6D9D85" w14:textId="5A4788AE" w:rsidR="00B64CD9" w:rsidRDefault="009B1A5D" w:rsidP="00796A19">
            <w:pPr>
              <w:jc w:val="center"/>
              <w:rPr>
                <w:rFonts w:ascii="Arial" w:hAnsi="Arial" w:cs="Arial"/>
                <w:color w:val="000000"/>
                <w:sz w:val="20"/>
              </w:rPr>
            </w:pPr>
            <w:r>
              <w:rPr>
                <w:rFonts w:ascii="Arial" w:hAnsi="Arial" w:cs="Arial"/>
                <w:color w:val="000000"/>
                <w:sz w:val="20"/>
              </w:rPr>
              <w:t>118,096</w:t>
            </w:r>
          </w:p>
        </w:tc>
        <w:tc>
          <w:tcPr>
            <w:tcW w:w="1023" w:type="pct"/>
            <w:tcBorders>
              <w:top w:val="single" w:sz="4" w:space="0" w:color="auto"/>
              <w:left w:val="single" w:sz="12" w:space="0" w:color="auto"/>
              <w:bottom w:val="single" w:sz="4" w:space="0" w:color="auto"/>
              <w:right w:val="single" w:sz="4" w:space="0" w:color="auto"/>
            </w:tcBorders>
          </w:tcPr>
          <w:p w14:paraId="1E40B00A" w14:textId="261A67D1" w:rsidR="00B64CD9" w:rsidRDefault="009B1A5D" w:rsidP="00796A19">
            <w:pPr>
              <w:jc w:val="center"/>
              <w:rPr>
                <w:rFonts w:ascii="Arial" w:hAnsi="Arial" w:cs="Arial"/>
                <w:color w:val="000000"/>
                <w:sz w:val="20"/>
              </w:rPr>
            </w:pPr>
            <w:r>
              <w:rPr>
                <w:rFonts w:ascii="Arial" w:hAnsi="Arial" w:cs="Arial"/>
                <w:color w:val="000000"/>
                <w:sz w:val="20"/>
              </w:rPr>
              <w:t>35,518</w:t>
            </w:r>
          </w:p>
        </w:tc>
        <w:tc>
          <w:tcPr>
            <w:tcW w:w="1151" w:type="pct"/>
            <w:tcBorders>
              <w:top w:val="single" w:sz="4" w:space="0" w:color="auto"/>
              <w:left w:val="single" w:sz="12" w:space="0" w:color="auto"/>
              <w:bottom w:val="single" w:sz="4" w:space="0" w:color="auto"/>
              <w:right w:val="single" w:sz="4" w:space="0" w:color="auto"/>
            </w:tcBorders>
          </w:tcPr>
          <w:p w14:paraId="32AE365E" w14:textId="0F37FEF9" w:rsidR="00B64CD9" w:rsidRDefault="009B1A5D" w:rsidP="00796A19">
            <w:pPr>
              <w:jc w:val="center"/>
              <w:rPr>
                <w:rFonts w:ascii="Arial" w:hAnsi="Arial" w:cs="Arial"/>
                <w:color w:val="000000"/>
                <w:sz w:val="20"/>
              </w:rPr>
            </w:pPr>
            <w:r>
              <w:rPr>
                <w:rFonts w:ascii="Arial" w:hAnsi="Arial" w:cs="Arial"/>
                <w:color w:val="000000"/>
                <w:sz w:val="20"/>
              </w:rPr>
              <w:t>16,066</w:t>
            </w:r>
          </w:p>
        </w:tc>
        <w:tc>
          <w:tcPr>
            <w:tcW w:w="942" w:type="pct"/>
            <w:tcBorders>
              <w:top w:val="single" w:sz="4" w:space="0" w:color="auto"/>
              <w:left w:val="single" w:sz="12" w:space="0" w:color="auto"/>
              <w:bottom w:val="single" w:sz="4" w:space="0" w:color="auto"/>
              <w:right w:val="single" w:sz="18" w:space="0" w:color="auto"/>
            </w:tcBorders>
          </w:tcPr>
          <w:p w14:paraId="6068799B" w14:textId="5AFBEE09" w:rsidR="00B64CD9" w:rsidRDefault="00D01113" w:rsidP="00796A19">
            <w:pPr>
              <w:jc w:val="center"/>
              <w:rPr>
                <w:rFonts w:ascii="Arial" w:hAnsi="Arial" w:cs="Arial"/>
                <w:color w:val="000000"/>
                <w:sz w:val="20"/>
              </w:rPr>
            </w:pPr>
            <w:r>
              <w:rPr>
                <w:rFonts w:ascii="Arial" w:hAnsi="Arial" w:cs="Arial"/>
                <w:color w:val="000000"/>
                <w:sz w:val="20"/>
              </w:rPr>
              <w:t>3,935</w:t>
            </w:r>
          </w:p>
        </w:tc>
      </w:tr>
      <w:tr w:rsidR="00215923" w:rsidRPr="003D5DFA" w14:paraId="63FCB92D" w14:textId="77777777" w:rsidTr="008358C0">
        <w:tc>
          <w:tcPr>
            <w:tcW w:w="942" w:type="pct"/>
            <w:tcBorders>
              <w:top w:val="single" w:sz="4" w:space="0" w:color="auto"/>
              <w:left w:val="single" w:sz="12" w:space="0" w:color="auto"/>
              <w:bottom w:val="single" w:sz="18" w:space="0" w:color="auto"/>
              <w:right w:val="single" w:sz="4" w:space="0" w:color="auto"/>
            </w:tcBorders>
          </w:tcPr>
          <w:p w14:paraId="54F86785" w14:textId="2E1C0EB1" w:rsidR="00215923" w:rsidRDefault="00215923" w:rsidP="00796A19">
            <w:pPr>
              <w:jc w:val="center"/>
              <w:rPr>
                <w:rFonts w:ascii="Arial" w:hAnsi="Arial" w:cs="Arial"/>
                <w:color w:val="000000"/>
                <w:sz w:val="20"/>
              </w:rPr>
            </w:pPr>
            <w:r>
              <w:rPr>
                <w:rFonts w:ascii="Arial" w:hAnsi="Arial" w:cs="Arial"/>
                <w:color w:val="000000"/>
                <w:sz w:val="20"/>
              </w:rPr>
              <w:t>2022/2023</w:t>
            </w:r>
          </w:p>
        </w:tc>
        <w:tc>
          <w:tcPr>
            <w:tcW w:w="942" w:type="pct"/>
            <w:tcBorders>
              <w:top w:val="single" w:sz="4" w:space="0" w:color="auto"/>
              <w:left w:val="single" w:sz="12" w:space="0" w:color="auto"/>
              <w:bottom w:val="single" w:sz="18" w:space="0" w:color="auto"/>
              <w:right w:val="single" w:sz="4" w:space="0" w:color="auto"/>
            </w:tcBorders>
          </w:tcPr>
          <w:p w14:paraId="58A83EB1" w14:textId="77777777" w:rsidR="00215923" w:rsidRDefault="00215923" w:rsidP="00796A19">
            <w:pPr>
              <w:jc w:val="center"/>
              <w:rPr>
                <w:rFonts w:ascii="Arial" w:hAnsi="Arial" w:cs="Arial"/>
                <w:color w:val="000000"/>
                <w:sz w:val="20"/>
              </w:rPr>
            </w:pPr>
          </w:p>
        </w:tc>
        <w:tc>
          <w:tcPr>
            <w:tcW w:w="1023" w:type="pct"/>
            <w:tcBorders>
              <w:top w:val="single" w:sz="4" w:space="0" w:color="auto"/>
              <w:left w:val="single" w:sz="12" w:space="0" w:color="auto"/>
              <w:bottom w:val="single" w:sz="18" w:space="0" w:color="auto"/>
              <w:right w:val="single" w:sz="4" w:space="0" w:color="auto"/>
            </w:tcBorders>
          </w:tcPr>
          <w:p w14:paraId="497A0349" w14:textId="77777777" w:rsidR="00215923" w:rsidRDefault="00215923" w:rsidP="00796A19">
            <w:pPr>
              <w:jc w:val="center"/>
              <w:rPr>
                <w:rFonts w:ascii="Arial" w:hAnsi="Arial" w:cs="Arial"/>
                <w:color w:val="000000"/>
                <w:sz w:val="20"/>
              </w:rPr>
            </w:pPr>
          </w:p>
        </w:tc>
        <w:tc>
          <w:tcPr>
            <w:tcW w:w="1151" w:type="pct"/>
            <w:tcBorders>
              <w:top w:val="single" w:sz="4" w:space="0" w:color="auto"/>
              <w:left w:val="single" w:sz="12" w:space="0" w:color="auto"/>
              <w:bottom w:val="single" w:sz="18" w:space="0" w:color="auto"/>
              <w:right w:val="single" w:sz="4" w:space="0" w:color="auto"/>
            </w:tcBorders>
          </w:tcPr>
          <w:p w14:paraId="68DCF271" w14:textId="77777777" w:rsidR="00215923" w:rsidRDefault="00215923" w:rsidP="00796A19">
            <w:pPr>
              <w:jc w:val="center"/>
              <w:rPr>
                <w:rFonts w:ascii="Arial" w:hAnsi="Arial" w:cs="Arial"/>
                <w:color w:val="000000"/>
                <w:sz w:val="20"/>
              </w:rPr>
            </w:pPr>
          </w:p>
        </w:tc>
        <w:tc>
          <w:tcPr>
            <w:tcW w:w="942" w:type="pct"/>
            <w:tcBorders>
              <w:top w:val="single" w:sz="4" w:space="0" w:color="auto"/>
              <w:left w:val="single" w:sz="12" w:space="0" w:color="auto"/>
              <w:bottom w:val="single" w:sz="18" w:space="0" w:color="auto"/>
              <w:right w:val="single" w:sz="18" w:space="0" w:color="auto"/>
            </w:tcBorders>
          </w:tcPr>
          <w:p w14:paraId="7F4DBA9B" w14:textId="1972FC0C" w:rsidR="00215923" w:rsidRDefault="00D01113" w:rsidP="00796A19">
            <w:pPr>
              <w:jc w:val="center"/>
              <w:rPr>
                <w:rFonts w:ascii="Arial" w:hAnsi="Arial" w:cs="Arial"/>
                <w:color w:val="000000"/>
                <w:sz w:val="20"/>
              </w:rPr>
            </w:pPr>
            <w:r>
              <w:rPr>
                <w:rFonts w:ascii="Arial" w:hAnsi="Arial" w:cs="Arial"/>
                <w:color w:val="000000"/>
                <w:sz w:val="20"/>
              </w:rPr>
              <w:t>3,874</w:t>
            </w:r>
          </w:p>
        </w:tc>
      </w:tr>
    </w:tbl>
    <w:p w14:paraId="3AA7D697" w14:textId="77777777" w:rsidR="008358C0" w:rsidRDefault="008358C0" w:rsidP="008358C0">
      <w:pPr>
        <w:pStyle w:val="Heading3"/>
        <w:widowControl/>
        <w:spacing w:line="240" w:lineRule="auto"/>
        <w:rPr>
          <w:rFonts w:ascii="Arial" w:hAnsi="Arial" w:cs="Arial"/>
          <w:color w:val="000000"/>
          <w:sz w:val="20"/>
        </w:rPr>
      </w:pPr>
      <w:bookmarkStart w:id="784" w:name="_4.7_Representation_of"/>
      <w:bookmarkStart w:id="785" w:name="B47"/>
      <w:bookmarkStart w:id="786" w:name="_4.7_Representation_of_1"/>
      <w:bookmarkStart w:id="787" w:name="_Toc30607531"/>
      <w:bookmarkStart w:id="788" w:name="_Toc30607660"/>
      <w:bookmarkStart w:id="789" w:name="_Toc30607985"/>
      <w:bookmarkStart w:id="790" w:name="_Toc30608818"/>
      <w:bookmarkStart w:id="791" w:name="_Toc30610032"/>
      <w:bookmarkStart w:id="792" w:name="_Toc30610276"/>
      <w:bookmarkStart w:id="793" w:name="_Toc30638430"/>
      <w:bookmarkStart w:id="794" w:name="_Toc30644243"/>
      <w:bookmarkStart w:id="795" w:name="_Toc30644650"/>
      <w:bookmarkStart w:id="796" w:name="_Toc30645200"/>
      <w:bookmarkStart w:id="797" w:name="_Toc30646412"/>
      <w:bookmarkStart w:id="798" w:name="_Toc30646707"/>
      <w:bookmarkStart w:id="799" w:name="_Toc30646818"/>
      <w:bookmarkStart w:id="800" w:name="_Toc30648180"/>
      <w:bookmarkStart w:id="801" w:name="_Toc30649078"/>
      <w:bookmarkStart w:id="802" w:name="_Toc30649154"/>
      <w:bookmarkStart w:id="803" w:name="_Toc30649415"/>
      <w:bookmarkStart w:id="804" w:name="_Toc30649740"/>
      <w:bookmarkStart w:id="805" w:name="_Toc30651680"/>
      <w:bookmarkStart w:id="806" w:name="_Toc30652670"/>
      <w:bookmarkStart w:id="807" w:name="_Toc30652766"/>
      <w:bookmarkStart w:id="808" w:name="_Toc30654111"/>
      <w:bookmarkStart w:id="809" w:name="_Toc30654462"/>
      <w:bookmarkStart w:id="810" w:name="_Toc30655081"/>
      <w:bookmarkStart w:id="811" w:name="_Toc30655338"/>
      <w:bookmarkStart w:id="812" w:name="_Toc30657016"/>
      <w:bookmarkStart w:id="813" w:name="_Toc30661765"/>
      <w:bookmarkStart w:id="814" w:name="_Toc30666453"/>
      <w:bookmarkStart w:id="815" w:name="_Toc30666683"/>
      <w:bookmarkStart w:id="816" w:name="_Toc30667858"/>
      <w:bookmarkStart w:id="817" w:name="_Toc30669236"/>
      <w:bookmarkStart w:id="818" w:name="_Toc30671452"/>
      <w:bookmarkStart w:id="819" w:name="_Toc30673979"/>
      <w:bookmarkStart w:id="820" w:name="_Toc30691201"/>
      <w:bookmarkStart w:id="821" w:name="_Toc30691574"/>
      <w:bookmarkStart w:id="822" w:name="_Toc30691954"/>
      <w:bookmarkStart w:id="823" w:name="_Toc30692713"/>
      <w:bookmarkStart w:id="824" w:name="_Toc30693092"/>
      <w:bookmarkStart w:id="825" w:name="_Toc30693470"/>
      <w:bookmarkStart w:id="826" w:name="_Toc30693848"/>
      <w:bookmarkStart w:id="827" w:name="_Toc30694229"/>
      <w:bookmarkStart w:id="828" w:name="_Toc30698818"/>
      <w:bookmarkStart w:id="829" w:name="_Toc30699196"/>
      <w:bookmarkStart w:id="830" w:name="_Toc30699581"/>
      <w:bookmarkStart w:id="831" w:name="_Toc30700736"/>
      <w:bookmarkStart w:id="832" w:name="_Toc30701123"/>
      <w:bookmarkStart w:id="833" w:name="_Toc30743732"/>
      <w:bookmarkStart w:id="834" w:name="_Toc30754555"/>
      <w:bookmarkStart w:id="835" w:name="_Toc30756995"/>
      <w:bookmarkStart w:id="836" w:name="_Toc30757544"/>
      <w:bookmarkStart w:id="837" w:name="_Toc30757944"/>
      <w:bookmarkStart w:id="838" w:name="_Toc30762705"/>
      <w:bookmarkStart w:id="839" w:name="_Toc30767359"/>
      <w:bookmarkStart w:id="840" w:name="_Toc34823374"/>
      <w:bookmarkEnd w:id="784"/>
      <w:bookmarkEnd w:id="785"/>
      <w:bookmarkEnd w:id="786"/>
    </w:p>
    <w:p w14:paraId="53E026C9" w14:textId="7A742DFA" w:rsidR="008358C0" w:rsidRPr="0035780D" w:rsidRDefault="008358C0" w:rsidP="008358C0">
      <w:pPr>
        <w:pStyle w:val="Heading3"/>
        <w:widowControl/>
        <w:shd w:val="clear" w:color="auto" w:fill="000000" w:themeFill="text1"/>
        <w:spacing w:line="240" w:lineRule="auto"/>
        <w:jc w:val="center"/>
        <w:rPr>
          <w:rFonts w:ascii="Arial" w:hAnsi="Arial" w:cs="Arial"/>
          <w:b/>
          <w:bCs/>
          <w:color w:val="FFFFFF" w:themeColor="background1"/>
          <w:szCs w:val="24"/>
        </w:rPr>
      </w:pPr>
      <w:r w:rsidRPr="0035780D">
        <w:rPr>
          <w:rFonts w:ascii="Arial" w:hAnsi="Arial" w:cs="Arial"/>
          <w:b/>
          <w:bCs/>
          <w:color w:val="FFFFFF" w:themeColor="background1"/>
          <w:szCs w:val="24"/>
        </w:rPr>
        <w:t>AUSTRALIA</w:t>
      </w:r>
    </w:p>
    <w:p w14:paraId="3F169BB8" w14:textId="77777777" w:rsidR="008358C0" w:rsidRDefault="008358C0" w:rsidP="008358C0">
      <w:pPr>
        <w:jc w:val="both"/>
        <w:rPr>
          <w:rFonts w:ascii="Arial" w:hAnsi="Arial" w:cs="Arial"/>
          <w:color w:val="000000"/>
          <w:sz w:val="20"/>
        </w:rPr>
      </w:pPr>
    </w:p>
    <w:p w14:paraId="6160A67A" w14:textId="793A6BE6" w:rsidR="008358C0" w:rsidRPr="00785E1A" w:rsidRDefault="008358C0" w:rsidP="008358C0">
      <w:pPr>
        <w:jc w:val="both"/>
        <w:rPr>
          <w:rFonts w:ascii="Arial" w:hAnsi="Arial" w:cs="Arial"/>
          <w:color w:val="000000"/>
          <w:sz w:val="20"/>
        </w:rPr>
      </w:pPr>
      <w:r w:rsidRPr="00785E1A">
        <w:rPr>
          <w:rFonts w:ascii="Arial" w:hAnsi="Arial" w:cs="Arial"/>
          <w:color w:val="000000"/>
          <w:sz w:val="20"/>
        </w:rPr>
        <w:t>As in Victoria, the most common source of child protection reports for finalised investigations throughout Australia was police.  In 2009</w:t>
      </w:r>
      <w:r>
        <w:rPr>
          <w:rFonts w:ascii="Arial" w:hAnsi="Arial" w:cs="Arial"/>
          <w:color w:val="000000"/>
          <w:sz w:val="20"/>
        </w:rPr>
        <w:t>/</w:t>
      </w:r>
      <w:r w:rsidRPr="00785E1A">
        <w:rPr>
          <w:rFonts w:ascii="Arial" w:hAnsi="Arial" w:cs="Arial"/>
          <w:color w:val="000000"/>
          <w:sz w:val="20"/>
        </w:rPr>
        <w:t xml:space="preserve">2010 the national average was 26%.  Also as in </w:t>
      </w:r>
      <w:smartTag w:uri="urn:schemas-microsoft-com:office:smarttags" w:element="place">
        <w:smartTag w:uri="urn:schemas-microsoft-com:office:smarttags" w:element="State">
          <w:r w:rsidRPr="00785E1A">
            <w:rPr>
              <w:rFonts w:ascii="Arial" w:hAnsi="Arial" w:cs="Arial"/>
              <w:color w:val="000000"/>
              <w:sz w:val="20"/>
            </w:rPr>
            <w:t>Victoria</w:t>
          </w:r>
        </w:smartTag>
      </w:smartTag>
      <w:r w:rsidRPr="00785E1A">
        <w:rPr>
          <w:rFonts w:ascii="Arial" w:hAnsi="Arial" w:cs="Arial"/>
          <w:color w:val="000000"/>
          <w:sz w:val="20"/>
        </w:rPr>
        <w:t>, the second most common source of investigated child protection reports was school personnel.  In 2009</w:t>
      </w:r>
      <w:r>
        <w:rPr>
          <w:rFonts w:ascii="Arial" w:hAnsi="Arial" w:cs="Arial"/>
          <w:color w:val="000000"/>
          <w:sz w:val="20"/>
        </w:rPr>
        <w:t>/</w:t>
      </w:r>
      <w:r w:rsidRPr="00785E1A">
        <w:rPr>
          <w:rFonts w:ascii="Arial" w:hAnsi="Arial" w:cs="Arial"/>
          <w:color w:val="000000"/>
          <w:sz w:val="20"/>
        </w:rPr>
        <w:t>2010 the national average was 20%, a significantly higher figure than in Victoria.  To some extent, this may reflect differences across the states and territories in mandatory reporting requirements.</w:t>
      </w:r>
      <w:r>
        <w:rPr>
          <w:rFonts w:ascii="Arial" w:hAnsi="Arial" w:cs="Arial"/>
          <w:color w:val="000000"/>
          <w:sz w:val="20"/>
        </w:rPr>
        <w:t xml:space="preserve">  The </w:t>
      </w:r>
      <w:r w:rsidR="001413E6">
        <w:rPr>
          <w:rFonts w:ascii="Arial" w:hAnsi="Arial" w:cs="Arial"/>
          <w:color w:val="000000"/>
          <w:sz w:val="20"/>
        </w:rPr>
        <w:t xml:space="preserve">first </w:t>
      </w:r>
      <w:r>
        <w:rPr>
          <w:rFonts w:ascii="Arial" w:hAnsi="Arial" w:cs="Arial"/>
          <w:color w:val="000000"/>
          <w:sz w:val="20"/>
        </w:rPr>
        <w:t>chart below shows the most common source of child protection reports across Australia in 2019/2020.</w:t>
      </w:r>
      <w:r w:rsidR="001413E6">
        <w:rPr>
          <w:rFonts w:ascii="Arial" w:hAnsi="Arial" w:cs="Arial"/>
          <w:color w:val="000000"/>
          <w:sz w:val="20"/>
        </w:rPr>
        <w:t xml:space="preserve">  The second shows </w:t>
      </w:r>
      <w:r w:rsidR="00FD2A9D">
        <w:rPr>
          <w:rFonts w:ascii="Arial" w:hAnsi="Arial" w:cs="Arial"/>
          <w:color w:val="000000"/>
          <w:sz w:val="20"/>
        </w:rPr>
        <w:t>a breakdown of notifications, by type of action and state/territory in 2021/2022.</w:t>
      </w:r>
    </w:p>
    <w:p w14:paraId="53DF7ED8" w14:textId="77777777" w:rsidR="008358C0" w:rsidRDefault="008358C0" w:rsidP="008358C0">
      <w:pPr>
        <w:jc w:val="both"/>
        <w:rPr>
          <w:rFonts w:ascii="Arial" w:hAnsi="Arial" w:cs="Arial"/>
          <w:color w:val="000000"/>
          <w:sz w:val="20"/>
        </w:rPr>
      </w:pPr>
    </w:p>
    <w:p w14:paraId="40120D38" w14:textId="77777777" w:rsidR="008358C0" w:rsidRDefault="008358C0" w:rsidP="001413E6">
      <w:pPr>
        <w:jc w:val="center"/>
        <w:rPr>
          <w:rFonts w:ascii="Arial" w:hAnsi="Arial" w:cs="Arial"/>
          <w:color w:val="000000"/>
          <w:sz w:val="20"/>
        </w:rPr>
      </w:pPr>
      <w:r w:rsidRPr="00507332">
        <w:rPr>
          <w:rFonts w:ascii="Arial" w:hAnsi="Arial" w:cs="Arial"/>
          <w:b/>
          <w:bCs/>
          <w:noProof/>
          <w:color w:val="000000"/>
          <w:sz w:val="20"/>
          <w:szCs w:val="20"/>
        </w:rPr>
        <w:lastRenderedPageBreak/>
        <w:drawing>
          <wp:inline distT="0" distB="0" distL="0" distR="0" wp14:anchorId="0F91F4A3" wp14:editId="69974EAE">
            <wp:extent cx="5277600" cy="40423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7600" cy="4042334"/>
                    </a:xfrm>
                    <a:prstGeom prst="rect">
                      <a:avLst/>
                    </a:prstGeom>
                  </pic:spPr>
                </pic:pic>
              </a:graphicData>
            </a:graphic>
          </wp:inline>
        </w:drawing>
      </w:r>
    </w:p>
    <w:p w14:paraId="42E2419B" w14:textId="4448D002" w:rsidR="00507332" w:rsidRDefault="00507332">
      <w:pPr>
        <w:rPr>
          <w:rFonts w:ascii="Arial" w:hAnsi="Arial" w:cs="Arial"/>
          <w:color w:val="000000"/>
          <w:sz w:val="20"/>
          <w:szCs w:val="20"/>
        </w:rPr>
      </w:pPr>
    </w:p>
    <w:p w14:paraId="1CFADA99" w14:textId="0C48F64E" w:rsidR="003431A4" w:rsidRPr="003431A4" w:rsidRDefault="00FD2A9D" w:rsidP="001413E6">
      <w:pPr>
        <w:jc w:val="center"/>
        <w:rPr>
          <w:rFonts w:ascii="Arial" w:hAnsi="Arial" w:cs="Arial"/>
          <w:b/>
          <w:bCs/>
          <w:color w:val="000000"/>
          <w:kern w:val="28"/>
          <w:sz w:val="20"/>
          <w:szCs w:val="16"/>
          <w:lang w:val="en-GB"/>
        </w:rPr>
      </w:pPr>
      <w:r w:rsidRPr="00FD2A9D">
        <w:rPr>
          <w:rFonts w:ascii="Arial" w:hAnsi="Arial" w:cs="Arial"/>
          <w:noProof/>
          <w:color w:val="000000"/>
          <w:sz w:val="20"/>
          <w:szCs w:val="20"/>
          <w:bdr w:val="single" w:sz="4" w:space="0" w:color="auto"/>
        </w:rPr>
        <w:drawing>
          <wp:inline distT="0" distB="0" distL="0" distR="0" wp14:anchorId="0ED61999" wp14:editId="060EBC62">
            <wp:extent cx="5278120" cy="46050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8120" cy="4605020"/>
                    </a:xfrm>
                    <a:prstGeom prst="rect">
                      <a:avLst/>
                    </a:prstGeom>
                  </pic:spPr>
                </pic:pic>
              </a:graphicData>
            </a:graphic>
          </wp:inline>
        </w:drawing>
      </w:r>
      <w:r w:rsidR="003431A4" w:rsidRPr="003431A4">
        <w:rPr>
          <w:rFonts w:ascii="Arial" w:hAnsi="Arial" w:cs="Arial"/>
          <w:b/>
          <w:bCs/>
          <w:color w:val="000000"/>
          <w:sz w:val="20"/>
          <w:szCs w:val="20"/>
        </w:rPr>
        <w:br w:type="page"/>
      </w:r>
    </w:p>
    <w:p w14:paraId="1E6E3747" w14:textId="29116FCD" w:rsidR="00693223" w:rsidRPr="00785E1A" w:rsidRDefault="00693223" w:rsidP="00166488">
      <w:pPr>
        <w:pStyle w:val="Heading2"/>
        <w:keepNext/>
        <w:keepLines/>
        <w:tabs>
          <w:tab w:val="left" w:pos="567"/>
        </w:tabs>
        <w:spacing w:line="240" w:lineRule="auto"/>
        <w:rPr>
          <w:rFonts w:ascii="Arial" w:hAnsi="Arial" w:cs="Arial"/>
          <w:b/>
          <w:bCs/>
          <w:color w:val="000000"/>
        </w:rPr>
      </w:pPr>
      <w:bookmarkStart w:id="841" w:name="_4.7_Representation_of_2"/>
      <w:bookmarkEnd w:id="841"/>
      <w:r w:rsidRPr="00785E1A">
        <w:rPr>
          <w:rFonts w:ascii="Arial" w:hAnsi="Arial" w:cs="Arial"/>
          <w:b/>
          <w:bCs/>
          <w:color w:val="000000"/>
        </w:rPr>
        <w:lastRenderedPageBreak/>
        <w:t>4.7</w:t>
      </w:r>
      <w:r w:rsidRPr="00785E1A">
        <w:rPr>
          <w:rFonts w:ascii="Arial" w:hAnsi="Arial" w:cs="Arial"/>
          <w:b/>
          <w:bCs/>
          <w:color w:val="000000"/>
        </w:rPr>
        <w:tab/>
        <w:t>Representation of children in the Family Division of the Court</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054B6DC5" w14:textId="77777777" w:rsidR="006A5D64" w:rsidRPr="00785E1A" w:rsidRDefault="006A5D64" w:rsidP="00166488">
      <w:pPr>
        <w:keepNext/>
        <w:keepLines/>
        <w:rPr>
          <w:rFonts w:ascii="Arial" w:hAnsi="Arial" w:cs="Arial"/>
          <w:color w:val="000000"/>
        </w:rPr>
      </w:pPr>
    </w:p>
    <w:p w14:paraId="39BEE347" w14:textId="77777777" w:rsidR="006A5D64" w:rsidRPr="00785E1A" w:rsidRDefault="006A5D64" w:rsidP="00FD695D">
      <w:pPr>
        <w:keepNext/>
        <w:keepLines/>
        <w:pBdr>
          <w:top w:val="single" w:sz="4" w:space="1" w:color="auto"/>
          <w:left w:val="single" w:sz="4" w:space="4" w:color="auto"/>
          <w:bottom w:val="single" w:sz="4" w:space="1" w:color="auto"/>
          <w:right w:val="single" w:sz="4" w:space="4" w:color="auto"/>
        </w:pBdr>
        <w:ind w:left="794" w:right="794"/>
        <w:jc w:val="center"/>
        <w:rPr>
          <w:rFonts w:ascii="Arial" w:hAnsi="Arial" w:cs="Arial"/>
          <w:b/>
          <w:bCs/>
          <w:color w:val="000000"/>
          <w:sz w:val="20"/>
        </w:rPr>
      </w:pPr>
      <w:r w:rsidRPr="00785E1A">
        <w:rPr>
          <w:rFonts w:ascii="Arial" w:hAnsi="Arial" w:cs="Arial"/>
          <w:b/>
          <w:bCs/>
          <w:color w:val="000000"/>
          <w:sz w:val="20"/>
        </w:rPr>
        <w:t>"Lawyers, I suppose, were children once."</w:t>
      </w:r>
    </w:p>
    <w:p w14:paraId="6B21E3EC" w14:textId="77777777" w:rsidR="006A5D64" w:rsidRPr="00785E1A" w:rsidRDefault="006A5D64" w:rsidP="001F6EA3">
      <w:pPr>
        <w:pBdr>
          <w:top w:val="single" w:sz="4" w:space="1" w:color="auto"/>
          <w:left w:val="single" w:sz="4" w:space="4" w:color="auto"/>
          <w:bottom w:val="single" w:sz="4" w:space="1" w:color="auto"/>
          <w:right w:val="single" w:sz="4" w:space="4" w:color="auto"/>
        </w:pBdr>
        <w:ind w:left="794" w:right="794"/>
        <w:jc w:val="center"/>
        <w:rPr>
          <w:rFonts w:ascii="Arial" w:hAnsi="Arial" w:cs="Arial"/>
          <w:color w:val="000000"/>
          <w:sz w:val="20"/>
        </w:rPr>
      </w:pPr>
      <w:r w:rsidRPr="00785E1A">
        <w:rPr>
          <w:rFonts w:ascii="Arial" w:hAnsi="Arial" w:cs="Arial"/>
          <w:color w:val="000000"/>
          <w:sz w:val="20"/>
        </w:rPr>
        <w:t xml:space="preserve">Inscription upon the statue of a child in the </w:t>
      </w:r>
      <w:smartTag w:uri="urn:schemas-microsoft-com:office:smarttags" w:element="PlaceName">
        <w:r w:rsidRPr="00785E1A">
          <w:rPr>
            <w:rFonts w:ascii="Arial" w:hAnsi="Arial" w:cs="Arial"/>
            <w:color w:val="000000"/>
            <w:sz w:val="20"/>
          </w:rPr>
          <w:t>Inner</w:t>
        </w:r>
      </w:smartTag>
      <w:r w:rsidRPr="00785E1A">
        <w:rPr>
          <w:rFonts w:ascii="Arial" w:hAnsi="Arial" w:cs="Arial"/>
          <w:color w:val="000000"/>
          <w:sz w:val="20"/>
        </w:rPr>
        <w:t xml:space="preserve"> </w:t>
      </w:r>
      <w:smartTag w:uri="urn:schemas-microsoft-com:office:smarttags" w:element="PlaceType">
        <w:r w:rsidRPr="00785E1A">
          <w:rPr>
            <w:rFonts w:ascii="Arial" w:hAnsi="Arial" w:cs="Arial"/>
            <w:color w:val="000000"/>
            <w:sz w:val="20"/>
          </w:rPr>
          <w:t>Temple</w:t>
        </w:r>
      </w:smartTag>
      <w:r w:rsidRPr="00785E1A">
        <w:rPr>
          <w:rFonts w:ascii="Arial" w:hAnsi="Arial" w:cs="Arial"/>
          <w:color w:val="000000"/>
          <w:sz w:val="20"/>
        </w:rPr>
        <w:t xml:space="preserve"> </w:t>
      </w:r>
      <w:smartTag w:uri="urn:schemas-microsoft-com:office:smarttags" w:element="PlaceType">
        <w:r w:rsidRPr="00785E1A">
          <w:rPr>
            <w:rFonts w:ascii="Arial" w:hAnsi="Arial" w:cs="Arial"/>
            <w:color w:val="000000"/>
            <w:sz w:val="20"/>
          </w:rPr>
          <w:t>Garden</w:t>
        </w:r>
      </w:smartTag>
      <w:r w:rsidRPr="00785E1A">
        <w:rPr>
          <w:rFonts w:ascii="Arial" w:hAnsi="Arial" w:cs="Arial"/>
          <w:color w:val="000000"/>
          <w:sz w:val="20"/>
        </w:rPr>
        <w:t xml:space="preserve"> in </w:t>
      </w:r>
      <w:smartTag w:uri="urn:schemas-microsoft-com:office:smarttags" w:element="City">
        <w:smartTag w:uri="urn:schemas-microsoft-com:office:smarttags" w:element="place">
          <w:r w:rsidRPr="00785E1A">
            <w:rPr>
              <w:rFonts w:ascii="Arial" w:hAnsi="Arial" w:cs="Arial"/>
              <w:color w:val="000000"/>
              <w:sz w:val="20"/>
            </w:rPr>
            <w:t>London</w:t>
          </w:r>
        </w:smartTag>
      </w:smartTag>
    </w:p>
    <w:p w14:paraId="0E31B95E" w14:textId="77777777" w:rsidR="006A5D64" w:rsidRPr="00785E1A" w:rsidRDefault="006A5D64" w:rsidP="001F6EA3">
      <w:pPr>
        <w:jc w:val="both"/>
        <w:rPr>
          <w:rFonts w:ascii="Arial" w:hAnsi="Arial" w:cs="Arial"/>
          <w:color w:val="000000"/>
        </w:rPr>
      </w:pPr>
    </w:p>
    <w:p w14:paraId="24A0FC87" w14:textId="77777777" w:rsidR="00693223" w:rsidRPr="00CB73D1" w:rsidRDefault="00693223" w:rsidP="001F6EA3">
      <w:pPr>
        <w:pBdr>
          <w:top w:val="single" w:sz="4" w:space="1" w:color="auto"/>
          <w:left w:val="single" w:sz="4" w:space="4" w:color="auto"/>
          <w:bottom w:val="single" w:sz="4" w:space="1" w:color="auto"/>
          <w:right w:val="single" w:sz="4" w:space="4" w:color="auto"/>
        </w:pBdr>
        <w:jc w:val="center"/>
        <w:rPr>
          <w:rFonts w:ascii="Arial" w:hAnsi="Arial" w:cs="Arial"/>
          <w:color w:val="000000"/>
          <w:sz w:val="20"/>
        </w:rPr>
      </w:pPr>
      <w:r w:rsidRPr="00CB73D1">
        <w:rPr>
          <w:rFonts w:ascii="Arial" w:hAnsi="Arial" w:cs="Arial"/>
          <w:color w:val="000000"/>
          <w:sz w:val="20"/>
        </w:rPr>
        <w:t>See also</w:t>
      </w:r>
      <w:r w:rsidRPr="00CB73D1">
        <w:rPr>
          <w:rFonts w:ascii="Arial" w:hAnsi="Arial" w:cs="Arial"/>
          <w:b/>
          <w:bCs/>
          <w:color w:val="000000"/>
          <w:sz w:val="20"/>
        </w:rPr>
        <w:t xml:space="preserve"> 6.</w:t>
      </w:r>
      <w:r w:rsidR="00ED4D32" w:rsidRPr="00CB73D1">
        <w:rPr>
          <w:rFonts w:ascii="Arial" w:hAnsi="Arial" w:cs="Arial"/>
          <w:b/>
          <w:bCs/>
          <w:color w:val="000000"/>
          <w:sz w:val="20"/>
        </w:rPr>
        <w:t>10</w:t>
      </w:r>
      <w:r w:rsidRPr="00CB73D1">
        <w:rPr>
          <w:rFonts w:ascii="Arial" w:hAnsi="Arial" w:cs="Arial"/>
          <w:b/>
          <w:bCs/>
          <w:color w:val="000000"/>
          <w:sz w:val="20"/>
        </w:rPr>
        <w:t xml:space="preserve"> Representation of children in intervention order proceedings</w:t>
      </w:r>
      <w:r w:rsidRPr="00CB73D1">
        <w:rPr>
          <w:rFonts w:ascii="Arial" w:hAnsi="Arial" w:cs="Arial"/>
          <w:color w:val="000000"/>
          <w:sz w:val="20"/>
        </w:rPr>
        <w:t>.</w:t>
      </w:r>
    </w:p>
    <w:p w14:paraId="4F04956B" w14:textId="77777777" w:rsidR="00693223" w:rsidRPr="00785E1A" w:rsidRDefault="00693223" w:rsidP="001F6EA3">
      <w:pPr>
        <w:jc w:val="both"/>
        <w:rPr>
          <w:rFonts w:ascii="Arial" w:hAnsi="Arial" w:cs="Arial"/>
          <w:color w:val="000000"/>
        </w:rPr>
      </w:pPr>
    </w:p>
    <w:p w14:paraId="7DE5038F" w14:textId="77777777" w:rsidR="007D2F69" w:rsidRPr="003D5DFA" w:rsidRDefault="00F32A61" w:rsidP="001F6EA3">
      <w:pPr>
        <w:pStyle w:val="Heading3"/>
        <w:keepNext/>
        <w:keepLines/>
        <w:widowControl/>
        <w:spacing w:after="120" w:line="240" w:lineRule="auto"/>
        <w:rPr>
          <w:rFonts w:ascii="Arial" w:hAnsi="Arial" w:cs="Arial"/>
          <w:b/>
          <w:bCs/>
          <w:color w:val="000000"/>
          <w:sz w:val="20"/>
        </w:rPr>
      </w:pPr>
      <w:bookmarkStart w:id="842" w:name="_4.7.1_Obligation_to"/>
      <w:bookmarkStart w:id="843" w:name="B471"/>
      <w:bookmarkEnd w:id="842"/>
      <w:bookmarkEnd w:id="843"/>
      <w:r w:rsidRPr="00785E1A">
        <w:rPr>
          <w:rFonts w:ascii="Arial" w:hAnsi="Arial" w:cs="Arial"/>
          <w:b/>
          <w:bCs/>
          <w:color w:val="000000"/>
          <w:sz w:val="20"/>
        </w:rPr>
        <w:t>4.7.1</w:t>
      </w:r>
      <w:r w:rsidRPr="00785E1A">
        <w:rPr>
          <w:rFonts w:ascii="Arial" w:hAnsi="Arial" w:cs="Arial"/>
          <w:b/>
          <w:bCs/>
          <w:color w:val="000000"/>
          <w:sz w:val="20"/>
        </w:rPr>
        <w:tab/>
        <w:t>Obligation to afford child a fair hearing</w:t>
      </w:r>
    </w:p>
    <w:p w14:paraId="55C66F0C" w14:textId="77777777" w:rsidR="003E0D54" w:rsidRPr="00785E1A" w:rsidRDefault="00507E47" w:rsidP="00F32A61">
      <w:pPr>
        <w:spacing w:before="120"/>
        <w:jc w:val="both"/>
        <w:rPr>
          <w:rFonts w:ascii="Arial" w:hAnsi="Arial" w:cs="Arial"/>
          <w:color w:val="000000"/>
          <w:sz w:val="20"/>
        </w:rPr>
      </w:pPr>
      <w:r w:rsidRPr="00785E1A">
        <w:rPr>
          <w:rFonts w:ascii="Arial" w:hAnsi="Arial" w:cs="Arial"/>
          <w:bCs/>
          <w:color w:val="000000"/>
          <w:sz w:val="20"/>
        </w:rPr>
        <w:t xml:space="preserve">In </w:t>
      </w:r>
      <w:r w:rsidRPr="00785E1A">
        <w:rPr>
          <w:rFonts w:ascii="Arial" w:hAnsi="Arial" w:cs="Arial"/>
          <w:bCs/>
          <w:i/>
          <w:color w:val="000000"/>
          <w:sz w:val="20"/>
        </w:rPr>
        <w:t>DOHS v Sanding</w:t>
      </w:r>
      <w:r w:rsidR="003E0D54" w:rsidRPr="00785E1A">
        <w:rPr>
          <w:rFonts w:ascii="Arial" w:hAnsi="Arial" w:cs="Arial"/>
          <w:bCs/>
          <w:color w:val="000000"/>
          <w:sz w:val="20"/>
        </w:rPr>
        <w:t xml:space="preserve"> [2011] VSC 42 </w:t>
      </w:r>
      <w:r w:rsidRPr="00785E1A">
        <w:rPr>
          <w:rFonts w:ascii="Arial" w:hAnsi="Arial" w:cs="Arial"/>
          <w:bCs/>
          <w:color w:val="000000"/>
          <w:sz w:val="20"/>
        </w:rPr>
        <w:t xml:space="preserve">Bell J </w:t>
      </w:r>
      <w:r w:rsidR="00F32A61" w:rsidRPr="00785E1A">
        <w:rPr>
          <w:rFonts w:ascii="Arial" w:hAnsi="Arial" w:cs="Arial"/>
          <w:color w:val="000000"/>
          <w:sz w:val="20"/>
        </w:rPr>
        <w:t>stressed the importance of affording a child a</w:t>
      </w:r>
      <w:r w:rsidR="00F917A7" w:rsidRPr="00785E1A">
        <w:rPr>
          <w:rFonts w:ascii="Arial" w:hAnsi="Arial" w:cs="Arial"/>
          <w:color w:val="000000"/>
          <w:sz w:val="20"/>
        </w:rPr>
        <w:t xml:space="preserve"> fair hearing in a protection proceeding</w:t>
      </w:r>
      <w:r w:rsidR="003E0D54" w:rsidRPr="00785E1A">
        <w:rPr>
          <w:rFonts w:ascii="Arial" w:hAnsi="Arial" w:cs="Arial"/>
          <w:color w:val="000000"/>
          <w:sz w:val="20"/>
        </w:rPr>
        <w:t xml:space="preserve"> and of a child being heard in matters affecting him or her.</w:t>
      </w:r>
    </w:p>
    <w:p w14:paraId="389F00FE" w14:textId="77777777" w:rsidR="003E0D54" w:rsidRPr="00785E1A" w:rsidRDefault="003E0D54" w:rsidP="003E0D54">
      <w:pPr>
        <w:jc w:val="both"/>
        <w:rPr>
          <w:rFonts w:ascii="Arial" w:hAnsi="Arial" w:cs="Arial"/>
          <w:color w:val="000000"/>
          <w:sz w:val="20"/>
        </w:rPr>
      </w:pPr>
    </w:p>
    <w:p w14:paraId="46F5DDC0" w14:textId="77777777" w:rsidR="003E0D54" w:rsidRPr="00785E1A" w:rsidRDefault="003E0D54" w:rsidP="003E0D54">
      <w:pPr>
        <w:jc w:val="both"/>
        <w:rPr>
          <w:rFonts w:ascii="Arial" w:hAnsi="Arial" w:cs="Arial"/>
          <w:color w:val="000000"/>
          <w:sz w:val="20"/>
        </w:rPr>
      </w:pPr>
      <w:r w:rsidRPr="00785E1A">
        <w:rPr>
          <w:rFonts w:ascii="Arial" w:hAnsi="Arial" w:cs="Arial"/>
          <w:color w:val="000000"/>
          <w:sz w:val="20"/>
        </w:rPr>
        <w:t>At [209] his Honour said:</w:t>
      </w:r>
    </w:p>
    <w:p w14:paraId="6148E18B" w14:textId="77777777" w:rsidR="003E0D54" w:rsidRPr="00785E1A" w:rsidRDefault="003E0D54" w:rsidP="00EB1C61">
      <w:pPr>
        <w:spacing w:before="60" w:line="240" w:lineRule="exact"/>
        <w:ind w:left="510" w:right="510"/>
        <w:jc w:val="both"/>
        <w:rPr>
          <w:rFonts w:ascii="Arial" w:hAnsi="Arial" w:cs="Arial"/>
          <w:bCs/>
          <w:color w:val="000000"/>
          <w:sz w:val="20"/>
        </w:rPr>
      </w:pPr>
      <w:r w:rsidRPr="00785E1A">
        <w:rPr>
          <w:rFonts w:ascii="Arial" w:hAnsi="Arial" w:cs="Arial"/>
          <w:bCs/>
          <w:color w:val="000000"/>
          <w:sz w:val="20"/>
        </w:rPr>
        <w:t xml:space="preserve">“It is unquestionably important for the voice of a child to be heard in matters affecting them.  As I have said, children bear rights personally, and are entitled to respect of their individual human dignity.  The views of children should therefore be obtained and given proper consideration.  The </w:t>
      </w:r>
      <w:r w:rsidRPr="00785E1A">
        <w:rPr>
          <w:rFonts w:ascii="Arial" w:hAnsi="Arial" w:cs="Arial"/>
          <w:bCs/>
          <w:i/>
          <w:color w:val="000000"/>
          <w:sz w:val="20"/>
        </w:rPr>
        <w:t xml:space="preserve">Children, Youth and Families Act </w:t>
      </w:r>
      <w:r w:rsidRPr="00785E1A">
        <w:rPr>
          <w:rFonts w:ascii="Arial" w:hAnsi="Arial" w:cs="Arial"/>
          <w:bCs/>
          <w:color w:val="000000"/>
          <w:sz w:val="20"/>
        </w:rPr>
        <w:t xml:space="preserve">contains specific mandatory provisions giving effect to those principles, </w:t>
      </w:r>
      <w:r w:rsidRPr="009D495F">
        <w:rPr>
          <w:rFonts w:ascii="Arial" w:hAnsi="Arial" w:cs="Arial"/>
          <w:bCs/>
          <w:color w:val="000000"/>
          <w:sz w:val="20"/>
        </w:rPr>
        <w:t>reflecting fundamental values which are expressed in art.12 of the</w:t>
      </w:r>
      <w:r w:rsidRPr="009D495F">
        <w:rPr>
          <w:rFonts w:ascii="Arial" w:hAnsi="Arial" w:cs="Arial"/>
          <w:bCs/>
          <w:i/>
          <w:color w:val="000000"/>
          <w:sz w:val="20"/>
        </w:rPr>
        <w:t xml:space="preserve"> Convention o</w:t>
      </w:r>
      <w:r w:rsidR="00C916DD" w:rsidRPr="009D495F">
        <w:rPr>
          <w:rFonts w:ascii="Arial" w:hAnsi="Arial" w:cs="Arial"/>
          <w:bCs/>
          <w:i/>
          <w:color w:val="000000"/>
          <w:sz w:val="20"/>
        </w:rPr>
        <w:t>n</w:t>
      </w:r>
      <w:r w:rsidRPr="00785E1A">
        <w:rPr>
          <w:rFonts w:ascii="Arial" w:hAnsi="Arial" w:cs="Arial"/>
          <w:bCs/>
          <w:i/>
          <w:color w:val="000000"/>
          <w:sz w:val="20"/>
        </w:rPr>
        <w:t xml:space="preserve"> the Rights of the Child</w:t>
      </w:r>
      <w:r w:rsidRPr="00785E1A">
        <w:rPr>
          <w:rFonts w:ascii="Arial" w:hAnsi="Arial" w:cs="Arial"/>
          <w:bCs/>
          <w:color w:val="000000"/>
          <w:sz w:val="20"/>
        </w:rPr>
        <w:t>:</w:t>
      </w:r>
    </w:p>
    <w:p w14:paraId="440186AF" w14:textId="77777777" w:rsidR="003E0D54" w:rsidRPr="00785E1A" w:rsidRDefault="003E0D54">
      <w:pPr>
        <w:numPr>
          <w:ilvl w:val="0"/>
          <w:numId w:val="23"/>
        </w:numPr>
        <w:tabs>
          <w:tab w:val="num" w:pos="1378"/>
        </w:tabs>
        <w:spacing w:before="60" w:line="240" w:lineRule="exact"/>
        <w:ind w:left="1378" w:right="1021" w:hanging="357"/>
        <w:jc w:val="both"/>
        <w:rPr>
          <w:rFonts w:ascii="Arial" w:hAnsi="Arial" w:cs="Arial"/>
          <w:bCs/>
          <w:color w:val="000000"/>
          <w:sz w:val="20"/>
        </w:rPr>
      </w:pPr>
      <w:r w:rsidRPr="00785E1A">
        <w:rPr>
          <w:rFonts w:ascii="Arial" w:hAnsi="Arial" w:cs="Arial"/>
          <w:bCs/>
          <w:color w:val="000000"/>
          <w:sz w:val="20"/>
        </w:rPr>
        <w:t>States Parties shall assure to the child who is capable of forming his or her own views the right to express those views freely in all matters affecting the child, the views of the child being given due weight in accordance with the age and maturity of the child.</w:t>
      </w:r>
    </w:p>
    <w:p w14:paraId="0998C4B7" w14:textId="77777777" w:rsidR="003E0D54" w:rsidRPr="00785E1A" w:rsidRDefault="003E0D54">
      <w:pPr>
        <w:numPr>
          <w:ilvl w:val="0"/>
          <w:numId w:val="23"/>
        </w:numPr>
        <w:tabs>
          <w:tab w:val="num" w:pos="1378"/>
        </w:tabs>
        <w:spacing w:before="60" w:line="240" w:lineRule="exact"/>
        <w:ind w:left="1378" w:right="1021" w:hanging="357"/>
        <w:jc w:val="both"/>
        <w:rPr>
          <w:rFonts w:ascii="Arial" w:hAnsi="Arial" w:cs="Arial"/>
          <w:bCs/>
          <w:color w:val="000000"/>
          <w:sz w:val="20"/>
        </w:rPr>
      </w:pPr>
      <w:r w:rsidRPr="00785E1A">
        <w:rPr>
          <w:rFonts w:ascii="Arial" w:hAnsi="Arial" w:cs="Arial"/>
          <w:bCs/>
          <w:color w:val="000000"/>
          <w:sz w:val="20"/>
        </w:rPr>
        <w:t>For this purpose, the child shall in particular be provided the opportunity to be heard in any judicial and administrative proceedings affecting the child, either directly or through a representative or any appropriate body, in a manner consistent with the procedural rules of national law.”</w:t>
      </w:r>
    </w:p>
    <w:p w14:paraId="44BF4B7D" w14:textId="77777777" w:rsidR="003E0D54" w:rsidRPr="00785E1A" w:rsidRDefault="003E0D54" w:rsidP="003C545B">
      <w:pPr>
        <w:jc w:val="both"/>
        <w:rPr>
          <w:rFonts w:ascii="Arial" w:hAnsi="Arial" w:cs="Arial"/>
          <w:color w:val="000000"/>
          <w:sz w:val="20"/>
        </w:rPr>
      </w:pPr>
    </w:p>
    <w:p w14:paraId="79BFDE49" w14:textId="77777777" w:rsidR="003E0D54" w:rsidRPr="00785E1A" w:rsidRDefault="003C545B" w:rsidP="003C545B">
      <w:pPr>
        <w:jc w:val="both"/>
        <w:rPr>
          <w:rFonts w:ascii="Arial" w:hAnsi="Arial" w:cs="Arial"/>
          <w:color w:val="000000"/>
          <w:sz w:val="20"/>
        </w:rPr>
      </w:pPr>
      <w:r w:rsidRPr="00785E1A">
        <w:rPr>
          <w:rFonts w:ascii="Arial" w:hAnsi="Arial" w:cs="Arial"/>
          <w:color w:val="000000"/>
          <w:sz w:val="20"/>
        </w:rPr>
        <w:t xml:space="preserve">It does not necessarily follow from this that a child will invariably be denied a fair hearing if not legally represented or if not present in Court.  The underlying facts in </w:t>
      </w:r>
      <w:r w:rsidRPr="00785E1A">
        <w:rPr>
          <w:rFonts w:ascii="Arial" w:hAnsi="Arial" w:cs="Arial"/>
          <w:i/>
          <w:color w:val="000000"/>
          <w:sz w:val="20"/>
        </w:rPr>
        <w:t>Sanding</w:t>
      </w:r>
      <w:r w:rsidRPr="00785E1A">
        <w:rPr>
          <w:rFonts w:ascii="Arial" w:hAnsi="Arial" w:cs="Arial"/>
          <w:color w:val="000000"/>
          <w:sz w:val="20"/>
        </w:rPr>
        <w:t xml:space="preserve"> provide a </w:t>
      </w:r>
      <w:r w:rsidRPr="003D5DFA">
        <w:rPr>
          <w:rFonts w:ascii="Arial" w:hAnsi="Arial" w:cs="Arial"/>
          <w:color w:val="000000"/>
          <w:sz w:val="20"/>
        </w:rPr>
        <w:t xml:space="preserve">graphic illustration of this where children aged 9 &amp; 7 </w:t>
      </w:r>
      <w:r w:rsidR="0061568F" w:rsidRPr="003D5DFA">
        <w:rPr>
          <w:rFonts w:ascii="Arial" w:hAnsi="Arial" w:cs="Arial"/>
          <w:color w:val="000000"/>
          <w:sz w:val="20"/>
        </w:rPr>
        <w:t xml:space="preserve">– who would under the legislation then in force have been regarded as mature enough to give instructions – </w:t>
      </w:r>
      <w:r w:rsidRPr="003D5DFA">
        <w:rPr>
          <w:rFonts w:ascii="Arial" w:hAnsi="Arial" w:cs="Arial"/>
          <w:color w:val="000000"/>
          <w:sz w:val="20"/>
        </w:rPr>
        <w:t>were</w:t>
      </w:r>
      <w:r w:rsidR="0061568F" w:rsidRPr="003D5DFA">
        <w:rPr>
          <w:rFonts w:ascii="Arial" w:hAnsi="Arial" w:cs="Arial"/>
          <w:color w:val="000000"/>
          <w:sz w:val="20"/>
        </w:rPr>
        <w:t xml:space="preserve"> </w:t>
      </w:r>
      <w:r w:rsidRPr="003D5DFA">
        <w:rPr>
          <w:rFonts w:ascii="Arial" w:hAnsi="Arial" w:cs="Arial"/>
          <w:color w:val="000000"/>
          <w:sz w:val="20"/>
        </w:rPr>
        <w:t>neither represented nor present in the impugned proceedings yet the proceeding was held to be fair to the</w:t>
      </w:r>
      <w:r w:rsidR="00B64827" w:rsidRPr="003D5DFA">
        <w:rPr>
          <w:rFonts w:ascii="Arial" w:hAnsi="Arial" w:cs="Arial"/>
          <w:color w:val="000000"/>
          <w:sz w:val="20"/>
        </w:rPr>
        <w:t>m</w:t>
      </w:r>
      <w:r w:rsidRPr="003D5DFA">
        <w:rPr>
          <w:rFonts w:ascii="Arial" w:hAnsi="Arial" w:cs="Arial"/>
          <w:color w:val="000000"/>
          <w:sz w:val="20"/>
        </w:rPr>
        <w:t>.  At</w:t>
      </w:r>
      <w:r w:rsidR="00164C09">
        <w:rPr>
          <w:rFonts w:ascii="Arial" w:hAnsi="Arial" w:cs="Arial"/>
          <w:color w:val="000000"/>
          <w:sz w:val="20"/>
        </w:rPr>
        <w:t> </w:t>
      </w:r>
      <w:r w:rsidRPr="00785E1A">
        <w:rPr>
          <w:rFonts w:ascii="Arial" w:hAnsi="Arial" w:cs="Arial"/>
          <w:color w:val="000000"/>
          <w:sz w:val="20"/>
        </w:rPr>
        <w:t>[211] Bell J said:</w:t>
      </w:r>
    </w:p>
    <w:p w14:paraId="50BF9B97" w14:textId="77777777" w:rsidR="003C545B" w:rsidRPr="00785E1A" w:rsidRDefault="003C545B" w:rsidP="00EB1C61">
      <w:pPr>
        <w:spacing w:before="60" w:line="240" w:lineRule="exact"/>
        <w:ind w:left="510" w:right="510"/>
        <w:jc w:val="both"/>
        <w:rPr>
          <w:rFonts w:ascii="Arial" w:hAnsi="Arial" w:cs="Arial"/>
          <w:bCs/>
          <w:color w:val="000000"/>
          <w:sz w:val="20"/>
        </w:rPr>
      </w:pPr>
      <w:r w:rsidRPr="00785E1A">
        <w:rPr>
          <w:rFonts w:ascii="Arial" w:hAnsi="Arial" w:cs="Arial"/>
          <w:bCs/>
          <w:color w:val="000000"/>
          <w:sz w:val="20"/>
        </w:rPr>
        <w:t>“[W]hat will be required to afford a fair hearing to a child in a protection proceeding will depend on the capacity of the child, the nature of the proceeding, the issues at stake and the circumstances of the case.  No particular means of affording a fair hearing are stipulated.  As a child may not be mature enough to participate in the proceeding, or may be harmed by that participation, a fair hearing may not require the physical presence of a child in court.  It may be possible to obtain the views of the child by other means.”</w:t>
      </w:r>
    </w:p>
    <w:p w14:paraId="61C0E079" w14:textId="77777777" w:rsidR="003E0D54" w:rsidRPr="00785E1A" w:rsidRDefault="003E0D54" w:rsidP="003C545B">
      <w:pPr>
        <w:jc w:val="both"/>
        <w:rPr>
          <w:rFonts w:ascii="Arial" w:hAnsi="Arial" w:cs="Arial"/>
          <w:color w:val="000000"/>
          <w:sz w:val="20"/>
        </w:rPr>
      </w:pPr>
    </w:p>
    <w:p w14:paraId="3F705C05" w14:textId="77777777" w:rsidR="003E0D54" w:rsidRPr="00785E1A" w:rsidRDefault="003C545B" w:rsidP="003C545B">
      <w:pPr>
        <w:jc w:val="both"/>
        <w:rPr>
          <w:rFonts w:ascii="Arial" w:hAnsi="Arial" w:cs="Arial"/>
          <w:color w:val="000000"/>
          <w:sz w:val="20"/>
        </w:rPr>
      </w:pPr>
      <w:r w:rsidRPr="00785E1A">
        <w:rPr>
          <w:rFonts w:ascii="Arial" w:hAnsi="Arial" w:cs="Arial"/>
          <w:color w:val="000000"/>
          <w:sz w:val="20"/>
        </w:rPr>
        <w:t>At [212] his Honour said that the children’s “right to a fair hearing would ordinarily have required the magistrate to hear and consider what they had to say.  But these were not ordinary circumstances.”  At [214] his Honour explained why:</w:t>
      </w:r>
    </w:p>
    <w:p w14:paraId="54871264" w14:textId="77777777" w:rsidR="003C545B" w:rsidRPr="00785E1A" w:rsidRDefault="003C545B" w:rsidP="00EB1C61">
      <w:pPr>
        <w:spacing w:before="60" w:line="240" w:lineRule="exact"/>
        <w:ind w:left="510" w:right="510"/>
        <w:jc w:val="both"/>
        <w:rPr>
          <w:rFonts w:ascii="Arial" w:hAnsi="Arial" w:cs="Arial"/>
          <w:bCs/>
          <w:color w:val="000000"/>
          <w:sz w:val="20"/>
        </w:rPr>
      </w:pPr>
      <w:r w:rsidRPr="00785E1A">
        <w:rPr>
          <w:rFonts w:ascii="Arial" w:hAnsi="Arial" w:cs="Arial"/>
          <w:bCs/>
          <w:color w:val="000000"/>
          <w:sz w:val="20"/>
        </w:rPr>
        <w:t xml:space="preserve">“In making the revocation and interim accommodation orders, the magistrate knew the court was acting consistently with the wishes of these children.  In that practical sense, their views were heard and considered, as required by their right to a fair hearing.  Delay would have been contrary to their best interests as children.  </w:t>
      </w:r>
      <w:r w:rsidR="00B75A27" w:rsidRPr="00785E1A">
        <w:rPr>
          <w:rFonts w:ascii="Arial" w:hAnsi="Arial" w:cs="Arial"/>
          <w:bCs/>
          <w:color w:val="000000"/>
          <w:sz w:val="20"/>
        </w:rPr>
        <w:t>Therefore his Honour did not act incompatibly with that right by revoking the custody to Secretary orders and returning them to their grandmother on an interim basis without hearing from them personally at the hearing.”</w:t>
      </w:r>
    </w:p>
    <w:p w14:paraId="5CD979B7" w14:textId="77777777" w:rsidR="00047FBE" w:rsidRPr="00D00CAA" w:rsidRDefault="00047FBE" w:rsidP="00047FBE">
      <w:pPr>
        <w:jc w:val="both"/>
        <w:rPr>
          <w:rFonts w:ascii="Arial" w:hAnsi="Arial" w:cs="Arial"/>
          <w:color w:val="000000"/>
          <w:sz w:val="20"/>
        </w:rPr>
      </w:pPr>
      <w:bookmarkStart w:id="844" w:name="_Toc30654112"/>
      <w:bookmarkStart w:id="845" w:name="_Toc30654463"/>
      <w:bookmarkStart w:id="846" w:name="_Toc30655082"/>
      <w:bookmarkStart w:id="847" w:name="_Toc30655339"/>
      <w:bookmarkStart w:id="848" w:name="_Toc30657017"/>
      <w:bookmarkStart w:id="849" w:name="_Toc30661766"/>
      <w:bookmarkStart w:id="850" w:name="_Toc30666454"/>
      <w:bookmarkStart w:id="851" w:name="_Toc30666684"/>
      <w:bookmarkStart w:id="852" w:name="_Toc30667859"/>
      <w:bookmarkStart w:id="853" w:name="_Toc30669237"/>
      <w:bookmarkStart w:id="854" w:name="_Toc30671453"/>
      <w:bookmarkStart w:id="855" w:name="_Toc30673980"/>
      <w:bookmarkStart w:id="856" w:name="_Toc30691202"/>
      <w:bookmarkStart w:id="857" w:name="_Toc30691575"/>
      <w:bookmarkStart w:id="858" w:name="_Toc30691955"/>
      <w:bookmarkStart w:id="859" w:name="_Toc30692714"/>
      <w:bookmarkStart w:id="860" w:name="_Toc30693093"/>
      <w:bookmarkStart w:id="861" w:name="_Toc30693471"/>
      <w:bookmarkStart w:id="862" w:name="_Toc30693849"/>
      <w:bookmarkStart w:id="863" w:name="_Toc30694230"/>
      <w:bookmarkStart w:id="864" w:name="_Toc30698819"/>
      <w:bookmarkStart w:id="865" w:name="_Toc30699197"/>
      <w:bookmarkStart w:id="866" w:name="_Toc30699582"/>
      <w:bookmarkStart w:id="867" w:name="_Toc30700737"/>
      <w:bookmarkStart w:id="868" w:name="_Toc30701124"/>
      <w:bookmarkStart w:id="869" w:name="_Toc30743733"/>
      <w:bookmarkStart w:id="870" w:name="_Toc30754556"/>
      <w:bookmarkStart w:id="871" w:name="_Toc30756996"/>
      <w:bookmarkStart w:id="872" w:name="_Toc30757545"/>
      <w:bookmarkStart w:id="873" w:name="_Toc30757945"/>
      <w:bookmarkStart w:id="874" w:name="_Toc30762706"/>
      <w:bookmarkStart w:id="875" w:name="_Toc30767360"/>
      <w:bookmarkStart w:id="876" w:name="_Toc34823375"/>
    </w:p>
    <w:p w14:paraId="1E1F5732" w14:textId="77777777" w:rsidR="00047FBE" w:rsidRPr="003D5DFA" w:rsidRDefault="00047FBE" w:rsidP="00047FBE">
      <w:pPr>
        <w:pStyle w:val="Heading3"/>
        <w:keepNext/>
        <w:keepLines/>
        <w:spacing w:after="120" w:line="240" w:lineRule="auto"/>
        <w:rPr>
          <w:rFonts w:ascii="Arial" w:hAnsi="Arial" w:cs="Arial"/>
          <w:b/>
          <w:bCs/>
          <w:color w:val="000000"/>
          <w:sz w:val="20"/>
        </w:rPr>
      </w:pPr>
      <w:bookmarkStart w:id="877" w:name="_4.7.2_Models_of"/>
      <w:bookmarkStart w:id="878" w:name="B472"/>
      <w:bookmarkEnd w:id="877"/>
      <w:bookmarkEnd w:id="878"/>
      <w:r w:rsidRPr="003D5DFA">
        <w:rPr>
          <w:rFonts w:ascii="Arial" w:hAnsi="Arial" w:cs="Arial"/>
          <w:b/>
          <w:bCs/>
          <w:color w:val="000000"/>
          <w:sz w:val="20"/>
        </w:rPr>
        <w:lastRenderedPageBreak/>
        <w:t>4.7.2</w:t>
      </w:r>
      <w:r w:rsidRPr="003D5DFA">
        <w:rPr>
          <w:rFonts w:ascii="Arial" w:hAnsi="Arial" w:cs="Arial"/>
          <w:b/>
          <w:bCs/>
          <w:color w:val="000000"/>
          <w:sz w:val="20"/>
        </w:rPr>
        <w:tab/>
        <w:t>Models of child representation</w:t>
      </w:r>
    </w:p>
    <w:p w14:paraId="3360DA5A" w14:textId="77777777" w:rsidR="00047FBE" w:rsidRDefault="00047FBE" w:rsidP="009D6EF3">
      <w:pPr>
        <w:keepNext/>
        <w:keepLines/>
        <w:jc w:val="both"/>
        <w:rPr>
          <w:rFonts w:ascii="Arial" w:hAnsi="Arial" w:cs="Arial"/>
          <w:sz w:val="20"/>
        </w:rPr>
      </w:pPr>
      <w:r>
        <w:rPr>
          <w:rFonts w:ascii="Arial" w:hAnsi="Arial" w:cs="Arial"/>
          <w:sz w:val="20"/>
        </w:rPr>
        <w:t xml:space="preserve">In </w:t>
      </w:r>
      <w:r>
        <w:rPr>
          <w:rFonts w:ascii="Arial" w:hAnsi="Arial" w:cs="Arial"/>
          <w:i/>
          <w:iCs/>
          <w:sz w:val="20"/>
        </w:rPr>
        <w:t>BE v LH &amp; MH</w:t>
      </w:r>
      <w:r>
        <w:rPr>
          <w:rFonts w:ascii="Arial" w:hAnsi="Arial" w:cs="Arial"/>
          <w:sz w:val="20"/>
        </w:rPr>
        <w:t xml:space="preserve"> [Children's Court of Victoria, unreported, 04/06/2000] the primary issue for determination was whether or not LH who was aged 6 years 5 months and MH who was aged 5 years 2 months should be represented by a legal practitioner in the contested hearing of a protection application under the CYPA.  Mr Power, Magistrate, held that they should not.  In the course of his judgment (at pp.5-6) Mr Power referred to </w:t>
      </w:r>
      <w:r w:rsidR="008E0B61">
        <w:rPr>
          <w:rFonts w:ascii="Arial" w:hAnsi="Arial" w:cs="Arial"/>
          <w:sz w:val="20"/>
        </w:rPr>
        <w:t>six</w:t>
      </w:r>
      <w:r>
        <w:rPr>
          <w:rFonts w:ascii="Arial" w:hAnsi="Arial" w:cs="Arial"/>
          <w:sz w:val="20"/>
        </w:rPr>
        <w:t xml:space="preserve"> possible models of child representation-</w:t>
      </w:r>
    </w:p>
    <w:p w14:paraId="25A58996" w14:textId="77777777" w:rsidR="00047FBE" w:rsidRDefault="00047FBE" w:rsidP="005B6ACF">
      <w:pPr>
        <w:spacing w:before="120"/>
        <w:ind w:left="567" w:right="567"/>
        <w:jc w:val="both"/>
        <w:rPr>
          <w:rFonts w:ascii="Arial" w:hAnsi="Arial" w:cs="Arial"/>
          <w:bCs/>
          <w:sz w:val="20"/>
        </w:rPr>
      </w:pPr>
      <w:r>
        <w:rPr>
          <w:rFonts w:ascii="Arial" w:hAnsi="Arial" w:cs="Arial"/>
          <w:bCs/>
          <w:sz w:val="20"/>
        </w:rPr>
        <w:t>"There are 6 models of child representation which can be distilled from various jurisdictions and from various writings, including an Issues Paper No.18 entitled “</w:t>
      </w:r>
      <w:r>
        <w:rPr>
          <w:rFonts w:ascii="Arial" w:hAnsi="Arial" w:cs="Arial"/>
          <w:bCs/>
          <w:i/>
          <w:sz w:val="20"/>
        </w:rPr>
        <w:t>Speaking for ourselves: children and the legal process</w:t>
      </w:r>
      <w:r>
        <w:rPr>
          <w:rFonts w:ascii="Arial" w:hAnsi="Arial" w:cs="Arial"/>
          <w:bCs/>
          <w:sz w:val="20"/>
        </w:rPr>
        <w:t>” which the Australian Law Reform Commission put out prior to the completion of its 1997 report-</w:t>
      </w:r>
    </w:p>
    <w:p w14:paraId="5A9BFFA1" w14:textId="77777777" w:rsidR="00047FBE" w:rsidRDefault="00047FBE" w:rsidP="00BA6FBE">
      <w:pPr>
        <w:numPr>
          <w:ilvl w:val="0"/>
          <w:numId w:val="5"/>
        </w:numPr>
        <w:ind w:right="567"/>
        <w:jc w:val="both"/>
        <w:rPr>
          <w:rFonts w:ascii="Arial" w:hAnsi="Arial" w:cs="Arial"/>
          <w:bCs/>
          <w:sz w:val="20"/>
        </w:rPr>
      </w:pPr>
      <w:r>
        <w:rPr>
          <w:rFonts w:ascii="Arial" w:hAnsi="Arial" w:cs="Arial"/>
          <w:bCs/>
          <w:sz w:val="20"/>
        </w:rPr>
        <w:t xml:space="preserve">The first is </w:t>
      </w:r>
      <w:r>
        <w:rPr>
          <w:rFonts w:ascii="Arial" w:hAnsi="Arial" w:cs="Arial"/>
          <w:b/>
          <w:sz w:val="20"/>
        </w:rPr>
        <w:t>‘the non-representation model’</w:t>
      </w:r>
      <w:r>
        <w:rPr>
          <w:rFonts w:ascii="Arial" w:hAnsi="Arial" w:cs="Arial"/>
          <w:bCs/>
          <w:sz w:val="20"/>
        </w:rPr>
        <w:t xml:space="preserve">: in </w:t>
      </w:r>
      <w:smartTag w:uri="urn:schemas-microsoft-com:office:smarttags" w:element="place">
        <w:smartTag w:uri="urn:schemas-microsoft-com:office:smarttags" w:element="State">
          <w:r>
            <w:rPr>
              <w:rFonts w:ascii="Arial" w:hAnsi="Arial" w:cs="Arial"/>
              <w:bCs/>
              <w:sz w:val="20"/>
            </w:rPr>
            <w:t>Queensland</w:t>
          </w:r>
        </w:smartTag>
      </w:smartTag>
      <w:r>
        <w:rPr>
          <w:rFonts w:ascii="Arial" w:hAnsi="Arial" w:cs="Arial"/>
          <w:bCs/>
          <w:sz w:val="20"/>
        </w:rPr>
        <w:t xml:space="preserve"> child protection matters children are rarely represented at all. {ALRC Report #84, [13.30] p.252}</w:t>
      </w:r>
    </w:p>
    <w:p w14:paraId="2DAAAFE9" w14:textId="77777777" w:rsidR="00047FBE" w:rsidRDefault="00047FBE" w:rsidP="00BA6FBE">
      <w:pPr>
        <w:numPr>
          <w:ilvl w:val="0"/>
          <w:numId w:val="5"/>
        </w:numPr>
        <w:ind w:right="567"/>
        <w:jc w:val="both"/>
        <w:rPr>
          <w:rFonts w:ascii="Arial" w:hAnsi="Arial" w:cs="Arial"/>
          <w:bCs/>
          <w:sz w:val="20"/>
        </w:rPr>
      </w:pPr>
      <w:r>
        <w:rPr>
          <w:rFonts w:ascii="Arial" w:hAnsi="Arial" w:cs="Arial"/>
          <w:bCs/>
          <w:sz w:val="20"/>
        </w:rPr>
        <w:t xml:space="preserve">The second is </w:t>
      </w:r>
      <w:r>
        <w:rPr>
          <w:rFonts w:ascii="Arial" w:hAnsi="Arial" w:cs="Arial"/>
          <w:b/>
          <w:sz w:val="20"/>
        </w:rPr>
        <w:t>‘the traditional model’</w:t>
      </w:r>
      <w:r>
        <w:rPr>
          <w:rFonts w:ascii="Arial" w:hAnsi="Arial" w:cs="Arial"/>
          <w:bCs/>
          <w:sz w:val="20"/>
        </w:rPr>
        <w:t>: the advocate whose role is to argue a case strictly upon the child’s instructions. {ALRC Issues Paper #18, [3.12] p.18}</w:t>
      </w:r>
    </w:p>
    <w:p w14:paraId="082B511E" w14:textId="77777777" w:rsidR="00047FBE" w:rsidRDefault="00047FBE" w:rsidP="00BA6FBE">
      <w:pPr>
        <w:numPr>
          <w:ilvl w:val="0"/>
          <w:numId w:val="5"/>
        </w:numPr>
        <w:ind w:right="567"/>
        <w:jc w:val="both"/>
        <w:rPr>
          <w:rFonts w:ascii="Arial" w:hAnsi="Arial" w:cs="Arial"/>
          <w:bCs/>
          <w:sz w:val="20"/>
        </w:rPr>
      </w:pPr>
      <w:r>
        <w:rPr>
          <w:rFonts w:ascii="Arial" w:hAnsi="Arial" w:cs="Arial"/>
          <w:bCs/>
          <w:sz w:val="20"/>
        </w:rPr>
        <w:t xml:space="preserve">The third is </w:t>
      </w:r>
      <w:r>
        <w:rPr>
          <w:rFonts w:ascii="Arial" w:hAnsi="Arial" w:cs="Arial"/>
          <w:b/>
          <w:sz w:val="20"/>
        </w:rPr>
        <w:t>‘the best interests model’</w:t>
      </w:r>
      <w:r>
        <w:rPr>
          <w:rFonts w:ascii="Arial" w:hAnsi="Arial" w:cs="Arial"/>
          <w:bCs/>
          <w:sz w:val="20"/>
        </w:rPr>
        <w:t>: the advocate who presents and argues his or her own professional view as to the child’s best interests, even if this is inconsistent with the child’s expressed wishes on the issue. {ALRC Issues Paper #18, p.19}</w:t>
      </w:r>
    </w:p>
    <w:p w14:paraId="00D3ACB7" w14:textId="77777777" w:rsidR="00047FBE" w:rsidRDefault="00047FBE" w:rsidP="00BA6FBE">
      <w:pPr>
        <w:numPr>
          <w:ilvl w:val="0"/>
          <w:numId w:val="5"/>
        </w:numPr>
        <w:ind w:right="567"/>
        <w:jc w:val="both"/>
        <w:rPr>
          <w:rFonts w:ascii="Arial" w:hAnsi="Arial" w:cs="Arial"/>
          <w:bCs/>
          <w:sz w:val="20"/>
        </w:rPr>
      </w:pPr>
      <w:r>
        <w:rPr>
          <w:rFonts w:ascii="Arial" w:hAnsi="Arial" w:cs="Arial"/>
          <w:bCs/>
          <w:sz w:val="20"/>
        </w:rPr>
        <w:t xml:space="preserve">The fourth is </w:t>
      </w:r>
      <w:r>
        <w:rPr>
          <w:rFonts w:ascii="Arial" w:hAnsi="Arial" w:cs="Arial"/>
          <w:b/>
          <w:sz w:val="20"/>
        </w:rPr>
        <w:t>‘the counsel assisting model’</w:t>
      </w:r>
      <w:r>
        <w:rPr>
          <w:rFonts w:ascii="Arial" w:hAnsi="Arial" w:cs="Arial"/>
          <w:bCs/>
          <w:sz w:val="20"/>
        </w:rPr>
        <w:t>: the advocate as objective investigator assisting decision-makers to reach a fully informed assessment of the child’s needs and how those needs can best be met. {ALRC Issues Paper #18, p.19}</w:t>
      </w:r>
    </w:p>
    <w:p w14:paraId="5395A087" w14:textId="77777777" w:rsidR="00047FBE" w:rsidRDefault="00047FBE" w:rsidP="00BA6FBE">
      <w:pPr>
        <w:numPr>
          <w:ilvl w:val="0"/>
          <w:numId w:val="5"/>
        </w:numPr>
        <w:ind w:right="567"/>
        <w:jc w:val="both"/>
        <w:rPr>
          <w:rFonts w:ascii="Arial" w:hAnsi="Arial" w:cs="Arial"/>
          <w:bCs/>
          <w:sz w:val="20"/>
        </w:rPr>
      </w:pPr>
      <w:r>
        <w:rPr>
          <w:rFonts w:ascii="Arial" w:hAnsi="Arial" w:cs="Arial"/>
          <w:bCs/>
          <w:sz w:val="20"/>
        </w:rPr>
        <w:t xml:space="preserve">The fifth is </w:t>
      </w:r>
      <w:r>
        <w:rPr>
          <w:rFonts w:ascii="Arial" w:hAnsi="Arial" w:cs="Arial"/>
          <w:b/>
          <w:sz w:val="20"/>
        </w:rPr>
        <w:t>‘the comforter model’</w:t>
      </w:r>
      <w:r>
        <w:rPr>
          <w:rFonts w:ascii="Arial" w:hAnsi="Arial" w:cs="Arial"/>
          <w:bCs/>
          <w:sz w:val="20"/>
        </w:rPr>
        <w:t>: the advocate as professional companion for the child, explaining the process to the child and answering questions. {ALRC Issues Paper #18, p.19}</w:t>
      </w:r>
    </w:p>
    <w:p w14:paraId="2E3C2FCA" w14:textId="77777777" w:rsidR="00047FBE" w:rsidRDefault="00047FBE" w:rsidP="00BA6FBE">
      <w:pPr>
        <w:numPr>
          <w:ilvl w:val="0"/>
          <w:numId w:val="5"/>
        </w:numPr>
        <w:ind w:right="567"/>
        <w:jc w:val="both"/>
        <w:rPr>
          <w:rFonts w:ascii="Arial" w:hAnsi="Arial" w:cs="Arial"/>
          <w:bCs/>
          <w:sz w:val="20"/>
        </w:rPr>
      </w:pPr>
      <w:r>
        <w:rPr>
          <w:rFonts w:ascii="Arial" w:hAnsi="Arial" w:cs="Arial"/>
          <w:bCs/>
          <w:sz w:val="20"/>
        </w:rPr>
        <w:t xml:space="preserve">The sixth is </w:t>
      </w:r>
      <w:r>
        <w:rPr>
          <w:rFonts w:ascii="Arial" w:hAnsi="Arial" w:cs="Arial"/>
          <w:b/>
          <w:sz w:val="20"/>
        </w:rPr>
        <w:t>‘the Tasmanian model’</w:t>
      </w:r>
      <w:r>
        <w:rPr>
          <w:rFonts w:ascii="Arial" w:hAnsi="Arial" w:cs="Arial"/>
          <w:bCs/>
          <w:sz w:val="20"/>
        </w:rPr>
        <w:t>, a hybrid model: An example is to be found in the</w:t>
      </w:r>
      <w:r>
        <w:rPr>
          <w:rFonts w:ascii="Arial" w:hAnsi="Arial" w:cs="Arial"/>
          <w:bCs/>
          <w:i/>
          <w:sz w:val="20"/>
        </w:rPr>
        <w:t xml:space="preserve"> Children, Young Persons and their Families Bill</w:t>
      </w:r>
      <w:r>
        <w:rPr>
          <w:rFonts w:ascii="Arial" w:hAnsi="Arial" w:cs="Arial"/>
          <w:bCs/>
          <w:sz w:val="20"/>
        </w:rPr>
        <w:t xml:space="preserve"> 1997 (Tas.) which provides that all children the subject of a care and protection application should be represented unless the child has made an informed decision not to be represented.  The representative is to take instructions from the child and act on those instructions unless the representative considers the child unable or unwilling to give instructions.  In those cases, the representative will represent the child’s best interests, which are to be assessed by a social scientist. {ALRC Report #84, [13.31] pp.252-3}"</w:t>
      </w:r>
    </w:p>
    <w:p w14:paraId="56022808" w14:textId="77777777" w:rsidR="00047FBE" w:rsidRDefault="00047FBE" w:rsidP="00047FBE">
      <w:pPr>
        <w:jc w:val="both"/>
        <w:rPr>
          <w:rFonts w:ascii="Arial" w:hAnsi="Arial" w:cs="Arial"/>
          <w:sz w:val="20"/>
        </w:rPr>
      </w:pPr>
    </w:p>
    <w:p w14:paraId="2BC697F8" w14:textId="77777777" w:rsidR="00047FBE" w:rsidRDefault="00047FBE" w:rsidP="00047FBE">
      <w:pPr>
        <w:jc w:val="both"/>
        <w:rPr>
          <w:rFonts w:ascii="Arial" w:hAnsi="Arial" w:cs="Arial"/>
          <w:sz w:val="20"/>
        </w:rPr>
      </w:pPr>
      <w:r>
        <w:rPr>
          <w:rFonts w:ascii="Arial" w:hAnsi="Arial" w:cs="Arial"/>
          <w:sz w:val="20"/>
        </w:rPr>
        <w:t>A clinical psychologist from the Children's Court Clinic had seen LH &amp; MH for 1½ hours to assess their capacity to give instructions to a lawyer and to ascertain their wishes.  On the basis of her evidence Mr Power found (at p.7) that "neither LH nor MH is mature enough to give instructions in these legal proceedings.  That is not because of any delay in their cognitive development but is primarily because of their emotional immaturity."  Since the CYPA has adopted model 2, the traditional model, and since LH &amp; MH were not mature enough to give instructions, there was no basis for them to be legally represented.</w:t>
      </w:r>
    </w:p>
    <w:p w14:paraId="7CC0CF7F" w14:textId="77777777" w:rsidR="001F4FF5" w:rsidRPr="00D00CAA" w:rsidRDefault="001F4FF5" w:rsidP="00247CE5">
      <w:pPr>
        <w:jc w:val="both"/>
        <w:rPr>
          <w:rFonts w:ascii="Arial" w:hAnsi="Arial" w:cs="Arial"/>
          <w:color w:val="000000"/>
          <w:sz w:val="20"/>
        </w:rPr>
      </w:pPr>
    </w:p>
    <w:p w14:paraId="0BE52324" w14:textId="77777777" w:rsidR="00693223" w:rsidRPr="003D5DFA" w:rsidRDefault="00693223">
      <w:pPr>
        <w:pStyle w:val="Heading3"/>
        <w:spacing w:after="120" w:line="240" w:lineRule="auto"/>
        <w:rPr>
          <w:rFonts w:ascii="Arial" w:hAnsi="Arial" w:cs="Arial"/>
          <w:b/>
          <w:bCs/>
          <w:color w:val="000000"/>
          <w:sz w:val="20"/>
        </w:rPr>
      </w:pPr>
      <w:bookmarkStart w:id="879" w:name="_4.7.3_Child_usually"/>
      <w:bookmarkStart w:id="880" w:name="B473"/>
      <w:bookmarkEnd w:id="879"/>
      <w:bookmarkEnd w:id="880"/>
      <w:r w:rsidRPr="003D5DFA">
        <w:rPr>
          <w:rFonts w:ascii="Arial" w:hAnsi="Arial" w:cs="Arial"/>
          <w:b/>
          <w:bCs/>
          <w:color w:val="000000"/>
          <w:sz w:val="20"/>
        </w:rPr>
        <w:t>4.7.</w:t>
      </w:r>
      <w:r w:rsidR="00047FBE" w:rsidRPr="003D5DFA">
        <w:rPr>
          <w:rFonts w:ascii="Arial" w:hAnsi="Arial" w:cs="Arial"/>
          <w:b/>
          <w:bCs/>
          <w:color w:val="000000"/>
          <w:sz w:val="20"/>
        </w:rPr>
        <w:t>3</w:t>
      </w:r>
      <w:r w:rsidRPr="003D5DFA">
        <w:rPr>
          <w:rFonts w:ascii="Arial" w:hAnsi="Arial" w:cs="Arial"/>
          <w:b/>
          <w:bCs/>
          <w:color w:val="000000"/>
          <w:sz w:val="20"/>
        </w:rPr>
        <w:tab/>
        <w:t xml:space="preserve">Child usually represented if </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sidR="00EB6CF1" w:rsidRPr="003D5DFA">
        <w:rPr>
          <w:rFonts w:ascii="Arial" w:hAnsi="Arial" w:cs="Arial"/>
          <w:b/>
          <w:bCs/>
          <w:color w:val="000000"/>
          <w:sz w:val="20"/>
        </w:rPr>
        <w:t>aged 10 years or more</w:t>
      </w:r>
    </w:p>
    <w:p w14:paraId="7081D40C" w14:textId="77777777" w:rsidR="000A7139" w:rsidRPr="003D5DFA" w:rsidRDefault="00E76E28" w:rsidP="000A7139">
      <w:pPr>
        <w:jc w:val="both"/>
        <w:rPr>
          <w:rFonts w:ascii="Arial" w:hAnsi="Arial" w:cs="Arial"/>
          <w:color w:val="000000"/>
          <w:sz w:val="20"/>
        </w:rPr>
      </w:pPr>
      <w:r w:rsidRPr="003D5DFA">
        <w:rPr>
          <w:rFonts w:ascii="Arial" w:hAnsi="Arial" w:cs="Arial"/>
          <w:color w:val="000000"/>
          <w:sz w:val="20"/>
        </w:rPr>
        <w:t>T</w:t>
      </w:r>
      <w:r w:rsidR="000A7139" w:rsidRPr="003D5DFA">
        <w:rPr>
          <w:rFonts w:ascii="Arial" w:hAnsi="Arial" w:cs="Arial"/>
          <w:color w:val="000000"/>
          <w:sz w:val="20"/>
        </w:rPr>
        <w:t xml:space="preserve">here was no </w:t>
      </w:r>
      <w:r w:rsidR="00E43D86" w:rsidRPr="003D5DFA">
        <w:rPr>
          <w:rFonts w:ascii="Arial" w:hAnsi="Arial" w:cs="Arial"/>
          <w:color w:val="000000"/>
          <w:sz w:val="20"/>
        </w:rPr>
        <w:t xml:space="preserve">authority </w:t>
      </w:r>
      <w:r w:rsidR="00E65E57" w:rsidRPr="003D5DFA">
        <w:rPr>
          <w:rFonts w:ascii="Arial" w:hAnsi="Arial" w:cs="Arial"/>
          <w:color w:val="000000"/>
          <w:sz w:val="20"/>
        </w:rPr>
        <w:t>at common law for a child</w:t>
      </w:r>
      <w:r w:rsidR="00E43D86" w:rsidRPr="003D5DFA">
        <w:rPr>
          <w:rFonts w:ascii="Arial" w:hAnsi="Arial" w:cs="Arial"/>
          <w:color w:val="000000"/>
          <w:sz w:val="20"/>
        </w:rPr>
        <w:t xml:space="preserve"> to be legally represented </w:t>
      </w:r>
      <w:r w:rsidR="00E65E57" w:rsidRPr="003D5DFA">
        <w:rPr>
          <w:rFonts w:ascii="Arial" w:hAnsi="Arial" w:cs="Arial"/>
          <w:color w:val="000000"/>
          <w:sz w:val="20"/>
        </w:rPr>
        <w:t xml:space="preserve">in non-criminal proceedings in the absence of a parental appointment of a solicitor or a court appointment of a guardian ad litem.  In </w:t>
      </w:r>
      <w:r w:rsidR="00E65E57" w:rsidRPr="003D5DFA">
        <w:rPr>
          <w:rFonts w:ascii="Arial" w:hAnsi="Arial" w:cs="Arial"/>
          <w:i/>
          <w:color w:val="000000"/>
          <w:sz w:val="20"/>
        </w:rPr>
        <w:t>J v Lieschke</w:t>
      </w:r>
      <w:r w:rsidR="00E65E57" w:rsidRPr="003D5DFA">
        <w:rPr>
          <w:rFonts w:ascii="Arial" w:hAnsi="Arial" w:cs="Arial"/>
          <w:color w:val="000000"/>
          <w:sz w:val="20"/>
        </w:rPr>
        <w:t xml:space="preserve"> (1987) 162 CLR 447 at 456 Brennan J </w:t>
      </w:r>
      <w:r w:rsidRPr="003D5DFA">
        <w:rPr>
          <w:rFonts w:ascii="Arial" w:hAnsi="Arial" w:cs="Arial"/>
          <w:color w:val="000000"/>
          <w:sz w:val="20"/>
        </w:rPr>
        <w:t>explaine</w:t>
      </w:r>
      <w:r w:rsidR="00E65E57" w:rsidRPr="003D5DFA">
        <w:rPr>
          <w:rFonts w:ascii="Arial" w:hAnsi="Arial" w:cs="Arial"/>
          <w:color w:val="000000"/>
          <w:sz w:val="20"/>
        </w:rPr>
        <w:t>d:</w:t>
      </w:r>
    </w:p>
    <w:p w14:paraId="3FB0C480" w14:textId="77777777" w:rsidR="00E65E57" w:rsidRPr="003D5DFA" w:rsidRDefault="00E65E57" w:rsidP="00C50555">
      <w:pPr>
        <w:spacing w:before="60" w:line="240" w:lineRule="exact"/>
        <w:ind w:left="567" w:right="567"/>
        <w:jc w:val="both"/>
        <w:rPr>
          <w:rFonts w:ascii="Arial" w:hAnsi="Arial" w:cs="Arial"/>
          <w:bCs/>
          <w:color w:val="000000"/>
          <w:sz w:val="20"/>
        </w:rPr>
      </w:pPr>
      <w:r w:rsidRPr="003D5DFA">
        <w:rPr>
          <w:rFonts w:ascii="Arial" w:hAnsi="Arial" w:cs="Arial"/>
          <w:bCs/>
          <w:color w:val="000000"/>
          <w:sz w:val="20"/>
        </w:rPr>
        <w:t>“</w:t>
      </w:r>
      <w:r w:rsidR="00E76E28" w:rsidRPr="003D5DFA">
        <w:rPr>
          <w:rFonts w:ascii="Arial" w:hAnsi="Arial" w:cs="Arial"/>
          <w:bCs/>
          <w:color w:val="000000"/>
          <w:sz w:val="20"/>
        </w:rPr>
        <w:t>Although it is often undesirable for the appointment of a solicitor for a child to be left solely to the parents or other guardians – especially when the fitness of the parents or guardians to exercise their custodial authority is in issue – it is difficult to perceive the source of legal authority for a solicitor to represent a child in non-criminal proceedings when no order has been made by a court of competent jurisdiction appointing some other person to give the necessary instructions.”</w:t>
      </w:r>
    </w:p>
    <w:p w14:paraId="7B6F2AF4" w14:textId="77777777" w:rsidR="000A7139" w:rsidRPr="003D5DFA" w:rsidRDefault="000A7139" w:rsidP="000A7139">
      <w:pPr>
        <w:jc w:val="both"/>
        <w:rPr>
          <w:rFonts w:ascii="Arial" w:hAnsi="Arial" w:cs="Arial"/>
          <w:color w:val="000000"/>
          <w:sz w:val="20"/>
        </w:rPr>
      </w:pPr>
    </w:p>
    <w:p w14:paraId="72CFC547" w14:textId="77777777" w:rsidR="003E2B31" w:rsidRPr="003D5DFA" w:rsidRDefault="00E76E28">
      <w:pPr>
        <w:jc w:val="both"/>
        <w:rPr>
          <w:rFonts w:ascii="Arial" w:hAnsi="Arial" w:cs="Arial"/>
          <w:color w:val="000000"/>
          <w:sz w:val="20"/>
        </w:rPr>
      </w:pPr>
      <w:r w:rsidRPr="003D5DFA">
        <w:rPr>
          <w:rFonts w:ascii="Arial" w:hAnsi="Arial" w:cs="Arial"/>
          <w:color w:val="000000"/>
          <w:sz w:val="20"/>
        </w:rPr>
        <w:lastRenderedPageBreak/>
        <w:t xml:space="preserve">Both the CYFA and its predecessor </w:t>
      </w:r>
      <w:r w:rsidR="00592495" w:rsidRPr="003D5DFA">
        <w:rPr>
          <w:rFonts w:ascii="Arial" w:hAnsi="Arial" w:cs="Arial"/>
          <w:color w:val="000000"/>
          <w:sz w:val="20"/>
        </w:rPr>
        <w:t xml:space="preserve">CYPA </w:t>
      </w:r>
      <w:r w:rsidRPr="003D5DFA">
        <w:rPr>
          <w:rFonts w:ascii="Arial" w:hAnsi="Arial" w:cs="Arial"/>
          <w:color w:val="000000"/>
          <w:sz w:val="20"/>
        </w:rPr>
        <w:t xml:space="preserve">change the common law position.  </w:t>
      </w:r>
      <w:r w:rsidR="00693223" w:rsidRPr="003D5DFA">
        <w:rPr>
          <w:rFonts w:ascii="Arial" w:hAnsi="Arial" w:cs="Arial"/>
          <w:color w:val="000000"/>
          <w:sz w:val="20"/>
        </w:rPr>
        <w:t>S</w:t>
      </w:r>
      <w:r w:rsidR="008A2308">
        <w:rPr>
          <w:rFonts w:ascii="Arial" w:hAnsi="Arial" w:cs="Arial"/>
          <w:color w:val="000000"/>
          <w:sz w:val="20"/>
        </w:rPr>
        <w:t xml:space="preserve">ection </w:t>
      </w:r>
      <w:r w:rsidR="001D3F93" w:rsidRPr="003D5DFA">
        <w:rPr>
          <w:rFonts w:ascii="Arial" w:hAnsi="Arial" w:cs="Arial"/>
          <w:color w:val="000000"/>
          <w:sz w:val="20"/>
        </w:rPr>
        <w:t>5</w:t>
      </w:r>
      <w:r w:rsidR="00693223" w:rsidRPr="003D5DFA">
        <w:rPr>
          <w:rFonts w:ascii="Arial" w:hAnsi="Arial" w:cs="Arial"/>
          <w:color w:val="000000"/>
          <w:sz w:val="20"/>
        </w:rPr>
        <w:t>2</w:t>
      </w:r>
      <w:r w:rsidR="001D3F93" w:rsidRPr="003D5DFA">
        <w:rPr>
          <w:rFonts w:ascii="Arial" w:hAnsi="Arial" w:cs="Arial"/>
          <w:color w:val="000000"/>
          <w:sz w:val="20"/>
        </w:rPr>
        <w:t>5</w:t>
      </w:r>
      <w:r w:rsidR="00693223" w:rsidRPr="003D5DFA">
        <w:rPr>
          <w:rFonts w:ascii="Arial" w:hAnsi="Arial" w:cs="Arial"/>
          <w:color w:val="000000"/>
          <w:sz w:val="20"/>
        </w:rPr>
        <w:t>(1) of the CY</w:t>
      </w:r>
      <w:r w:rsidR="001D3F93" w:rsidRPr="003D5DFA">
        <w:rPr>
          <w:rFonts w:ascii="Arial" w:hAnsi="Arial" w:cs="Arial"/>
          <w:color w:val="000000"/>
          <w:sz w:val="20"/>
        </w:rPr>
        <w:t>F</w:t>
      </w:r>
      <w:r w:rsidR="00693223" w:rsidRPr="003D5DFA">
        <w:rPr>
          <w:rFonts w:ascii="Arial" w:hAnsi="Arial" w:cs="Arial"/>
          <w:color w:val="000000"/>
          <w:sz w:val="20"/>
        </w:rPr>
        <w:t>A provides that, subject to s.</w:t>
      </w:r>
      <w:r w:rsidR="001D3F93" w:rsidRPr="003D5DFA">
        <w:rPr>
          <w:rFonts w:ascii="Arial" w:hAnsi="Arial" w:cs="Arial"/>
          <w:color w:val="000000"/>
          <w:sz w:val="20"/>
        </w:rPr>
        <w:t>524</w:t>
      </w:r>
      <w:r w:rsidR="00693223" w:rsidRPr="003D5DFA">
        <w:rPr>
          <w:rFonts w:ascii="Arial" w:hAnsi="Arial" w:cs="Arial"/>
          <w:color w:val="000000"/>
          <w:sz w:val="20"/>
        </w:rPr>
        <w:t xml:space="preserve">, a child </w:t>
      </w:r>
      <w:r w:rsidR="003E2B31" w:rsidRPr="003D5DFA">
        <w:rPr>
          <w:rFonts w:ascii="Arial" w:hAnsi="Arial" w:cs="Arial"/>
          <w:color w:val="000000"/>
          <w:sz w:val="20"/>
        </w:rPr>
        <w:t>aged 10 years or more must be legally represented in the following proceedings in the Family Division-</w:t>
      </w:r>
    </w:p>
    <w:p w14:paraId="27D031B3" w14:textId="77777777" w:rsidR="00693223" w:rsidRPr="003D5DFA" w:rsidRDefault="00693223" w:rsidP="001F6EA3">
      <w:pPr>
        <w:ind w:left="363" w:hanging="363"/>
        <w:jc w:val="both"/>
        <w:rPr>
          <w:rFonts w:ascii="Arial" w:hAnsi="Arial" w:cs="Arial"/>
          <w:color w:val="000000"/>
          <w:sz w:val="20"/>
        </w:rPr>
      </w:pPr>
      <w:r w:rsidRPr="003D5DFA">
        <w:rPr>
          <w:rFonts w:ascii="Arial" w:hAnsi="Arial" w:cs="Arial"/>
          <w:color w:val="000000"/>
          <w:sz w:val="20"/>
        </w:rPr>
        <w:t>(a)</w:t>
      </w:r>
      <w:r w:rsidRPr="003D5DFA">
        <w:rPr>
          <w:rFonts w:ascii="Arial" w:hAnsi="Arial" w:cs="Arial"/>
          <w:color w:val="000000"/>
          <w:sz w:val="20"/>
        </w:rPr>
        <w:tab/>
        <w:t>application for IAO;</w:t>
      </w:r>
    </w:p>
    <w:p w14:paraId="790F7212"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(b)</w:t>
      </w:r>
      <w:r w:rsidRPr="003D5DFA">
        <w:rPr>
          <w:rFonts w:ascii="Arial" w:hAnsi="Arial" w:cs="Arial"/>
          <w:color w:val="000000"/>
          <w:sz w:val="20"/>
        </w:rPr>
        <w:tab/>
        <w:t>protection application;</w:t>
      </w:r>
    </w:p>
    <w:p w14:paraId="609818C5"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(c)</w:t>
      </w:r>
      <w:r w:rsidRPr="003D5DFA">
        <w:rPr>
          <w:rFonts w:ascii="Arial" w:hAnsi="Arial" w:cs="Arial"/>
          <w:color w:val="000000"/>
          <w:sz w:val="20"/>
        </w:rPr>
        <w:tab/>
        <w:t>irreconcilable difference application;</w:t>
      </w:r>
    </w:p>
    <w:p w14:paraId="45FB1DB3" w14:textId="77777777" w:rsidR="001D3F93" w:rsidRPr="003D5DFA" w:rsidRDefault="00693223">
      <w:pPr>
        <w:ind w:left="363" w:hanging="363"/>
        <w:jc w:val="both"/>
        <w:rPr>
          <w:rFonts w:ascii="Arial" w:hAnsi="Arial" w:cs="Arial"/>
          <w:color w:val="000000"/>
          <w:sz w:val="20"/>
        </w:rPr>
      </w:pPr>
      <w:r w:rsidRPr="003D5DFA">
        <w:rPr>
          <w:rFonts w:ascii="Arial" w:hAnsi="Arial" w:cs="Arial"/>
          <w:color w:val="000000"/>
          <w:sz w:val="20"/>
        </w:rPr>
        <w:t>(d)</w:t>
      </w:r>
      <w:r w:rsidRPr="003D5DFA">
        <w:rPr>
          <w:rFonts w:ascii="Arial" w:hAnsi="Arial" w:cs="Arial"/>
          <w:color w:val="000000"/>
          <w:sz w:val="20"/>
        </w:rPr>
        <w:tab/>
        <w:t xml:space="preserve">application for a </w:t>
      </w:r>
      <w:r w:rsidR="001D3F93" w:rsidRPr="003D5DFA">
        <w:rPr>
          <w:rFonts w:ascii="Arial" w:hAnsi="Arial" w:cs="Arial"/>
          <w:color w:val="000000"/>
          <w:sz w:val="20"/>
        </w:rPr>
        <w:t>temporary assessment order (unless the Court grants leave for the application to proceed ex parte);</w:t>
      </w:r>
    </w:p>
    <w:p w14:paraId="4DAF3797" w14:textId="77777777" w:rsidR="001D3F93" w:rsidRDefault="001D3F93">
      <w:pPr>
        <w:ind w:left="363" w:hanging="363"/>
        <w:jc w:val="both"/>
        <w:rPr>
          <w:rFonts w:ascii="Arial" w:hAnsi="Arial" w:cs="Arial"/>
          <w:color w:val="000000"/>
          <w:sz w:val="20"/>
        </w:rPr>
      </w:pPr>
      <w:r w:rsidRPr="003D5DFA">
        <w:rPr>
          <w:rFonts w:ascii="Arial" w:hAnsi="Arial" w:cs="Arial"/>
          <w:color w:val="000000"/>
          <w:sz w:val="20"/>
        </w:rPr>
        <w:t>(e)</w:t>
      </w:r>
      <w:r w:rsidRPr="003D5DFA">
        <w:rPr>
          <w:rFonts w:ascii="Arial" w:hAnsi="Arial" w:cs="Arial"/>
          <w:color w:val="000000"/>
          <w:sz w:val="20"/>
        </w:rPr>
        <w:tab/>
        <w:t>application for a therapeutic treatment order or therapeutic treatment (placement) order;</w:t>
      </w:r>
    </w:p>
    <w:p w14:paraId="55F47458" w14:textId="77777777" w:rsidR="00DC0A3F" w:rsidRDefault="00DC0A3F">
      <w:pPr>
        <w:ind w:left="363" w:hanging="363"/>
        <w:jc w:val="both"/>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ea</w:t>
      </w:r>
      <w:proofErr w:type="spellEnd"/>
      <w:r>
        <w:rPr>
          <w:rFonts w:ascii="Arial" w:hAnsi="Arial" w:cs="Arial"/>
          <w:color w:val="000000"/>
          <w:sz w:val="20"/>
        </w:rPr>
        <w:t>)</w:t>
      </w:r>
      <w:r>
        <w:rPr>
          <w:rFonts w:ascii="Arial" w:hAnsi="Arial" w:cs="Arial"/>
          <w:color w:val="000000"/>
          <w:sz w:val="20"/>
        </w:rPr>
        <w:tab/>
        <w:t>application for a care by Secretary order;</w:t>
      </w:r>
    </w:p>
    <w:p w14:paraId="1E2041AB" w14:textId="77777777" w:rsidR="00DC0A3F" w:rsidRPr="003D5DFA" w:rsidRDefault="00DC0A3F">
      <w:pPr>
        <w:ind w:left="363" w:hanging="363"/>
        <w:jc w:val="both"/>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eb</w:t>
      </w:r>
      <w:proofErr w:type="spellEnd"/>
      <w:r>
        <w:rPr>
          <w:rFonts w:ascii="Arial" w:hAnsi="Arial" w:cs="Arial"/>
          <w:color w:val="000000"/>
          <w:sz w:val="20"/>
        </w:rPr>
        <w:t>)</w:t>
      </w:r>
      <w:r>
        <w:rPr>
          <w:rFonts w:ascii="Arial" w:hAnsi="Arial" w:cs="Arial"/>
          <w:color w:val="000000"/>
          <w:sz w:val="20"/>
        </w:rPr>
        <w:tab/>
        <w:t>application for a long-term care order;</w:t>
      </w:r>
    </w:p>
    <w:p w14:paraId="5683ED99" w14:textId="77777777" w:rsidR="00693223" w:rsidRPr="003D5DFA" w:rsidRDefault="001D3F93">
      <w:pPr>
        <w:ind w:left="363" w:hanging="363"/>
        <w:jc w:val="both"/>
        <w:rPr>
          <w:rFonts w:ascii="Arial" w:hAnsi="Arial" w:cs="Arial"/>
          <w:color w:val="000000"/>
          <w:sz w:val="20"/>
        </w:rPr>
      </w:pPr>
      <w:r w:rsidRPr="003D5DFA">
        <w:rPr>
          <w:rFonts w:ascii="Arial" w:hAnsi="Arial" w:cs="Arial"/>
          <w:color w:val="000000"/>
          <w:sz w:val="20"/>
        </w:rPr>
        <w:t>(f)</w:t>
      </w:r>
      <w:r w:rsidRPr="003D5DFA">
        <w:rPr>
          <w:rFonts w:ascii="Arial" w:hAnsi="Arial" w:cs="Arial"/>
          <w:color w:val="000000"/>
          <w:sz w:val="20"/>
        </w:rPr>
        <w:tab/>
        <w:t xml:space="preserve">application for a </w:t>
      </w:r>
      <w:r w:rsidR="00693223" w:rsidRPr="003D5DFA">
        <w:rPr>
          <w:rFonts w:ascii="Arial" w:hAnsi="Arial" w:cs="Arial"/>
          <w:color w:val="000000"/>
          <w:sz w:val="20"/>
        </w:rPr>
        <w:t>permanent care order;</w:t>
      </w:r>
    </w:p>
    <w:p w14:paraId="1E3EF46E"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1D3F93" w:rsidRPr="003D5DFA">
        <w:rPr>
          <w:rFonts w:ascii="Arial" w:hAnsi="Arial" w:cs="Arial"/>
          <w:color w:val="000000"/>
          <w:sz w:val="20"/>
        </w:rPr>
        <w:t>g</w:t>
      </w:r>
      <w:r w:rsidRPr="003D5DFA">
        <w:rPr>
          <w:rFonts w:ascii="Arial" w:hAnsi="Arial" w:cs="Arial"/>
          <w:color w:val="000000"/>
          <w:sz w:val="20"/>
        </w:rPr>
        <w:t>)</w:t>
      </w:r>
      <w:r w:rsidRPr="003D5DFA">
        <w:rPr>
          <w:rFonts w:ascii="Arial" w:hAnsi="Arial" w:cs="Arial"/>
          <w:color w:val="000000"/>
          <w:sz w:val="20"/>
        </w:rPr>
        <w:tab/>
        <w:t>application for variation of an IAO;</w:t>
      </w:r>
    </w:p>
    <w:p w14:paraId="7033DE60"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1D3F93" w:rsidRPr="003D5DFA">
        <w:rPr>
          <w:rFonts w:ascii="Arial" w:hAnsi="Arial" w:cs="Arial"/>
          <w:color w:val="000000"/>
          <w:sz w:val="20"/>
        </w:rPr>
        <w:t>h</w:t>
      </w:r>
      <w:r w:rsidRPr="003D5DFA">
        <w:rPr>
          <w:rFonts w:ascii="Arial" w:hAnsi="Arial" w:cs="Arial"/>
          <w:color w:val="000000"/>
          <w:sz w:val="20"/>
        </w:rPr>
        <w:t>)</w:t>
      </w:r>
      <w:r w:rsidRPr="003D5DFA">
        <w:rPr>
          <w:rFonts w:ascii="Arial" w:hAnsi="Arial" w:cs="Arial"/>
          <w:color w:val="000000"/>
          <w:sz w:val="20"/>
        </w:rPr>
        <w:tab/>
        <w:t xml:space="preserve">application for variation or revocation of a </w:t>
      </w:r>
      <w:r w:rsidR="001D3F93" w:rsidRPr="003D5DFA">
        <w:rPr>
          <w:rFonts w:ascii="Arial" w:hAnsi="Arial" w:cs="Arial"/>
          <w:color w:val="000000"/>
          <w:sz w:val="20"/>
        </w:rPr>
        <w:t xml:space="preserve">temporary assessment order, a therapeutic treatment order or therapeutic treatment (placement) order, a </w:t>
      </w:r>
      <w:r w:rsidR="00EB1C61">
        <w:rPr>
          <w:rFonts w:ascii="Arial" w:hAnsi="Arial" w:cs="Arial"/>
          <w:color w:val="000000"/>
          <w:sz w:val="20"/>
        </w:rPr>
        <w:t>family preservation</w:t>
      </w:r>
      <w:r w:rsidRPr="003D5DFA">
        <w:rPr>
          <w:rFonts w:ascii="Arial" w:hAnsi="Arial" w:cs="Arial"/>
          <w:color w:val="000000"/>
          <w:sz w:val="20"/>
        </w:rPr>
        <w:t xml:space="preserve"> order, a </w:t>
      </w:r>
      <w:r w:rsidR="00EB1C61">
        <w:rPr>
          <w:rFonts w:ascii="Arial" w:hAnsi="Arial" w:cs="Arial"/>
          <w:color w:val="000000"/>
          <w:sz w:val="20"/>
        </w:rPr>
        <w:t>family reunification order</w:t>
      </w:r>
      <w:r w:rsidRPr="003D5DFA">
        <w:rPr>
          <w:rFonts w:ascii="Arial" w:hAnsi="Arial" w:cs="Arial"/>
          <w:color w:val="000000"/>
          <w:sz w:val="20"/>
        </w:rPr>
        <w:t xml:space="preserve"> or a permanent care order;</w:t>
      </w:r>
    </w:p>
    <w:p w14:paraId="10E6EE7B"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1D3F93" w:rsidRPr="003D5DFA">
        <w:rPr>
          <w:rFonts w:ascii="Arial" w:hAnsi="Arial" w:cs="Arial"/>
          <w:color w:val="000000"/>
          <w:sz w:val="20"/>
        </w:rPr>
        <w:t>i</w:t>
      </w:r>
      <w:r w:rsidRPr="003D5DFA">
        <w:rPr>
          <w:rFonts w:ascii="Arial" w:hAnsi="Arial" w:cs="Arial"/>
          <w:color w:val="000000"/>
          <w:sz w:val="20"/>
        </w:rPr>
        <w:t>)</w:t>
      </w:r>
      <w:r w:rsidRPr="003D5DFA">
        <w:rPr>
          <w:rFonts w:ascii="Arial" w:hAnsi="Arial" w:cs="Arial"/>
          <w:color w:val="000000"/>
          <w:sz w:val="20"/>
        </w:rPr>
        <w:tab/>
        <w:t>application in respect of breach of a</w:t>
      </w:r>
      <w:r w:rsidR="00EB1C61">
        <w:rPr>
          <w:rFonts w:ascii="Arial" w:hAnsi="Arial" w:cs="Arial"/>
          <w:color w:val="000000"/>
          <w:sz w:val="20"/>
        </w:rPr>
        <w:t xml:space="preserve">n IAO or </w:t>
      </w:r>
      <w:r w:rsidR="001D3F93" w:rsidRPr="003D5DFA">
        <w:rPr>
          <w:rFonts w:ascii="Arial" w:hAnsi="Arial" w:cs="Arial"/>
          <w:color w:val="000000"/>
          <w:sz w:val="20"/>
        </w:rPr>
        <w:t>a</w:t>
      </w:r>
      <w:r w:rsidR="00EB1C61">
        <w:rPr>
          <w:rFonts w:ascii="Arial" w:hAnsi="Arial" w:cs="Arial"/>
          <w:color w:val="000000"/>
          <w:sz w:val="20"/>
        </w:rPr>
        <w:t xml:space="preserve"> family preservation</w:t>
      </w:r>
      <w:r w:rsidRPr="003D5DFA">
        <w:rPr>
          <w:rFonts w:ascii="Arial" w:hAnsi="Arial" w:cs="Arial"/>
          <w:color w:val="000000"/>
          <w:sz w:val="20"/>
        </w:rPr>
        <w:t xml:space="preserve"> </w:t>
      </w:r>
      <w:r w:rsidR="001D3F93" w:rsidRPr="003D5DFA">
        <w:rPr>
          <w:rFonts w:ascii="Arial" w:hAnsi="Arial" w:cs="Arial"/>
          <w:color w:val="000000"/>
          <w:sz w:val="20"/>
        </w:rPr>
        <w:t>order</w:t>
      </w:r>
      <w:r w:rsidRPr="003D5DFA">
        <w:rPr>
          <w:rFonts w:ascii="Arial" w:hAnsi="Arial" w:cs="Arial"/>
          <w:color w:val="000000"/>
          <w:sz w:val="20"/>
        </w:rPr>
        <w:t>;</w:t>
      </w:r>
    </w:p>
    <w:p w14:paraId="0657A3DA"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1D3F93" w:rsidRPr="003D5DFA">
        <w:rPr>
          <w:rFonts w:ascii="Arial" w:hAnsi="Arial" w:cs="Arial"/>
          <w:color w:val="000000"/>
          <w:sz w:val="20"/>
        </w:rPr>
        <w:t>j</w:t>
      </w:r>
      <w:r w:rsidRPr="003D5DFA">
        <w:rPr>
          <w:rFonts w:ascii="Arial" w:hAnsi="Arial" w:cs="Arial"/>
          <w:color w:val="000000"/>
          <w:sz w:val="20"/>
        </w:rPr>
        <w:t>)</w:t>
      </w:r>
      <w:r w:rsidRPr="003D5DFA">
        <w:rPr>
          <w:rFonts w:ascii="Arial" w:hAnsi="Arial" w:cs="Arial"/>
          <w:color w:val="000000"/>
          <w:sz w:val="20"/>
        </w:rPr>
        <w:tab/>
        <w:t xml:space="preserve">application for extension of a </w:t>
      </w:r>
      <w:r w:rsidR="00EB1C61">
        <w:rPr>
          <w:rFonts w:ascii="Arial" w:hAnsi="Arial" w:cs="Arial"/>
          <w:color w:val="000000"/>
          <w:sz w:val="20"/>
        </w:rPr>
        <w:t>family preservation</w:t>
      </w:r>
      <w:r w:rsidR="001D3F93" w:rsidRPr="003D5DFA">
        <w:rPr>
          <w:rFonts w:ascii="Arial" w:hAnsi="Arial" w:cs="Arial"/>
          <w:color w:val="000000"/>
          <w:sz w:val="20"/>
        </w:rPr>
        <w:t xml:space="preserve"> order, a </w:t>
      </w:r>
      <w:r w:rsidR="00EB1C61">
        <w:rPr>
          <w:rFonts w:ascii="Arial" w:hAnsi="Arial" w:cs="Arial"/>
          <w:color w:val="000000"/>
          <w:sz w:val="20"/>
        </w:rPr>
        <w:t xml:space="preserve">family reunification order or a care by </w:t>
      </w:r>
      <w:r w:rsidRPr="003D5DFA">
        <w:rPr>
          <w:rFonts w:ascii="Arial" w:hAnsi="Arial" w:cs="Arial"/>
          <w:color w:val="000000"/>
          <w:sz w:val="20"/>
        </w:rPr>
        <w:t>Secretary order;</w:t>
      </w:r>
    </w:p>
    <w:p w14:paraId="6B359A64"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1D3F93" w:rsidRPr="003D5DFA">
        <w:rPr>
          <w:rFonts w:ascii="Arial" w:hAnsi="Arial" w:cs="Arial"/>
          <w:color w:val="000000"/>
          <w:sz w:val="20"/>
        </w:rPr>
        <w:t>k</w:t>
      </w:r>
      <w:r w:rsidRPr="003D5DFA">
        <w:rPr>
          <w:rFonts w:ascii="Arial" w:hAnsi="Arial" w:cs="Arial"/>
          <w:color w:val="000000"/>
          <w:sz w:val="20"/>
        </w:rPr>
        <w:t>)</w:t>
      </w:r>
      <w:r w:rsidRPr="003D5DFA">
        <w:rPr>
          <w:rFonts w:ascii="Arial" w:hAnsi="Arial" w:cs="Arial"/>
          <w:color w:val="000000"/>
          <w:sz w:val="20"/>
        </w:rPr>
        <w:tab/>
        <w:t xml:space="preserve">application for revocation of a </w:t>
      </w:r>
      <w:r w:rsidR="00EB1C61">
        <w:rPr>
          <w:rFonts w:ascii="Arial" w:hAnsi="Arial" w:cs="Arial"/>
          <w:color w:val="000000"/>
          <w:sz w:val="20"/>
        </w:rPr>
        <w:t>care by Secretary order or a long-term care order</w:t>
      </w:r>
      <w:r w:rsidRPr="003D5DFA">
        <w:rPr>
          <w:rFonts w:ascii="Arial" w:hAnsi="Arial" w:cs="Arial"/>
          <w:color w:val="000000"/>
          <w:sz w:val="20"/>
        </w:rPr>
        <w:t>;</w:t>
      </w:r>
    </w:p>
    <w:p w14:paraId="0270D103"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1D3F93" w:rsidRPr="003D5DFA">
        <w:rPr>
          <w:rFonts w:ascii="Arial" w:hAnsi="Arial" w:cs="Arial"/>
          <w:color w:val="000000"/>
          <w:sz w:val="20"/>
        </w:rPr>
        <w:t>l</w:t>
      </w:r>
      <w:r w:rsidRPr="003D5DFA">
        <w:rPr>
          <w:rFonts w:ascii="Arial" w:hAnsi="Arial" w:cs="Arial"/>
          <w:color w:val="000000"/>
          <w:sz w:val="20"/>
        </w:rPr>
        <w:t>)</w:t>
      </w:r>
      <w:r w:rsidRPr="003D5DFA">
        <w:rPr>
          <w:rFonts w:ascii="Arial" w:hAnsi="Arial" w:cs="Arial"/>
          <w:color w:val="000000"/>
          <w:sz w:val="20"/>
        </w:rPr>
        <w:tab/>
        <w:t xml:space="preserve">application for an order regarding the exercise of any right, power or duty vested in a person </w:t>
      </w:r>
      <w:r w:rsidR="00EB1C61">
        <w:rPr>
          <w:rFonts w:ascii="Arial" w:hAnsi="Arial" w:cs="Arial"/>
          <w:color w:val="000000"/>
          <w:sz w:val="20"/>
        </w:rPr>
        <w:t>with</w:t>
      </w:r>
      <w:r w:rsidRPr="003D5DFA">
        <w:rPr>
          <w:rFonts w:ascii="Arial" w:hAnsi="Arial" w:cs="Arial"/>
          <w:color w:val="000000"/>
          <w:sz w:val="20"/>
        </w:rPr>
        <w:t xml:space="preserve"> joint </w:t>
      </w:r>
      <w:r w:rsidR="00EB1C61">
        <w:rPr>
          <w:rFonts w:ascii="Arial" w:hAnsi="Arial" w:cs="Arial"/>
          <w:color w:val="000000"/>
          <w:sz w:val="20"/>
        </w:rPr>
        <w:t>parental responsibility for</w:t>
      </w:r>
      <w:r w:rsidRPr="003D5DFA">
        <w:rPr>
          <w:rFonts w:ascii="Arial" w:hAnsi="Arial" w:cs="Arial"/>
          <w:color w:val="000000"/>
          <w:sz w:val="20"/>
        </w:rPr>
        <w:t xml:space="preserve"> a child;</w:t>
      </w:r>
    </w:p>
    <w:p w14:paraId="3D0F1C1C" w14:textId="77777777" w:rsidR="00693223" w:rsidRPr="003D5DFA" w:rsidRDefault="00693223">
      <w:pPr>
        <w:ind w:left="363" w:hanging="363"/>
        <w:jc w:val="both"/>
        <w:rPr>
          <w:rFonts w:ascii="Arial" w:hAnsi="Arial" w:cs="Arial"/>
          <w:color w:val="000000"/>
          <w:sz w:val="20"/>
        </w:rPr>
      </w:pPr>
      <w:r w:rsidRPr="003D5DFA">
        <w:rPr>
          <w:rFonts w:ascii="Arial" w:hAnsi="Arial" w:cs="Arial"/>
          <w:color w:val="000000"/>
          <w:sz w:val="20"/>
        </w:rPr>
        <w:t>(</w:t>
      </w:r>
      <w:r w:rsidR="009B633C" w:rsidRPr="003D5DFA">
        <w:rPr>
          <w:rFonts w:ascii="Arial" w:hAnsi="Arial" w:cs="Arial"/>
          <w:color w:val="000000"/>
          <w:sz w:val="20"/>
        </w:rPr>
        <w:t>m</w:t>
      </w:r>
      <w:r w:rsidRPr="003D5DFA">
        <w:rPr>
          <w:rFonts w:ascii="Arial" w:hAnsi="Arial" w:cs="Arial"/>
          <w:color w:val="000000"/>
          <w:sz w:val="20"/>
        </w:rPr>
        <w:t>)</w:t>
      </w:r>
      <w:r w:rsidRPr="003D5DFA">
        <w:rPr>
          <w:rFonts w:ascii="Arial" w:hAnsi="Arial" w:cs="Arial"/>
          <w:color w:val="000000"/>
          <w:sz w:val="20"/>
        </w:rPr>
        <w:tab/>
        <w:t>application for an order transferring a child</w:t>
      </w:r>
      <w:r w:rsidR="001D3F93" w:rsidRPr="003D5DFA">
        <w:rPr>
          <w:rFonts w:ascii="Arial" w:hAnsi="Arial" w:cs="Arial"/>
          <w:color w:val="000000"/>
          <w:sz w:val="20"/>
        </w:rPr>
        <w:t xml:space="preserve"> protection order </w:t>
      </w:r>
      <w:r w:rsidRPr="003D5DFA">
        <w:rPr>
          <w:rFonts w:ascii="Arial" w:hAnsi="Arial" w:cs="Arial"/>
          <w:color w:val="000000"/>
          <w:sz w:val="20"/>
        </w:rPr>
        <w:t xml:space="preserve">within the meaning of Schedule </w:t>
      </w:r>
      <w:r w:rsidR="001D3F93" w:rsidRPr="003D5DFA">
        <w:rPr>
          <w:rFonts w:ascii="Arial" w:hAnsi="Arial" w:cs="Arial"/>
          <w:color w:val="000000"/>
          <w:sz w:val="20"/>
        </w:rPr>
        <w:t>1</w:t>
      </w:r>
      <w:r w:rsidRPr="003D5DFA">
        <w:rPr>
          <w:rFonts w:ascii="Arial" w:hAnsi="Arial" w:cs="Arial"/>
          <w:color w:val="000000"/>
          <w:sz w:val="20"/>
        </w:rPr>
        <w:t xml:space="preserve"> to a participating State;</w:t>
      </w:r>
    </w:p>
    <w:p w14:paraId="07B6249C" w14:textId="77777777" w:rsidR="009B633C" w:rsidRPr="003D5DFA" w:rsidRDefault="009B633C" w:rsidP="009B633C">
      <w:pPr>
        <w:ind w:left="363" w:hanging="363"/>
        <w:jc w:val="both"/>
        <w:rPr>
          <w:rFonts w:ascii="Arial" w:hAnsi="Arial" w:cs="Arial"/>
          <w:color w:val="000000"/>
          <w:sz w:val="20"/>
        </w:rPr>
      </w:pPr>
      <w:r w:rsidRPr="003D5DFA">
        <w:rPr>
          <w:rFonts w:ascii="Arial" w:hAnsi="Arial" w:cs="Arial"/>
          <w:color w:val="000000"/>
          <w:sz w:val="20"/>
        </w:rPr>
        <w:t>(n)</w:t>
      </w:r>
      <w:r w:rsidRPr="003D5DFA">
        <w:rPr>
          <w:rFonts w:ascii="Arial" w:hAnsi="Arial" w:cs="Arial"/>
          <w:color w:val="000000"/>
          <w:sz w:val="20"/>
        </w:rPr>
        <w:tab/>
        <w:t>application for an order transferring a child protection proceeding within the meaning of Schedule 1 to the Children’s Court in a participating State;</w:t>
      </w:r>
    </w:p>
    <w:p w14:paraId="71A73542" w14:textId="77777777" w:rsidR="00693223" w:rsidRPr="003D5DFA" w:rsidRDefault="00693223" w:rsidP="009B633C">
      <w:pPr>
        <w:ind w:left="363" w:hanging="363"/>
        <w:jc w:val="both"/>
        <w:rPr>
          <w:rFonts w:ascii="Arial" w:hAnsi="Arial" w:cs="Arial"/>
          <w:color w:val="000000"/>
          <w:sz w:val="20"/>
        </w:rPr>
      </w:pPr>
      <w:r w:rsidRPr="003D5DFA">
        <w:rPr>
          <w:rFonts w:ascii="Arial" w:hAnsi="Arial" w:cs="Arial"/>
          <w:color w:val="000000"/>
          <w:sz w:val="20"/>
        </w:rPr>
        <w:t>(</w:t>
      </w:r>
      <w:r w:rsidR="009B633C" w:rsidRPr="003D5DFA">
        <w:rPr>
          <w:rFonts w:ascii="Arial" w:hAnsi="Arial" w:cs="Arial"/>
          <w:color w:val="000000"/>
          <w:sz w:val="20"/>
        </w:rPr>
        <w:t>o</w:t>
      </w:r>
      <w:r w:rsidRPr="003D5DFA">
        <w:rPr>
          <w:rFonts w:ascii="Arial" w:hAnsi="Arial" w:cs="Arial"/>
          <w:color w:val="000000"/>
          <w:sz w:val="20"/>
        </w:rPr>
        <w:t>)</w:t>
      </w:r>
      <w:r w:rsidRPr="003D5DFA">
        <w:rPr>
          <w:rFonts w:ascii="Arial" w:hAnsi="Arial" w:cs="Arial"/>
          <w:color w:val="000000"/>
          <w:sz w:val="20"/>
        </w:rPr>
        <w:tab/>
        <w:t>application for the revocation of the registration of a document fil</w:t>
      </w:r>
      <w:r w:rsidR="009B633C" w:rsidRPr="003D5DFA">
        <w:rPr>
          <w:rFonts w:ascii="Arial" w:hAnsi="Arial" w:cs="Arial"/>
          <w:color w:val="000000"/>
          <w:sz w:val="20"/>
        </w:rPr>
        <w:t>ed under clause 19 of Schedule 1</w:t>
      </w:r>
      <w:r w:rsidRPr="003D5DFA">
        <w:rPr>
          <w:rFonts w:ascii="Arial" w:hAnsi="Arial" w:cs="Arial"/>
          <w:color w:val="000000"/>
          <w:sz w:val="20"/>
        </w:rPr>
        <w:t>.</w:t>
      </w:r>
    </w:p>
    <w:p w14:paraId="36B314D8" w14:textId="77777777" w:rsidR="00693223" w:rsidRPr="003D5DFA" w:rsidRDefault="003E2B31">
      <w:pPr>
        <w:jc w:val="both"/>
        <w:rPr>
          <w:rFonts w:ascii="Arial" w:hAnsi="Arial" w:cs="Arial"/>
          <w:color w:val="000000"/>
          <w:sz w:val="20"/>
        </w:rPr>
      </w:pPr>
      <w:r w:rsidRPr="003D5DFA">
        <w:rPr>
          <w:rFonts w:ascii="Arial" w:hAnsi="Arial" w:cs="Arial"/>
          <w:color w:val="000000"/>
          <w:sz w:val="20"/>
        </w:rPr>
        <w:t>This list includes nearly all of the proceedings in the Family Division.</w:t>
      </w:r>
    </w:p>
    <w:p w14:paraId="0F3383A7" w14:textId="77777777" w:rsidR="003E2B31" w:rsidRPr="003D5DFA" w:rsidRDefault="003E2B31">
      <w:pPr>
        <w:jc w:val="both"/>
        <w:rPr>
          <w:rFonts w:ascii="Arial" w:hAnsi="Arial" w:cs="Arial"/>
          <w:color w:val="000000"/>
          <w:sz w:val="20"/>
        </w:rPr>
      </w:pPr>
    </w:p>
    <w:p w14:paraId="464E67B2" w14:textId="77777777" w:rsidR="000B6A6D" w:rsidRPr="003D5DFA" w:rsidRDefault="00693223">
      <w:pPr>
        <w:jc w:val="both"/>
        <w:rPr>
          <w:rFonts w:ascii="Arial" w:hAnsi="Arial" w:cs="Arial"/>
          <w:color w:val="000000"/>
          <w:sz w:val="20"/>
        </w:rPr>
      </w:pPr>
      <w:r w:rsidRPr="003D5DFA">
        <w:rPr>
          <w:rFonts w:ascii="Arial" w:hAnsi="Arial" w:cs="Arial"/>
          <w:color w:val="000000"/>
          <w:sz w:val="20"/>
        </w:rPr>
        <w:t xml:space="preserve">Section </w:t>
      </w:r>
      <w:r w:rsidR="000A7107" w:rsidRPr="003D5DFA">
        <w:rPr>
          <w:rFonts w:ascii="Arial" w:hAnsi="Arial" w:cs="Arial"/>
          <w:color w:val="000000"/>
          <w:sz w:val="20"/>
        </w:rPr>
        <w:t>524</w:t>
      </w:r>
      <w:r w:rsidRPr="003D5DFA">
        <w:rPr>
          <w:rFonts w:ascii="Arial" w:hAnsi="Arial" w:cs="Arial"/>
          <w:color w:val="000000"/>
          <w:sz w:val="20"/>
        </w:rPr>
        <w:t>(</w:t>
      </w:r>
      <w:r w:rsidR="000A7107" w:rsidRPr="003D5DFA">
        <w:rPr>
          <w:rFonts w:ascii="Arial" w:hAnsi="Arial" w:cs="Arial"/>
          <w:color w:val="000000"/>
          <w:sz w:val="20"/>
        </w:rPr>
        <w:t>8</w:t>
      </w:r>
      <w:r w:rsidRPr="003D5DFA">
        <w:rPr>
          <w:rFonts w:ascii="Arial" w:hAnsi="Arial" w:cs="Arial"/>
          <w:color w:val="000000"/>
          <w:sz w:val="20"/>
        </w:rPr>
        <w:t xml:space="preserve">) prohibits a parent from representing a child </w:t>
      </w:r>
      <w:r w:rsidR="000B6A6D" w:rsidRPr="003D5DFA">
        <w:rPr>
          <w:rFonts w:ascii="Arial" w:hAnsi="Arial" w:cs="Arial"/>
          <w:color w:val="000000"/>
          <w:sz w:val="20"/>
        </w:rPr>
        <w:t xml:space="preserve">in the Family Division </w:t>
      </w:r>
      <w:r w:rsidRPr="003D5DFA">
        <w:rPr>
          <w:rFonts w:ascii="Arial" w:hAnsi="Arial" w:cs="Arial"/>
          <w:color w:val="000000"/>
          <w:sz w:val="20"/>
        </w:rPr>
        <w:t>but permits the Court to grant leave to a non-lawyer, other than a parent, to represent the child</w:t>
      </w:r>
      <w:r w:rsidR="000B6A6D" w:rsidRPr="003D5DFA">
        <w:rPr>
          <w:rFonts w:ascii="Arial" w:hAnsi="Arial" w:cs="Arial"/>
          <w:color w:val="000000"/>
          <w:sz w:val="20"/>
        </w:rPr>
        <w:t xml:space="preserve"> except in cases where legal representation is obtained pursuant to s.524(4).</w:t>
      </w:r>
    </w:p>
    <w:p w14:paraId="48ED0330" w14:textId="77777777" w:rsidR="004C0B7B" w:rsidRPr="003D5DFA" w:rsidRDefault="004C0B7B" w:rsidP="004C0B7B">
      <w:pPr>
        <w:jc w:val="both"/>
        <w:rPr>
          <w:rFonts w:ascii="Arial" w:hAnsi="Arial" w:cs="Arial"/>
          <w:color w:val="000000"/>
          <w:sz w:val="20"/>
        </w:rPr>
      </w:pPr>
    </w:p>
    <w:p w14:paraId="47A01504" w14:textId="77777777" w:rsidR="004C0B7B" w:rsidRPr="003D5DFA" w:rsidRDefault="004C0B7B" w:rsidP="004C0B7B">
      <w:pPr>
        <w:jc w:val="both"/>
        <w:rPr>
          <w:rFonts w:ascii="Arial" w:hAnsi="Arial" w:cs="Arial"/>
          <w:color w:val="000000"/>
          <w:sz w:val="20"/>
        </w:rPr>
      </w:pPr>
      <w:r w:rsidRPr="003D5DFA">
        <w:rPr>
          <w:rFonts w:ascii="Arial" w:hAnsi="Arial" w:cs="Arial"/>
          <w:color w:val="000000"/>
          <w:sz w:val="20"/>
        </w:rPr>
        <w:t xml:space="preserve">Section 524(1)(a) empowers – but does not require – the Court to adjourn the hearing of any proceeding in the Family Division of the Court at any stage to enable a child aged 10 years or more to obtain legal representation.  </w:t>
      </w:r>
      <w:r w:rsidR="00EB1C61">
        <w:rPr>
          <w:rFonts w:ascii="Arial" w:hAnsi="Arial" w:cs="Arial"/>
          <w:color w:val="000000"/>
          <w:sz w:val="20"/>
        </w:rPr>
        <w:t xml:space="preserve">However, the writer considers this must be read subject to the mandatory representation provisions in s.525(1).  </w:t>
      </w:r>
      <w:r w:rsidRPr="003D5DFA">
        <w:rPr>
          <w:rFonts w:ascii="Arial" w:hAnsi="Arial" w:cs="Arial"/>
          <w:color w:val="000000"/>
          <w:sz w:val="20"/>
        </w:rPr>
        <w:t>Section 524(4A) permits the Court to resume a hearing adjourned to enable a child to obtain legal representation whether or not the child has obtained legal representation.</w:t>
      </w:r>
    </w:p>
    <w:p w14:paraId="6353065B" w14:textId="77777777" w:rsidR="004C0B7B" w:rsidRPr="003D5DFA" w:rsidRDefault="004C0B7B" w:rsidP="004C0B7B">
      <w:pPr>
        <w:jc w:val="both"/>
        <w:rPr>
          <w:rFonts w:ascii="Arial" w:hAnsi="Arial" w:cs="Arial"/>
          <w:color w:val="000000"/>
          <w:sz w:val="20"/>
        </w:rPr>
      </w:pPr>
    </w:p>
    <w:p w14:paraId="0327AAFA" w14:textId="77777777" w:rsidR="00693223" w:rsidRPr="003D5DFA" w:rsidRDefault="008A2308">
      <w:pPr>
        <w:jc w:val="both"/>
        <w:rPr>
          <w:rFonts w:ascii="Arial" w:hAnsi="Arial" w:cs="Arial"/>
          <w:color w:val="000000"/>
          <w:sz w:val="20"/>
        </w:rPr>
      </w:pPr>
      <w:r>
        <w:rPr>
          <w:rFonts w:ascii="Arial" w:hAnsi="Arial" w:cs="Arial"/>
          <w:color w:val="000000"/>
          <w:sz w:val="20"/>
        </w:rPr>
        <w:t xml:space="preserve">Section </w:t>
      </w:r>
      <w:r w:rsidR="00785536" w:rsidRPr="003D5DFA">
        <w:rPr>
          <w:rFonts w:ascii="Arial" w:hAnsi="Arial" w:cs="Arial"/>
          <w:color w:val="000000"/>
          <w:sz w:val="20"/>
        </w:rPr>
        <w:t>524(</w:t>
      </w:r>
      <w:r w:rsidR="00A97263" w:rsidRPr="003D5DFA">
        <w:rPr>
          <w:rFonts w:ascii="Arial" w:hAnsi="Arial" w:cs="Arial"/>
          <w:color w:val="000000"/>
          <w:sz w:val="20"/>
        </w:rPr>
        <w:t xml:space="preserve">1A) of the CYFA </w:t>
      </w:r>
      <w:r w:rsidR="00785536" w:rsidRPr="003D5DFA">
        <w:rPr>
          <w:rFonts w:ascii="Arial" w:hAnsi="Arial" w:cs="Arial"/>
          <w:color w:val="000000"/>
          <w:sz w:val="20"/>
        </w:rPr>
        <w:t>provide</w:t>
      </w:r>
      <w:r w:rsidR="00A97263" w:rsidRPr="003D5DFA">
        <w:rPr>
          <w:rFonts w:ascii="Arial" w:hAnsi="Arial" w:cs="Arial"/>
          <w:color w:val="000000"/>
          <w:sz w:val="20"/>
        </w:rPr>
        <w:t>s</w:t>
      </w:r>
      <w:r w:rsidR="00785536" w:rsidRPr="003D5DFA">
        <w:rPr>
          <w:rFonts w:ascii="Arial" w:hAnsi="Arial" w:cs="Arial"/>
          <w:color w:val="000000"/>
          <w:sz w:val="20"/>
        </w:rPr>
        <w:t xml:space="preserve"> that i</w:t>
      </w:r>
      <w:r w:rsidR="00693223" w:rsidRPr="003D5DFA">
        <w:rPr>
          <w:rFonts w:ascii="Arial" w:hAnsi="Arial" w:cs="Arial"/>
          <w:color w:val="000000"/>
          <w:sz w:val="20"/>
        </w:rPr>
        <w:t xml:space="preserve">f a child </w:t>
      </w:r>
      <w:r w:rsidR="00785536" w:rsidRPr="003D5DFA">
        <w:rPr>
          <w:rFonts w:ascii="Arial" w:hAnsi="Arial" w:cs="Arial"/>
          <w:color w:val="000000"/>
          <w:sz w:val="20"/>
        </w:rPr>
        <w:t xml:space="preserve">aged 10 years or more is not </w:t>
      </w:r>
      <w:r w:rsidR="00693223" w:rsidRPr="003D5DFA">
        <w:rPr>
          <w:rFonts w:ascii="Arial" w:hAnsi="Arial" w:cs="Arial"/>
          <w:color w:val="000000"/>
          <w:sz w:val="20"/>
        </w:rPr>
        <w:t>legally represented in any of the above</w:t>
      </w:r>
      <w:r w:rsidR="00785536" w:rsidRPr="003D5DFA">
        <w:rPr>
          <w:rFonts w:ascii="Arial" w:hAnsi="Arial" w:cs="Arial"/>
          <w:color w:val="000000"/>
          <w:sz w:val="20"/>
        </w:rPr>
        <w:t>-listed</w:t>
      </w:r>
      <w:r w:rsidR="00693223" w:rsidRPr="003D5DFA">
        <w:rPr>
          <w:rFonts w:ascii="Arial" w:hAnsi="Arial" w:cs="Arial"/>
          <w:color w:val="000000"/>
          <w:sz w:val="20"/>
        </w:rPr>
        <w:t xml:space="preserve"> proceedings, </w:t>
      </w:r>
      <w:r w:rsidR="00785536" w:rsidRPr="003D5DFA">
        <w:rPr>
          <w:rFonts w:ascii="Arial" w:hAnsi="Arial" w:cs="Arial"/>
          <w:color w:val="000000"/>
          <w:sz w:val="20"/>
        </w:rPr>
        <w:t xml:space="preserve">the Court must </w:t>
      </w:r>
      <w:r w:rsidR="00693223" w:rsidRPr="003D5DFA">
        <w:rPr>
          <w:rFonts w:ascii="Arial" w:hAnsi="Arial" w:cs="Arial"/>
          <w:color w:val="000000"/>
          <w:sz w:val="20"/>
        </w:rPr>
        <w:t>adjourn the hearing to enable the child to obtain legal representation.  However, that obligation does not apply to:</w:t>
      </w:r>
    </w:p>
    <w:p w14:paraId="23D6EB19" w14:textId="77777777" w:rsidR="00693223" w:rsidRPr="003D5DFA" w:rsidRDefault="00693223"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cases falling within s</w:t>
      </w:r>
      <w:r w:rsidR="00803503" w:rsidRPr="003D5DFA">
        <w:rPr>
          <w:rFonts w:ascii="Arial" w:hAnsi="Arial" w:cs="Arial"/>
          <w:color w:val="000000"/>
          <w:sz w:val="20"/>
        </w:rPr>
        <w:t>.216</w:t>
      </w:r>
      <w:r w:rsidRPr="003D5DFA">
        <w:rPr>
          <w:rFonts w:ascii="Arial" w:hAnsi="Arial" w:cs="Arial"/>
          <w:color w:val="000000"/>
          <w:sz w:val="20"/>
        </w:rPr>
        <w:t>, i.e. where, upon an application for extension of a custody or guardianship to Secretary order, the Court is satisfied that the child has agreed on the terms of the order and that the making of the order is in the best interests of the child;</w:t>
      </w:r>
    </w:p>
    <w:p w14:paraId="0705F35B" w14:textId="77777777" w:rsidR="00693223" w:rsidRPr="003D5DFA" w:rsidRDefault="00693223"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 xml:space="preserve">cases where the Court has granted leave </w:t>
      </w:r>
      <w:r w:rsidR="00785536" w:rsidRPr="003D5DFA">
        <w:rPr>
          <w:rFonts w:ascii="Arial" w:hAnsi="Arial" w:cs="Arial"/>
          <w:color w:val="000000"/>
          <w:sz w:val="20"/>
        </w:rPr>
        <w:t xml:space="preserve">under s.524(8) </w:t>
      </w:r>
      <w:r w:rsidRPr="003D5DFA">
        <w:rPr>
          <w:rFonts w:ascii="Arial" w:hAnsi="Arial" w:cs="Arial"/>
          <w:color w:val="000000"/>
          <w:sz w:val="20"/>
        </w:rPr>
        <w:t>for the child to</w:t>
      </w:r>
      <w:r w:rsidR="00785536" w:rsidRPr="003D5DFA">
        <w:rPr>
          <w:rFonts w:ascii="Arial" w:hAnsi="Arial" w:cs="Arial"/>
          <w:color w:val="000000"/>
          <w:sz w:val="20"/>
        </w:rPr>
        <w:t xml:space="preserve"> be represented by a non-lawyer; and</w:t>
      </w:r>
    </w:p>
    <w:p w14:paraId="0A55A94D" w14:textId="77777777" w:rsidR="00785536" w:rsidRPr="003D5DFA" w:rsidRDefault="00785536"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 xml:space="preserve">cases </w:t>
      </w:r>
      <w:r w:rsidR="00A97263" w:rsidRPr="003D5DFA">
        <w:rPr>
          <w:rFonts w:ascii="Arial" w:hAnsi="Arial" w:cs="Arial"/>
          <w:color w:val="000000"/>
          <w:sz w:val="20"/>
        </w:rPr>
        <w:t>where the Court has determined pursuant to s.524(1B) that a child aged 10 years or more is not mature enough to give instructions to a legal practitioner, considering-</w:t>
      </w:r>
    </w:p>
    <w:p w14:paraId="134CAE24" w14:textId="77777777" w:rsidR="00693223" w:rsidRPr="003D5DFA" w:rsidRDefault="00A97263">
      <w:pPr>
        <w:numPr>
          <w:ilvl w:val="0"/>
          <w:numId w:val="29"/>
        </w:numPr>
        <w:jc w:val="both"/>
        <w:rPr>
          <w:rFonts w:ascii="Arial" w:hAnsi="Arial" w:cs="Arial"/>
          <w:color w:val="000000"/>
          <w:sz w:val="20"/>
        </w:rPr>
      </w:pPr>
      <w:r w:rsidRPr="003D5DFA">
        <w:rPr>
          <w:rFonts w:ascii="Arial" w:hAnsi="Arial" w:cs="Arial"/>
          <w:color w:val="000000"/>
          <w:sz w:val="20"/>
        </w:rPr>
        <w:t>the child’s ability to form and communicate the child’s own views; and</w:t>
      </w:r>
    </w:p>
    <w:p w14:paraId="7FC15345" w14:textId="77777777" w:rsidR="00A97263" w:rsidRPr="003D5DFA" w:rsidRDefault="00A97263">
      <w:pPr>
        <w:numPr>
          <w:ilvl w:val="0"/>
          <w:numId w:val="29"/>
        </w:numPr>
        <w:jc w:val="both"/>
        <w:rPr>
          <w:rFonts w:ascii="Arial" w:hAnsi="Arial" w:cs="Arial"/>
          <w:color w:val="000000"/>
          <w:sz w:val="20"/>
        </w:rPr>
      </w:pPr>
      <w:r w:rsidRPr="003D5DFA">
        <w:rPr>
          <w:rFonts w:ascii="Arial" w:hAnsi="Arial" w:cs="Arial"/>
          <w:color w:val="000000"/>
          <w:sz w:val="20"/>
        </w:rPr>
        <w:t xml:space="preserve">the child’s </w:t>
      </w:r>
      <w:r w:rsidR="00A27D51" w:rsidRPr="003D5DFA">
        <w:rPr>
          <w:rFonts w:ascii="Arial" w:hAnsi="Arial" w:cs="Arial"/>
          <w:color w:val="000000"/>
          <w:sz w:val="20"/>
        </w:rPr>
        <w:t>ability to give instructions in relation to the primary issues in dispute; and</w:t>
      </w:r>
    </w:p>
    <w:p w14:paraId="36A4871C" w14:textId="77777777" w:rsidR="00A27D51" w:rsidRPr="003D5DFA" w:rsidRDefault="00A27D51">
      <w:pPr>
        <w:numPr>
          <w:ilvl w:val="0"/>
          <w:numId w:val="29"/>
        </w:numPr>
        <w:jc w:val="both"/>
        <w:rPr>
          <w:rFonts w:ascii="Arial" w:hAnsi="Arial" w:cs="Arial"/>
          <w:color w:val="000000"/>
          <w:sz w:val="20"/>
        </w:rPr>
      </w:pPr>
      <w:r w:rsidRPr="003D5DFA">
        <w:rPr>
          <w:rFonts w:ascii="Arial" w:hAnsi="Arial" w:cs="Arial"/>
          <w:color w:val="000000"/>
          <w:sz w:val="20"/>
        </w:rPr>
        <w:t>any other matter the Court considers relevant.</w:t>
      </w:r>
    </w:p>
    <w:p w14:paraId="60E01F8D" w14:textId="77777777" w:rsidR="002A22E3" w:rsidRPr="003D5DFA" w:rsidRDefault="002A22E3" w:rsidP="00A27D51">
      <w:pPr>
        <w:jc w:val="both"/>
        <w:rPr>
          <w:rFonts w:ascii="Arial" w:hAnsi="Arial" w:cs="Arial"/>
          <w:color w:val="000000"/>
          <w:sz w:val="20"/>
        </w:rPr>
      </w:pPr>
    </w:p>
    <w:p w14:paraId="11275106" w14:textId="77777777" w:rsidR="00592495" w:rsidRPr="003D5DFA" w:rsidRDefault="00592495">
      <w:pPr>
        <w:jc w:val="both"/>
        <w:rPr>
          <w:rFonts w:ascii="Arial" w:hAnsi="Arial" w:cs="Arial"/>
          <w:color w:val="000000"/>
          <w:sz w:val="20"/>
        </w:rPr>
      </w:pPr>
      <w:r w:rsidRPr="003D5DFA">
        <w:rPr>
          <w:rFonts w:ascii="Arial" w:hAnsi="Arial" w:cs="Arial"/>
          <w:color w:val="000000"/>
          <w:sz w:val="20"/>
        </w:rPr>
        <w:t xml:space="preserve">A representative for a child – other than a legal representative appointed under s.524(4) [as to which see </w:t>
      </w:r>
      <w:r w:rsidRPr="00A40A28">
        <w:rPr>
          <w:rFonts w:ascii="Arial" w:hAnsi="Arial" w:cs="Arial"/>
          <w:b/>
          <w:bCs/>
          <w:color w:val="000000"/>
          <w:sz w:val="20"/>
          <w:shd w:val="clear" w:color="auto" w:fill="C5E0B3"/>
        </w:rPr>
        <w:t>section 4.7.4</w:t>
      </w:r>
      <w:r w:rsidRPr="003D5DFA">
        <w:rPr>
          <w:rFonts w:ascii="Arial" w:hAnsi="Arial" w:cs="Arial"/>
          <w:color w:val="000000"/>
          <w:sz w:val="20"/>
        </w:rPr>
        <w:t xml:space="preserve"> below] – is required by ss.524(9) &amp; 524(10) to act in accordance with any instructions given or wishes expressed by the child so far as it is practicable to do so having regard to the maturity of the child.  </w:t>
      </w:r>
      <w:r w:rsidR="00FB23AB" w:rsidRPr="003D5DFA">
        <w:rPr>
          <w:rFonts w:ascii="Arial" w:hAnsi="Arial" w:cs="Arial"/>
          <w:color w:val="000000"/>
          <w:sz w:val="20"/>
        </w:rPr>
        <w:t xml:space="preserve">The CYFA has thus adopted model 2 – </w:t>
      </w:r>
      <w:r w:rsidR="00745D3D" w:rsidRPr="003D5DFA">
        <w:rPr>
          <w:rFonts w:ascii="Arial" w:hAnsi="Arial" w:cs="Arial"/>
          <w:color w:val="000000"/>
          <w:sz w:val="20"/>
        </w:rPr>
        <w:t>‘</w:t>
      </w:r>
      <w:r w:rsidR="00FB23AB" w:rsidRPr="003D5DFA">
        <w:rPr>
          <w:rFonts w:ascii="Arial" w:hAnsi="Arial" w:cs="Arial"/>
          <w:b/>
          <w:color w:val="000000"/>
          <w:sz w:val="20"/>
        </w:rPr>
        <w:t>the traditional model</w:t>
      </w:r>
      <w:r w:rsidR="00745D3D" w:rsidRPr="003D5DFA">
        <w:rPr>
          <w:rFonts w:ascii="Arial" w:hAnsi="Arial" w:cs="Arial"/>
          <w:color w:val="000000"/>
          <w:sz w:val="20"/>
        </w:rPr>
        <w:t>’</w:t>
      </w:r>
      <w:r w:rsidR="00FB23AB" w:rsidRPr="003D5DFA">
        <w:rPr>
          <w:rFonts w:ascii="Arial" w:hAnsi="Arial" w:cs="Arial"/>
          <w:color w:val="000000"/>
          <w:sz w:val="20"/>
        </w:rPr>
        <w:t xml:space="preserve"> – </w:t>
      </w:r>
      <w:r w:rsidR="0031041A" w:rsidRPr="003D5DFA">
        <w:rPr>
          <w:rFonts w:ascii="Arial" w:hAnsi="Arial" w:cs="Arial"/>
          <w:color w:val="000000"/>
          <w:sz w:val="20"/>
        </w:rPr>
        <w:t xml:space="preserve">as its primary model </w:t>
      </w:r>
      <w:r w:rsidR="00FB23AB" w:rsidRPr="003D5DFA">
        <w:rPr>
          <w:rFonts w:ascii="Arial" w:hAnsi="Arial" w:cs="Arial"/>
          <w:color w:val="000000"/>
          <w:sz w:val="20"/>
        </w:rPr>
        <w:t>of child representation</w:t>
      </w:r>
      <w:r w:rsidR="0031041A" w:rsidRPr="003D5DFA">
        <w:rPr>
          <w:rFonts w:ascii="Arial" w:hAnsi="Arial" w:cs="Arial"/>
          <w:color w:val="000000"/>
          <w:sz w:val="20"/>
        </w:rPr>
        <w:t>,</w:t>
      </w:r>
      <w:r w:rsidR="00FB23AB" w:rsidRPr="003D5DFA">
        <w:rPr>
          <w:rFonts w:ascii="Arial" w:hAnsi="Arial" w:cs="Arial"/>
          <w:color w:val="000000"/>
          <w:sz w:val="20"/>
        </w:rPr>
        <w:t xml:space="preserve"> requiring the child’s advocate to argue a </w:t>
      </w:r>
      <w:r w:rsidR="00FB23AB" w:rsidRPr="003D5DFA">
        <w:rPr>
          <w:rFonts w:ascii="Arial" w:hAnsi="Arial" w:cs="Arial"/>
          <w:color w:val="000000"/>
          <w:sz w:val="20"/>
        </w:rPr>
        <w:lastRenderedPageBreak/>
        <w:t>case strictly upon the child’s instructions whether or not he or she believes that those instructions are in the best interests of the child.</w:t>
      </w:r>
    </w:p>
    <w:p w14:paraId="2C5BFCC4" w14:textId="77777777" w:rsidR="00592495" w:rsidRPr="003D5DFA" w:rsidRDefault="00592495">
      <w:pPr>
        <w:jc w:val="both"/>
        <w:rPr>
          <w:rFonts w:ascii="Arial" w:hAnsi="Arial" w:cs="Arial"/>
          <w:color w:val="000000"/>
          <w:sz w:val="20"/>
        </w:rPr>
      </w:pPr>
    </w:p>
    <w:p w14:paraId="5FFCBDC6" w14:textId="77777777" w:rsidR="00693223" w:rsidRPr="003D5DFA" w:rsidRDefault="00693223" w:rsidP="008119AB">
      <w:pPr>
        <w:pStyle w:val="Heading3"/>
        <w:keepNext/>
        <w:spacing w:after="120" w:line="240" w:lineRule="auto"/>
        <w:rPr>
          <w:rFonts w:ascii="Arial" w:hAnsi="Arial" w:cs="Arial"/>
          <w:b/>
          <w:bCs/>
          <w:color w:val="000000"/>
          <w:sz w:val="20"/>
        </w:rPr>
      </w:pPr>
      <w:bookmarkStart w:id="881" w:name="_4.7.4_Representation_of"/>
      <w:bookmarkStart w:id="882" w:name="B474"/>
      <w:bookmarkStart w:id="883" w:name="_Toc30654113"/>
      <w:bookmarkStart w:id="884" w:name="_Toc30654464"/>
      <w:bookmarkStart w:id="885" w:name="_Toc30655083"/>
      <w:bookmarkStart w:id="886" w:name="_Toc30655340"/>
      <w:bookmarkStart w:id="887" w:name="_Toc30657018"/>
      <w:bookmarkStart w:id="888" w:name="_Toc30661767"/>
      <w:bookmarkStart w:id="889" w:name="_Toc30666455"/>
      <w:bookmarkStart w:id="890" w:name="_Toc30666685"/>
      <w:bookmarkStart w:id="891" w:name="_Toc30667860"/>
      <w:bookmarkStart w:id="892" w:name="_Toc30669238"/>
      <w:bookmarkStart w:id="893" w:name="_Toc30671454"/>
      <w:bookmarkStart w:id="894" w:name="_Toc30673981"/>
      <w:bookmarkStart w:id="895" w:name="_Toc30691203"/>
      <w:bookmarkStart w:id="896" w:name="_Toc30691576"/>
      <w:bookmarkStart w:id="897" w:name="_Toc30691956"/>
      <w:bookmarkStart w:id="898" w:name="_Toc30692715"/>
      <w:bookmarkStart w:id="899" w:name="_Toc30693094"/>
      <w:bookmarkStart w:id="900" w:name="_Toc30693472"/>
      <w:bookmarkStart w:id="901" w:name="_Toc30693850"/>
      <w:bookmarkStart w:id="902" w:name="_Toc30694231"/>
      <w:bookmarkStart w:id="903" w:name="_Toc30698820"/>
      <w:bookmarkStart w:id="904" w:name="_Toc30699198"/>
      <w:bookmarkStart w:id="905" w:name="_Toc30699583"/>
      <w:bookmarkStart w:id="906" w:name="_Toc30700738"/>
      <w:bookmarkStart w:id="907" w:name="_Toc30701125"/>
      <w:bookmarkStart w:id="908" w:name="_Toc30743734"/>
      <w:bookmarkStart w:id="909" w:name="_Toc30754557"/>
      <w:bookmarkStart w:id="910" w:name="_Toc30756997"/>
      <w:bookmarkStart w:id="911" w:name="_Toc30757546"/>
      <w:bookmarkStart w:id="912" w:name="_Toc30757946"/>
      <w:bookmarkStart w:id="913" w:name="_Toc30762707"/>
      <w:bookmarkStart w:id="914" w:name="_Toc30767361"/>
      <w:bookmarkStart w:id="915" w:name="_Toc34823376"/>
      <w:bookmarkEnd w:id="881"/>
      <w:bookmarkEnd w:id="882"/>
      <w:r w:rsidRPr="003D5DFA">
        <w:rPr>
          <w:rFonts w:ascii="Arial" w:hAnsi="Arial" w:cs="Arial"/>
          <w:b/>
          <w:bCs/>
          <w:color w:val="000000"/>
          <w:sz w:val="20"/>
        </w:rPr>
        <w:t>4.7.</w:t>
      </w:r>
      <w:r w:rsidR="00592495" w:rsidRPr="003D5DFA">
        <w:rPr>
          <w:rFonts w:ascii="Arial" w:hAnsi="Arial" w:cs="Arial"/>
          <w:b/>
          <w:bCs/>
          <w:color w:val="000000"/>
          <w:sz w:val="20"/>
        </w:rPr>
        <w:t>4</w:t>
      </w:r>
      <w:r w:rsidRPr="003D5DFA">
        <w:rPr>
          <w:rFonts w:ascii="Arial" w:hAnsi="Arial" w:cs="Arial"/>
          <w:b/>
          <w:bCs/>
          <w:color w:val="000000"/>
          <w:sz w:val="20"/>
        </w:rPr>
        <w:tab/>
      </w:r>
      <w:r w:rsidR="0063057F" w:rsidRPr="003D5DFA">
        <w:rPr>
          <w:rFonts w:ascii="Arial" w:hAnsi="Arial" w:cs="Arial"/>
          <w:b/>
          <w:bCs/>
          <w:color w:val="000000"/>
          <w:sz w:val="20"/>
        </w:rPr>
        <w:t xml:space="preserve">Representation of </w:t>
      </w:r>
      <w:r w:rsidR="001D3F93" w:rsidRPr="003D5DFA">
        <w:rPr>
          <w:rFonts w:ascii="Arial" w:hAnsi="Arial" w:cs="Arial"/>
          <w:b/>
          <w:bCs/>
          <w:color w:val="000000"/>
          <w:sz w:val="20"/>
        </w:rPr>
        <w:t>c</w:t>
      </w:r>
      <w:r w:rsidRPr="003D5DFA">
        <w:rPr>
          <w:rFonts w:ascii="Arial" w:hAnsi="Arial" w:cs="Arial"/>
          <w:b/>
          <w:bCs/>
          <w:color w:val="000000"/>
          <w:sz w:val="20"/>
        </w:rPr>
        <w:t xml:space="preserve">hild </w:t>
      </w:r>
      <w:r w:rsidR="0063057F" w:rsidRPr="003D5DFA">
        <w:rPr>
          <w:rFonts w:ascii="Arial" w:hAnsi="Arial" w:cs="Arial"/>
          <w:b/>
          <w:bCs/>
          <w:color w:val="000000"/>
          <w:sz w:val="20"/>
        </w:rPr>
        <w:t xml:space="preserve">under 10 or </w:t>
      </w:r>
      <w:r w:rsidR="001D3F93" w:rsidRPr="003D5DFA">
        <w:rPr>
          <w:rFonts w:ascii="Arial" w:hAnsi="Arial" w:cs="Arial"/>
          <w:b/>
          <w:bCs/>
          <w:color w:val="000000"/>
          <w:sz w:val="20"/>
        </w:rPr>
        <w:t>not mature enough to give instructions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7E093536" w14:textId="77777777" w:rsidR="00FF5112" w:rsidRPr="003D5DFA" w:rsidRDefault="00FF5112" w:rsidP="008A2308">
      <w:pPr>
        <w:keepNext/>
        <w:keepLines/>
        <w:jc w:val="both"/>
        <w:rPr>
          <w:rFonts w:ascii="Arial" w:hAnsi="Arial" w:cs="Arial"/>
          <w:color w:val="000000"/>
          <w:sz w:val="20"/>
        </w:rPr>
      </w:pPr>
      <w:r w:rsidRPr="003D5DFA">
        <w:rPr>
          <w:rFonts w:ascii="Arial" w:hAnsi="Arial" w:cs="Arial"/>
          <w:color w:val="000000"/>
          <w:sz w:val="20"/>
        </w:rPr>
        <w:t>Prior to 27/03/2013 ss.524(1)(a) &amp; 524(2) of the CYFA had required the Court to adjourn the hearing of any of the Family Division proceedings listed in s.525(1) to enable a child who, in the opinion of the Court, was “mature enough to give instructions” to obtain legal representation.  There was no “cut-off” age specified.  The legislation referred to maturity rather than chronological age: see</w:t>
      </w:r>
      <w:r w:rsidRPr="003D5DFA">
        <w:rPr>
          <w:rFonts w:ascii="Arial" w:hAnsi="Arial" w:cs="Arial"/>
          <w:i/>
          <w:color w:val="000000"/>
          <w:sz w:val="20"/>
        </w:rPr>
        <w:t xml:space="preserve"> A &amp; B v Children’s Court of Victoria</w:t>
      </w:r>
      <w:r w:rsidRPr="003D5DFA">
        <w:rPr>
          <w:rFonts w:ascii="Arial" w:hAnsi="Arial" w:cs="Arial"/>
          <w:color w:val="000000"/>
          <w:sz w:val="20"/>
        </w:rPr>
        <w:t xml:space="preserve"> [2012] VSC 589, especially at [88]-[89] &amp; [100]-[101].  On general advice from the Children's Court Clinic, the cut-off point below which a child was normally regarded by the Court as not mature enough to give instructions was the child's 7</w:t>
      </w:r>
      <w:r w:rsidRPr="003D5DFA">
        <w:rPr>
          <w:rFonts w:ascii="Arial" w:hAnsi="Arial" w:cs="Arial"/>
          <w:color w:val="000000"/>
          <w:sz w:val="20"/>
          <w:vertAlign w:val="superscript"/>
        </w:rPr>
        <w:t>th</w:t>
      </w:r>
      <w:r w:rsidRPr="003D5DFA">
        <w:rPr>
          <w:rFonts w:ascii="Arial" w:hAnsi="Arial" w:cs="Arial"/>
          <w:color w:val="000000"/>
          <w:sz w:val="20"/>
        </w:rPr>
        <w:t xml:space="preserve"> birthday.  Notwithstanding-</w:t>
      </w:r>
    </w:p>
    <w:p w14:paraId="424B421E" w14:textId="77777777" w:rsidR="00664DAE" w:rsidRPr="003D5DFA" w:rsidRDefault="00664DAE"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the objectives of the CYFA and its predecessor “to enhance the rights of children, young people and their families in their relationships with the court system" [</w:t>
      </w:r>
      <w:r w:rsidR="006F767D" w:rsidRPr="003D5DFA">
        <w:rPr>
          <w:rFonts w:ascii="Arial" w:hAnsi="Arial" w:cs="Arial"/>
          <w:color w:val="000000"/>
          <w:sz w:val="20"/>
        </w:rPr>
        <w:t xml:space="preserve">see e.g. </w:t>
      </w:r>
      <w:r w:rsidRPr="003D5DFA">
        <w:rPr>
          <w:rFonts w:ascii="Arial" w:hAnsi="Arial" w:cs="Arial"/>
          <w:color w:val="000000"/>
          <w:sz w:val="20"/>
        </w:rPr>
        <w:t xml:space="preserve">CYPA Second </w:t>
      </w:r>
      <w:smartTag w:uri="urn:schemas-microsoft-com:office:smarttags" w:element="City">
        <w:smartTag w:uri="urn:schemas-microsoft-com:office:smarttags" w:element="place">
          <w:r w:rsidRPr="003D5DFA">
            <w:rPr>
              <w:rFonts w:ascii="Arial" w:hAnsi="Arial" w:cs="Arial"/>
              <w:color w:val="000000"/>
              <w:sz w:val="20"/>
            </w:rPr>
            <w:t>Reading</w:t>
          </w:r>
        </w:smartTag>
      </w:smartTag>
      <w:r w:rsidRPr="003D5DFA">
        <w:rPr>
          <w:rFonts w:ascii="Arial" w:hAnsi="Arial" w:cs="Arial"/>
          <w:color w:val="000000"/>
          <w:sz w:val="20"/>
        </w:rPr>
        <w:t xml:space="preserve"> Speech, 08/12/1988, p.1150],</w:t>
      </w:r>
    </w:p>
    <w:p w14:paraId="5C344925" w14:textId="77777777" w:rsidR="00FF5112" w:rsidRPr="003D5DFA" w:rsidRDefault="00FF5112"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 xml:space="preserve">art.12 of the </w:t>
      </w:r>
      <w:r w:rsidRPr="003D5DFA">
        <w:rPr>
          <w:rFonts w:ascii="Arial" w:hAnsi="Arial" w:cs="Arial"/>
          <w:i/>
          <w:color w:val="000000"/>
          <w:sz w:val="20"/>
        </w:rPr>
        <w:t>Convention on the Rights of the Child</w:t>
      </w:r>
      <w:r w:rsidRPr="003D5DFA">
        <w:rPr>
          <w:rFonts w:ascii="Arial" w:hAnsi="Arial" w:cs="Arial"/>
          <w:color w:val="000000"/>
          <w:sz w:val="20"/>
        </w:rPr>
        <w:t>,</w:t>
      </w:r>
    </w:p>
    <w:p w14:paraId="5CE6FEE2" w14:textId="77777777" w:rsidR="00FF5112" w:rsidRPr="003D5DFA" w:rsidRDefault="00FF5112"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 xml:space="preserve">the recommendations by the Victorian </w:t>
      </w:r>
      <w:r w:rsidR="00664DAE" w:rsidRPr="003D5DFA">
        <w:rPr>
          <w:rFonts w:ascii="Arial" w:hAnsi="Arial" w:cs="Arial"/>
          <w:color w:val="000000"/>
          <w:sz w:val="20"/>
        </w:rPr>
        <w:t>Law Reform Commission in June 2010; and</w:t>
      </w:r>
    </w:p>
    <w:p w14:paraId="24CD1A44" w14:textId="77777777" w:rsidR="00664DAE" w:rsidRPr="003D5DFA" w:rsidRDefault="00664DAE"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the recommendations by the “Cummins Inquiry” in January 2012-</w:t>
      </w:r>
    </w:p>
    <w:p w14:paraId="6B756756" w14:textId="77777777" w:rsidR="00FF5112" w:rsidRPr="003D5DFA" w:rsidRDefault="00FF5112" w:rsidP="005B6ACF">
      <w:pPr>
        <w:jc w:val="both"/>
        <w:rPr>
          <w:rFonts w:ascii="Arial" w:hAnsi="Arial" w:cs="Arial"/>
          <w:color w:val="000000"/>
          <w:sz w:val="20"/>
        </w:rPr>
      </w:pPr>
      <w:r w:rsidRPr="003D5DFA">
        <w:rPr>
          <w:rFonts w:ascii="Arial" w:hAnsi="Arial" w:cs="Arial"/>
          <w:color w:val="000000"/>
          <w:sz w:val="20"/>
        </w:rPr>
        <w:t xml:space="preserve">the amendments made to ss.524 &amp; 525 as and from 27/03/2013 have resulted in children aged </w:t>
      </w:r>
      <w:r w:rsidR="005B6ACF" w:rsidRPr="003D5DFA">
        <w:rPr>
          <w:rFonts w:ascii="Arial" w:hAnsi="Arial" w:cs="Arial"/>
          <w:color w:val="000000"/>
          <w:sz w:val="20"/>
        </w:rPr>
        <w:t>under 10</w:t>
      </w:r>
      <w:r w:rsidRPr="003D5DFA">
        <w:rPr>
          <w:rFonts w:ascii="Arial" w:hAnsi="Arial" w:cs="Arial"/>
          <w:color w:val="000000"/>
          <w:sz w:val="20"/>
        </w:rPr>
        <w:t xml:space="preserve"> not being entitled to legal representation in any Family Division proceedings in the absence of exceptional circumstances.</w:t>
      </w:r>
      <w:r w:rsidR="005B6ACF" w:rsidRPr="003D5DFA">
        <w:rPr>
          <w:rFonts w:ascii="Arial" w:hAnsi="Arial" w:cs="Arial"/>
          <w:color w:val="000000"/>
          <w:sz w:val="20"/>
        </w:rPr>
        <w:t xml:space="preserve">  This is a substantial reduction of the </w:t>
      </w:r>
      <w:r w:rsidR="00FA5C6A" w:rsidRPr="003D5DFA">
        <w:rPr>
          <w:rFonts w:ascii="Arial" w:hAnsi="Arial" w:cs="Arial"/>
          <w:color w:val="000000"/>
          <w:sz w:val="20"/>
        </w:rPr>
        <w:t xml:space="preserve">previous statutory </w:t>
      </w:r>
      <w:r w:rsidR="005B6ACF" w:rsidRPr="003D5DFA">
        <w:rPr>
          <w:rFonts w:ascii="Arial" w:hAnsi="Arial" w:cs="Arial"/>
          <w:color w:val="000000"/>
          <w:sz w:val="20"/>
        </w:rPr>
        <w:t>rights of children aged 7, 8 &amp; 9.</w:t>
      </w:r>
    </w:p>
    <w:p w14:paraId="120A36C5" w14:textId="77777777" w:rsidR="00FF5112" w:rsidRPr="003D5DFA" w:rsidRDefault="00FF5112" w:rsidP="005B6ACF">
      <w:pPr>
        <w:jc w:val="both"/>
        <w:rPr>
          <w:rFonts w:ascii="Arial" w:hAnsi="Arial" w:cs="Arial"/>
          <w:color w:val="000000"/>
          <w:sz w:val="20"/>
        </w:rPr>
      </w:pPr>
    </w:p>
    <w:p w14:paraId="2CE3E607" w14:textId="77777777" w:rsidR="00142D55" w:rsidRPr="003D5DFA" w:rsidRDefault="008A2308" w:rsidP="005B6ACF">
      <w:pPr>
        <w:jc w:val="both"/>
        <w:rPr>
          <w:rFonts w:ascii="Arial" w:hAnsi="Arial" w:cs="Arial"/>
          <w:color w:val="000000"/>
          <w:sz w:val="20"/>
        </w:rPr>
      </w:pPr>
      <w:r>
        <w:rPr>
          <w:rFonts w:ascii="Arial" w:hAnsi="Arial" w:cs="Arial"/>
          <w:color w:val="000000"/>
          <w:sz w:val="20"/>
        </w:rPr>
        <w:t>Since 27/03/2013</w:t>
      </w:r>
      <w:r w:rsidR="00C72E5B" w:rsidRPr="003D5DFA">
        <w:rPr>
          <w:rFonts w:ascii="Arial" w:hAnsi="Arial" w:cs="Arial"/>
          <w:color w:val="000000"/>
          <w:sz w:val="20"/>
        </w:rPr>
        <w:t xml:space="preserve"> </w:t>
      </w:r>
      <w:r w:rsidR="005B6ACF" w:rsidRPr="003D5DFA">
        <w:rPr>
          <w:rFonts w:ascii="Arial" w:hAnsi="Arial" w:cs="Arial"/>
          <w:color w:val="000000"/>
          <w:sz w:val="20"/>
        </w:rPr>
        <w:t>s.524(4)</w:t>
      </w:r>
      <w:r w:rsidR="00C72E5B" w:rsidRPr="003D5DFA">
        <w:rPr>
          <w:rFonts w:ascii="Arial" w:hAnsi="Arial" w:cs="Arial"/>
          <w:color w:val="000000"/>
          <w:sz w:val="20"/>
        </w:rPr>
        <w:t xml:space="preserve"> applies i</w:t>
      </w:r>
      <w:r w:rsidR="00604B4D" w:rsidRPr="003D5DFA">
        <w:rPr>
          <w:rFonts w:ascii="Arial" w:hAnsi="Arial" w:cs="Arial"/>
          <w:color w:val="000000"/>
          <w:sz w:val="20"/>
        </w:rPr>
        <w:t>n exceptional circumstances</w:t>
      </w:r>
      <w:r w:rsidR="00142D55" w:rsidRPr="003D5DFA">
        <w:rPr>
          <w:rFonts w:ascii="Arial" w:hAnsi="Arial" w:cs="Arial"/>
          <w:color w:val="000000"/>
          <w:sz w:val="20"/>
        </w:rPr>
        <w:t xml:space="preserve"> </w:t>
      </w:r>
      <w:r w:rsidR="001D5F56" w:rsidRPr="003D5DFA">
        <w:rPr>
          <w:rFonts w:ascii="Arial" w:hAnsi="Arial" w:cs="Arial"/>
          <w:color w:val="000000"/>
          <w:sz w:val="20"/>
        </w:rPr>
        <w:t>if</w:t>
      </w:r>
      <w:r w:rsidR="00142D55" w:rsidRPr="003D5DFA">
        <w:rPr>
          <w:rFonts w:ascii="Arial" w:hAnsi="Arial" w:cs="Arial"/>
          <w:color w:val="000000"/>
          <w:sz w:val="20"/>
        </w:rPr>
        <w:t xml:space="preserve"> the Court determines that it is in the best interests of a child-</w:t>
      </w:r>
    </w:p>
    <w:p w14:paraId="3DFC78CE" w14:textId="77777777" w:rsidR="00142D55" w:rsidRPr="003D5DFA" w:rsidRDefault="00142D55"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aged under 10 years; or</w:t>
      </w:r>
    </w:p>
    <w:p w14:paraId="19B33DA5" w14:textId="77777777" w:rsidR="00142D55" w:rsidRPr="003D5DFA" w:rsidRDefault="007C192E" w:rsidP="00BA6FBE">
      <w:pPr>
        <w:numPr>
          <w:ilvl w:val="0"/>
          <w:numId w:val="7"/>
        </w:numPr>
        <w:tabs>
          <w:tab w:val="clear" w:pos="420"/>
        </w:tabs>
        <w:ind w:left="357" w:hanging="357"/>
        <w:jc w:val="both"/>
        <w:rPr>
          <w:rFonts w:ascii="Arial" w:hAnsi="Arial" w:cs="Arial"/>
          <w:color w:val="000000"/>
          <w:sz w:val="20"/>
        </w:rPr>
      </w:pPr>
      <w:r w:rsidRPr="003D5DFA">
        <w:rPr>
          <w:rFonts w:ascii="Arial" w:hAnsi="Arial" w:cs="Arial"/>
          <w:color w:val="000000"/>
          <w:sz w:val="20"/>
        </w:rPr>
        <w:t>aged 10 years or more whom the Court determines under s.524(1B) is not mature enough to give instructions-</w:t>
      </w:r>
    </w:p>
    <w:p w14:paraId="0C50AF5F" w14:textId="77777777" w:rsidR="006F767D" w:rsidRPr="003D5DFA" w:rsidRDefault="007C192E" w:rsidP="006F767D">
      <w:pPr>
        <w:jc w:val="both"/>
        <w:rPr>
          <w:rFonts w:ascii="Arial" w:hAnsi="Arial" w:cs="Arial"/>
          <w:color w:val="000000"/>
          <w:sz w:val="20"/>
        </w:rPr>
      </w:pPr>
      <w:r w:rsidRPr="003D5DFA">
        <w:rPr>
          <w:rFonts w:ascii="Arial" w:hAnsi="Arial" w:cs="Arial"/>
          <w:color w:val="000000"/>
          <w:sz w:val="20"/>
        </w:rPr>
        <w:t xml:space="preserve">to be legally represented in a proceeding in the Family Division.  </w:t>
      </w:r>
      <w:r w:rsidR="00A56679" w:rsidRPr="003D5DFA">
        <w:rPr>
          <w:rFonts w:ascii="Arial" w:hAnsi="Arial" w:cs="Arial"/>
          <w:color w:val="000000"/>
          <w:sz w:val="20"/>
        </w:rPr>
        <w:t xml:space="preserve">In those circumstances s.524(4) empowers – but does not require – the Court </w:t>
      </w:r>
      <w:r w:rsidRPr="003D5DFA">
        <w:rPr>
          <w:rFonts w:ascii="Arial" w:hAnsi="Arial" w:cs="Arial"/>
          <w:color w:val="000000"/>
          <w:sz w:val="20"/>
        </w:rPr>
        <w:t>to adjourn the hearing o</w:t>
      </w:r>
      <w:r w:rsidR="00962EF5" w:rsidRPr="003D5DFA">
        <w:rPr>
          <w:rFonts w:ascii="Arial" w:hAnsi="Arial" w:cs="Arial"/>
          <w:color w:val="000000"/>
          <w:sz w:val="20"/>
        </w:rPr>
        <w:t xml:space="preserve">f the proceeding to enable </w:t>
      </w:r>
      <w:r w:rsidRPr="003D5DFA">
        <w:rPr>
          <w:rFonts w:ascii="Arial" w:hAnsi="Arial" w:cs="Arial"/>
          <w:color w:val="000000"/>
          <w:sz w:val="20"/>
        </w:rPr>
        <w:t xml:space="preserve">legal </w:t>
      </w:r>
      <w:r w:rsidR="00962EF5" w:rsidRPr="003D5DFA">
        <w:rPr>
          <w:rFonts w:ascii="Arial" w:hAnsi="Arial" w:cs="Arial"/>
          <w:color w:val="000000"/>
          <w:sz w:val="20"/>
        </w:rPr>
        <w:t>representation to be obtained for the child.</w:t>
      </w:r>
      <w:r w:rsidR="00433AB4">
        <w:rPr>
          <w:rFonts w:ascii="Arial" w:hAnsi="Arial" w:cs="Arial"/>
          <w:color w:val="000000"/>
          <w:sz w:val="20"/>
        </w:rPr>
        <w:t xml:space="preserve">  </w:t>
      </w:r>
      <w:r w:rsidR="006F767D" w:rsidRPr="003D5DFA">
        <w:rPr>
          <w:rFonts w:ascii="Arial" w:hAnsi="Arial" w:cs="Arial"/>
          <w:color w:val="000000"/>
          <w:sz w:val="20"/>
        </w:rPr>
        <w:t>In the writer’s view, ss.524(1)(a), 524(1A)</w:t>
      </w:r>
      <w:r w:rsidR="008D2AC4">
        <w:rPr>
          <w:rFonts w:ascii="Arial" w:hAnsi="Arial" w:cs="Arial"/>
          <w:color w:val="000000"/>
          <w:sz w:val="20"/>
        </w:rPr>
        <w:t>, 524(1B)</w:t>
      </w:r>
      <w:r w:rsidR="006F767D" w:rsidRPr="003D5DFA">
        <w:rPr>
          <w:rFonts w:ascii="Arial" w:hAnsi="Arial" w:cs="Arial"/>
          <w:color w:val="000000"/>
          <w:sz w:val="20"/>
        </w:rPr>
        <w:t xml:space="preserve"> &amp; 524(</w:t>
      </w:r>
      <w:r w:rsidR="008D2AC4">
        <w:rPr>
          <w:rFonts w:ascii="Arial" w:hAnsi="Arial" w:cs="Arial"/>
          <w:color w:val="000000"/>
          <w:sz w:val="20"/>
        </w:rPr>
        <w:t>4</w:t>
      </w:r>
      <w:r w:rsidR="006F767D" w:rsidRPr="003D5DFA">
        <w:rPr>
          <w:rFonts w:ascii="Arial" w:hAnsi="Arial" w:cs="Arial"/>
          <w:color w:val="000000"/>
          <w:sz w:val="20"/>
        </w:rPr>
        <w:t>) – when read in combination – now provide a non</w:t>
      </w:r>
      <w:r w:rsidR="008D2AC4">
        <w:rPr>
          <w:rFonts w:ascii="Arial" w:hAnsi="Arial" w:cs="Arial"/>
          <w:color w:val="000000"/>
          <w:sz w:val="20"/>
        </w:rPr>
        <w:noBreakHyphen/>
      </w:r>
      <w:r w:rsidR="006F767D" w:rsidRPr="003D5DFA">
        <w:rPr>
          <w:rFonts w:ascii="Arial" w:hAnsi="Arial" w:cs="Arial"/>
          <w:color w:val="000000"/>
          <w:sz w:val="20"/>
        </w:rPr>
        <w:t>rebuttable statutory presumption that a child under 10 years of age does not have the capacity to give instructions to a legal practitioner.</w:t>
      </w:r>
    </w:p>
    <w:p w14:paraId="0E648D7B" w14:textId="77777777" w:rsidR="006F767D" w:rsidRPr="003D5DFA" w:rsidRDefault="006F767D" w:rsidP="0031041A">
      <w:pPr>
        <w:jc w:val="both"/>
        <w:rPr>
          <w:rFonts w:ascii="Arial" w:hAnsi="Arial" w:cs="Arial"/>
          <w:color w:val="000000"/>
          <w:sz w:val="20"/>
        </w:rPr>
      </w:pPr>
    </w:p>
    <w:p w14:paraId="4294637A" w14:textId="1D3FD2AD" w:rsidR="0031041A" w:rsidRPr="003D5DFA" w:rsidRDefault="0031041A" w:rsidP="008826E7">
      <w:pPr>
        <w:keepNext/>
        <w:keepLines/>
        <w:jc w:val="both"/>
        <w:rPr>
          <w:rFonts w:ascii="Arial" w:hAnsi="Arial" w:cs="Arial"/>
          <w:color w:val="000000"/>
          <w:sz w:val="20"/>
        </w:rPr>
      </w:pPr>
      <w:r w:rsidRPr="003D5DFA">
        <w:rPr>
          <w:rFonts w:ascii="Arial" w:hAnsi="Arial" w:cs="Arial"/>
          <w:color w:val="000000"/>
          <w:sz w:val="20"/>
        </w:rPr>
        <w:t>A</w:t>
      </w:r>
      <w:r w:rsidR="00AF7ECC">
        <w:rPr>
          <w:rFonts w:ascii="Arial" w:hAnsi="Arial" w:cs="Arial"/>
          <w:color w:val="000000"/>
          <w:sz w:val="20"/>
        </w:rPr>
        <w:t xml:space="preserve"> Best Interests</w:t>
      </w:r>
      <w:r w:rsidR="00433AB4">
        <w:rPr>
          <w:rFonts w:ascii="Arial" w:hAnsi="Arial" w:cs="Arial"/>
          <w:color w:val="000000"/>
          <w:sz w:val="20"/>
        </w:rPr>
        <w:t xml:space="preserve"> Lawyer</w:t>
      </w:r>
      <w:r w:rsidRPr="003D5DFA">
        <w:rPr>
          <w:rFonts w:ascii="Arial" w:hAnsi="Arial" w:cs="Arial"/>
          <w:color w:val="000000"/>
          <w:sz w:val="20"/>
        </w:rPr>
        <w:t xml:space="preserve"> </w:t>
      </w:r>
      <w:r w:rsidR="002D1FF3">
        <w:rPr>
          <w:rFonts w:ascii="Arial" w:hAnsi="Arial" w:cs="Arial"/>
          <w:color w:val="000000"/>
          <w:sz w:val="20"/>
        </w:rPr>
        <w:t>[</w:t>
      </w:r>
      <w:r w:rsidR="00AF7ECC">
        <w:rPr>
          <w:rFonts w:ascii="Arial" w:hAnsi="Arial" w:cs="Arial"/>
          <w:color w:val="000000"/>
          <w:sz w:val="20"/>
        </w:rPr>
        <w:t>B</w:t>
      </w:r>
      <w:r w:rsidR="002D1FF3">
        <w:rPr>
          <w:rFonts w:ascii="Arial" w:hAnsi="Arial" w:cs="Arial"/>
          <w:color w:val="000000"/>
          <w:sz w:val="20"/>
        </w:rPr>
        <w:t xml:space="preserve">IL] </w:t>
      </w:r>
      <w:r w:rsidRPr="003D5DFA">
        <w:rPr>
          <w:rFonts w:ascii="Arial" w:hAnsi="Arial" w:cs="Arial"/>
          <w:color w:val="000000"/>
          <w:sz w:val="20"/>
        </w:rPr>
        <w:t>appointed under s.524(4) is required by s.524(11)-</w:t>
      </w:r>
    </w:p>
    <w:p w14:paraId="51B91736" w14:textId="77777777" w:rsidR="0031041A" w:rsidRPr="003D5DFA" w:rsidRDefault="0031041A" w:rsidP="00272DD6">
      <w:pPr>
        <w:ind w:left="357" w:hanging="357"/>
        <w:jc w:val="both"/>
        <w:rPr>
          <w:rFonts w:ascii="Arial" w:hAnsi="Arial" w:cs="Arial"/>
          <w:color w:val="000000"/>
          <w:sz w:val="20"/>
        </w:rPr>
      </w:pPr>
      <w:r w:rsidRPr="003D5DFA">
        <w:rPr>
          <w:rFonts w:ascii="Arial" w:hAnsi="Arial" w:cs="Arial"/>
          <w:color w:val="000000"/>
          <w:sz w:val="20"/>
        </w:rPr>
        <w:t>(a)</w:t>
      </w:r>
      <w:r w:rsidRPr="003D5DFA">
        <w:rPr>
          <w:rFonts w:ascii="Arial" w:hAnsi="Arial" w:cs="Arial"/>
          <w:color w:val="000000"/>
          <w:sz w:val="20"/>
        </w:rPr>
        <w:tab/>
      </w:r>
      <w:r w:rsidR="00272DD6" w:rsidRPr="003D5DFA">
        <w:rPr>
          <w:rFonts w:ascii="Arial" w:hAnsi="Arial" w:cs="Arial"/>
          <w:color w:val="000000"/>
          <w:sz w:val="20"/>
        </w:rPr>
        <w:t xml:space="preserve">to </w:t>
      </w:r>
      <w:r w:rsidRPr="003D5DFA">
        <w:rPr>
          <w:rFonts w:ascii="Arial" w:hAnsi="Arial" w:cs="Arial"/>
          <w:color w:val="000000"/>
          <w:sz w:val="20"/>
        </w:rPr>
        <w:t>act in accordance with what he or she believes to be in the best interests of the child; and</w:t>
      </w:r>
    </w:p>
    <w:p w14:paraId="44BC4EEE" w14:textId="77777777" w:rsidR="0031041A" w:rsidRPr="003D5DFA" w:rsidRDefault="0031041A" w:rsidP="0031041A">
      <w:pPr>
        <w:ind w:left="357" w:hanging="357"/>
        <w:jc w:val="both"/>
        <w:rPr>
          <w:rFonts w:ascii="Arial" w:hAnsi="Arial" w:cs="Arial"/>
          <w:color w:val="000000"/>
          <w:sz w:val="20"/>
        </w:rPr>
      </w:pPr>
      <w:r w:rsidRPr="003D5DFA">
        <w:rPr>
          <w:rFonts w:ascii="Arial" w:hAnsi="Arial" w:cs="Arial"/>
          <w:color w:val="000000"/>
          <w:sz w:val="20"/>
        </w:rPr>
        <w:t>(b)</w:t>
      </w:r>
      <w:r w:rsidRPr="003D5DFA">
        <w:rPr>
          <w:rFonts w:ascii="Arial" w:hAnsi="Arial" w:cs="Arial"/>
          <w:color w:val="000000"/>
          <w:sz w:val="20"/>
        </w:rPr>
        <w:tab/>
      </w:r>
      <w:r w:rsidR="00272DD6" w:rsidRPr="003D5DFA">
        <w:rPr>
          <w:rFonts w:ascii="Arial" w:hAnsi="Arial" w:cs="Arial"/>
          <w:color w:val="000000"/>
          <w:sz w:val="20"/>
        </w:rPr>
        <w:t xml:space="preserve">to </w:t>
      </w:r>
      <w:r w:rsidRPr="003D5DFA">
        <w:rPr>
          <w:rFonts w:ascii="Arial" w:hAnsi="Arial" w:cs="Arial"/>
          <w:color w:val="000000"/>
          <w:sz w:val="20"/>
        </w:rPr>
        <w:t>communicate to the Court, to the extent to which it is practicable to do so, the instructions given or wishes expressed by the child.</w:t>
      </w:r>
    </w:p>
    <w:p w14:paraId="072CD1E9" w14:textId="78381B8C" w:rsidR="0031041A" w:rsidRPr="003D5DFA" w:rsidRDefault="0031041A" w:rsidP="00433AB4">
      <w:pPr>
        <w:spacing w:after="60"/>
        <w:jc w:val="both"/>
        <w:rPr>
          <w:rFonts w:ascii="Arial" w:hAnsi="Arial" w:cs="Arial"/>
          <w:color w:val="000000"/>
          <w:sz w:val="20"/>
        </w:rPr>
      </w:pPr>
      <w:r w:rsidRPr="003D5DFA">
        <w:rPr>
          <w:rFonts w:ascii="Arial" w:hAnsi="Arial" w:cs="Arial"/>
          <w:color w:val="000000"/>
          <w:sz w:val="20"/>
        </w:rPr>
        <w:t xml:space="preserve">The CYFA has thus adopted model 3 – </w:t>
      </w:r>
      <w:r w:rsidR="00745D3D" w:rsidRPr="003D5DFA">
        <w:rPr>
          <w:rFonts w:ascii="Arial" w:hAnsi="Arial" w:cs="Arial"/>
          <w:color w:val="000000"/>
          <w:sz w:val="20"/>
        </w:rPr>
        <w:t>‘</w:t>
      </w:r>
      <w:r w:rsidRPr="003D5DFA">
        <w:rPr>
          <w:rFonts w:ascii="Arial" w:hAnsi="Arial" w:cs="Arial"/>
          <w:b/>
          <w:color w:val="000000"/>
          <w:sz w:val="20"/>
        </w:rPr>
        <w:t>the best interests model</w:t>
      </w:r>
      <w:r w:rsidR="00745D3D" w:rsidRPr="003D5DFA">
        <w:rPr>
          <w:rFonts w:ascii="Arial" w:hAnsi="Arial" w:cs="Arial"/>
          <w:color w:val="000000"/>
          <w:sz w:val="20"/>
        </w:rPr>
        <w:t>’</w:t>
      </w:r>
      <w:r w:rsidRPr="003D5DFA">
        <w:rPr>
          <w:rFonts w:ascii="Arial" w:hAnsi="Arial" w:cs="Arial"/>
          <w:color w:val="000000"/>
          <w:sz w:val="20"/>
        </w:rPr>
        <w:t xml:space="preserve"> – as its model of child representation in those limited cases where a </w:t>
      </w:r>
      <w:r w:rsidR="00491485" w:rsidRPr="003D5DFA">
        <w:rPr>
          <w:rFonts w:ascii="Arial" w:hAnsi="Arial" w:cs="Arial"/>
          <w:color w:val="000000"/>
          <w:sz w:val="20"/>
        </w:rPr>
        <w:t xml:space="preserve">legal </w:t>
      </w:r>
      <w:r w:rsidRPr="003D5DFA">
        <w:rPr>
          <w:rFonts w:ascii="Arial" w:hAnsi="Arial" w:cs="Arial"/>
          <w:color w:val="000000"/>
          <w:sz w:val="20"/>
        </w:rPr>
        <w:t>representative has been appointed under s.524(4).</w:t>
      </w:r>
      <w:r w:rsidR="00433AB4">
        <w:rPr>
          <w:rFonts w:ascii="Arial" w:hAnsi="Arial" w:cs="Arial"/>
          <w:color w:val="000000"/>
          <w:sz w:val="20"/>
        </w:rPr>
        <w:t xml:space="preserve">  </w:t>
      </w:r>
      <w:r w:rsidR="002B2C97">
        <w:rPr>
          <w:rFonts w:ascii="Arial" w:hAnsi="Arial" w:cs="Arial"/>
          <w:color w:val="000000"/>
          <w:sz w:val="20"/>
        </w:rPr>
        <w:t xml:space="preserve">The Court’s computer system indicates that the numbers of </w:t>
      </w:r>
      <w:r w:rsidR="00095B7A">
        <w:rPr>
          <w:rFonts w:ascii="Arial" w:hAnsi="Arial" w:cs="Arial"/>
          <w:color w:val="000000"/>
          <w:sz w:val="20"/>
        </w:rPr>
        <w:t>BIL</w:t>
      </w:r>
      <w:r w:rsidR="00433AB4">
        <w:rPr>
          <w:rFonts w:ascii="Arial" w:hAnsi="Arial" w:cs="Arial"/>
          <w:color w:val="000000"/>
          <w:sz w:val="20"/>
        </w:rPr>
        <w:t>s appointed are as follows</w:t>
      </w:r>
      <w:r w:rsidR="002B2C97">
        <w:rPr>
          <w:rFonts w:ascii="Arial" w:hAnsi="Arial" w:cs="Arial"/>
          <w:color w:val="000000"/>
          <w:sz w:val="20"/>
        </w:rPr>
        <w:t xml:space="preserve">.  However, these should be regarded as minimum figures since they do not include any cases for which the </w:t>
      </w:r>
      <w:r w:rsidR="00095B7A">
        <w:rPr>
          <w:rFonts w:ascii="Arial" w:hAnsi="Arial" w:cs="Arial"/>
          <w:color w:val="000000"/>
          <w:sz w:val="20"/>
        </w:rPr>
        <w:t>BIL</w:t>
      </w:r>
      <w:r w:rsidR="002B2C97">
        <w:rPr>
          <w:rFonts w:ascii="Arial" w:hAnsi="Arial" w:cs="Arial"/>
          <w:color w:val="000000"/>
          <w:sz w:val="20"/>
        </w:rPr>
        <w:t xml:space="preserve"> order was included on minutes in free-text as an “other order”.</w:t>
      </w:r>
    </w:p>
    <w:tbl>
      <w:tblPr>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2"/>
        <w:gridCol w:w="1021"/>
        <w:gridCol w:w="1021"/>
        <w:gridCol w:w="1021"/>
        <w:gridCol w:w="1021"/>
        <w:gridCol w:w="1021"/>
        <w:gridCol w:w="1021"/>
        <w:gridCol w:w="1021"/>
      </w:tblGrid>
      <w:tr w:rsidR="00433AB4" w:rsidRPr="006E60F5" w14:paraId="60882F1A" w14:textId="77777777" w:rsidTr="006E60F5">
        <w:tc>
          <w:tcPr>
            <w:tcW w:w="1066" w:type="dxa"/>
            <w:tcBorders>
              <w:bottom w:val="single" w:sz="12" w:space="0" w:color="auto"/>
              <w:right w:val="single" w:sz="4" w:space="0" w:color="auto"/>
            </w:tcBorders>
          </w:tcPr>
          <w:p w14:paraId="5D7D9C21"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2014/15</w:t>
            </w:r>
          </w:p>
        </w:tc>
        <w:tc>
          <w:tcPr>
            <w:tcW w:w="1066" w:type="dxa"/>
            <w:tcBorders>
              <w:top w:val="single" w:sz="12" w:space="0" w:color="auto"/>
              <w:left w:val="single" w:sz="4" w:space="0" w:color="auto"/>
              <w:bottom w:val="single" w:sz="12" w:space="0" w:color="auto"/>
              <w:right w:val="single" w:sz="4" w:space="0" w:color="auto"/>
            </w:tcBorders>
          </w:tcPr>
          <w:p w14:paraId="36DB7894"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2015/16</w:t>
            </w:r>
          </w:p>
        </w:tc>
        <w:tc>
          <w:tcPr>
            <w:tcW w:w="1066" w:type="dxa"/>
            <w:tcBorders>
              <w:left w:val="single" w:sz="4" w:space="0" w:color="auto"/>
              <w:bottom w:val="single" w:sz="12" w:space="0" w:color="auto"/>
              <w:right w:val="single" w:sz="4" w:space="0" w:color="auto"/>
            </w:tcBorders>
          </w:tcPr>
          <w:p w14:paraId="1CAD9066"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2016/17</w:t>
            </w:r>
          </w:p>
        </w:tc>
        <w:tc>
          <w:tcPr>
            <w:tcW w:w="1066" w:type="dxa"/>
            <w:tcBorders>
              <w:top w:val="single" w:sz="12" w:space="0" w:color="auto"/>
              <w:left w:val="single" w:sz="4" w:space="0" w:color="auto"/>
              <w:bottom w:val="single" w:sz="12" w:space="0" w:color="auto"/>
              <w:right w:val="single" w:sz="4" w:space="0" w:color="auto"/>
            </w:tcBorders>
          </w:tcPr>
          <w:p w14:paraId="4989493C"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2017/18</w:t>
            </w:r>
          </w:p>
        </w:tc>
        <w:tc>
          <w:tcPr>
            <w:tcW w:w="1066" w:type="dxa"/>
            <w:tcBorders>
              <w:top w:val="single" w:sz="12" w:space="0" w:color="auto"/>
              <w:left w:val="single" w:sz="4" w:space="0" w:color="auto"/>
              <w:bottom w:val="single" w:sz="12" w:space="0" w:color="auto"/>
              <w:right w:val="single" w:sz="4" w:space="0" w:color="auto"/>
            </w:tcBorders>
          </w:tcPr>
          <w:p w14:paraId="32CB54C5" w14:textId="77777777" w:rsidR="00433AB4" w:rsidRPr="006E60F5" w:rsidRDefault="0058307D" w:rsidP="006E60F5">
            <w:pPr>
              <w:jc w:val="center"/>
              <w:rPr>
                <w:rFonts w:ascii="Arial" w:hAnsi="Arial" w:cs="Arial"/>
                <w:b/>
                <w:color w:val="000000"/>
                <w:sz w:val="20"/>
              </w:rPr>
            </w:pPr>
            <w:r>
              <w:rPr>
                <w:rFonts w:ascii="Arial" w:hAnsi="Arial" w:cs="Arial"/>
                <w:b/>
                <w:color w:val="000000"/>
                <w:sz w:val="20"/>
              </w:rPr>
              <w:t>2018/19</w:t>
            </w:r>
          </w:p>
        </w:tc>
        <w:tc>
          <w:tcPr>
            <w:tcW w:w="1066" w:type="dxa"/>
            <w:tcBorders>
              <w:top w:val="single" w:sz="12" w:space="0" w:color="auto"/>
              <w:left w:val="single" w:sz="4" w:space="0" w:color="auto"/>
              <w:bottom w:val="single" w:sz="12" w:space="0" w:color="auto"/>
              <w:right w:val="single" w:sz="4" w:space="0" w:color="auto"/>
            </w:tcBorders>
          </w:tcPr>
          <w:p w14:paraId="3D7FD877" w14:textId="77777777" w:rsidR="00433AB4" w:rsidRPr="006E60F5" w:rsidRDefault="002D1FF3" w:rsidP="006E60F5">
            <w:pPr>
              <w:jc w:val="center"/>
              <w:rPr>
                <w:rFonts w:ascii="Arial" w:hAnsi="Arial" w:cs="Arial"/>
                <w:b/>
                <w:color w:val="000000"/>
                <w:sz w:val="20"/>
              </w:rPr>
            </w:pPr>
            <w:r>
              <w:rPr>
                <w:rFonts w:ascii="Arial" w:hAnsi="Arial" w:cs="Arial"/>
                <w:b/>
                <w:color w:val="000000"/>
                <w:sz w:val="20"/>
              </w:rPr>
              <w:t>2019/20</w:t>
            </w:r>
          </w:p>
        </w:tc>
        <w:tc>
          <w:tcPr>
            <w:tcW w:w="1066" w:type="dxa"/>
            <w:tcBorders>
              <w:top w:val="single" w:sz="12" w:space="0" w:color="auto"/>
              <w:left w:val="single" w:sz="4" w:space="0" w:color="auto"/>
              <w:bottom w:val="single" w:sz="12" w:space="0" w:color="auto"/>
              <w:right w:val="single" w:sz="4" w:space="0" w:color="auto"/>
            </w:tcBorders>
          </w:tcPr>
          <w:p w14:paraId="6CA03155" w14:textId="77777777" w:rsidR="00433AB4" w:rsidRPr="006E60F5" w:rsidRDefault="002D1FF3" w:rsidP="006E60F5">
            <w:pPr>
              <w:jc w:val="center"/>
              <w:rPr>
                <w:rFonts w:ascii="Arial" w:hAnsi="Arial" w:cs="Arial"/>
                <w:b/>
                <w:color w:val="000000"/>
                <w:sz w:val="20"/>
              </w:rPr>
            </w:pPr>
            <w:r>
              <w:rPr>
                <w:rFonts w:ascii="Arial" w:hAnsi="Arial" w:cs="Arial"/>
                <w:b/>
                <w:color w:val="000000"/>
                <w:sz w:val="20"/>
              </w:rPr>
              <w:t>2020/21</w:t>
            </w:r>
          </w:p>
        </w:tc>
        <w:tc>
          <w:tcPr>
            <w:tcW w:w="1066" w:type="dxa"/>
            <w:tcBorders>
              <w:left w:val="single" w:sz="4" w:space="0" w:color="auto"/>
              <w:bottom w:val="single" w:sz="12" w:space="0" w:color="auto"/>
            </w:tcBorders>
          </w:tcPr>
          <w:p w14:paraId="58917D7E" w14:textId="6FC11A26" w:rsidR="00433AB4" w:rsidRPr="006E60F5" w:rsidRDefault="00E70D52" w:rsidP="006E60F5">
            <w:pPr>
              <w:jc w:val="center"/>
              <w:rPr>
                <w:rFonts w:ascii="Arial" w:hAnsi="Arial" w:cs="Arial"/>
                <w:b/>
                <w:color w:val="000000"/>
                <w:sz w:val="20"/>
              </w:rPr>
            </w:pPr>
            <w:r>
              <w:rPr>
                <w:rFonts w:ascii="Arial" w:hAnsi="Arial" w:cs="Arial"/>
                <w:b/>
                <w:color w:val="000000"/>
                <w:sz w:val="20"/>
              </w:rPr>
              <w:t>2021/22</w:t>
            </w:r>
          </w:p>
        </w:tc>
      </w:tr>
      <w:tr w:rsidR="00433AB4" w:rsidRPr="006E60F5" w14:paraId="49F56777" w14:textId="77777777" w:rsidTr="006E60F5">
        <w:tc>
          <w:tcPr>
            <w:tcW w:w="1066" w:type="dxa"/>
            <w:tcBorders>
              <w:top w:val="single" w:sz="12" w:space="0" w:color="auto"/>
              <w:bottom w:val="single" w:sz="12" w:space="0" w:color="auto"/>
              <w:right w:val="single" w:sz="4" w:space="0" w:color="auto"/>
            </w:tcBorders>
          </w:tcPr>
          <w:p w14:paraId="6383DA99"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147</w:t>
            </w:r>
          </w:p>
        </w:tc>
        <w:tc>
          <w:tcPr>
            <w:tcW w:w="1066" w:type="dxa"/>
            <w:tcBorders>
              <w:top w:val="single" w:sz="12" w:space="0" w:color="auto"/>
              <w:left w:val="single" w:sz="4" w:space="0" w:color="auto"/>
              <w:bottom w:val="single" w:sz="12" w:space="0" w:color="auto"/>
              <w:right w:val="single" w:sz="4" w:space="0" w:color="auto"/>
            </w:tcBorders>
          </w:tcPr>
          <w:p w14:paraId="54661DD6"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261</w:t>
            </w:r>
          </w:p>
        </w:tc>
        <w:tc>
          <w:tcPr>
            <w:tcW w:w="1066" w:type="dxa"/>
            <w:tcBorders>
              <w:top w:val="single" w:sz="12" w:space="0" w:color="auto"/>
              <w:left w:val="single" w:sz="4" w:space="0" w:color="auto"/>
              <w:bottom w:val="single" w:sz="12" w:space="0" w:color="auto"/>
              <w:right w:val="single" w:sz="4" w:space="0" w:color="auto"/>
            </w:tcBorders>
          </w:tcPr>
          <w:p w14:paraId="6C93770D"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291</w:t>
            </w:r>
          </w:p>
        </w:tc>
        <w:tc>
          <w:tcPr>
            <w:tcW w:w="1066" w:type="dxa"/>
            <w:tcBorders>
              <w:top w:val="single" w:sz="12" w:space="0" w:color="auto"/>
              <w:left w:val="single" w:sz="4" w:space="0" w:color="auto"/>
              <w:bottom w:val="single" w:sz="12" w:space="0" w:color="auto"/>
              <w:right w:val="single" w:sz="4" w:space="0" w:color="auto"/>
            </w:tcBorders>
          </w:tcPr>
          <w:p w14:paraId="704B2588" w14:textId="77777777" w:rsidR="00433AB4" w:rsidRPr="006E60F5" w:rsidRDefault="00433AB4" w:rsidP="006E60F5">
            <w:pPr>
              <w:jc w:val="center"/>
              <w:rPr>
                <w:rFonts w:ascii="Arial" w:hAnsi="Arial" w:cs="Arial"/>
                <w:b/>
                <w:color w:val="000000"/>
                <w:sz w:val="20"/>
              </w:rPr>
            </w:pPr>
            <w:r w:rsidRPr="006E60F5">
              <w:rPr>
                <w:rFonts w:ascii="Arial" w:hAnsi="Arial" w:cs="Arial"/>
                <w:b/>
                <w:color w:val="000000"/>
                <w:sz w:val="20"/>
              </w:rPr>
              <w:t>418</w:t>
            </w:r>
          </w:p>
        </w:tc>
        <w:tc>
          <w:tcPr>
            <w:tcW w:w="1066" w:type="dxa"/>
            <w:tcBorders>
              <w:top w:val="single" w:sz="12" w:space="0" w:color="auto"/>
              <w:left w:val="single" w:sz="4" w:space="0" w:color="auto"/>
              <w:bottom w:val="single" w:sz="12" w:space="0" w:color="auto"/>
              <w:right w:val="single" w:sz="4" w:space="0" w:color="auto"/>
            </w:tcBorders>
          </w:tcPr>
          <w:p w14:paraId="0DEBBD55" w14:textId="77777777" w:rsidR="00433AB4" w:rsidRPr="006E60F5" w:rsidRDefault="0058307D" w:rsidP="006E60F5">
            <w:pPr>
              <w:jc w:val="center"/>
              <w:rPr>
                <w:rFonts w:ascii="Arial" w:hAnsi="Arial" w:cs="Arial"/>
                <w:b/>
                <w:color w:val="000000"/>
                <w:sz w:val="20"/>
              </w:rPr>
            </w:pPr>
            <w:r>
              <w:rPr>
                <w:rFonts w:ascii="Arial" w:hAnsi="Arial" w:cs="Arial"/>
                <w:b/>
                <w:color w:val="000000"/>
                <w:sz w:val="20"/>
              </w:rPr>
              <w:t>383</w:t>
            </w:r>
          </w:p>
        </w:tc>
        <w:tc>
          <w:tcPr>
            <w:tcW w:w="1066" w:type="dxa"/>
            <w:tcBorders>
              <w:top w:val="single" w:sz="12" w:space="0" w:color="auto"/>
              <w:left w:val="single" w:sz="4" w:space="0" w:color="auto"/>
              <w:bottom w:val="single" w:sz="12" w:space="0" w:color="auto"/>
              <w:right w:val="single" w:sz="4" w:space="0" w:color="auto"/>
            </w:tcBorders>
          </w:tcPr>
          <w:p w14:paraId="27CB2126" w14:textId="77777777" w:rsidR="00433AB4" w:rsidRPr="006E60F5" w:rsidRDefault="002B2C97" w:rsidP="006E60F5">
            <w:pPr>
              <w:jc w:val="center"/>
              <w:rPr>
                <w:rFonts w:ascii="Arial" w:hAnsi="Arial" w:cs="Arial"/>
                <w:b/>
                <w:color w:val="000000"/>
                <w:sz w:val="20"/>
              </w:rPr>
            </w:pPr>
            <w:r>
              <w:rPr>
                <w:rFonts w:ascii="Arial" w:hAnsi="Arial" w:cs="Arial"/>
                <w:b/>
                <w:color w:val="000000"/>
                <w:sz w:val="20"/>
              </w:rPr>
              <w:t>349</w:t>
            </w:r>
          </w:p>
        </w:tc>
        <w:tc>
          <w:tcPr>
            <w:tcW w:w="1066" w:type="dxa"/>
            <w:tcBorders>
              <w:top w:val="single" w:sz="12" w:space="0" w:color="auto"/>
              <w:left w:val="single" w:sz="4" w:space="0" w:color="auto"/>
              <w:bottom w:val="single" w:sz="12" w:space="0" w:color="auto"/>
              <w:right w:val="single" w:sz="4" w:space="0" w:color="auto"/>
            </w:tcBorders>
          </w:tcPr>
          <w:p w14:paraId="36C37C48" w14:textId="77777777" w:rsidR="00433AB4" w:rsidRPr="006E60F5" w:rsidRDefault="002B2C97" w:rsidP="006E60F5">
            <w:pPr>
              <w:jc w:val="center"/>
              <w:rPr>
                <w:rFonts w:ascii="Arial" w:hAnsi="Arial" w:cs="Arial"/>
                <w:b/>
                <w:color w:val="000000"/>
                <w:sz w:val="20"/>
              </w:rPr>
            </w:pPr>
            <w:r>
              <w:rPr>
                <w:rFonts w:ascii="Arial" w:hAnsi="Arial" w:cs="Arial"/>
                <w:b/>
                <w:color w:val="000000"/>
                <w:sz w:val="20"/>
              </w:rPr>
              <w:t>403</w:t>
            </w:r>
          </w:p>
        </w:tc>
        <w:tc>
          <w:tcPr>
            <w:tcW w:w="1066" w:type="dxa"/>
            <w:tcBorders>
              <w:top w:val="single" w:sz="12" w:space="0" w:color="auto"/>
              <w:left w:val="single" w:sz="4" w:space="0" w:color="auto"/>
              <w:bottom w:val="single" w:sz="12" w:space="0" w:color="auto"/>
            </w:tcBorders>
          </w:tcPr>
          <w:p w14:paraId="0483A8F5" w14:textId="695468ED" w:rsidR="00433AB4" w:rsidRPr="006E60F5" w:rsidRDefault="00D17418" w:rsidP="006E60F5">
            <w:pPr>
              <w:jc w:val="center"/>
              <w:rPr>
                <w:rFonts w:ascii="Arial" w:hAnsi="Arial" w:cs="Arial"/>
                <w:b/>
                <w:color w:val="000000"/>
                <w:sz w:val="20"/>
              </w:rPr>
            </w:pPr>
            <w:r>
              <w:rPr>
                <w:rFonts w:ascii="Arial" w:hAnsi="Arial" w:cs="Arial"/>
                <w:b/>
                <w:color w:val="000000"/>
                <w:sz w:val="20"/>
              </w:rPr>
              <w:t>394</w:t>
            </w:r>
          </w:p>
        </w:tc>
      </w:tr>
    </w:tbl>
    <w:p w14:paraId="668F1D5D" w14:textId="77777777" w:rsidR="0031041A" w:rsidRDefault="0031041A" w:rsidP="0031041A">
      <w:pPr>
        <w:jc w:val="both"/>
        <w:rPr>
          <w:rFonts w:ascii="Arial" w:hAnsi="Arial" w:cs="Arial"/>
          <w:color w:val="000000"/>
          <w:sz w:val="20"/>
        </w:rPr>
      </w:pPr>
    </w:p>
    <w:p w14:paraId="1B667086" w14:textId="083C13B0" w:rsidR="002D1FF3" w:rsidRDefault="002B2C97" w:rsidP="00C50555">
      <w:pPr>
        <w:jc w:val="both"/>
        <w:rPr>
          <w:rFonts w:ascii="Arial" w:hAnsi="Arial" w:cs="Arial"/>
          <w:color w:val="000000"/>
          <w:sz w:val="20"/>
          <w:szCs w:val="20"/>
        </w:rPr>
      </w:pPr>
      <w:r>
        <w:rPr>
          <w:rFonts w:ascii="Arial" w:hAnsi="Arial" w:cs="Arial"/>
          <w:color w:val="000000"/>
          <w:sz w:val="20"/>
        </w:rPr>
        <w:t xml:space="preserve">It is the writer’s view that the role of an </w:t>
      </w:r>
      <w:r w:rsidR="00AF7ECC">
        <w:rPr>
          <w:rFonts w:ascii="Arial" w:hAnsi="Arial" w:cs="Arial"/>
          <w:color w:val="000000"/>
          <w:sz w:val="20"/>
        </w:rPr>
        <w:t>BI</w:t>
      </w:r>
      <w:r>
        <w:rPr>
          <w:rFonts w:ascii="Arial" w:hAnsi="Arial" w:cs="Arial"/>
          <w:color w:val="000000"/>
          <w:sz w:val="20"/>
        </w:rPr>
        <w:t xml:space="preserve">L appointed to represent a child under s.524(4) CYFA is broader than that of a traditional </w:t>
      </w:r>
      <w:r w:rsidRPr="00777477">
        <w:rPr>
          <w:rFonts w:ascii="Arial" w:hAnsi="Arial" w:cs="Arial"/>
          <w:i/>
          <w:iCs/>
          <w:color w:val="000000"/>
          <w:sz w:val="20"/>
        </w:rPr>
        <w:t>amicus curiae</w:t>
      </w:r>
      <w:r>
        <w:rPr>
          <w:rFonts w:ascii="Arial" w:hAnsi="Arial" w:cs="Arial"/>
          <w:color w:val="000000"/>
          <w:sz w:val="20"/>
        </w:rPr>
        <w:t xml:space="preserve"> (literally ‘a friend of the court’) at common law.  </w:t>
      </w:r>
      <w:r w:rsidR="002D1FF3" w:rsidRPr="00C50555">
        <w:rPr>
          <w:rFonts w:ascii="Arial" w:hAnsi="Arial" w:cs="Arial"/>
          <w:color w:val="000000"/>
          <w:sz w:val="20"/>
          <w:szCs w:val="20"/>
        </w:rPr>
        <w:t>In</w:t>
      </w:r>
      <w:r>
        <w:rPr>
          <w:rFonts w:ascii="Arial" w:hAnsi="Arial" w:cs="Arial"/>
          <w:color w:val="000000"/>
          <w:sz w:val="20"/>
          <w:szCs w:val="20"/>
        </w:rPr>
        <w:t xml:space="preserve"> relation to the latter, in</w:t>
      </w:r>
      <w:r w:rsidR="002D1FF3" w:rsidRPr="00C50555">
        <w:rPr>
          <w:rFonts w:ascii="Arial" w:hAnsi="Arial" w:cs="Arial"/>
          <w:color w:val="000000"/>
          <w:sz w:val="20"/>
          <w:szCs w:val="20"/>
        </w:rPr>
        <w:t xml:space="preserve"> </w:t>
      </w:r>
      <w:r w:rsidR="002D1FF3" w:rsidRPr="00C50555">
        <w:rPr>
          <w:rFonts w:ascii="Arial" w:hAnsi="Arial" w:cs="Arial"/>
          <w:i/>
          <w:iCs/>
          <w:color w:val="000000"/>
          <w:sz w:val="20"/>
          <w:szCs w:val="20"/>
        </w:rPr>
        <w:t>JL v Mental Health Tribunal</w:t>
      </w:r>
      <w:r w:rsidR="002D1FF3" w:rsidRPr="00C50555">
        <w:rPr>
          <w:rFonts w:ascii="Arial" w:hAnsi="Arial" w:cs="Arial"/>
          <w:color w:val="000000"/>
          <w:sz w:val="20"/>
          <w:szCs w:val="20"/>
        </w:rPr>
        <w:t xml:space="preserve"> [2021] VSC 868 the </w:t>
      </w:r>
      <w:r w:rsidR="0075505A">
        <w:rPr>
          <w:rFonts w:ascii="Arial" w:hAnsi="Arial" w:cs="Arial"/>
          <w:color w:val="000000"/>
          <w:sz w:val="20"/>
          <w:szCs w:val="20"/>
        </w:rPr>
        <w:t>Court</w:t>
      </w:r>
      <w:r w:rsidR="002D1FF3" w:rsidRPr="00C50555">
        <w:rPr>
          <w:rFonts w:ascii="Arial" w:hAnsi="Arial" w:cs="Arial"/>
          <w:color w:val="000000"/>
          <w:sz w:val="20"/>
          <w:szCs w:val="20"/>
        </w:rPr>
        <w:t xml:space="preserve"> had </w:t>
      </w:r>
      <w:r w:rsidR="00C50555" w:rsidRPr="00C50555">
        <w:rPr>
          <w:rFonts w:ascii="Arial" w:hAnsi="Arial" w:cs="Arial"/>
          <w:color w:val="000000"/>
          <w:sz w:val="20"/>
          <w:szCs w:val="20"/>
        </w:rPr>
        <w:t xml:space="preserve">given leave to the Secretary of the Department of Health to appear as amicus curiae to ensure that there was a contradictor.  </w:t>
      </w:r>
      <w:r w:rsidR="0060302A">
        <w:rPr>
          <w:rFonts w:ascii="Arial" w:hAnsi="Arial" w:cs="Arial"/>
          <w:color w:val="000000"/>
          <w:sz w:val="20"/>
          <w:szCs w:val="20"/>
        </w:rPr>
        <w:t xml:space="preserve">The patient </w:t>
      </w:r>
      <w:r w:rsidR="00C50555" w:rsidRPr="00C50555">
        <w:rPr>
          <w:rFonts w:ascii="Arial" w:hAnsi="Arial" w:cs="Arial"/>
          <w:color w:val="000000"/>
          <w:sz w:val="20"/>
          <w:szCs w:val="20"/>
        </w:rPr>
        <w:t xml:space="preserve">JL </w:t>
      </w:r>
      <w:r w:rsidR="0060302A">
        <w:rPr>
          <w:rFonts w:ascii="Arial" w:hAnsi="Arial" w:cs="Arial"/>
          <w:color w:val="000000"/>
          <w:sz w:val="20"/>
          <w:szCs w:val="20"/>
        </w:rPr>
        <w:t xml:space="preserve">– whose compulsory treatment order Ginnane J held to be invalid – had </w:t>
      </w:r>
      <w:r w:rsidR="00C50555" w:rsidRPr="00C50555">
        <w:rPr>
          <w:rFonts w:ascii="Arial" w:hAnsi="Arial" w:cs="Arial"/>
          <w:color w:val="000000"/>
          <w:sz w:val="20"/>
          <w:szCs w:val="20"/>
        </w:rPr>
        <w:t xml:space="preserve">challenged the participation of the Secretary and submitted that the Secretary had acted in a manner inconsistent with the role of an amicus curiae.  </w:t>
      </w:r>
      <w:r w:rsidR="0060302A">
        <w:rPr>
          <w:rFonts w:ascii="Arial" w:hAnsi="Arial" w:cs="Arial"/>
          <w:color w:val="000000"/>
          <w:sz w:val="20"/>
          <w:szCs w:val="20"/>
        </w:rPr>
        <w:t>His Honour</w:t>
      </w:r>
      <w:r w:rsidR="00C50555" w:rsidRPr="00C50555">
        <w:rPr>
          <w:rFonts w:ascii="Arial" w:hAnsi="Arial" w:cs="Arial"/>
          <w:color w:val="000000"/>
          <w:sz w:val="20"/>
          <w:szCs w:val="20"/>
        </w:rPr>
        <w:t xml:space="preserve"> rejected JL’s assertion, holding</w:t>
      </w:r>
      <w:r w:rsidR="0063060A">
        <w:rPr>
          <w:rFonts w:ascii="Arial" w:hAnsi="Arial" w:cs="Arial"/>
          <w:color w:val="000000"/>
          <w:sz w:val="20"/>
          <w:szCs w:val="20"/>
        </w:rPr>
        <w:t xml:space="preserve"> at [32]</w:t>
      </w:r>
      <w:r w:rsidR="00C50555" w:rsidRPr="00C50555">
        <w:rPr>
          <w:rFonts w:ascii="Arial" w:hAnsi="Arial" w:cs="Arial"/>
          <w:color w:val="000000"/>
          <w:sz w:val="20"/>
          <w:szCs w:val="20"/>
        </w:rPr>
        <w:t xml:space="preserve">: “I do not consider that </w:t>
      </w:r>
      <w:r w:rsidR="00C50555" w:rsidRPr="00C50555">
        <w:rPr>
          <w:rFonts w:ascii="Arial" w:eastAsia="Book Antiqua" w:hAnsi="Arial" w:cs="Arial"/>
          <w:sz w:val="20"/>
          <w:szCs w:val="20"/>
        </w:rPr>
        <w:t>the Secretary’s submissions exceeded the role</w:t>
      </w:r>
      <w:r w:rsidR="00C50555" w:rsidRPr="00C50555">
        <w:rPr>
          <w:rFonts w:ascii="Arial" w:hAnsi="Arial" w:cs="Arial"/>
          <w:sz w:val="20"/>
          <w:szCs w:val="20"/>
        </w:rPr>
        <w:t xml:space="preserve"> of providing assistance to the Court</w:t>
      </w:r>
      <w:r w:rsidR="00C50555">
        <w:rPr>
          <w:rFonts w:ascii="Arial" w:hAnsi="Arial" w:cs="Arial"/>
          <w:color w:val="000000"/>
          <w:sz w:val="20"/>
          <w:szCs w:val="20"/>
        </w:rPr>
        <w:t>.”  At</w:t>
      </w:r>
      <w:r w:rsidR="00120454">
        <w:rPr>
          <w:rFonts w:ascii="Arial" w:hAnsi="Arial" w:cs="Arial"/>
          <w:color w:val="000000"/>
          <w:sz w:val="20"/>
          <w:szCs w:val="20"/>
        </w:rPr>
        <w:t> </w:t>
      </w:r>
      <w:r w:rsidR="00C50555">
        <w:rPr>
          <w:rFonts w:ascii="Arial" w:hAnsi="Arial" w:cs="Arial"/>
          <w:color w:val="000000"/>
          <w:sz w:val="20"/>
          <w:szCs w:val="20"/>
        </w:rPr>
        <w:t>[</w:t>
      </w:r>
      <w:r w:rsidR="00120454">
        <w:rPr>
          <w:rFonts w:ascii="Arial" w:hAnsi="Arial" w:cs="Arial"/>
          <w:color w:val="000000"/>
          <w:sz w:val="20"/>
          <w:szCs w:val="20"/>
        </w:rPr>
        <w:t>28</w:t>
      </w:r>
      <w:r w:rsidR="00C50555">
        <w:rPr>
          <w:rFonts w:ascii="Arial" w:hAnsi="Arial" w:cs="Arial"/>
          <w:color w:val="000000"/>
          <w:sz w:val="20"/>
          <w:szCs w:val="20"/>
        </w:rPr>
        <w:t>]</w:t>
      </w:r>
      <w:r w:rsidR="00120454">
        <w:rPr>
          <w:rFonts w:ascii="Arial" w:hAnsi="Arial" w:cs="Arial"/>
          <w:color w:val="000000"/>
          <w:sz w:val="20"/>
          <w:szCs w:val="20"/>
        </w:rPr>
        <w:noBreakHyphen/>
      </w:r>
      <w:r w:rsidR="00C50555">
        <w:rPr>
          <w:rFonts w:ascii="Arial" w:hAnsi="Arial" w:cs="Arial"/>
          <w:color w:val="000000"/>
          <w:sz w:val="20"/>
          <w:szCs w:val="20"/>
        </w:rPr>
        <w:t>[</w:t>
      </w:r>
      <w:r w:rsidR="00120454">
        <w:rPr>
          <w:rFonts w:ascii="Arial" w:hAnsi="Arial" w:cs="Arial"/>
          <w:color w:val="000000"/>
          <w:sz w:val="20"/>
          <w:szCs w:val="20"/>
        </w:rPr>
        <w:t>3</w:t>
      </w:r>
      <w:r w:rsidR="0063060A">
        <w:rPr>
          <w:rFonts w:ascii="Arial" w:hAnsi="Arial" w:cs="Arial"/>
          <w:color w:val="000000"/>
          <w:sz w:val="20"/>
          <w:szCs w:val="20"/>
        </w:rPr>
        <w:t>1</w:t>
      </w:r>
      <w:r w:rsidR="00C50555">
        <w:rPr>
          <w:rFonts w:ascii="Arial" w:hAnsi="Arial" w:cs="Arial"/>
          <w:color w:val="000000"/>
          <w:sz w:val="20"/>
          <w:szCs w:val="20"/>
        </w:rPr>
        <w:t>] his Honour said:</w:t>
      </w:r>
    </w:p>
    <w:p w14:paraId="43F78232" w14:textId="77777777" w:rsidR="00120454" w:rsidRDefault="00120454" w:rsidP="003431A4">
      <w:pPr>
        <w:spacing w:before="60"/>
        <w:ind w:left="567" w:right="567"/>
        <w:jc w:val="both"/>
        <w:rPr>
          <w:rFonts w:ascii="Arial" w:hAnsi="Arial" w:cs="Arial"/>
          <w:sz w:val="20"/>
          <w:szCs w:val="20"/>
        </w:rPr>
      </w:pPr>
      <w:r>
        <w:rPr>
          <w:rFonts w:ascii="Arial" w:hAnsi="Arial" w:cs="Arial"/>
          <w:color w:val="000000"/>
          <w:sz w:val="20"/>
          <w:szCs w:val="20"/>
        </w:rPr>
        <w:t xml:space="preserve">[28] </w:t>
      </w:r>
      <w:r w:rsidR="00C50555">
        <w:rPr>
          <w:rFonts w:ascii="Arial" w:hAnsi="Arial" w:cs="Arial"/>
          <w:color w:val="000000"/>
          <w:sz w:val="20"/>
          <w:szCs w:val="20"/>
        </w:rPr>
        <w:t>“[T]</w:t>
      </w:r>
      <w:r w:rsidR="00C50555" w:rsidRPr="00C50555">
        <w:rPr>
          <w:rFonts w:ascii="Arial" w:hAnsi="Arial" w:cs="Arial"/>
          <w:sz w:val="20"/>
          <w:szCs w:val="20"/>
        </w:rPr>
        <w:t xml:space="preserve">he Court has a discretion whether to allow a person to appear as amicus curiae. The functions of an amicus curiae are more constrained than those of either contradictors or interveners. As Wilcox J stated in </w:t>
      </w:r>
      <w:proofErr w:type="spellStart"/>
      <w:r w:rsidR="00C50555" w:rsidRPr="00C50555">
        <w:rPr>
          <w:rFonts w:ascii="Arial" w:eastAsia="Book Antiqua" w:hAnsi="Arial" w:cs="Arial"/>
          <w:i/>
          <w:sz w:val="20"/>
          <w:szCs w:val="20"/>
        </w:rPr>
        <w:t>Bropho</w:t>
      </w:r>
      <w:proofErr w:type="spellEnd"/>
      <w:r w:rsidR="00C50555" w:rsidRPr="00C50555">
        <w:rPr>
          <w:rFonts w:ascii="Arial" w:eastAsia="Book Antiqua" w:hAnsi="Arial" w:cs="Arial"/>
          <w:i/>
          <w:sz w:val="20"/>
          <w:szCs w:val="20"/>
        </w:rPr>
        <w:t xml:space="preserve"> v Tickner</w:t>
      </w:r>
      <w:r w:rsidR="00C50555">
        <w:rPr>
          <w:rFonts w:ascii="Arial" w:eastAsia="Book Antiqua" w:hAnsi="Arial" w:cs="Arial"/>
          <w:sz w:val="20"/>
          <w:szCs w:val="20"/>
        </w:rPr>
        <w:t xml:space="preserve"> (1993) </w:t>
      </w:r>
      <w:r w:rsidR="00C50555">
        <w:rPr>
          <w:rFonts w:ascii="Arial" w:eastAsia="Book Antiqua" w:hAnsi="Arial" w:cs="Arial"/>
          <w:sz w:val="20"/>
          <w:szCs w:val="20"/>
        </w:rPr>
        <w:lastRenderedPageBreak/>
        <w:t>40 FCR 165, 172-3</w:t>
      </w:r>
      <w:r w:rsidR="00C50555" w:rsidRPr="00C50555">
        <w:rPr>
          <w:rFonts w:ascii="Arial" w:eastAsia="Book Antiqua" w:hAnsi="Arial" w:cs="Arial"/>
          <w:sz w:val="20"/>
          <w:szCs w:val="20"/>
        </w:rPr>
        <w:t xml:space="preserve"> the amicus curiae’s </w:t>
      </w:r>
      <w:r w:rsidR="00C50555" w:rsidRPr="00C50555">
        <w:rPr>
          <w:rFonts w:ascii="Arial" w:hAnsi="Arial" w:cs="Arial"/>
          <w:sz w:val="20"/>
          <w:szCs w:val="20"/>
        </w:rPr>
        <w:t>role is usually</w:t>
      </w:r>
      <w:r>
        <w:rPr>
          <w:rFonts w:ascii="Arial" w:hAnsi="Arial" w:cs="Arial"/>
          <w:sz w:val="20"/>
          <w:szCs w:val="20"/>
        </w:rPr>
        <w:t xml:space="preserve"> ‘</w:t>
      </w:r>
      <w:r w:rsidR="00C50555" w:rsidRPr="00C50555">
        <w:rPr>
          <w:rFonts w:ascii="Arial" w:hAnsi="Arial" w:cs="Arial"/>
          <w:sz w:val="20"/>
          <w:szCs w:val="20"/>
        </w:rPr>
        <w:t>confined to assisting the court in its task of resolving the issues tendered by the parties by drawing attention to some aspect of the case which might otherwise be overlooked.</w:t>
      </w:r>
      <w:r>
        <w:rPr>
          <w:rFonts w:ascii="Arial" w:hAnsi="Arial" w:cs="Arial"/>
          <w:sz w:val="20"/>
          <w:szCs w:val="20"/>
        </w:rPr>
        <w:t>’</w:t>
      </w:r>
    </w:p>
    <w:p w14:paraId="094A96E1" w14:textId="77777777" w:rsidR="00C50555" w:rsidRPr="00120454" w:rsidRDefault="00120454" w:rsidP="00120454">
      <w:pPr>
        <w:spacing w:before="60"/>
        <w:ind w:left="567" w:right="567"/>
        <w:jc w:val="both"/>
        <w:rPr>
          <w:rFonts w:ascii="Arial" w:hAnsi="Arial" w:cs="Arial"/>
          <w:sz w:val="20"/>
          <w:szCs w:val="20"/>
        </w:rPr>
      </w:pPr>
      <w:r>
        <w:rPr>
          <w:rFonts w:ascii="Arial" w:hAnsi="Arial" w:cs="Arial"/>
          <w:sz w:val="20"/>
          <w:szCs w:val="20"/>
        </w:rPr>
        <w:t xml:space="preserve">[29] </w:t>
      </w:r>
      <w:r w:rsidR="00C50555" w:rsidRPr="00120454">
        <w:rPr>
          <w:rFonts w:ascii="Arial" w:hAnsi="Arial" w:cs="Arial"/>
          <w:sz w:val="20"/>
          <w:szCs w:val="20"/>
        </w:rPr>
        <w:t xml:space="preserve">The principal role of an amicus curiae is to provide assistance to the Court as Brennan CJ explained in </w:t>
      </w:r>
      <w:r w:rsidR="00C50555" w:rsidRPr="00120454">
        <w:rPr>
          <w:rFonts w:ascii="Arial" w:eastAsia="Book Antiqua" w:hAnsi="Arial" w:cs="Arial"/>
          <w:i/>
          <w:sz w:val="20"/>
          <w:szCs w:val="20"/>
        </w:rPr>
        <w:t>Levy v The State of Victoria</w:t>
      </w:r>
      <w:r w:rsidRPr="00120454">
        <w:rPr>
          <w:rFonts w:ascii="Arial" w:eastAsia="Book Antiqua" w:hAnsi="Arial" w:cs="Arial"/>
          <w:i/>
          <w:sz w:val="20"/>
          <w:szCs w:val="20"/>
        </w:rPr>
        <w:t xml:space="preserve"> </w:t>
      </w:r>
      <w:r w:rsidRPr="00120454">
        <w:rPr>
          <w:rFonts w:ascii="Arial" w:hAnsi="Arial" w:cs="Arial"/>
          <w:sz w:val="20"/>
          <w:szCs w:val="20"/>
        </w:rPr>
        <w:t>(1997) 189 CLR 579, 604</w:t>
      </w:r>
      <w:r>
        <w:rPr>
          <w:rFonts w:ascii="Arial" w:hAnsi="Arial" w:cs="Arial"/>
          <w:sz w:val="20"/>
          <w:szCs w:val="20"/>
        </w:rPr>
        <w:noBreakHyphen/>
      </w:r>
      <w:r w:rsidRPr="00120454">
        <w:rPr>
          <w:rFonts w:ascii="Arial" w:hAnsi="Arial" w:cs="Arial"/>
          <w:sz w:val="20"/>
          <w:szCs w:val="20"/>
        </w:rPr>
        <w:t>5</w:t>
      </w:r>
      <w:r>
        <w:rPr>
          <w:rFonts w:ascii="Arial" w:hAnsi="Arial" w:cs="Arial"/>
          <w:sz w:val="20"/>
          <w:szCs w:val="20"/>
        </w:rPr>
        <w:t xml:space="preserve"> (citations omitted)</w:t>
      </w:r>
      <w:r w:rsidR="00C50555" w:rsidRPr="00120454">
        <w:rPr>
          <w:rFonts w:ascii="Arial" w:hAnsi="Arial" w:cs="Arial"/>
          <w:sz w:val="20"/>
          <w:szCs w:val="20"/>
        </w:rPr>
        <w:t>:</w:t>
      </w:r>
    </w:p>
    <w:p w14:paraId="0D8AD9A2" w14:textId="77777777" w:rsidR="00C50555" w:rsidRPr="00120454" w:rsidRDefault="00120454" w:rsidP="00033D59">
      <w:pPr>
        <w:ind w:left="964" w:right="964"/>
        <w:jc w:val="both"/>
        <w:rPr>
          <w:rFonts w:ascii="Arial" w:hAnsi="Arial" w:cs="Arial"/>
          <w:sz w:val="18"/>
          <w:szCs w:val="18"/>
        </w:rPr>
      </w:pPr>
      <w:r w:rsidRPr="00120454">
        <w:rPr>
          <w:rFonts w:ascii="Arial" w:hAnsi="Arial" w:cs="Arial"/>
          <w:sz w:val="18"/>
          <w:szCs w:val="18"/>
        </w:rPr>
        <w:t>‘</w:t>
      </w:r>
      <w:r w:rsidR="00C50555" w:rsidRPr="00120454">
        <w:rPr>
          <w:rFonts w:ascii="Arial" w:hAnsi="Arial" w:cs="Arial"/>
          <w:sz w:val="18"/>
          <w:szCs w:val="18"/>
        </w:rPr>
        <w:t xml:space="preserve">The hearing of an amicus curiae is entirely in the Court's discretion. That discretion is exercised on a different basis from that which governs the allowance of intervention. The footing on which an amicus curiae is heard is that that person is willing to offer the Court a submission on law or relevant fact which will assist the Court in a way in which the Court would not otherwise have been assisted. In </w:t>
      </w:r>
      <w:r w:rsidR="00C50555" w:rsidRPr="00120454">
        <w:rPr>
          <w:rFonts w:ascii="Arial" w:eastAsia="Book Antiqua" w:hAnsi="Arial" w:cs="Arial"/>
          <w:i/>
          <w:sz w:val="18"/>
          <w:szCs w:val="18"/>
        </w:rPr>
        <w:t>Kruger v The Commonwealth</w:t>
      </w:r>
      <w:r w:rsidR="00C50555" w:rsidRPr="00120454">
        <w:rPr>
          <w:rFonts w:ascii="Arial" w:hAnsi="Arial" w:cs="Arial"/>
          <w:sz w:val="18"/>
          <w:szCs w:val="18"/>
        </w:rPr>
        <w:t>, speaking for the Court, I</w:t>
      </w:r>
      <w:r w:rsidR="0060302A">
        <w:rPr>
          <w:rFonts w:ascii="Arial" w:hAnsi="Arial" w:cs="Arial"/>
          <w:sz w:val="18"/>
          <w:szCs w:val="18"/>
        </w:rPr>
        <w:t> </w:t>
      </w:r>
      <w:r w:rsidR="00C50555" w:rsidRPr="00120454">
        <w:rPr>
          <w:rFonts w:ascii="Arial" w:hAnsi="Arial" w:cs="Arial"/>
          <w:sz w:val="18"/>
          <w:szCs w:val="18"/>
        </w:rPr>
        <w:t xml:space="preserve">said in refusing counsel's application to appear for a person as amicus curiae: </w:t>
      </w:r>
    </w:p>
    <w:p w14:paraId="22CBCF8E" w14:textId="77777777" w:rsidR="00C50555" w:rsidRPr="00120454" w:rsidRDefault="00C50555" w:rsidP="00033D59">
      <w:pPr>
        <w:spacing w:before="60"/>
        <w:ind w:left="1418" w:right="1418"/>
        <w:jc w:val="both"/>
        <w:rPr>
          <w:rFonts w:ascii="Arial" w:hAnsi="Arial" w:cs="Arial"/>
          <w:sz w:val="16"/>
          <w:szCs w:val="16"/>
        </w:rPr>
      </w:pPr>
      <w:r w:rsidRPr="00120454">
        <w:rPr>
          <w:rFonts w:ascii="Arial" w:hAnsi="Arial" w:cs="Arial"/>
          <w:sz w:val="16"/>
          <w:szCs w:val="16"/>
        </w:rPr>
        <w:t>As to his application to be heard as amicus curiae, he fails to show that the parties whose cause he would support are unable or unwilling adequately to protect their own interests or to assist the Court in arriving at the correct determination of the case. The Court must be cautious in considering applications to be heard by persons who would be amicus curiae lest the efficient operation of the Court be prejudiced. Where the Court has parties before it who are willing and able to provide adequate assistance to the Court it is inappropriate to grant the application.</w:t>
      </w:r>
    </w:p>
    <w:p w14:paraId="7FE63ACC" w14:textId="77777777" w:rsidR="00C50555" w:rsidRPr="00120454" w:rsidRDefault="00C50555" w:rsidP="00033D59">
      <w:pPr>
        <w:spacing w:before="60"/>
        <w:ind w:left="964" w:right="964"/>
        <w:jc w:val="both"/>
        <w:rPr>
          <w:rFonts w:ascii="Arial" w:hAnsi="Arial" w:cs="Arial"/>
          <w:sz w:val="18"/>
          <w:szCs w:val="18"/>
        </w:rPr>
      </w:pPr>
      <w:r w:rsidRPr="00120454">
        <w:rPr>
          <w:rFonts w:ascii="Arial" w:hAnsi="Arial" w:cs="Arial"/>
          <w:sz w:val="18"/>
          <w:szCs w:val="18"/>
        </w:rPr>
        <w:t>It is not possible to identify in advance the situations in which the Court will be assisted by submissions that will not or may not be presented by one of the parties nor to identify the requisite capacities of an amicus who is willing to offer assistance. All that can be said is that an amicus will be heard when the Court is of the opinion that it will be significantly assisted thereby, provided that any cost to the parties or any delay consequent on agreeing to hear the amicus is not disproportionate to the assistance that is expected.</w:t>
      </w:r>
      <w:r w:rsidR="00120454">
        <w:rPr>
          <w:rFonts w:ascii="Arial" w:hAnsi="Arial" w:cs="Arial"/>
          <w:sz w:val="18"/>
          <w:szCs w:val="18"/>
        </w:rPr>
        <w:t>’</w:t>
      </w:r>
    </w:p>
    <w:p w14:paraId="3E6A9780" w14:textId="77777777" w:rsidR="00C50555" w:rsidRPr="00C50555" w:rsidRDefault="00120454" w:rsidP="00120454">
      <w:pPr>
        <w:spacing w:before="60"/>
        <w:ind w:left="567" w:right="567"/>
        <w:jc w:val="both"/>
        <w:rPr>
          <w:rFonts w:ascii="Arial" w:hAnsi="Arial" w:cs="Arial"/>
          <w:sz w:val="20"/>
          <w:szCs w:val="20"/>
        </w:rPr>
      </w:pPr>
      <w:r>
        <w:rPr>
          <w:rFonts w:ascii="Arial" w:hAnsi="Arial" w:cs="Arial"/>
          <w:sz w:val="20"/>
          <w:szCs w:val="20"/>
        </w:rPr>
        <w:t xml:space="preserve">[30] </w:t>
      </w:r>
      <w:r w:rsidR="00C50555" w:rsidRPr="00C50555">
        <w:rPr>
          <w:rFonts w:ascii="Arial" w:hAnsi="Arial" w:cs="Arial"/>
          <w:sz w:val="20"/>
          <w:szCs w:val="20"/>
        </w:rPr>
        <w:t>In assisting the Court, an amicus curiae may offer different constructions of the law to those advanced by some or all of the parties. In doing so, the amicus is acting within their proper role, if, as in this case, they are providing assistance to the Court. JL noted that the Secretary submitted that the proceeding should be dismissed, but that was the logical outcome of the interpretation of the Act which the Secretary advanced to assist the Court.</w:t>
      </w:r>
    </w:p>
    <w:p w14:paraId="1A42D8DA" w14:textId="77777777" w:rsidR="00C50555" w:rsidRPr="00C50555" w:rsidRDefault="00120454" w:rsidP="00033D59">
      <w:pPr>
        <w:spacing w:before="60"/>
        <w:ind w:left="567" w:right="567"/>
        <w:jc w:val="both"/>
        <w:rPr>
          <w:rFonts w:ascii="Arial" w:hAnsi="Arial" w:cs="Arial"/>
          <w:sz w:val="20"/>
          <w:szCs w:val="20"/>
        </w:rPr>
      </w:pPr>
      <w:r>
        <w:rPr>
          <w:rFonts w:ascii="Arial" w:hAnsi="Arial" w:cs="Arial"/>
          <w:sz w:val="20"/>
          <w:szCs w:val="20"/>
        </w:rPr>
        <w:t xml:space="preserve">[31] </w:t>
      </w:r>
      <w:r w:rsidR="00C50555" w:rsidRPr="00C50555">
        <w:rPr>
          <w:rFonts w:ascii="Arial" w:hAnsi="Arial" w:cs="Arial"/>
          <w:sz w:val="20"/>
          <w:szCs w:val="20"/>
        </w:rPr>
        <w:t xml:space="preserve">The Secretary did not seek to tender evidence, but made submissions related to the construction and application of the law and the interpretation and operation of the Act. These were important issues to be properly resolved that otherwise would only </w:t>
      </w:r>
      <w:r w:rsidR="00C50555" w:rsidRPr="00C50555">
        <w:rPr>
          <w:rFonts w:ascii="Arial" w:eastAsia="Book Antiqua" w:hAnsi="Arial" w:cs="Arial"/>
          <w:sz w:val="20"/>
          <w:szCs w:val="20"/>
        </w:rPr>
        <w:t>have been addressed by JL. The Secretary’s submissions assisted the Court.</w:t>
      </w:r>
      <w:r w:rsidR="0063060A">
        <w:rPr>
          <w:rFonts w:ascii="Arial" w:eastAsia="Book Antiqua" w:hAnsi="Arial" w:cs="Arial"/>
          <w:sz w:val="20"/>
          <w:szCs w:val="20"/>
        </w:rPr>
        <w:t>”</w:t>
      </w:r>
    </w:p>
    <w:p w14:paraId="1185E463" w14:textId="77777777" w:rsidR="002D1FF3" w:rsidRDefault="002D1FF3" w:rsidP="0031041A">
      <w:pPr>
        <w:jc w:val="both"/>
        <w:rPr>
          <w:rFonts w:ascii="Arial" w:hAnsi="Arial" w:cs="Arial"/>
          <w:color w:val="000000"/>
          <w:sz w:val="20"/>
        </w:rPr>
      </w:pPr>
    </w:p>
    <w:p w14:paraId="58975E7D" w14:textId="6D158112" w:rsidR="0063060A" w:rsidRDefault="00777477" w:rsidP="0031041A">
      <w:pPr>
        <w:jc w:val="both"/>
        <w:rPr>
          <w:rFonts w:ascii="Arial" w:hAnsi="Arial" w:cs="Arial"/>
          <w:color w:val="000000"/>
          <w:sz w:val="20"/>
        </w:rPr>
      </w:pPr>
      <w:r>
        <w:rPr>
          <w:rFonts w:ascii="Arial" w:hAnsi="Arial" w:cs="Arial"/>
          <w:color w:val="000000"/>
          <w:sz w:val="20"/>
        </w:rPr>
        <w:t xml:space="preserve">While the </w:t>
      </w:r>
      <w:r w:rsidR="00095B7A">
        <w:rPr>
          <w:rFonts w:ascii="Arial" w:hAnsi="Arial" w:cs="Arial"/>
          <w:color w:val="000000"/>
          <w:sz w:val="20"/>
        </w:rPr>
        <w:t>BI</w:t>
      </w:r>
      <w:r>
        <w:rPr>
          <w:rFonts w:ascii="Arial" w:hAnsi="Arial" w:cs="Arial"/>
          <w:color w:val="000000"/>
          <w:sz w:val="20"/>
        </w:rPr>
        <w:t xml:space="preserve">L’s principal role remains to provide assistance to the Court, in doing so the </w:t>
      </w:r>
      <w:r w:rsidR="00095B7A">
        <w:rPr>
          <w:rFonts w:ascii="Arial" w:hAnsi="Arial" w:cs="Arial"/>
          <w:color w:val="000000"/>
          <w:sz w:val="20"/>
        </w:rPr>
        <w:t>BI</w:t>
      </w:r>
      <w:r>
        <w:rPr>
          <w:rFonts w:ascii="Arial" w:hAnsi="Arial" w:cs="Arial"/>
          <w:color w:val="000000"/>
          <w:sz w:val="20"/>
        </w:rPr>
        <w:t xml:space="preserve">L’s statutory duty under s.524(11) requires the </w:t>
      </w:r>
      <w:r w:rsidR="00095B7A">
        <w:rPr>
          <w:rFonts w:ascii="Arial" w:hAnsi="Arial" w:cs="Arial"/>
          <w:color w:val="000000"/>
          <w:sz w:val="20"/>
        </w:rPr>
        <w:t>BIL</w:t>
      </w:r>
      <w:r>
        <w:rPr>
          <w:rFonts w:ascii="Arial" w:hAnsi="Arial" w:cs="Arial"/>
          <w:color w:val="000000"/>
          <w:sz w:val="20"/>
        </w:rPr>
        <w:t xml:space="preserve"> to act in what he or she believes to be the best interests of the child and to communicate to the Court, as far as practicable, any instructions or wishes of the child.  </w:t>
      </w:r>
      <w:r w:rsidR="0075505A">
        <w:rPr>
          <w:rFonts w:ascii="Arial" w:hAnsi="Arial" w:cs="Arial"/>
          <w:color w:val="000000"/>
          <w:sz w:val="20"/>
        </w:rPr>
        <w:t>Accordingly the writer believes that a</w:t>
      </w:r>
      <w:r w:rsidR="00095B7A">
        <w:rPr>
          <w:rFonts w:ascii="Arial" w:hAnsi="Arial" w:cs="Arial"/>
          <w:color w:val="000000"/>
          <w:sz w:val="20"/>
        </w:rPr>
        <w:t xml:space="preserve"> BI</w:t>
      </w:r>
      <w:r w:rsidR="0075505A">
        <w:rPr>
          <w:rFonts w:ascii="Arial" w:hAnsi="Arial" w:cs="Arial"/>
          <w:color w:val="000000"/>
          <w:sz w:val="20"/>
        </w:rPr>
        <w:t xml:space="preserve">L’s role is broader than that of a common law </w:t>
      </w:r>
      <w:r w:rsidR="0075505A" w:rsidRPr="0075505A">
        <w:rPr>
          <w:rFonts w:ascii="Arial" w:hAnsi="Arial" w:cs="Arial"/>
          <w:i/>
          <w:iCs/>
          <w:color w:val="000000"/>
          <w:sz w:val="20"/>
        </w:rPr>
        <w:t>amicus curiae</w:t>
      </w:r>
      <w:r w:rsidR="0075505A">
        <w:rPr>
          <w:rFonts w:ascii="Arial" w:hAnsi="Arial" w:cs="Arial"/>
          <w:color w:val="000000"/>
          <w:sz w:val="20"/>
        </w:rPr>
        <w:t xml:space="preserve"> and hence i</w:t>
      </w:r>
      <w:r>
        <w:rPr>
          <w:rFonts w:ascii="Arial" w:hAnsi="Arial" w:cs="Arial"/>
          <w:color w:val="000000"/>
          <w:sz w:val="20"/>
        </w:rPr>
        <w:t xml:space="preserve">t is entirely appropriate for an </w:t>
      </w:r>
      <w:r w:rsidR="00095B7A">
        <w:rPr>
          <w:rFonts w:ascii="Arial" w:hAnsi="Arial" w:cs="Arial"/>
          <w:color w:val="000000"/>
          <w:sz w:val="20"/>
        </w:rPr>
        <w:t>BI</w:t>
      </w:r>
      <w:r>
        <w:rPr>
          <w:rFonts w:ascii="Arial" w:hAnsi="Arial" w:cs="Arial"/>
          <w:color w:val="000000"/>
          <w:sz w:val="20"/>
        </w:rPr>
        <w:t xml:space="preserve">L to </w:t>
      </w:r>
      <w:r w:rsidR="004818DD">
        <w:rPr>
          <w:rFonts w:ascii="Arial" w:hAnsi="Arial" w:cs="Arial"/>
          <w:color w:val="000000"/>
          <w:sz w:val="20"/>
        </w:rPr>
        <w:t xml:space="preserve">engage in fact finding – for example by interviewing the child </w:t>
      </w:r>
      <w:r w:rsidR="0075505A">
        <w:rPr>
          <w:rFonts w:ascii="Arial" w:hAnsi="Arial" w:cs="Arial"/>
          <w:color w:val="000000"/>
          <w:sz w:val="20"/>
        </w:rPr>
        <w:t xml:space="preserve">and/or relevant adults </w:t>
      </w:r>
      <w:r w:rsidR="004818DD">
        <w:rPr>
          <w:rFonts w:ascii="Arial" w:hAnsi="Arial" w:cs="Arial"/>
          <w:color w:val="000000"/>
          <w:sz w:val="20"/>
        </w:rPr>
        <w:t>and/or by visiting the child at the child</w:t>
      </w:r>
      <w:r w:rsidR="00033D59">
        <w:rPr>
          <w:rFonts w:ascii="Arial" w:hAnsi="Arial" w:cs="Arial"/>
          <w:color w:val="000000"/>
          <w:sz w:val="20"/>
        </w:rPr>
        <w:t>’s</w:t>
      </w:r>
      <w:r w:rsidR="004818DD">
        <w:rPr>
          <w:rFonts w:ascii="Arial" w:hAnsi="Arial" w:cs="Arial"/>
          <w:color w:val="000000"/>
          <w:sz w:val="20"/>
        </w:rPr>
        <w:t xml:space="preserve"> resid</w:t>
      </w:r>
      <w:r w:rsidR="00033D59">
        <w:rPr>
          <w:rFonts w:ascii="Arial" w:hAnsi="Arial" w:cs="Arial"/>
          <w:color w:val="000000"/>
          <w:sz w:val="20"/>
        </w:rPr>
        <w:t>ence</w:t>
      </w:r>
      <w:r w:rsidR="004818DD">
        <w:rPr>
          <w:rFonts w:ascii="Arial" w:hAnsi="Arial" w:cs="Arial"/>
          <w:color w:val="000000"/>
          <w:sz w:val="20"/>
        </w:rPr>
        <w:t xml:space="preserve"> – if the </w:t>
      </w:r>
      <w:r w:rsidR="00095B7A">
        <w:rPr>
          <w:rFonts w:ascii="Arial" w:hAnsi="Arial" w:cs="Arial"/>
          <w:color w:val="000000"/>
          <w:sz w:val="20"/>
        </w:rPr>
        <w:t>BI</w:t>
      </w:r>
      <w:r w:rsidR="004818DD">
        <w:rPr>
          <w:rFonts w:ascii="Arial" w:hAnsi="Arial" w:cs="Arial"/>
          <w:color w:val="000000"/>
          <w:sz w:val="20"/>
        </w:rPr>
        <w:t xml:space="preserve">L believes on reasonable grounds that </w:t>
      </w:r>
      <w:r w:rsidR="0060302A">
        <w:rPr>
          <w:rFonts w:ascii="Arial" w:hAnsi="Arial" w:cs="Arial"/>
          <w:color w:val="000000"/>
          <w:sz w:val="20"/>
        </w:rPr>
        <w:t>to do so is in the best interests of</w:t>
      </w:r>
      <w:r w:rsidR="00033D59">
        <w:rPr>
          <w:rFonts w:ascii="Arial" w:hAnsi="Arial" w:cs="Arial"/>
          <w:color w:val="000000"/>
          <w:sz w:val="20"/>
        </w:rPr>
        <w:t xml:space="preserve"> the child.</w:t>
      </w:r>
    </w:p>
    <w:p w14:paraId="4210C7EA" w14:textId="77777777" w:rsidR="0063060A" w:rsidRPr="003D5DFA" w:rsidRDefault="0063060A" w:rsidP="0031041A">
      <w:pPr>
        <w:jc w:val="both"/>
        <w:rPr>
          <w:rFonts w:ascii="Arial" w:hAnsi="Arial" w:cs="Arial"/>
          <w:color w:val="000000"/>
          <w:sz w:val="20"/>
        </w:rPr>
      </w:pPr>
    </w:p>
    <w:p w14:paraId="18D22212" w14:textId="77777777" w:rsidR="007D2F69" w:rsidRPr="003D5DFA" w:rsidRDefault="00B20158" w:rsidP="007D2F69">
      <w:pPr>
        <w:pStyle w:val="Heading3"/>
        <w:keepNext/>
        <w:keepLines/>
        <w:spacing w:after="120" w:line="240" w:lineRule="auto"/>
        <w:rPr>
          <w:rFonts w:ascii="Arial" w:hAnsi="Arial" w:cs="Arial"/>
          <w:b/>
          <w:bCs/>
          <w:color w:val="000000"/>
          <w:sz w:val="20"/>
        </w:rPr>
      </w:pPr>
      <w:bookmarkStart w:id="916" w:name="_4.7.5_Representing_more"/>
      <w:bookmarkStart w:id="917" w:name="B475"/>
      <w:bookmarkStart w:id="918" w:name="_Toc30649079"/>
      <w:bookmarkStart w:id="919" w:name="_Toc30649155"/>
      <w:bookmarkStart w:id="920" w:name="_Toc30649416"/>
      <w:bookmarkStart w:id="921" w:name="_Toc30649741"/>
      <w:bookmarkStart w:id="922" w:name="_Toc30651681"/>
      <w:bookmarkStart w:id="923" w:name="_Toc30652671"/>
      <w:bookmarkStart w:id="924" w:name="_Toc30652767"/>
      <w:bookmarkStart w:id="925" w:name="_Toc30654114"/>
      <w:bookmarkStart w:id="926" w:name="_Toc30654465"/>
      <w:bookmarkStart w:id="927" w:name="_Toc30655084"/>
      <w:bookmarkStart w:id="928" w:name="_Toc30655341"/>
      <w:bookmarkStart w:id="929" w:name="_Toc30657019"/>
      <w:bookmarkStart w:id="930" w:name="_Toc30661768"/>
      <w:bookmarkStart w:id="931" w:name="_Toc30666456"/>
      <w:bookmarkStart w:id="932" w:name="_Toc30666686"/>
      <w:bookmarkStart w:id="933" w:name="_Toc30667861"/>
      <w:bookmarkStart w:id="934" w:name="_Toc30669239"/>
      <w:bookmarkStart w:id="935" w:name="_Toc30671455"/>
      <w:bookmarkStart w:id="936" w:name="_Toc30673982"/>
      <w:bookmarkStart w:id="937" w:name="_Toc30691204"/>
      <w:bookmarkStart w:id="938" w:name="_Toc30691577"/>
      <w:bookmarkStart w:id="939" w:name="_Toc30691957"/>
      <w:bookmarkStart w:id="940" w:name="_Toc30692716"/>
      <w:bookmarkStart w:id="941" w:name="_Toc30693095"/>
      <w:bookmarkStart w:id="942" w:name="_Toc30693473"/>
      <w:bookmarkStart w:id="943" w:name="_Toc30693851"/>
      <w:bookmarkStart w:id="944" w:name="_Toc30694232"/>
      <w:bookmarkStart w:id="945" w:name="_Toc30698821"/>
      <w:bookmarkStart w:id="946" w:name="_Toc30699199"/>
      <w:bookmarkStart w:id="947" w:name="_Toc30699584"/>
      <w:bookmarkStart w:id="948" w:name="_Toc30700739"/>
      <w:bookmarkStart w:id="949" w:name="_Toc30701126"/>
      <w:bookmarkStart w:id="950" w:name="_Toc30743735"/>
      <w:bookmarkStart w:id="951" w:name="_Toc30754558"/>
      <w:bookmarkStart w:id="952" w:name="_Toc30756998"/>
      <w:bookmarkStart w:id="953" w:name="_Toc30757547"/>
      <w:bookmarkStart w:id="954" w:name="_Toc30757947"/>
      <w:bookmarkStart w:id="955" w:name="_Toc30762708"/>
      <w:bookmarkStart w:id="956" w:name="_Toc30767362"/>
      <w:bookmarkStart w:id="957" w:name="_Toc34823377"/>
      <w:bookmarkEnd w:id="916"/>
      <w:bookmarkEnd w:id="917"/>
      <w:r w:rsidRPr="003D5DFA">
        <w:rPr>
          <w:rFonts w:ascii="Arial" w:hAnsi="Arial" w:cs="Arial"/>
          <w:b/>
          <w:bCs/>
          <w:color w:val="000000"/>
          <w:sz w:val="20"/>
        </w:rPr>
        <w:t>4.7.</w:t>
      </w:r>
      <w:r w:rsidR="0031041A" w:rsidRPr="003D5DFA">
        <w:rPr>
          <w:rFonts w:ascii="Arial" w:hAnsi="Arial" w:cs="Arial"/>
          <w:b/>
          <w:bCs/>
          <w:color w:val="000000"/>
          <w:sz w:val="20"/>
        </w:rPr>
        <w:t>5</w:t>
      </w:r>
      <w:r w:rsidRPr="003D5DFA">
        <w:rPr>
          <w:rFonts w:ascii="Arial" w:hAnsi="Arial" w:cs="Arial"/>
          <w:b/>
          <w:bCs/>
          <w:color w:val="000000"/>
          <w:sz w:val="20"/>
        </w:rPr>
        <w:tab/>
        <w:t>Representing more than one child in a proceeding</w:t>
      </w:r>
    </w:p>
    <w:p w14:paraId="5071B9A5" w14:textId="77777777" w:rsidR="00B20158" w:rsidRPr="003D5DFA" w:rsidRDefault="00B20158" w:rsidP="00B20158">
      <w:pPr>
        <w:spacing w:before="120"/>
        <w:jc w:val="both"/>
        <w:rPr>
          <w:rFonts w:ascii="Arial" w:hAnsi="Arial" w:cs="Arial"/>
          <w:color w:val="000000"/>
          <w:sz w:val="20"/>
        </w:rPr>
      </w:pPr>
      <w:r w:rsidRPr="003D5DFA">
        <w:rPr>
          <w:rFonts w:ascii="Arial" w:hAnsi="Arial" w:cs="Arial"/>
          <w:color w:val="000000"/>
          <w:sz w:val="20"/>
        </w:rPr>
        <w:t>Section 524(5) of the CYFA permits more than one child in the same proceeding to be represented by the same legal practitioner with the leave of the Court.  Section 524(6) permits the Court to grant leave only if satisfied that no conflict of interest will arise.</w:t>
      </w:r>
    </w:p>
    <w:p w14:paraId="35EBD61E" w14:textId="77777777" w:rsidR="00B20158" w:rsidRPr="003D5DFA" w:rsidRDefault="00B20158" w:rsidP="00B20158">
      <w:pPr>
        <w:jc w:val="both"/>
        <w:rPr>
          <w:rFonts w:ascii="Arial" w:hAnsi="Arial" w:cs="Arial"/>
          <w:color w:val="000000"/>
          <w:sz w:val="20"/>
        </w:rPr>
      </w:pPr>
    </w:p>
    <w:p w14:paraId="33821B4F" w14:textId="77777777" w:rsidR="00B20158" w:rsidRPr="003D5DFA" w:rsidRDefault="00B20158" w:rsidP="00B20158">
      <w:pPr>
        <w:jc w:val="both"/>
        <w:rPr>
          <w:rFonts w:ascii="Arial" w:hAnsi="Arial" w:cs="Arial"/>
          <w:color w:val="000000"/>
          <w:sz w:val="20"/>
        </w:rPr>
      </w:pPr>
      <w:r w:rsidRPr="003D5DFA">
        <w:rPr>
          <w:rFonts w:ascii="Arial" w:hAnsi="Arial" w:cs="Arial"/>
          <w:color w:val="000000"/>
          <w:sz w:val="20"/>
        </w:rPr>
        <w:t xml:space="preserve">In </w:t>
      </w:r>
      <w:r w:rsidRPr="003D5DFA">
        <w:rPr>
          <w:rFonts w:ascii="Arial" w:hAnsi="Arial" w:cs="Arial"/>
          <w:i/>
          <w:color w:val="000000"/>
          <w:sz w:val="20"/>
        </w:rPr>
        <w:t>A &amp; B v Children’s Court of Victoria</w:t>
      </w:r>
      <w:r w:rsidRPr="003D5DFA">
        <w:rPr>
          <w:rFonts w:ascii="Arial" w:hAnsi="Arial" w:cs="Arial"/>
          <w:color w:val="000000"/>
          <w:sz w:val="20"/>
        </w:rPr>
        <w:t xml:space="preserve"> [2012] VSC 589 the presiding magistrate had refused to grant leave to two sisters aged 11 and 9 to be represented by the same legal practitioner.  The same legal representative had represented the girls over the preceding five months on five or six occasions.  Garde J held that the magistrate had made a jurisdictional error by refusing leave for the children to be represented by the same legal practitioner without assessing whether a conflict of interest existed pursuant to s.524(6).  At [130] Garde J said:</w:t>
      </w:r>
    </w:p>
    <w:p w14:paraId="215E7A72" w14:textId="77777777" w:rsidR="00B20158" w:rsidRPr="003D5DFA" w:rsidRDefault="00B20158" w:rsidP="00B20158">
      <w:pPr>
        <w:spacing w:before="60" w:line="240" w:lineRule="exact"/>
        <w:ind w:left="567" w:right="567"/>
        <w:jc w:val="both"/>
        <w:rPr>
          <w:rFonts w:ascii="Arial" w:hAnsi="Arial" w:cs="Arial"/>
          <w:bCs/>
          <w:color w:val="000000"/>
          <w:sz w:val="20"/>
        </w:rPr>
      </w:pPr>
      <w:r w:rsidRPr="003D5DFA">
        <w:rPr>
          <w:rFonts w:ascii="Arial" w:hAnsi="Arial" w:cs="Arial"/>
          <w:bCs/>
          <w:color w:val="000000"/>
          <w:sz w:val="20"/>
        </w:rPr>
        <w:t xml:space="preserve">“A conflict of interest does not exist simply by virtue of clients ‘having different issues’.  A lawyer will not have a conflict of interest in acting for two clients in the </w:t>
      </w:r>
      <w:r w:rsidRPr="003D5DFA">
        <w:rPr>
          <w:rFonts w:ascii="Arial" w:hAnsi="Arial" w:cs="Arial"/>
          <w:bCs/>
          <w:color w:val="000000"/>
          <w:sz w:val="20"/>
        </w:rPr>
        <w:lastRenderedPageBreak/>
        <w:t>same proceeding unless the interests of each client genuinely come into conflict or can reasonably be anticipated to come into conflict, so that the independent judgment of the solicitor in relation to one client is compromised by an obligation in relation to a second client.”</w:t>
      </w:r>
    </w:p>
    <w:p w14:paraId="408C2B99" w14:textId="77777777" w:rsidR="00B20158" w:rsidRPr="003D5DFA" w:rsidRDefault="00B20158" w:rsidP="00B20158">
      <w:pPr>
        <w:jc w:val="both"/>
        <w:rPr>
          <w:rFonts w:ascii="Arial" w:hAnsi="Arial" w:cs="Arial"/>
          <w:color w:val="000000"/>
          <w:sz w:val="20"/>
        </w:rPr>
      </w:pPr>
    </w:p>
    <w:p w14:paraId="5C7171A9" w14:textId="77777777" w:rsidR="00B20158" w:rsidRPr="003D5DFA" w:rsidRDefault="00B20158" w:rsidP="0060302A">
      <w:pPr>
        <w:jc w:val="both"/>
        <w:rPr>
          <w:rFonts w:ascii="Arial" w:hAnsi="Arial" w:cs="Arial"/>
          <w:color w:val="000000"/>
          <w:sz w:val="20"/>
        </w:rPr>
      </w:pPr>
      <w:r w:rsidRPr="003D5DFA">
        <w:rPr>
          <w:rFonts w:ascii="Arial" w:hAnsi="Arial" w:cs="Arial"/>
          <w:color w:val="000000"/>
          <w:sz w:val="20"/>
        </w:rPr>
        <w:t xml:space="preserve">In enunciating this test, his Honour referred to the cases of </w:t>
      </w:r>
      <w:r w:rsidRPr="003D5DFA">
        <w:rPr>
          <w:rFonts w:ascii="Arial" w:hAnsi="Arial" w:cs="Arial"/>
          <w:i/>
          <w:color w:val="000000"/>
          <w:sz w:val="20"/>
        </w:rPr>
        <w:t>Bolkiah v KPMG</w:t>
      </w:r>
      <w:r w:rsidRPr="003D5DFA">
        <w:rPr>
          <w:rFonts w:ascii="Arial" w:hAnsi="Arial" w:cs="Arial"/>
          <w:color w:val="000000"/>
          <w:sz w:val="20"/>
        </w:rPr>
        <w:t xml:space="preserve"> [1999] 2 AC 222; </w:t>
      </w:r>
      <w:r w:rsidRPr="003D5DFA">
        <w:rPr>
          <w:rFonts w:ascii="Arial" w:hAnsi="Arial" w:cs="Arial"/>
          <w:i/>
          <w:color w:val="000000"/>
          <w:sz w:val="20"/>
        </w:rPr>
        <w:t>Giannarelli v Wraith</w:t>
      </w:r>
      <w:r w:rsidRPr="003D5DFA">
        <w:rPr>
          <w:rFonts w:ascii="Arial" w:hAnsi="Arial" w:cs="Arial"/>
          <w:color w:val="000000"/>
          <w:sz w:val="20"/>
        </w:rPr>
        <w:t xml:space="preserve"> (1988) 165 CLR 543 at [555]-[556] and </w:t>
      </w:r>
      <w:r w:rsidRPr="003D5DFA">
        <w:rPr>
          <w:rFonts w:ascii="Arial" w:hAnsi="Arial" w:cs="Arial"/>
          <w:i/>
          <w:color w:val="000000"/>
          <w:sz w:val="20"/>
        </w:rPr>
        <w:t>McVeigh v Linen House Pty Ltd</w:t>
      </w:r>
      <w:r w:rsidRPr="003D5DFA">
        <w:rPr>
          <w:rFonts w:ascii="Arial" w:hAnsi="Arial" w:cs="Arial"/>
          <w:color w:val="000000"/>
          <w:sz w:val="20"/>
        </w:rPr>
        <w:t xml:space="preserve"> [1999] 3 VR 394, 398 per Batt JA.  His Honour also noted that:</w:t>
      </w:r>
    </w:p>
    <w:p w14:paraId="07223B83" w14:textId="77777777" w:rsidR="00B20158" w:rsidRPr="003D5DFA" w:rsidRDefault="00B20158" w:rsidP="00B20158">
      <w:pPr>
        <w:spacing w:before="60" w:line="240" w:lineRule="exact"/>
        <w:ind w:left="567" w:right="567"/>
        <w:jc w:val="both"/>
        <w:rPr>
          <w:rFonts w:ascii="Arial" w:hAnsi="Arial" w:cs="Arial"/>
          <w:bCs/>
          <w:color w:val="000000"/>
          <w:sz w:val="20"/>
        </w:rPr>
      </w:pPr>
      <w:r w:rsidRPr="003D5DFA">
        <w:rPr>
          <w:rFonts w:ascii="Arial" w:hAnsi="Arial" w:cs="Arial"/>
          <w:bCs/>
          <w:color w:val="000000"/>
          <w:sz w:val="20"/>
        </w:rPr>
        <w:t>“I</w:t>
      </w:r>
      <w:r w:rsidRPr="003D5DFA">
        <w:rPr>
          <w:rFonts w:ascii="Arial" w:hAnsi="Arial" w:cs="Arial"/>
          <w:color w:val="000000"/>
          <w:sz w:val="20"/>
        </w:rPr>
        <w:t xml:space="preserve">n </w:t>
      </w:r>
      <w:proofErr w:type="spellStart"/>
      <w:r w:rsidRPr="003D5DFA">
        <w:rPr>
          <w:rFonts w:ascii="Arial" w:hAnsi="Arial" w:cs="Arial"/>
          <w:i/>
          <w:color w:val="000000"/>
          <w:sz w:val="20"/>
        </w:rPr>
        <w:t>Kallinicos</w:t>
      </w:r>
      <w:proofErr w:type="spellEnd"/>
      <w:r w:rsidRPr="003D5DFA">
        <w:rPr>
          <w:rFonts w:ascii="Arial" w:hAnsi="Arial" w:cs="Arial"/>
          <w:i/>
          <w:color w:val="000000"/>
          <w:sz w:val="20"/>
        </w:rPr>
        <w:t xml:space="preserve"> v Hunt</w:t>
      </w:r>
      <w:r w:rsidRPr="003D5DFA">
        <w:rPr>
          <w:rFonts w:ascii="Arial" w:hAnsi="Arial" w:cs="Arial"/>
          <w:color w:val="000000"/>
          <w:sz w:val="20"/>
        </w:rPr>
        <w:t xml:space="preserve"> [2005] NSWSC 1181 at [76], the test for conflict of interest (to ground the Court’s inherent jurisdiction to restrain solicitors from acting in a particular case) was ‘whether a fair-minded, reasonably informed member of the public </w:t>
      </w:r>
      <w:r w:rsidRPr="003D5DFA">
        <w:rPr>
          <w:rFonts w:ascii="Arial" w:hAnsi="Arial" w:cs="Arial"/>
          <w:bCs/>
          <w:color w:val="000000"/>
          <w:sz w:val="20"/>
        </w:rPr>
        <w:t>would conclude that the proper administration of justice requires that a legal practitioner should be prevented from acting, in the interests of the integrity of the judicial process and the due administration of justice, including the appearance of justice’.”</w:t>
      </w:r>
    </w:p>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14:paraId="4751BF45" w14:textId="77777777" w:rsidR="00693223" w:rsidRPr="003D5DFA" w:rsidRDefault="00693223">
      <w:pPr>
        <w:jc w:val="both"/>
        <w:rPr>
          <w:rFonts w:ascii="Arial" w:hAnsi="Arial" w:cs="Arial"/>
          <w:color w:val="000000"/>
          <w:sz w:val="20"/>
        </w:rPr>
      </w:pPr>
    </w:p>
    <w:p w14:paraId="26239A20" w14:textId="77777777" w:rsidR="00693223" w:rsidRPr="003D5DFA" w:rsidRDefault="00693223" w:rsidP="00E76E28">
      <w:pPr>
        <w:pStyle w:val="Heading3"/>
        <w:keepNext/>
        <w:spacing w:line="240" w:lineRule="auto"/>
        <w:rPr>
          <w:rFonts w:ascii="Arial" w:hAnsi="Arial" w:cs="Arial"/>
          <w:b/>
          <w:bCs/>
          <w:color w:val="000000"/>
          <w:sz w:val="20"/>
        </w:rPr>
      </w:pPr>
      <w:bookmarkStart w:id="958" w:name="_4.7.6_Child_representation"/>
      <w:bookmarkStart w:id="959" w:name="B476"/>
      <w:bookmarkStart w:id="960" w:name="_Toc30649080"/>
      <w:bookmarkStart w:id="961" w:name="_Toc30649156"/>
      <w:bookmarkStart w:id="962" w:name="_Toc30649417"/>
      <w:bookmarkStart w:id="963" w:name="_Toc30649742"/>
      <w:bookmarkStart w:id="964" w:name="_Toc30651682"/>
      <w:bookmarkStart w:id="965" w:name="_Toc30652672"/>
      <w:bookmarkStart w:id="966" w:name="_Toc30652768"/>
      <w:bookmarkStart w:id="967" w:name="_Toc30654115"/>
      <w:bookmarkStart w:id="968" w:name="_Toc30654466"/>
      <w:bookmarkStart w:id="969" w:name="_Toc30655085"/>
      <w:bookmarkStart w:id="970" w:name="_Toc30655342"/>
      <w:bookmarkStart w:id="971" w:name="_Toc30657020"/>
      <w:bookmarkStart w:id="972" w:name="_Toc30661769"/>
      <w:bookmarkStart w:id="973" w:name="_Toc30666457"/>
      <w:bookmarkStart w:id="974" w:name="_Toc30666687"/>
      <w:bookmarkStart w:id="975" w:name="_Toc30667862"/>
      <w:bookmarkStart w:id="976" w:name="_Toc30669240"/>
      <w:bookmarkStart w:id="977" w:name="_Toc30671456"/>
      <w:bookmarkStart w:id="978" w:name="_Toc30673983"/>
      <w:bookmarkStart w:id="979" w:name="_Toc30691205"/>
      <w:bookmarkStart w:id="980" w:name="_Toc30691578"/>
      <w:bookmarkStart w:id="981" w:name="_Toc30691958"/>
      <w:bookmarkStart w:id="982" w:name="_Toc30692717"/>
      <w:bookmarkStart w:id="983" w:name="_Toc30693096"/>
      <w:bookmarkStart w:id="984" w:name="_Toc30693474"/>
      <w:bookmarkStart w:id="985" w:name="_Toc30693852"/>
      <w:bookmarkStart w:id="986" w:name="_Toc30694233"/>
      <w:bookmarkStart w:id="987" w:name="_Toc30698822"/>
      <w:bookmarkStart w:id="988" w:name="_Toc30699200"/>
      <w:bookmarkStart w:id="989" w:name="_Toc30699585"/>
      <w:bookmarkStart w:id="990" w:name="_Toc30700740"/>
      <w:bookmarkStart w:id="991" w:name="_Toc30701127"/>
      <w:bookmarkStart w:id="992" w:name="_Toc30743736"/>
      <w:bookmarkStart w:id="993" w:name="_Toc30754559"/>
      <w:bookmarkStart w:id="994" w:name="_Toc30756999"/>
      <w:bookmarkStart w:id="995" w:name="_Toc30757548"/>
      <w:bookmarkStart w:id="996" w:name="_Toc30757948"/>
      <w:bookmarkStart w:id="997" w:name="_Toc30762709"/>
      <w:bookmarkStart w:id="998" w:name="_Toc30767363"/>
      <w:bookmarkStart w:id="999" w:name="_Toc34823378"/>
      <w:bookmarkEnd w:id="958"/>
      <w:bookmarkEnd w:id="959"/>
      <w:r w:rsidRPr="003D5DFA">
        <w:rPr>
          <w:rFonts w:ascii="Arial" w:hAnsi="Arial" w:cs="Arial"/>
          <w:b/>
          <w:bCs/>
          <w:color w:val="000000"/>
          <w:sz w:val="20"/>
        </w:rPr>
        <w:t>4.7.</w:t>
      </w:r>
      <w:r w:rsidR="0094744E" w:rsidRPr="003D5DFA">
        <w:rPr>
          <w:rFonts w:ascii="Arial" w:hAnsi="Arial" w:cs="Arial"/>
          <w:b/>
          <w:bCs/>
          <w:color w:val="000000"/>
          <w:sz w:val="20"/>
        </w:rPr>
        <w:t>6</w:t>
      </w:r>
      <w:r w:rsidRPr="003D5DFA">
        <w:rPr>
          <w:rFonts w:ascii="Arial" w:hAnsi="Arial" w:cs="Arial"/>
          <w:b/>
          <w:bCs/>
          <w:color w:val="000000"/>
          <w:sz w:val="20"/>
        </w:rPr>
        <w:tab/>
        <w:t>Child representation in Children's Court and Family Court compared</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14:paraId="3EDC9238" w14:textId="77777777" w:rsidR="008C267B" w:rsidRPr="003D5DFA" w:rsidRDefault="000B6A6D" w:rsidP="0060302A">
      <w:pPr>
        <w:spacing w:before="120"/>
        <w:jc w:val="both"/>
        <w:rPr>
          <w:rFonts w:ascii="Arial" w:hAnsi="Arial" w:cs="Arial"/>
          <w:color w:val="000000"/>
          <w:sz w:val="20"/>
        </w:rPr>
      </w:pPr>
      <w:r w:rsidRPr="003D5DFA">
        <w:rPr>
          <w:rFonts w:ascii="Arial" w:hAnsi="Arial" w:cs="Arial"/>
          <w:color w:val="000000"/>
          <w:sz w:val="20"/>
        </w:rPr>
        <w:t>S</w:t>
      </w:r>
      <w:r w:rsidR="00890D42" w:rsidRPr="003D5DFA">
        <w:rPr>
          <w:rFonts w:ascii="Arial" w:hAnsi="Arial" w:cs="Arial"/>
          <w:color w:val="000000"/>
          <w:sz w:val="20"/>
        </w:rPr>
        <w:t xml:space="preserve">ave for those limited cases where a legal representative for a child has been appointed under s.524(4) of the CYFA, the Victorian legislature has </w:t>
      </w:r>
      <w:r w:rsidRPr="003D5DFA">
        <w:rPr>
          <w:rFonts w:ascii="Arial" w:hAnsi="Arial" w:cs="Arial"/>
          <w:color w:val="000000"/>
          <w:sz w:val="20"/>
        </w:rPr>
        <w:t>adopted model 2</w:t>
      </w:r>
      <w:r w:rsidR="00890D42" w:rsidRPr="003D5DFA">
        <w:rPr>
          <w:rFonts w:ascii="Arial" w:hAnsi="Arial" w:cs="Arial"/>
          <w:color w:val="000000"/>
          <w:sz w:val="20"/>
        </w:rPr>
        <w:t xml:space="preserve"> – </w:t>
      </w:r>
      <w:r w:rsidRPr="003D5DFA">
        <w:rPr>
          <w:rFonts w:ascii="Arial" w:hAnsi="Arial" w:cs="Arial"/>
          <w:color w:val="000000"/>
          <w:sz w:val="20"/>
        </w:rPr>
        <w:t>'</w:t>
      </w:r>
      <w:r w:rsidRPr="003D5DFA">
        <w:rPr>
          <w:rFonts w:ascii="Arial" w:hAnsi="Arial" w:cs="Arial"/>
          <w:b/>
          <w:bCs/>
          <w:color w:val="000000"/>
          <w:sz w:val="20"/>
        </w:rPr>
        <w:t>the</w:t>
      </w:r>
      <w:r w:rsidR="00890D42" w:rsidRPr="003D5DFA">
        <w:rPr>
          <w:rFonts w:ascii="Arial" w:hAnsi="Arial" w:cs="Arial"/>
          <w:b/>
          <w:bCs/>
          <w:color w:val="000000"/>
          <w:sz w:val="20"/>
        </w:rPr>
        <w:t xml:space="preserve"> </w:t>
      </w:r>
      <w:r w:rsidRPr="003D5DFA">
        <w:rPr>
          <w:rFonts w:ascii="Arial" w:hAnsi="Arial" w:cs="Arial"/>
          <w:b/>
          <w:bCs/>
          <w:color w:val="000000"/>
          <w:sz w:val="20"/>
        </w:rPr>
        <w:t>traditional model'</w:t>
      </w:r>
      <w:r w:rsidR="008C267B" w:rsidRPr="003D5DFA">
        <w:rPr>
          <w:rFonts w:ascii="Arial" w:hAnsi="Arial" w:cs="Arial"/>
          <w:bCs/>
          <w:color w:val="000000"/>
          <w:sz w:val="20"/>
        </w:rPr>
        <w:t xml:space="preserve"> </w:t>
      </w:r>
      <w:r w:rsidR="00890D42" w:rsidRPr="003D5DFA">
        <w:rPr>
          <w:rFonts w:ascii="Arial" w:hAnsi="Arial" w:cs="Arial"/>
          <w:color w:val="000000"/>
          <w:sz w:val="20"/>
        </w:rPr>
        <w:t xml:space="preserve">– </w:t>
      </w:r>
      <w:r w:rsidR="008C267B" w:rsidRPr="003D5DFA">
        <w:rPr>
          <w:rFonts w:ascii="Arial" w:hAnsi="Arial" w:cs="Arial"/>
          <w:bCs/>
          <w:color w:val="000000"/>
          <w:sz w:val="20"/>
        </w:rPr>
        <w:t xml:space="preserve">for child representation, a model </w:t>
      </w:r>
      <w:r w:rsidR="008C267B" w:rsidRPr="003D5DFA">
        <w:rPr>
          <w:rFonts w:ascii="Arial" w:hAnsi="Arial" w:cs="Arial"/>
          <w:color w:val="000000"/>
          <w:sz w:val="20"/>
        </w:rPr>
        <w:t xml:space="preserve">which requires the advocate to argue a case strictly upon the child's instructions </w:t>
      </w:r>
      <w:r w:rsidR="008C267B" w:rsidRPr="003D5DFA">
        <w:rPr>
          <w:rFonts w:ascii="Arial" w:hAnsi="Arial" w:cs="Arial"/>
          <w:bCs/>
          <w:color w:val="000000"/>
          <w:sz w:val="20"/>
        </w:rPr>
        <w:t>{ALRC Issues Paper #18, [3.12] p.18}.</w:t>
      </w:r>
    </w:p>
    <w:p w14:paraId="2EE24AF5" w14:textId="77777777" w:rsidR="008C267B" w:rsidRPr="003D5DFA" w:rsidRDefault="008C267B" w:rsidP="000B6A6D">
      <w:pPr>
        <w:jc w:val="both"/>
        <w:rPr>
          <w:rFonts w:ascii="Arial" w:hAnsi="Arial" w:cs="Arial"/>
          <w:color w:val="000000"/>
          <w:sz w:val="20"/>
        </w:rPr>
      </w:pPr>
    </w:p>
    <w:p w14:paraId="3A625FF6" w14:textId="77777777" w:rsidR="000B6A6D" w:rsidRPr="003D5DFA" w:rsidRDefault="000B6A6D" w:rsidP="000B6A6D">
      <w:pPr>
        <w:jc w:val="both"/>
        <w:rPr>
          <w:rFonts w:ascii="Arial" w:hAnsi="Arial" w:cs="Arial"/>
          <w:color w:val="000000"/>
          <w:sz w:val="20"/>
        </w:rPr>
      </w:pPr>
      <w:r w:rsidRPr="003D5DFA">
        <w:rPr>
          <w:rFonts w:ascii="Arial" w:hAnsi="Arial" w:cs="Arial"/>
          <w:color w:val="000000"/>
          <w:sz w:val="20"/>
        </w:rPr>
        <w:t xml:space="preserve">This is the converse of the situation in the Family Court of Australia </w:t>
      </w:r>
      <w:r w:rsidR="00176C77" w:rsidRPr="003D5DFA">
        <w:rPr>
          <w:rFonts w:ascii="Arial" w:hAnsi="Arial" w:cs="Arial"/>
          <w:color w:val="000000"/>
          <w:sz w:val="20"/>
        </w:rPr>
        <w:t xml:space="preserve">and the Federal Magistrates’ Court </w:t>
      </w:r>
      <w:r w:rsidRPr="003D5DFA">
        <w:rPr>
          <w:rFonts w:ascii="Arial" w:hAnsi="Arial" w:cs="Arial"/>
          <w:color w:val="000000"/>
          <w:sz w:val="20"/>
        </w:rPr>
        <w:t>where ‘separate’ child representation under s</w:t>
      </w:r>
      <w:r w:rsidR="008C267B" w:rsidRPr="003D5DFA">
        <w:rPr>
          <w:rFonts w:ascii="Arial" w:hAnsi="Arial" w:cs="Arial"/>
          <w:color w:val="000000"/>
          <w:sz w:val="20"/>
        </w:rPr>
        <w:t>s</w:t>
      </w:r>
      <w:r w:rsidRPr="003D5DFA">
        <w:rPr>
          <w:rFonts w:ascii="Arial" w:hAnsi="Arial" w:cs="Arial"/>
          <w:color w:val="000000"/>
          <w:sz w:val="20"/>
        </w:rPr>
        <w:t>.68L</w:t>
      </w:r>
      <w:r w:rsidR="008C267B" w:rsidRPr="003D5DFA">
        <w:rPr>
          <w:rFonts w:ascii="Arial" w:hAnsi="Arial" w:cs="Arial"/>
          <w:color w:val="000000"/>
          <w:sz w:val="20"/>
        </w:rPr>
        <w:t xml:space="preserve"> &amp; 68LA of the FLA</w:t>
      </w:r>
      <w:r w:rsidRPr="003D5DFA">
        <w:rPr>
          <w:rFonts w:ascii="Arial" w:hAnsi="Arial" w:cs="Arial"/>
          <w:color w:val="000000"/>
          <w:sz w:val="20"/>
        </w:rPr>
        <w:t xml:space="preserve"> is based on model 3, </w:t>
      </w:r>
      <w:r w:rsidRPr="003D5DFA">
        <w:rPr>
          <w:rFonts w:ascii="Arial" w:hAnsi="Arial" w:cs="Arial"/>
          <w:b/>
          <w:bCs/>
          <w:color w:val="000000"/>
          <w:sz w:val="20"/>
        </w:rPr>
        <w:t>'the best interests model'</w:t>
      </w:r>
      <w:r w:rsidR="008C267B" w:rsidRPr="003D5DFA">
        <w:rPr>
          <w:rFonts w:ascii="Arial" w:hAnsi="Arial" w:cs="Arial"/>
          <w:color w:val="000000"/>
          <w:sz w:val="20"/>
        </w:rPr>
        <w:t xml:space="preserve">, </w:t>
      </w:r>
      <w:r w:rsidR="008C267B" w:rsidRPr="003D5DFA">
        <w:rPr>
          <w:rFonts w:ascii="Arial" w:hAnsi="Arial" w:cs="Arial"/>
          <w:bCs/>
          <w:color w:val="000000"/>
          <w:sz w:val="20"/>
        </w:rPr>
        <w:t xml:space="preserve">a model which requires the advocate to present and argue his or her own professional view as to the child's best interests, even if this is inconsistent with the child's expressed wishes on the issue {ALRC Issues Paper #18, p.19}.  </w:t>
      </w:r>
      <w:r w:rsidRPr="003D5DFA">
        <w:rPr>
          <w:rFonts w:ascii="Arial" w:hAnsi="Arial" w:cs="Arial"/>
          <w:color w:val="000000"/>
          <w:sz w:val="20"/>
        </w:rPr>
        <w:t xml:space="preserve">In that model the separate representative "is not bound to make submissions to the court about the instructions of a child as to its wishes or otherwise.  She or he…should act in an independent and unfettered way in the best interests of the child."  See </w:t>
      </w:r>
      <w:r w:rsidRPr="003D5DFA">
        <w:rPr>
          <w:rFonts w:ascii="Arial" w:hAnsi="Arial" w:cs="Arial"/>
          <w:i/>
          <w:iCs/>
          <w:color w:val="000000"/>
          <w:sz w:val="20"/>
        </w:rPr>
        <w:t>Bennett</w:t>
      </w:r>
      <w:r w:rsidRPr="003D5DFA">
        <w:rPr>
          <w:rFonts w:ascii="Arial" w:hAnsi="Arial" w:cs="Arial"/>
          <w:color w:val="000000"/>
          <w:sz w:val="20"/>
        </w:rPr>
        <w:t xml:space="preserve"> (1991) FLC-92-191.  See also </w:t>
      </w:r>
      <w:r w:rsidRPr="003D5DFA">
        <w:rPr>
          <w:rFonts w:ascii="Arial" w:hAnsi="Arial" w:cs="Arial"/>
          <w:i/>
          <w:iCs/>
          <w:color w:val="000000"/>
          <w:sz w:val="20"/>
        </w:rPr>
        <w:t>Re K</w:t>
      </w:r>
      <w:r w:rsidRPr="003D5DFA">
        <w:rPr>
          <w:rFonts w:ascii="Arial" w:hAnsi="Arial" w:cs="Arial"/>
          <w:color w:val="000000"/>
          <w:sz w:val="20"/>
        </w:rPr>
        <w:t xml:space="preserve"> (1994) 17 Fam LR 537 for guidelines as to when a separate representative should be appointed in proceedings in the Family Court.</w:t>
      </w:r>
    </w:p>
    <w:p w14:paraId="6B083ABA" w14:textId="77777777" w:rsidR="008C267B" w:rsidRPr="003D5DFA" w:rsidRDefault="008C267B" w:rsidP="000B6A6D">
      <w:pPr>
        <w:jc w:val="both"/>
        <w:rPr>
          <w:rFonts w:ascii="Arial" w:hAnsi="Arial" w:cs="Arial"/>
          <w:color w:val="000000"/>
          <w:sz w:val="20"/>
        </w:rPr>
      </w:pPr>
    </w:p>
    <w:p w14:paraId="693D4732" w14:textId="277C72D1" w:rsidR="00E251CB" w:rsidRDefault="001E5D75" w:rsidP="0060302A">
      <w:pPr>
        <w:jc w:val="both"/>
        <w:rPr>
          <w:rFonts w:ascii="Arial" w:hAnsi="Arial" w:cs="Arial"/>
          <w:color w:val="000000"/>
          <w:sz w:val="20"/>
        </w:rPr>
      </w:pPr>
      <w:r w:rsidRPr="003D5DFA">
        <w:rPr>
          <w:rFonts w:ascii="Arial" w:hAnsi="Arial" w:cs="Arial"/>
          <w:color w:val="000000"/>
          <w:sz w:val="20"/>
        </w:rPr>
        <w:t xml:space="preserve">Guidelines for child legal representatives </w:t>
      </w:r>
      <w:r w:rsidR="00E251CB">
        <w:rPr>
          <w:rFonts w:ascii="Arial" w:hAnsi="Arial" w:cs="Arial"/>
          <w:color w:val="000000"/>
          <w:sz w:val="20"/>
        </w:rPr>
        <w:t xml:space="preserve">in the Family Division of the Children’s Court </w:t>
      </w:r>
      <w:r w:rsidRPr="003D5DFA">
        <w:rPr>
          <w:rFonts w:ascii="Arial" w:hAnsi="Arial" w:cs="Arial"/>
          <w:color w:val="000000"/>
          <w:sz w:val="20"/>
        </w:rPr>
        <w:t xml:space="preserve">are contained in </w:t>
      </w:r>
      <w:r w:rsidR="00E251CB">
        <w:rPr>
          <w:rFonts w:ascii="Arial" w:hAnsi="Arial" w:cs="Arial"/>
          <w:color w:val="000000"/>
          <w:sz w:val="20"/>
        </w:rPr>
        <w:t>the linked Victoria Legal Aid publication “</w:t>
      </w:r>
      <w:hyperlink r:id="rId32" w:history="1">
        <w:r w:rsidR="00E251CB" w:rsidRPr="00E251CB">
          <w:rPr>
            <w:rStyle w:val="Hyperlink"/>
            <w:rFonts w:ascii="Arial" w:hAnsi="Arial" w:cs="Arial"/>
            <w:sz w:val="20"/>
          </w:rPr>
          <w:t>Representing children in child protection proceedings – A guide for direct instructions and best interests lawyers</w:t>
        </w:r>
      </w:hyperlink>
      <w:r w:rsidR="00E251CB">
        <w:rPr>
          <w:rFonts w:ascii="Arial" w:hAnsi="Arial" w:cs="Arial"/>
          <w:color w:val="000000"/>
          <w:sz w:val="20"/>
        </w:rPr>
        <w:t>” (March 2019).</w:t>
      </w:r>
      <w:r w:rsidR="009328B0">
        <w:rPr>
          <w:rFonts w:ascii="Arial" w:hAnsi="Arial" w:cs="Arial"/>
          <w:color w:val="000000"/>
          <w:sz w:val="20"/>
        </w:rPr>
        <w:t xml:space="preserve">  In a foreword to the publication Liana Buchanan, Principal Commissioner for Children and Young People, said:</w:t>
      </w:r>
    </w:p>
    <w:p w14:paraId="68CCB4DB" w14:textId="2BA71C00" w:rsidR="009328B0" w:rsidRDefault="009328B0" w:rsidP="009328B0">
      <w:pPr>
        <w:spacing w:before="60"/>
        <w:ind w:left="567" w:right="567"/>
        <w:jc w:val="both"/>
        <w:rPr>
          <w:rFonts w:ascii="Arial" w:hAnsi="Arial" w:cs="Arial"/>
          <w:sz w:val="20"/>
          <w:szCs w:val="20"/>
        </w:rPr>
      </w:pPr>
      <w:r>
        <w:rPr>
          <w:rFonts w:ascii="Arial" w:hAnsi="Arial" w:cs="Arial"/>
          <w:bCs/>
          <w:color w:val="000000"/>
          <w:sz w:val="20"/>
        </w:rPr>
        <w:t>“</w:t>
      </w:r>
      <w:r w:rsidRPr="009328B0">
        <w:rPr>
          <w:rFonts w:ascii="Arial" w:hAnsi="Arial" w:cs="Arial"/>
          <w:sz w:val="20"/>
          <w:szCs w:val="20"/>
        </w:rPr>
        <w:t>In my work, I hear regularly from children and young people who have experienced the child protection legal system. I hear of positive experiences where lawyers have taken the time to listen to and engage children and young people in a way that supports their right to effective and meaningful participation.</w:t>
      </w:r>
    </w:p>
    <w:p w14:paraId="44E9FFB2" w14:textId="3DFDEC5C" w:rsidR="009328B0" w:rsidRDefault="009328B0" w:rsidP="009328B0">
      <w:pPr>
        <w:spacing w:before="60"/>
        <w:ind w:left="567" w:right="567"/>
        <w:jc w:val="both"/>
        <w:rPr>
          <w:rFonts w:ascii="Arial" w:hAnsi="Arial" w:cs="Arial"/>
          <w:sz w:val="20"/>
          <w:szCs w:val="20"/>
        </w:rPr>
      </w:pPr>
      <w:r w:rsidRPr="009328B0">
        <w:rPr>
          <w:rFonts w:ascii="Arial" w:hAnsi="Arial" w:cs="Arial"/>
          <w:sz w:val="20"/>
          <w:szCs w:val="20"/>
        </w:rPr>
        <w:t>Too often, though, I hear children and young people describe their experiences of the system in negative terms, as one designed for, and run by, adults. These children and young people, who have often endured abuse and/or neglect, describe the legal process as confusing, disempowering and at times, dehumanising, one where they feel reduced to the sum of protective issues used to describe them.</w:t>
      </w:r>
    </w:p>
    <w:p w14:paraId="516159CA" w14:textId="53D745DC" w:rsidR="009328B0" w:rsidRDefault="009328B0" w:rsidP="009328B0">
      <w:pPr>
        <w:spacing w:before="60"/>
        <w:ind w:left="567" w:right="567"/>
        <w:jc w:val="both"/>
        <w:rPr>
          <w:rFonts w:ascii="Arial" w:hAnsi="Arial" w:cs="Arial"/>
          <w:sz w:val="20"/>
          <w:szCs w:val="20"/>
        </w:rPr>
      </w:pPr>
      <w:r w:rsidRPr="009328B0">
        <w:rPr>
          <w:rFonts w:ascii="Arial" w:hAnsi="Arial" w:cs="Arial"/>
          <w:sz w:val="20"/>
          <w:szCs w:val="20"/>
        </w:rPr>
        <w:t>As the Convention on the Rights of the Child makes clear, children and young people have the right to participate in decisions affecting their lives. Lawyers in child protection proceedings play an essential role in supporting that participation at every stage of the legal process. Participation does not begin and end at the point of taking instructions – it is an ongoing and nuanced dialogue.</w:t>
      </w:r>
    </w:p>
    <w:p w14:paraId="049FFA84" w14:textId="5A12F0DF" w:rsidR="009328B0" w:rsidRDefault="009328B0" w:rsidP="009328B0">
      <w:pPr>
        <w:spacing w:before="60"/>
        <w:ind w:left="567" w:right="567"/>
        <w:jc w:val="both"/>
        <w:rPr>
          <w:rFonts w:ascii="Arial" w:hAnsi="Arial" w:cs="Arial"/>
          <w:sz w:val="20"/>
          <w:szCs w:val="20"/>
        </w:rPr>
      </w:pPr>
      <w:r w:rsidRPr="009328B0">
        <w:rPr>
          <w:rFonts w:ascii="Arial" w:hAnsi="Arial" w:cs="Arial"/>
          <w:sz w:val="20"/>
          <w:szCs w:val="20"/>
        </w:rPr>
        <w:t>Participation means lawyers giving children and young people the information they need to be able to participate, and flexible options about how they want their voice and concerns to be heard.</w:t>
      </w:r>
    </w:p>
    <w:p w14:paraId="23AF8E54" w14:textId="2E981704" w:rsidR="009328B0" w:rsidRDefault="009328B0" w:rsidP="009328B0">
      <w:pPr>
        <w:spacing w:before="60"/>
        <w:ind w:left="567" w:right="567"/>
        <w:jc w:val="both"/>
        <w:rPr>
          <w:rFonts w:ascii="Arial" w:hAnsi="Arial" w:cs="Arial"/>
          <w:sz w:val="20"/>
          <w:szCs w:val="20"/>
        </w:rPr>
      </w:pPr>
      <w:r w:rsidRPr="009328B0">
        <w:rPr>
          <w:rFonts w:ascii="Arial" w:hAnsi="Arial" w:cs="Arial"/>
          <w:sz w:val="20"/>
          <w:szCs w:val="20"/>
        </w:rPr>
        <w:t>When deciding what is in children’s best interests, children’s participation is inseparable from their protection.</w:t>
      </w:r>
    </w:p>
    <w:p w14:paraId="1BB7C60D" w14:textId="1654AEA0" w:rsidR="009328B0" w:rsidRDefault="009328B0" w:rsidP="009328B0">
      <w:pPr>
        <w:spacing w:before="60"/>
        <w:ind w:left="567" w:right="567"/>
        <w:jc w:val="both"/>
        <w:rPr>
          <w:rFonts w:ascii="Arial" w:hAnsi="Arial" w:cs="Arial"/>
          <w:sz w:val="20"/>
          <w:szCs w:val="20"/>
        </w:rPr>
      </w:pPr>
      <w:r w:rsidRPr="009328B0">
        <w:rPr>
          <w:rFonts w:ascii="Arial" w:hAnsi="Arial" w:cs="Arial"/>
          <w:sz w:val="20"/>
          <w:szCs w:val="20"/>
        </w:rPr>
        <w:lastRenderedPageBreak/>
        <w:t>For this reason, I am very pleased to see Child Participation Principles which set a high standard included in the guide, and I hope lawyers will use these principles as a platform for their professional work with children and young people.</w:t>
      </w:r>
    </w:p>
    <w:p w14:paraId="49BBDCC8" w14:textId="2A03E70A" w:rsidR="009328B0" w:rsidRDefault="009328B0" w:rsidP="009328B0">
      <w:pPr>
        <w:spacing w:before="60"/>
        <w:ind w:left="567" w:right="567"/>
        <w:jc w:val="both"/>
        <w:rPr>
          <w:rFonts w:ascii="Arial" w:hAnsi="Arial" w:cs="Arial"/>
          <w:bCs/>
          <w:color w:val="000000"/>
          <w:sz w:val="20"/>
        </w:rPr>
      </w:pPr>
      <w:r w:rsidRPr="009328B0">
        <w:rPr>
          <w:rFonts w:ascii="Arial" w:hAnsi="Arial" w:cs="Arial"/>
          <w:sz w:val="20"/>
          <w:szCs w:val="20"/>
        </w:rPr>
        <w:t>This guide gives practical guidance on how to ensure meaningful participation of children in child protection proceedings. It fulfils a clear need, and I encourage all lawyers who work with children and young people to make this resource part of their everyday work practice.</w:t>
      </w:r>
      <w:r>
        <w:rPr>
          <w:rFonts w:ascii="Arial" w:hAnsi="Arial" w:cs="Arial"/>
          <w:sz w:val="20"/>
          <w:szCs w:val="20"/>
        </w:rPr>
        <w:t>”</w:t>
      </w:r>
    </w:p>
    <w:p w14:paraId="16DC54DE" w14:textId="77777777" w:rsidR="009328B0" w:rsidRDefault="009328B0" w:rsidP="0060302A">
      <w:pPr>
        <w:jc w:val="both"/>
        <w:rPr>
          <w:rFonts w:ascii="Arial" w:hAnsi="Arial" w:cs="Arial"/>
          <w:color w:val="000000"/>
          <w:sz w:val="20"/>
        </w:rPr>
      </w:pPr>
    </w:p>
    <w:p w14:paraId="6797D7EC" w14:textId="77777777" w:rsidR="00745D3D" w:rsidRPr="003D5DFA" w:rsidRDefault="005A3F47" w:rsidP="00745D3D">
      <w:pPr>
        <w:jc w:val="both"/>
        <w:rPr>
          <w:rFonts w:ascii="Arial" w:hAnsi="Arial" w:cs="Arial"/>
          <w:color w:val="000000"/>
          <w:sz w:val="20"/>
        </w:rPr>
      </w:pPr>
      <w:bookmarkStart w:id="1000" w:name="_Toc30649081"/>
      <w:bookmarkStart w:id="1001" w:name="_Toc30649157"/>
      <w:bookmarkStart w:id="1002" w:name="_Toc30649418"/>
      <w:bookmarkStart w:id="1003" w:name="_Toc30649743"/>
      <w:bookmarkStart w:id="1004" w:name="_Toc30651683"/>
      <w:bookmarkStart w:id="1005" w:name="_Toc30652673"/>
      <w:bookmarkStart w:id="1006" w:name="_Toc30652769"/>
      <w:bookmarkStart w:id="1007" w:name="_Toc30654116"/>
      <w:bookmarkStart w:id="1008" w:name="_Toc30654467"/>
      <w:bookmarkStart w:id="1009" w:name="_Toc30655086"/>
      <w:bookmarkStart w:id="1010" w:name="_Toc30655343"/>
      <w:bookmarkStart w:id="1011" w:name="_Toc30657021"/>
      <w:bookmarkStart w:id="1012" w:name="_Toc30661770"/>
      <w:bookmarkStart w:id="1013" w:name="_Toc30666458"/>
      <w:bookmarkStart w:id="1014" w:name="_Toc30666688"/>
      <w:bookmarkStart w:id="1015" w:name="_Toc30667863"/>
      <w:bookmarkStart w:id="1016" w:name="_Toc30669241"/>
      <w:bookmarkStart w:id="1017" w:name="_Toc30671457"/>
      <w:bookmarkStart w:id="1018" w:name="_Toc30673984"/>
      <w:bookmarkStart w:id="1019" w:name="_Toc30691206"/>
      <w:bookmarkStart w:id="1020" w:name="_Toc30691579"/>
      <w:bookmarkStart w:id="1021" w:name="_Toc30691959"/>
      <w:bookmarkStart w:id="1022" w:name="_Toc30692718"/>
      <w:bookmarkStart w:id="1023" w:name="_Toc30693097"/>
      <w:bookmarkStart w:id="1024" w:name="_Toc30693475"/>
      <w:bookmarkStart w:id="1025" w:name="_Toc30693853"/>
      <w:bookmarkStart w:id="1026" w:name="_Toc30694234"/>
      <w:bookmarkStart w:id="1027" w:name="_Toc30698823"/>
      <w:bookmarkStart w:id="1028" w:name="_Toc30699201"/>
      <w:bookmarkStart w:id="1029" w:name="_Toc30699586"/>
      <w:bookmarkStart w:id="1030" w:name="_Toc30700741"/>
      <w:bookmarkStart w:id="1031" w:name="_Toc30701128"/>
      <w:bookmarkStart w:id="1032" w:name="_Toc30743737"/>
      <w:bookmarkStart w:id="1033" w:name="_Toc30754560"/>
      <w:bookmarkStart w:id="1034" w:name="_Toc30757000"/>
      <w:bookmarkStart w:id="1035" w:name="_Toc30757549"/>
      <w:bookmarkStart w:id="1036" w:name="_Toc30757949"/>
      <w:bookmarkStart w:id="1037" w:name="_Toc30762710"/>
      <w:bookmarkStart w:id="1038" w:name="_Toc30767364"/>
      <w:bookmarkStart w:id="1039" w:name="_Toc34823379"/>
      <w:r w:rsidRPr="003D5DFA">
        <w:rPr>
          <w:rFonts w:ascii="Arial" w:hAnsi="Arial" w:cs="Arial"/>
          <w:color w:val="000000"/>
          <w:sz w:val="20"/>
        </w:rPr>
        <w:t xml:space="preserve">In </w:t>
      </w:r>
      <w:r w:rsidRPr="003D5DFA">
        <w:rPr>
          <w:rFonts w:ascii="Arial" w:hAnsi="Arial" w:cs="Arial"/>
          <w:i/>
          <w:color w:val="000000"/>
          <w:sz w:val="20"/>
        </w:rPr>
        <w:t>A &amp; B v Children’s Court of Victoria</w:t>
      </w:r>
      <w:r w:rsidRPr="003D5DFA">
        <w:rPr>
          <w:rFonts w:ascii="Arial" w:hAnsi="Arial" w:cs="Arial"/>
          <w:color w:val="000000"/>
          <w:sz w:val="20"/>
        </w:rPr>
        <w:t xml:space="preserve"> [2012] VSC 589 </w:t>
      </w:r>
      <w:r w:rsidR="000D7389" w:rsidRPr="003D5DFA">
        <w:rPr>
          <w:rFonts w:ascii="Arial" w:hAnsi="Arial" w:cs="Arial"/>
          <w:color w:val="000000"/>
          <w:sz w:val="20"/>
        </w:rPr>
        <w:t xml:space="preserve">the plaintiffs were two sisters aged 11 &amp; 9 who were the subject of protection applications.  </w:t>
      </w:r>
      <w:r w:rsidR="00316CD0" w:rsidRPr="003D5DFA">
        <w:rPr>
          <w:rFonts w:ascii="Arial" w:hAnsi="Arial" w:cs="Arial"/>
          <w:color w:val="000000"/>
          <w:sz w:val="20"/>
        </w:rPr>
        <w:t xml:space="preserve">A had been physically assaulted by her mother.  B had witnessed the assault.  Both girls had given consistent instructions that they wanted absolutely no contact with their mother and for the next year they wanted to continue living with their aunt with whom they had been living since the protection applications were taken out.  One of the issues in the case involved sexual abuse allegations made by the mother against an uncle C.  No instructions had been taken from either child about those allegations because they had been judged to be too young to be informed of them.  </w:t>
      </w:r>
      <w:r w:rsidR="00123D44" w:rsidRPr="003D5DFA">
        <w:rPr>
          <w:rFonts w:ascii="Arial" w:hAnsi="Arial" w:cs="Arial"/>
          <w:color w:val="000000"/>
          <w:sz w:val="20"/>
        </w:rPr>
        <w:t xml:space="preserve">The presiding magistrate had </w:t>
      </w:r>
      <w:r w:rsidR="00E02355" w:rsidRPr="003D5DFA">
        <w:rPr>
          <w:rFonts w:ascii="Arial" w:hAnsi="Arial" w:cs="Arial"/>
          <w:color w:val="000000"/>
          <w:sz w:val="20"/>
        </w:rPr>
        <w:t xml:space="preserve">ordered </w:t>
      </w:r>
      <w:r w:rsidR="00745D3D" w:rsidRPr="003D5DFA">
        <w:rPr>
          <w:rFonts w:ascii="Arial" w:hAnsi="Arial" w:cs="Arial"/>
          <w:color w:val="000000"/>
          <w:sz w:val="20"/>
        </w:rPr>
        <w:t xml:space="preserve">– under a previous version of ss.524(1) &amp; 524(4) – </w:t>
      </w:r>
      <w:r w:rsidR="00E02355" w:rsidRPr="003D5DFA">
        <w:rPr>
          <w:rFonts w:ascii="Arial" w:hAnsi="Arial" w:cs="Arial"/>
          <w:color w:val="000000"/>
          <w:sz w:val="20"/>
        </w:rPr>
        <w:t>that A &amp; B each be represented on the “best interests” model, not on the “instructions” model.  Garde J granted an application by A &amp; B for an order in the nature of certiorari quashing the magistrate’s order</w:t>
      </w:r>
      <w:r w:rsidR="00316CD0" w:rsidRPr="003D5DFA">
        <w:rPr>
          <w:rFonts w:ascii="Arial" w:hAnsi="Arial" w:cs="Arial"/>
          <w:color w:val="000000"/>
          <w:sz w:val="20"/>
        </w:rPr>
        <w:t xml:space="preserve"> and upholding the plaintiffs’ submission that the children be represented on the “instructions” model under s.524(2) of the CYFA [as it then was].  </w:t>
      </w:r>
      <w:r w:rsidR="00E02355" w:rsidRPr="003D5DFA">
        <w:rPr>
          <w:rFonts w:ascii="Arial" w:hAnsi="Arial" w:cs="Arial"/>
          <w:color w:val="000000"/>
          <w:sz w:val="20"/>
        </w:rPr>
        <w:t xml:space="preserve">After tracing at [41]-[62] the legislative history of the legal representation of children in Victorian child protection proceedings and referring at [64] to the history of best interests representation in Commonwealth </w:t>
      </w:r>
      <w:r w:rsidR="00DF1862" w:rsidRPr="003D5DFA">
        <w:rPr>
          <w:rFonts w:ascii="Arial" w:hAnsi="Arial" w:cs="Arial"/>
          <w:color w:val="000000"/>
          <w:sz w:val="20"/>
        </w:rPr>
        <w:t xml:space="preserve">legislation in </w:t>
      </w:r>
      <w:r w:rsidR="00DF1862" w:rsidRPr="003D5DFA">
        <w:rPr>
          <w:rFonts w:ascii="Arial" w:hAnsi="Arial" w:cs="Arial"/>
          <w:i/>
          <w:color w:val="000000"/>
          <w:sz w:val="20"/>
        </w:rPr>
        <w:t>RCB v Forrest</w:t>
      </w:r>
      <w:r w:rsidR="00DF1862" w:rsidRPr="003D5DFA">
        <w:rPr>
          <w:rFonts w:ascii="Arial" w:hAnsi="Arial" w:cs="Arial"/>
          <w:color w:val="000000"/>
          <w:sz w:val="20"/>
        </w:rPr>
        <w:t xml:space="preserve"> [2012] H</w:t>
      </w:r>
      <w:r w:rsidR="00745D3D" w:rsidRPr="003D5DFA">
        <w:rPr>
          <w:rFonts w:ascii="Arial" w:hAnsi="Arial" w:cs="Arial"/>
          <w:color w:val="000000"/>
          <w:sz w:val="20"/>
        </w:rPr>
        <w:t xml:space="preserve">CA 47 at [33]-[35], Garde J at [97] &amp; [99] strongly favoured </w:t>
      </w:r>
      <w:r w:rsidR="00F448F9" w:rsidRPr="003D5DFA">
        <w:rPr>
          <w:rFonts w:ascii="Arial" w:hAnsi="Arial" w:cs="Arial"/>
          <w:color w:val="000000"/>
          <w:sz w:val="20"/>
        </w:rPr>
        <w:t>‘</w:t>
      </w:r>
      <w:r w:rsidR="00F448F9" w:rsidRPr="003D5DFA">
        <w:rPr>
          <w:rFonts w:ascii="Arial" w:hAnsi="Arial" w:cs="Arial"/>
          <w:b/>
          <w:color w:val="000000"/>
          <w:sz w:val="20"/>
        </w:rPr>
        <w:t>the instructions model</w:t>
      </w:r>
      <w:r w:rsidR="00F448F9" w:rsidRPr="003D5DFA">
        <w:rPr>
          <w:rFonts w:ascii="Arial" w:hAnsi="Arial" w:cs="Arial"/>
          <w:color w:val="000000"/>
          <w:sz w:val="20"/>
        </w:rPr>
        <w:t>’ [</w:t>
      </w:r>
      <w:r w:rsidR="00745D3D" w:rsidRPr="003D5DFA">
        <w:rPr>
          <w:rFonts w:ascii="Arial" w:hAnsi="Arial" w:cs="Arial"/>
          <w:color w:val="000000"/>
          <w:sz w:val="20"/>
        </w:rPr>
        <w:t>model 2</w:t>
      </w:r>
      <w:r w:rsidR="00F448F9" w:rsidRPr="003D5DFA">
        <w:rPr>
          <w:rFonts w:ascii="Arial" w:hAnsi="Arial" w:cs="Arial"/>
          <w:color w:val="000000"/>
          <w:sz w:val="20"/>
        </w:rPr>
        <w:t>]</w:t>
      </w:r>
      <w:r w:rsidR="00745D3D" w:rsidRPr="003D5DFA">
        <w:rPr>
          <w:rFonts w:ascii="Arial" w:hAnsi="Arial" w:cs="Arial"/>
          <w:color w:val="000000"/>
          <w:sz w:val="20"/>
        </w:rPr>
        <w:t>:</w:t>
      </w:r>
    </w:p>
    <w:p w14:paraId="47437471" w14:textId="77777777" w:rsidR="00DF1862" w:rsidRDefault="00DF1862" w:rsidP="009328B0">
      <w:pPr>
        <w:spacing w:before="60"/>
        <w:ind w:left="567" w:right="567"/>
        <w:jc w:val="both"/>
        <w:rPr>
          <w:rFonts w:ascii="Arial" w:hAnsi="Arial" w:cs="Arial"/>
          <w:bCs/>
          <w:color w:val="000000"/>
          <w:sz w:val="20"/>
        </w:rPr>
      </w:pPr>
      <w:r w:rsidRPr="003D5DFA">
        <w:rPr>
          <w:rFonts w:ascii="Arial" w:hAnsi="Arial" w:cs="Arial"/>
          <w:bCs/>
          <w:color w:val="000000"/>
          <w:sz w:val="20"/>
        </w:rPr>
        <w:t xml:space="preserve">“The diminished nature of best interests representation as a form of ensuring that children are heard has been recognized in other jurisdictions.  The English Court of Appeal in </w:t>
      </w:r>
      <w:r w:rsidRPr="003D5DFA">
        <w:rPr>
          <w:rFonts w:ascii="Arial" w:hAnsi="Arial" w:cs="Arial"/>
          <w:bCs/>
          <w:i/>
          <w:color w:val="000000"/>
          <w:sz w:val="20"/>
        </w:rPr>
        <w:t>Mahon v Mahon</w:t>
      </w:r>
      <w:r w:rsidRPr="003D5DFA">
        <w:rPr>
          <w:rFonts w:ascii="Arial" w:hAnsi="Arial" w:cs="Arial"/>
          <w:bCs/>
          <w:color w:val="000000"/>
          <w:sz w:val="20"/>
        </w:rPr>
        <w:t xml:space="preserve"> [2005] 3 WLR 460 preferred direct instructions representation over best interests representation in cases where children were articulate or capable of participation in the proceedings…Thorpe LJ, with whom Latham and Wall LJJ agreed, acknowledged the greater appreciation and weight that must now be attached to children’s autonomy and consequential right to meaningfully participate in decisions affecting their lives, stressing that ‘</w:t>
      </w:r>
      <w:r w:rsidRPr="003D5DFA">
        <w:rPr>
          <w:rFonts w:ascii="Arial" w:hAnsi="Arial" w:cs="Arial"/>
          <w:b/>
          <w:bCs/>
          <w:color w:val="000000"/>
          <w:sz w:val="20"/>
        </w:rPr>
        <w:t>the right to freedom of expression and participation outweighs the paternalistic judgment of welfare</w:t>
      </w:r>
      <w:r w:rsidRPr="003D5DFA">
        <w:rPr>
          <w:rFonts w:ascii="Arial" w:hAnsi="Arial" w:cs="Arial"/>
          <w:bCs/>
          <w:color w:val="000000"/>
          <w:sz w:val="20"/>
        </w:rPr>
        <w:t>’</w:t>
      </w:r>
      <w:r w:rsidR="00745D3D" w:rsidRPr="003D5DFA">
        <w:rPr>
          <w:rFonts w:ascii="Arial" w:hAnsi="Arial" w:cs="Arial"/>
          <w:bCs/>
          <w:color w:val="000000"/>
          <w:sz w:val="20"/>
        </w:rPr>
        <w:t xml:space="preserve"> [emphasis mine]</w:t>
      </w:r>
      <w:r w:rsidRPr="003D5DFA">
        <w:rPr>
          <w:rFonts w:ascii="Arial" w:hAnsi="Arial" w:cs="Arial"/>
          <w:bCs/>
          <w:color w:val="000000"/>
          <w:sz w:val="20"/>
        </w:rPr>
        <w:t>.”</w:t>
      </w:r>
    </w:p>
    <w:p w14:paraId="01D6E89F" w14:textId="77777777" w:rsidR="00777477" w:rsidRPr="003D5DFA" w:rsidRDefault="00777477" w:rsidP="00777477">
      <w:pPr>
        <w:spacing w:before="60"/>
        <w:jc w:val="both"/>
        <w:rPr>
          <w:rFonts w:ascii="Arial" w:hAnsi="Arial" w:cs="Arial"/>
          <w:bCs/>
          <w:color w:val="000000"/>
          <w:sz w:val="20"/>
        </w:rPr>
      </w:pPr>
    </w:p>
    <w:p w14:paraId="2CA6DFDF" w14:textId="77777777" w:rsidR="00693223" w:rsidRPr="003D5DFA" w:rsidRDefault="00693223">
      <w:pPr>
        <w:pStyle w:val="Heading3"/>
        <w:spacing w:after="120" w:line="240" w:lineRule="auto"/>
        <w:rPr>
          <w:rFonts w:ascii="Arial" w:hAnsi="Arial" w:cs="Arial"/>
          <w:color w:val="000000"/>
          <w:sz w:val="20"/>
        </w:rPr>
      </w:pPr>
      <w:bookmarkStart w:id="1040" w:name="_4.7.7_Recommendations_by"/>
      <w:bookmarkStart w:id="1041" w:name="B477"/>
      <w:bookmarkEnd w:id="1040"/>
      <w:bookmarkEnd w:id="1041"/>
      <w:r w:rsidRPr="003D5DFA">
        <w:rPr>
          <w:rFonts w:ascii="Arial" w:hAnsi="Arial" w:cs="Arial"/>
          <w:b/>
          <w:bCs/>
          <w:color w:val="000000"/>
          <w:sz w:val="20"/>
        </w:rPr>
        <w:t>4.7.</w:t>
      </w:r>
      <w:r w:rsidR="009B3556" w:rsidRPr="003D5DFA">
        <w:rPr>
          <w:rFonts w:ascii="Arial" w:hAnsi="Arial" w:cs="Arial"/>
          <w:b/>
          <w:bCs/>
          <w:color w:val="000000"/>
          <w:sz w:val="20"/>
        </w:rPr>
        <w:t>7</w:t>
      </w:r>
      <w:r w:rsidRPr="003D5DFA">
        <w:rPr>
          <w:rFonts w:ascii="Arial" w:hAnsi="Arial" w:cs="Arial"/>
          <w:b/>
          <w:bCs/>
          <w:color w:val="000000"/>
          <w:sz w:val="20"/>
        </w:rPr>
        <w:tab/>
      </w:r>
      <w:bookmarkEnd w:id="1000"/>
      <w:bookmarkEnd w:id="1001"/>
      <w:r w:rsidRPr="003D5DFA">
        <w:rPr>
          <w:rFonts w:ascii="Arial" w:hAnsi="Arial" w:cs="Arial"/>
          <w:b/>
          <w:bCs/>
          <w:color w:val="000000"/>
          <w:sz w:val="20"/>
        </w:rPr>
        <w:t>Recommendations by Australian Law Reform Commission</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14:paraId="18E74C20" w14:textId="77777777" w:rsidR="00693223" w:rsidRPr="003D5DFA" w:rsidRDefault="00693223">
      <w:pPr>
        <w:jc w:val="both"/>
        <w:rPr>
          <w:rFonts w:ascii="Arial" w:hAnsi="Arial" w:cs="Arial"/>
          <w:color w:val="000000"/>
          <w:sz w:val="20"/>
        </w:rPr>
      </w:pPr>
      <w:r w:rsidRPr="003D5DFA">
        <w:rPr>
          <w:rFonts w:ascii="Arial" w:hAnsi="Arial" w:cs="Arial"/>
          <w:color w:val="000000"/>
          <w:sz w:val="20"/>
        </w:rPr>
        <w:t>The joint recommendations of the Australian Law Reform Commission &amp; the Human Rights and Equal Opportunity Commission in ALRC Report No.84, based on the United Nations Convention on the Rights of the Child, would make it mandatory for representatives to act for both verbal and pre-verbal children in child protection cases and would require such representatives to go much further than acting on the basis of the child’s instructions or the child’s wishes.  {ALRC Report #84, [13.30] p.273}.  For example, in relation to non-verbal children the recommended tasks of such representatives would include-</w:t>
      </w:r>
    </w:p>
    <w:p w14:paraId="7C60377F" w14:textId="77777777" w:rsidR="00693223" w:rsidRPr="003D5DFA" w:rsidRDefault="00693223" w:rsidP="00BA6FBE">
      <w:pPr>
        <w:numPr>
          <w:ilvl w:val="0"/>
          <w:numId w:val="6"/>
        </w:numPr>
        <w:ind w:left="284" w:hanging="284"/>
        <w:rPr>
          <w:rFonts w:ascii="Arial" w:hAnsi="Arial" w:cs="Arial"/>
          <w:color w:val="000000"/>
          <w:sz w:val="20"/>
        </w:rPr>
      </w:pPr>
      <w:r w:rsidRPr="003D5DFA">
        <w:rPr>
          <w:rFonts w:ascii="Arial" w:hAnsi="Arial" w:cs="Arial"/>
          <w:color w:val="000000"/>
          <w:sz w:val="20"/>
        </w:rPr>
        <w:t>investigating all relevant facts, parties and people;</w:t>
      </w:r>
    </w:p>
    <w:p w14:paraId="123DF51B" w14:textId="77777777" w:rsidR="00693223" w:rsidRPr="003D5DFA" w:rsidRDefault="00693223" w:rsidP="00BA6FBE">
      <w:pPr>
        <w:numPr>
          <w:ilvl w:val="0"/>
          <w:numId w:val="6"/>
        </w:numPr>
        <w:ind w:left="284" w:hanging="284"/>
        <w:rPr>
          <w:rFonts w:ascii="Arial" w:hAnsi="Arial" w:cs="Arial"/>
          <w:color w:val="000000"/>
          <w:sz w:val="20"/>
        </w:rPr>
      </w:pPr>
      <w:r w:rsidRPr="003D5DFA">
        <w:rPr>
          <w:rFonts w:ascii="Arial" w:hAnsi="Arial" w:cs="Arial"/>
          <w:color w:val="000000"/>
          <w:sz w:val="20"/>
        </w:rPr>
        <w:t>sub-</w:t>
      </w:r>
      <w:proofErr w:type="spellStart"/>
      <w:r w:rsidRPr="003D5DFA">
        <w:rPr>
          <w:rFonts w:ascii="Arial" w:hAnsi="Arial" w:cs="Arial"/>
          <w:color w:val="000000"/>
          <w:sz w:val="20"/>
        </w:rPr>
        <w:t>poenaing</w:t>
      </w:r>
      <w:proofErr w:type="spellEnd"/>
      <w:r w:rsidRPr="003D5DFA">
        <w:rPr>
          <w:rFonts w:ascii="Arial" w:hAnsi="Arial" w:cs="Arial"/>
          <w:color w:val="000000"/>
          <w:sz w:val="20"/>
        </w:rPr>
        <w:t xml:space="preserve"> all documents;</w:t>
      </w:r>
    </w:p>
    <w:p w14:paraId="6DF0CAEC" w14:textId="77777777" w:rsidR="00693223" w:rsidRPr="003D5DFA" w:rsidRDefault="00693223" w:rsidP="00BA6FBE">
      <w:pPr>
        <w:numPr>
          <w:ilvl w:val="0"/>
          <w:numId w:val="6"/>
        </w:numPr>
        <w:ind w:left="284" w:hanging="284"/>
        <w:rPr>
          <w:rFonts w:ascii="Arial" w:hAnsi="Arial" w:cs="Arial"/>
          <w:color w:val="000000"/>
          <w:sz w:val="20"/>
        </w:rPr>
      </w:pPr>
      <w:r w:rsidRPr="003D5DFA">
        <w:rPr>
          <w:rFonts w:ascii="Arial" w:hAnsi="Arial" w:cs="Arial"/>
          <w:color w:val="000000"/>
          <w:sz w:val="20"/>
        </w:rPr>
        <w:t>retaining experts as needed;</w:t>
      </w:r>
    </w:p>
    <w:p w14:paraId="49A5AFD4" w14:textId="77777777" w:rsidR="00693223" w:rsidRPr="003D5DFA" w:rsidRDefault="00693223" w:rsidP="00BA6FBE">
      <w:pPr>
        <w:numPr>
          <w:ilvl w:val="0"/>
          <w:numId w:val="6"/>
        </w:numPr>
        <w:ind w:left="284" w:hanging="284"/>
        <w:rPr>
          <w:rFonts w:ascii="Arial" w:hAnsi="Arial" w:cs="Arial"/>
          <w:color w:val="000000"/>
          <w:sz w:val="20"/>
        </w:rPr>
      </w:pPr>
      <w:r w:rsidRPr="003D5DFA">
        <w:rPr>
          <w:rFonts w:ascii="Arial" w:hAnsi="Arial" w:cs="Arial"/>
          <w:color w:val="000000"/>
          <w:sz w:val="20"/>
        </w:rPr>
        <w:t>observing the child in the caretaker’s setting and formulating optional plans;</w:t>
      </w:r>
    </w:p>
    <w:p w14:paraId="745727A9" w14:textId="77777777" w:rsidR="00693223" w:rsidRPr="003D5DFA" w:rsidRDefault="00693223" w:rsidP="00BA6FBE">
      <w:pPr>
        <w:numPr>
          <w:ilvl w:val="0"/>
          <w:numId w:val="6"/>
        </w:numPr>
        <w:ind w:left="284" w:hanging="284"/>
        <w:rPr>
          <w:rFonts w:ascii="Arial" w:hAnsi="Arial" w:cs="Arial"/>
          <w:color w:val="000000"/>
          <w:sz w:val="20"/>
        </w:rPr>
      </w:pPr>
      <w:r w:rsidRPr="003D5DFA">
        <w:rPr>
          <w:rFonts w:ascii="Arial" w:hAnsi="Arial" w:cs="Arial"/>
          <w:color w:val="000000"/>
          <w:sz w:val="20"/>
        </w:rPr>
        <w:t>challenging the basis for experts and agency conclusions in order to ensure accuracy;</w:t>
      </w:r>
    </w:p>
    <w:p w14:paraId="4E9981D1" w14:textId="77777777" w:rsidR="00693223" w:rsidRPr="003D5DFA" w:rsidRDefault="00693223" w:rsidP="00BA6FBE">
      <w:pPr>
        <w:keepNext/>
        <w:keepLines/>
        <w:numPr>
          <w:ilvl w:val="0"/>
          <w:numId w:val="6"/>
        </w:numPr>
        <w:ind w:left="284" w:hanging="284"/>
        <w:jc w:val="both"/>
        <w:rPr>
          <w:rFonts w:ascii="Arial" w:hAnsi="Arial" w:cs="Arial"/>
          <w:bCs/>
          <w:color w:val="000000"/>
          <w:sz w:val="20"/>
        </w:rPr>
      </w:pPr>
      <w:r w:rsidRPr="003D5DFA">
        <w:rPr>
          <w:rFonts w:ascii="Arial" w:hAnsi="Arial" w:cs="Arial"/>
          <w:bCs/>
          <w:color w:val="000000"/>
          <w:sz w:val="20"/>
        </w:rPr>
        <w:t>advocating zealously for the legal rights of the child including safety, visitation and sibling contact; and</w:t>
      </w:r>
    </w:p>
    <w:p w14:paraId="72161FD7" w14:textId="77777777" w:rsidR="00693223" w:rsidRPr="003D5DFA" w:rsidRDefault="00693223" w:rsidP="00BA6FBE">
      <w:pPr>
        <w:numPr>
          <w:ilvl w:val="0"/>
          <w:numId w:val="6"/>
        </w:numPr>
        <w:ind w:left="284" w:hanging="284"/>
        <w:jc w:val="both"/>
        <w:rPr>
          <w:rFonts w:ascii="Arial" w:hAnsi="Arial" w:cs="Arial"/>
          <w:bCs/>
          <w:color w:val="000000"/>
          <w:sz w:val="20"/>
        </w:rPr>
      </w:pPr>
      <w:r w:rsidRPr="003D5DFA">
        <w:rPr>
          <w:rFonts w:ascii="Arial" w:hAnsi="Arial" w:cs="Arial"/>
          <w:bCs/>
          <w:color w:val="000000"/>
          <w:sz w:val="20"/>
        </w:rPr>
        <w:t>ensuring that all relevant and material facts are put before the Court.</w:t>
      </w:r>
    </w:p>
    <w:p w14:paraId="55D0710B" w14:textId="77777777" w:rsidR="00693223" w:rsidRPr="003D5DFA" w:rsidRDefault="00693223">
      <w:pPr>
        <w:jc w:val="both"/>
        <w:rPr>
          <w:rFonts w:ascii="Arial" w:hAnsi="Arial" w:cs="Arial"/>
          <w:bCs/>
          <w:color w:val="000000"/>
          <w:sz w:val="20"/>
        </w:rPr>
      </w:pPr>
      <w:r w:rsidRPr="003D5DFA">
        <w:rPr>
          <w:rFonts w:ascii="Arial" w:hAnsi="Arial" w:cs="Arial"/>
          <w:bCs/>
          <w:color w:val="000000"/>
          <w:sz w:val="20"/>
        </w:rPr>
        <w:t xml:space="preserve">But that is </w:t>
      </w:r>
      <w:r w:rsidR="008C267B" w:rsidRPr="003D5DFA">
        <w:rPr>
          <w:rFonts w:ascii="Arial" w:hAnsi="Arial" w:cs="Arial"/>
          <w:bCs/>
          <w:color w:val="000000"/>
          <w:sz w:val="20"/>
        </w:rPr>
        <w:t>not the</w:t>
      </w:r>
      <w:r w:rsidRPr="003D5DFA">
        <w:rPr>
          <w:rFonts w:ascii="Arial" w:hAnsi="Arial" w:cs="Arial"/>
          <w:bCs/>
          <w:color w:val="000000"/>
          <w:sz w:val="20"/>
        </w:rPr>
        <w:t xml:space="preserve"> present state of the law in relation to child representation in </w:t>
      </w:r>
      <w:smartTag w:uri="urn:schemas-microsoft-com:office:smarttags" w:element="place">
        <w:smartTag w:uri="urn:schemas-microsoft-com:office:smarttags" w:element="State">
          <w:r w:rsidRPr="003D5DFA">
            <w:rPr>
              <w:rFonts w:ascii="Arial" w:hAnsi="Arial" w:cs="Arial"/>
              <w:bCs/>
              <w:color w:val="000000"/>
              <w:sz w:val="20"/>
            </w:rPr>
            <w:t>Victoria</w:t>
          </w:r>
        </w:smartTag>
      </w:smartTag>
      <w:r w:rsidRPr="003D5DFA">
        <w:rPr>
          <w:rFonts w:ascii="Arial" w:hAnsi="Arial" w:cs="Arial"/>
          <w:bCs/>
          <w:color w:val="000000"/>
          <w:sz w:val="20"/>
        </w:rPr>
        <w:t>.</w:t>
      </w:r>
    </w:p>
    <w:p w14:paraId="388D893D" w14:textId="77777777" w:rsidR="00F917A7" w:rsidRPr="001A66E0" w:rsidRDefault="00F917A7" w:rsidP="00F917A7">
      <w:pPr>
        <w:pStyle w:val="Heading3"/>
        <w:spacing w:line="240" w:lineRule="auto"/>
        <w:rPr>
          <w:rFonts w:ascii="Arial" w:hAnsi="Arial" w:cs="Arial"/>
          <w:color w:val="000000"/>
          <w:sz w:val="20"/>
        </w:rPr>
      </w:pPr>
      <w:bookmarkStart w:id="1042" w:name="_Toc30607532"/>
      <w:bookmarkStart w:id="1043" w:name="_Toc30607661"/>
      <w:bookmarkStart w:id="1044" w:name="_Toc30607986"/>
      <w:bookmarkStart w:id="1045" w:name="_Toc30608819"/>
      <w:bookmarkStart w:id="1046" w:name="_Toc30610033"/>
      <w:bookmarkStart w:id="1047" w:name="_Toc30610277"/>
      <w:bookmarkStart w:id="1048" w:name="_Toc30638431"/>
      <w:bookmarkStart w:id="1049" w:name="_Toc30644244"/>
      <w:bookmarkStart w:id="1050" w:name="_Toc30644651"/>
      <w:bookmarkStart w:id="1051" w:name="_Toc30645201"/>
      <w:bookmarkStart w:id="1052" w:name="_Toc30646413"/>
      <w:bookmarkStart w:id="1053" w:name="_Toc30646708"/>
      <w:bookmarkStart w:id="1054" w:name="_Toc30646819"/>
      <w:bookmarkStart w:id="1055" w:name="_Toc30648181"/>
      <w:bookmarkStart w:id="1056" w:name="_Toc30649082"/>
      <w:bookmarkStart w:id="1057" w:name="_Toc30649158"/>
      <w:bookmarkStart w:id="1058" w:name="_Toc30649419"/>
      <w:bookmarkStart w:id="1059" w:name="_Toc30649744"/>
      <w:bookmarkStart w:id="1060" w:name="_Toc30651684"/>
      <w:bookmarkStart w:id="1061" w:name="_Toc30652674"/>
      <w:bookmarkStart w:id="1062" w:name="_Toc30652770"/>
      <w:bookmarkStart w:id="1063" w:name="_Toc30654117"/>
      <w:bookmarkStart w:id="1064" w:name="_Toc30654468"/>
      <w:bookmarkStart w:id="1065" w:name="_Toc30655087"/>
      <w:bookmarkStart w:id="1066" w:name="_Toc30655344"/>
      <w:bookmarkStart w:id="1067" w:name="_Toc30657022"/>
      <w:bookmarkStart w:id="1068" w:name="_Toc30661771"/>
      <w:bookmarkStart w:id="1069" w:name="_Toc30666459"/>
      <w:bookmarkStart w:id="1070" w:name="_Toc30666689"/>
      <w:bookmarkStart w:id="1071" w:name="_Toc30667864"/>
      <w:bookmarkStart w:id="1072" w:name="_Toc30669242"/>
      <w:bookmarkStart w:id="1073" w:name="_Toc30671458"/>
      <w:bookmarkStart w:id="1074" w:name="_Toc30673985"/>
      <w:bookmarkStart w:id="1075" w:name="_Toc30691207"/>
      <w:bookmarkStart w:id="1076" w:name="_Toc30691580"/>
      <w:bookmarkStart w:id="1077" w:name="_Toc30691960"/>
      <w:bookmarkStart w:id="1078" w:name="_Toc30692719"/>
      <w:bookmarkStart w:id="1079" w:name="_Toc30693098"/>
      <w:bookmarkStart w:id="1080" w:name="_Toc30693476"/>
      <w:bookmarkStart w:id="1081" w:name="_Toc30693854"/>
      <w:bookmarkStart w:id="1082" w:name="_Toc30694235"/>
      <w:bookmarkStart w:id="1083" w:name="_Toc30698824"/>
      <w:bookmarkStart w:id="1084" w:name="_Toc30699202"/>
      <w:bookmarkStart w:id="1085" w:name="_Toc30699587"/>
      <w:bookmarkStart w:id="1086" w:name="_Toc30700742"/>
      <w:bookmarkStart w:id="1087" w:name="_Toc30701129"/>
      <w:bookmarkStart w:id="1088" w:name="_Toc30743738"/>
      <w:bookmarkStart w:id="1089" w:name="_Toc30754561"/>
      <w:bookmarkStart w:id="1090" w:name="_Toc30757001"/>
      <w:bookmarkStart w:id="1091" w:name="_Toc30757550"/>
      <w:bookmarkStart w:id="1092" w:name="_Toc30757950"/>
      <w:bookmarkStart w:id="1093" w:name="_Toc30762711"/>
      <w:bookmarkStart w:id="1094" w:name="_Toc30767365"/>
      <w:bookmarkStart w:id="1095" w:name="_Toc34823380"/>
    </w:p>
    <w:p w14:paraId="28D6C5A0" w14:textId="77777777" w:rsidR="00F917A7" w:rsidRPr="003D5DFA" w:rsidRDefault="00F917A7" w:rsidP="009328B0">
      <w:pPr>
        <w:pStyle w:val="Heading3"/>
        <w:keepNext/>
        <w:keepLines/>
        <w:widowControl/>
        <w:spacing w:after="120" w:line="240" w:lineRule="auto"/>
        <w:rPr>
          <w:rFonts w:ascii="Arial" w:hAnsi="Arial" w:cs="Arial"/>
          <w:color w:val="000000"/>
          <w:sz w:val="20"/>
        </w:rPr>
      </w:pPr>
      <w:bookmarkStart w:id="1096" w:name="_4.7.8_Recommendations_by"/>
      <w:bookmarkStart w:id="1097" w:name="B478"/>
      <w:bookmarkEnd w:id="1096"/>
      <w:bookmarkEnd w:id="1097"/>
      <w:r w:rsidRPr="003D5DFA">
        <w:rPr>
          <w:rFonts w:ascii="Arial" w:hAnsi="Arial" w:cs="Arial"/>
          <w:b/>
          <w:bCs/>
          <w:color w:val="000000"/>
          <w:sz w:val="20"/>
        </w:rPr>
        <w:t>4.7.</w:t>
      </w:r>
      <w:r w:rsidR="009B3556" w:rsidRPr="003D5DFA">
        <w:rPr>
          <w:rFonts w:ascii="Arial" w:hAnsi="Arial" w:cs="Arial"/>
          <w:b/>
          <w:bCs/>
          <w:color w:val="000000"/>
          <w:sz w:val="20"/>
        </w:rPr>
        <w:t>8</w:t>
      </w:r>
      <w:r w:rsidRPr="003D5DFA">
        <w:rPr>
          <w:rFonts w:ascii="Arial" w:hAnsi="Arial" w:cs="Arial"/>
          <w:b/>
          <w:bCs/>
          <w:color w:val="000000"/>
          <w:sz w:val="20"/>
        </w:rPr>
        <w:tab/>
        <w:t>Recommendations by Victorian Law Reform Commission</w:t>
      </w:r>
    </w:p>
    <w:p w14:paraId="52684425" w14:textId="77777777" w:rsidR="00B75A27" w:rsidRPr="003D5DFA" w:rsidRDefault="00A03186" w:rsidP="00B75A27">
      <w:pPr>
        <w:spacing w:before="120"/>
        <w:jc w:val="both"/>
        <w:rPr>
          <w:rFonts w:ascii="Arial" w:hAnsi="Arial" w:cs="Arial"/>
          <w:color w:val="000000"/>
          <w:sz w:val="20"/>
        </w:rPr>
      </w:pPr>
      <w:r w:rsidRPr="003D5DFA">
        <w:rPr>
          <w:rFonts w:ascii="Arial" w:hAnsi="Arial" w:cs="Arial"/>
          <w:color w:val="000000"/>
          <w:sz w:val="20"/>
        </w:rPr>
        <w:t>The final report of the Victorian Law Reform Commission on “Protection Applications in the Children’s Court” [No.19, 30 June 2010] discusses models of legal representation at pp.317-331.  At p.331 the Commission expressed the following view:</w:t>
      </w:r>
    </w:p>
    <w:p w14:paraId="050B220D" w14:textId="77777777" w:rsidR="00A03186" w:rsidRPr="003D5DFA" w:rsidRDefault="00A03186">
      <w:pPr>
        <w:numPr>
          <w:ilvl w:val="0"/>
          <w:numId w:val="27"/>
        </w:numPr>
        <w:ind w:left="284" w:hanging="284"/>
        <w:jc w:val="both"/>
        <w:rPr>
          <w:rFonts w:ascii="Arial" w:hAnsi="Arial" w:cs="Arial"/>
          <w:color w:val="000000"/>
          <w:sz w:val="20"/>
        </w:rPr>
      </w:pPr>
      <w:r w:rsidRPr="003D5DFA">
        <w:rPr>
          <w:rFonts w:ascii="Arial" w:hAnsi="Arial" w:cs="Arial"/>
          <w:color w:val="000000"/>
          <w:sz w:val="20"/>
        </w:rPr>
        <w:lastRenderedPageBreak/>
        <w:t xml:space="preserve">Every child or young person who is a party to a protection application should be separately represented on either a best interests model or instructions model, but two or more </w:t>
      </w:r>
      <w:r w:rsidR="00CA4108" w:rsidRPr="003D5DFA">
        <w:rPr>
          <w:rFonts w:ascii="Arial" w:hAnsi="Arial" w:cs="Arial"/>
          <w:color w:val="000000"/>
          <w:sz w:val="20"/>
        </w:rPr>
        <w:t>siblings</w:t>
      </w:r>
      <w:r w:rsidRPr="003D5DFA">
        <w:rPr>
          <w:rFonts w:ascii="Arial" w:hAnsi="Arial" w:cs="Arial"/>
          <w:color w:val="000000"/>
          <w:sz w:val="20"/>
        </w:rPr>
        <w:t xml:space="preserve"> may be </w:t>
      </w:r>
      <w:r w:rsidR="00CA4108" w:rsidRPr="003D5DFA">
        <w:rPr>
          <w:rFonts w:ascii="Arial" w:hAnsi="Arial" w:cs="Arial"/>
          <w:color w:val="000000"/>
          <w:sz w:val="20"/>
        </w:rPr>
        <w:t>represented by the same lawyer on a best interests basis.</w:t>
      </w:r>
    </w:p>
    <w:p w14:paraId="172601B3" w14:textId="77777777" w:rsidR="00CA4108" w:rsidRPr="003D5DFA" w:rsidRDefault="00CA4108">
      <w:pPr>
        <w:numPr>
          <w:ilvl w:val="0"/>
          <w:numId w:val="27"/>
        </w:numPr>
        <w:ind w:left="284" w:hanging="284"/>
        <w:jc w:val="both"/>
        <w:rPr>
          <w:rFonts w:ascii="Arial" w:hAnsi="Arial" w:cs="Arial"/>
          <w:color w:val="000000"/>
          <w:sz w:val="20"/>
        </w:rPr>
      </w:pPr>
      <w:r w:rsidRPr="003D5DFA">
        <w:rPr>
          <w:rFonts w:ascii="Arial" w:hAnsi="Arial" w:cs="Arial"/>
          <w:color w:val="000000"/>
          <w:sz w:val="20"/>
        </w:rPr>
        <w:t>Children and young persons should be represented on a best interests model by a lawyer unless the lawyer considers that:</w:t>
      </w:r>
    </w:p>
    <w:p w14:paraId="281BF39D" w14:textId="77777777" w:rsidR="00CA4108" w:rsidRPr="003D5DFA" w:rsidRDefault="00CA4108">
      <w:pPr>
        <w:numPr>
          <w:ilvl w:val="1"/>
          <w:numId w:val="28"/>
        </w:numPr>
        <w:tabs>
          <w:tab w:val="clear" w:pos="1020"/>
        </w:tabs>
        <w:ind w:left="568" w:hanging="284"/>
        <w:jc w:val="both"/>
        <w:rPr>
          <w:rFonts w:ascii="Arial" w:hAnsi="Arial" w:cs="Arial"/>
          <w:color w:val="000000"/>
          <w:sz w:val="20"/>
        </w:rPr>
      </w:pPr>
      <w:r w:rsidRPr="003D5DFA">
        <w:rPr>
          <w:rFonts w:ascii="Arial" w:hAnsi="Arial" w:cs="Arial"/>
          <w:color w:val="000000"/>
          <w:sz w:val="20"/>
        </w:rPr>
        <w:t>a mature child or young person has a desire to participate in proceedings and has the understanding and capacity to direct his or her representation;</w:t>
      </w:r>
    </w:p>
    <w:p w14:paraId="535DA1BB" w14:textId="77777777" w:rsidR="00CA4108" w:rsidRPr="003D5DFA" w:rsidRDefault="00CA4108">
      <w:pPr>
        <w:numPr>
          <w:ilvl w:val="1"/>
          <w:numId w:val="28"/>
        </w:numPr>
        <w:tabs>
          <w:tab w:val="clear" w:pos="1020"/>
        </w:tabs>
        <w:ind w:left="568" w:hanging="284"/>
        <w:jc w:val="both"/>
        <w:rPr>
          <w:rFonts w:ascii="Arial" w:hAnsi="Arial" w:cs="Arial"/>
          <w:color w:val="000000"/>
          <w:sz w:val="20"/>
        </w:rPr>
      </w:pPr>
      <w:r w:rsidRPr="003D5DFA">
        <w:rPr>
          <w:rFonts w:ascii="Arial" w:hAnsi="Arial" w:cs="Arial"/>
          <w:color w:val="000000"/>
          <w:sz w:val="20"/>
        </w:rPr>
        <w:t>the child or young person, who has had explained to him or her the duty of a lawyer to directly relay the child or young person’s views to the Court, nevertheless is unwilling to accept representation on a best interests basis.</w:t>
      </w:r>
    </w:p>
    <w:p w14:paraId="4A1258A7" w14:textId="77777777" w:rsidR="00CA4108" w:rsidRPr="003D5DFA" w:rsidRDefault="00CA4108" w:rsidP="00CA4108">
      <w:pPr>
        <w:ind w:left="357"/>
        <w:jc w:val="both"/>
        <w:rPr>
          <w:rFonts w:ascii="Arial" w:hAnsi="Arial" w:cs="Arial"/>
          <w:color w:val="000000"/>
          <w:sz w:val="20"/>
        </w:rPr>
      </w:pPr>
      <w:r w:rsidRPr="003D5DFA">
        <w:rPr>
          <w:rFonts w:ascii="Arial" w:hAnsi="Arial" w:cs="Arial"/>
          <w:color w:val="000000"/>
          <w:sz w:val="20"/>
        </w:rPr>
        <w:t>Where both of these conditions are satisfied, a separate practitioner should be appointed to represent the child or young person on the child or young person’s instructions.</w:t>
      </w:r>
    </w:p>
    <w:p w14:paraId="3CDFD0B7" w14:textId="77777777" w:rsidR="00CA4108" w:rsidRPr="003D5DFA" w:rsidRDefault="00CA4108" w:rsidP="00CA4108">
      <w:pPr>
        <w:jc w:val="both"/>
        <w:rPr>
          <w:rFonts w:ascii="Arial" w:hAnsi="Arial" w:cs="Arial"/>
          <w:bCs/>
          <w:color w:val="000000"/>
          <w:sz w:val="20"/>
        </w:rPr>
      </w:pPr>
      <w:r w:rsidRPr="003D5DFA">
        <w:rPr>
          <w:rFonts w:ascii="Arial" w:hAnsi="Arial" w:cs="Arial"/>
          <w:bCs/>
          <w:color w:val="000000"/>
          <w:sz w:val="20"/>
        </w:rPr>
        <w:t xml:space="preserve">But that is not the present state of the law in relation to child representation in </w:t>
      </w:r>
      <w:smartTag w:uri="urn:schemas-microsoft-com:office:smarttags" w:element="place">
        <w:smartTag w:uri="urn:schemas-microsoft-com:office:smarttags" w:element="State">
          <w:r w:rsidRPr="003D5DFA">
            <w:rPr>
              <w:rFonts w:ascii="Arial" w:hAnsi="Arial" w:cs="Arial"/>
              <w:bCs/>
              <w:color w:val="000000"/>
              <w:sz w:val="20"/>
            </w:rPr>
            <w:t>Victoria</w:t>
          </w:r>
        </w:smartTag>
      </w:smartTag>
      <w:r w:rsidRPr="003D5DFA">
        <w:rPr>
          <w:rFonts w:ascii="Arial" w:hAnsi="Arial" w:cs="Arial"/>
          <w:bCs/>
          <w:color w:val="000000"/>
          <w:sz w:val="20"/>
        </w:rPr>
        <w:t>.</w:t>
      </w:r>
    </w:p>
    <w:p w14:paraId="7156D258" w14:textId="77777777" w:rsidR="000B2C51" w:rsidRPr="003D5DFA" w:rsidRDefault="000B2C51" w:rsidP="000B2C51">
      <w:pPr>
        <w:jc w:val="both"/>
        <w:rPr>
          <w:rFonts w:ascii="Arial" w:hAnsi="Arial" w:cs="Arial"/>
          <w:color w:val="000000"/>
          <w:sz w:val="20"/>
        </w:rPr>
      </w:pPr>
    </w:p>
    <w:p w14:paraId="2AD08051" w14:textId="77777777" w:rsidR="009E5DAC" w:rsidRPr="003D5DFA" w:rsidRDefault="009E5DAC" w:rsidP="009E5DAC">
      <w:pPr>
        <w:pStyle w:val="Heading3"/>
        <w:spacing w:after="120" w:line="240" w:lineRule="auto"/>
        <w:rPr>
          <w:rFonts w:ascii="Arial" w:hAnsi="Arial" w:cs="Arial"/>
          <w:color w:val="000000"/>
          <w:sz w:val="20"/>
        </w:rPr>
      </w:pPr>
      <w:bookmarkStart w:id="1098" w:name="_4.7.9_Recommendations_by"/>
      <w:bookmarkStart w:id="1099" w:name="B479"/>
      <w:bookmarkEnd w:id="1098"/>
      <w:bookmarkEnd w:id="1099"/>
      <w:r w:rsidRPr="003D5DFA">
        <w:rPr>
          <w:rFonts w:ascii="Arial" w:hAnsi="Arial" w:cs="Arial"/>
          <w:b/>
          <w:bCs/>
          <w:color w:val="000000"/>
          <w:sz w:val="20"/>
        </w:rPr>
        <w:t>4.7.</w:t>
      </w:r>
      <w:r w:rsidR="009B3556" w:rsidRPr="003D5DFA">
        <w:rPr>
          <w:rFonts w:ascii="Arial" w:hAnsi="Arial" w:cs="Arial"/>
          <w:b/>
          <w:bCs/>
          <w:color w:val="000000"/>
          <w:sz w:val="20"/>
        </w:rPr>
        <w:t>9</w:t>
      </w:r>
      <w:r w:rsidRPr="003D5DFA">
        <w:rPr>
          <w:rFonts w:ascii="Arial" w:hAnsi="Arial" w:cs="Arial"/>
          <w:b/>
          <w:bCs/>
          <w:color w:val="000000"/>
          <w:sz w:val="20"/>
        </w:rPr>
        <w:tab/>
        <w:t>Recommendations by the “Cummins Inquiry”</w:t>
      </w:r>
    </w:p>
    <w:p w14:paraId="1BD77121" w14:textId="77777777" w:rsidR="009E5DAC" w:rsidRPr="003D5DFA" w:rsidRDefault="009E5DAC" w:rsidP="00F32C0E">
      <w:pPr>
        <w:spacing w:before="120"/>
        <w:jc w:val="both"/>
        <w:rPr>
          <w:rFonts w:ascii="Arial" w:hAnsi="Arial" w:cs="Arial"/>
          <w:color w:val="000000"/>
          <w:sz w:val="20"/>
        </w:rPr>
      </w:pPr>
      <w:r w:rsidRPr="003D5DFA">
        <w:rPr>
          <w:rFonts w:ascii="Arial" w:hAnsi="Arial" w:cs="Arial"/>
          <w:color w:val="000000"/>
          <w:sz w:val="20"/>
        </w:rPr>
        <w:t>In January 2012 the Department of Premier and Cabinet published a Report of the “Protecting Victoria’s Vulnerable Children Inquiry”</w:t>
      </w:r>
      <w:r w:rsidR="00F32C0E" w:rsidRPr="003D5DFA">
        <w:rPr>
          <w:rFonts w:ascii="Arial" w:hAnsi="Arial" w:cs="Arial"/>
          <w:color w:val="000000"/>
          <w:sz w:val="20"/>
        </w:rPr>
        <w:t xml:space="preserve"> conducted</w:t>
      </w:r>
      <w:r w:rsidRPr="003D5DFA">
        <w:rPr>
          <w:rFonts w:ascii="Arial" w:hAnsi="Arial" w:cs="Arial"/>
          <w:color w:val="000000"/>
          <w:sz w:val="20"/>
        </w:rPr>
        <w:t xml:space="preserve"> by The Honourable Philip Cummins (Chair), Emeritus Professor Dorothy Scott OAM and Mr Bill Scales AO.  The Cummins Inquiry’s Recommendation 53 [</w:t>
      </w:r>
      <w:r w:rsidR="00F32C0E" w:rsidRPr="003D5DFA">
        <w:rPr>
          <w:rFonts w:ascii="Arial" w:hAnsi="Arial" w:cs="Arial"/>
          <w:color w:val="000000"/>
          <w:sz w:val="20"/>
        </w:rPr>
        <w:t>Volume 2, paragraph 15.3.1, page 378] states:</w:t>
      </w:r>
    </w:p>
    <w:p w14:paraId="331BC054" w14:textId="77777777" w:rsidR="00BD3BD4" w:rsidRPr="003D5DFA" w:rsidRDefault="00BD3BD4" w:rsidP="00BD3BD4">
      <w:pPr>
        <w:spacing w:before="60"/>
        <w:ind w:left="567" w:right="567"/>
        <w:jc w:val="both"/>
        <w:rPr>
          <w:rFonts w:ascii="Arial" w:hAnsi="Arial" w:cs="Arial"/>
          <w:color w:val="000000"/>
          <w:sz w:val="20"/>
        </w:rPr>
      </w:pPr>
      <w:r w:rsidRPr="003D5DFA">
        <w:rPr>
          <w:rFonts w:ascii="Arial" w:hAnsi="Arial" w:cs="Arial"/>
          <w:color w:val="000000"/>
          <w:sz w:val="20"/>
        </w:rPr>
        <w:t xml:space="preserve">“The </w:t>
      </w:r>
      <w:r w:rsidRPr="003D5DFA">
        <w:rPr>
          <w:rFonts w:ascii="Arial" w:hAnsi="Arial" w:cs="Arial"/>
          <w:i/>
          <w:color w:val="000000"/>
          <w:sz w:val="20"/>
        </w:rPr>
        <w:t>Children, Youth and Families Act 2005</w:t>
      </w:r>
      <w:r w:rsidRPr="003D5DFA">
        <w:rPr>
          <w:rFonts w:ascii="Arial" w:hAnsi="Arial" w:cs="Arial"/>
          <w:color w:val="000000"/>
          <w:sz w:val="20"/>
        </w:rPr>
        <w:t xml:space="preserve"> should be amended to provide that:</w:t>
      </w:r>
    </w:p>
    <w:p w14:paraId="4AAE18FA" w14:textId="77777777" w:rsidR="00F32C0E" w:rsidRPr="003D5DFA" w:rsidRDefault="00F32C0E" w:rsidP="00BA6FBE">
      <w:pPr>
        <w:numPr>
          <w:ilvl w:val="0"/>
          <w:numId w:val="6"/>
        </w:numPr>
        <w:spacing w:before="60"/>
        <w:ind w:left="851" w:right="567" w:hanging="284"/>
        <w:jc w:val="both"/>
        <w:rPr>
          <w:rFonts w:ascii="Arial" w:hAnsi="Arial" w:cs="Arial"/>
          <w:color w:val="000000"/>
          <w:sz w:val="20"/>
        </w:rPr>
      </w:pPr>
      <w:r w:rsidRPr="003D5DFA">
        <w:rPr>
          <w:rFonts w:ascii="Arial" w:hAnsi="Arial" w:cs="Arial"/>
          <w:color w:val="000000"/>
          <w:sz w:val="20"/>
        </w:rPr>
        <w:t>A child named on a protection application should have the formal status of a party to the proceedings;</w:t>
      </w:r>
    </w:p>
    <w:p w14:paraId="14010D15" w14:textId="77777777" w:rsidR="00F32C0E" w:rsidRPr="003D5DFA" w:rsidRDefault="00F32C0E" w:rsidP="00BA6FBE">
      <w:pPr>
        <w:numPr>
          <w:ilvl w:val="0"/>
          <w:numId w:val="6"/>
        </w:numPr>
        <w:spacing w:before="60"/>
        <w:ind w:left="851" w:right="567" w:hanging="284"/>
        <w:jc w:val="both"/>
        <w:rPr>
          <w:rFonts w:ascii="Arial" w:hAnsi="Arial" w:cs="Arial"/>
          <w:color w:val="000000"/>
          <w:sz w:val="20"/>
        </w:rPr>
      </w:pPr>
      <w:r w:rsidRPr="003D5DFA">
        <w:rPr>
          <w:rFonts w:ascii="Arial" w:hAnsi="Arial" w:cs="Arial"/>
          <w:color w:val="000000"/>
          <w:sz w:val="20"/>
        </w:rPr>
        <w:t>A child who is under 10 years of age is presumed not to be capable of providing instructions unless shown otherwise and a child who is 10 years and over is presumed capable of giving instructions unless shown otherwise;</w:t>
      </w:r>
    </w:p>
    <w:p w14:paraId="075FA571" w14:textId="77777777" w:rsidR="00F32C0E" w:rsidRPr="003D5DFA" w:rsidRDefault="00F32C0E" w:rsidP="00BA6FBE">
      <w:pPr>
        <w:numPr>
          <w:ilvl w:val="0"/>
          <w:numId w:val="6"/>
        </w:numPr>
        <w:spacing w:before="60"/>
        <w:ind w:left="851" w:right="567" w:hanging="284"/>
        <w:jc w:val="both"/>
        <w:rPr>
          <w:rFonts w:ascii="Arial" w:hAnsi="Arial" w:cs="Arial"/>
          <w:color w:val="000000"/>
          <w:sz w:val="20"/>
        </w:rPr>
      </w:pPr>
      <w:r w:rsidRPr="003D5DFA">
        <w:rPr>
          <w:rFonts w:ascii="Arial" w:hAnsi="Arial" w:cs="Arial"/>
          <w:color w:val="000000"/>
          <w:sz w:val="20"/>
        </w:rPr>
        <w:t>A child who is not capable of providing instructions should be represented by an independent lawyer on a ‘best interests’ basis; and</w:t>
      </w:r>
    </w:p>
    <w:p w14:paraId="7B5A861C" w14:textId="77777777" w:rsidR="00F32C0E" w:rsidRPr="003D5DFA" w:rsidRDefault="00F32C0E" w:rsidP="00BA6FBE">
      <w:pPr>
        <w:numPr>
          <w:ilvl w:val="0"/>
          <w:numId w:val="6"/>
        </w:numPr>
        <w:spacing w:before="60"/>
        <w:ind w:left="851" w:right="567" w:hanging="284"/>
        <w:jc w:val="both"/>
        <w:rPr>
          <w:rFonts w:ascii="Arial" w:hAnsi="Arial" w:cs="Arial"/>
          <w:color w:val="000000"/>
          <w:sz w:val="20"/>
        </w:rPr>
      </w:pPr>
      <w:r w:rsidRPr="003D5DFA">
        <w:rPr>
          <w:rFonts w:ascii="Arial" w:hAnsi="Arial" w:cs="Arial"/>
          <w:color w:val="000000"/>
          <w:sz w:val="20"/>
        </w:rPr>
        <w:t>Other than in exceptional circumstances, a child is not required to attend at any stage of the court process in protection proceedings unless the child has expressed a wish to be present in court and has the capacity to understand the process.”</w:t>
      </w:r>
    </w:p>
    <w:p w14:paraId="5AD7EADD" w14:textId="77777777" w:rsidR="00BD3BD4" w:rsidRPr="003D5DFA" w:rsidRDefault="00BD3BD4" w:rsidP="005832E7">
      <w:pPr>
        <w:spacing w:before="120"/>
        <w:jc w:val="both"/>
        <w:rPr>
          <w:rFonts w:ascii="Arial" w:hAnsi="Arial" w:cs="Arial"/>
          <w:color w:val="000000"/>
          <w:sz w:val="20"/>
        </w:rPr>
      </w:pPr>
      <w:r w:rsidRPr="003D5DFA">
        <w:rPr>
          <w:rFonts w:ascii="Arial" w:hAnsi="Arial" w:cs="Arial"/>
          <w:color w:val="000000"/>
          <w:sz w:val="20"/>
        </w:rPr>
        <w:t>Its Recommendation 54 [Volume 2, paragraph 15.3.1, page 378] states:</w:t>
      </w:r>
    </w:p>
    <w:p w14:paraId="285A0285" w14:textId="77777777" w:rsidR="00BD3BD4" w:rsidRPr="003D5DFA" w:rsidRDefault="00BD3BD4" w:rsidP="00BD3BD4">
      <w:pPr>
        <w:spacing w:before="60"/>
        <w:ind w:left="567" w:right="567"/>
        <w:jc w:val="both"/>
        <w:rPr>
          <w:rFonts w:ascii="Arial" w:hAnsi="Arial" w:cs="Arial"/>
          <w:color w:val="000000"/>
          <w:sz w:val="20"/>
        </w:rPr>
      </w:pPr>
      <w:r w:rsidRPr="003D5DFA">
        <w:rPr>
          <w:rFonts w:ascii="Arial" w:hAnsi="Arial" w:cs="Arial"/>
          <w:color w:val="000000"/>
          <w:sz w:val="20"/>
        </w:rPr>
        <w:t>“The Victorian Government should develop guidelines to assist the court, tribunal, or the independent children’s lawyer to determine whether the child is capable of giving direct instructions and to provide criteria by which the presumption of capacity can be rebutted.”</w:t>
      </w:r>
    </w:p>
    <w:p w14:paraId="201F60D1" w14:textId="77777777" w:rsidR="00BB0912" w:rsidRPr="003D5DFA" w:rsidRDefault="00EA0B1A" w:rsidP="009E5DAC">
      <w:pPr>
        <w:spacing w:before="120"/>
        <w:jc w:val="both"/>
        <w:rPr>
          <w:rFonts w:ascii="Arial" w:hAnsi="Arial" w:cs="Arial"/>
          <w:color w:val="000000"/>
          <w:sz w:val="20"/>
        </w:rPr>
      </w:pPr>
      <w:r w:rsidRPr="003D5DFA">
        <w:rPr>
          <w:rFonts w:ascii="Arial" w:hAnsi="Arial" w:cs="Arial"/>
          <w:color w:val="000000"/>
          <w:sz w:val="20"/>
        </w:rPr>
        <w:t>T</w:t>
      </w:r>
      <w:r w:rsidR="004C6AED" w:rsidRPr="003D5DFA">
        <w:rPr>
          <w:rFonts w:ascii="Arial" w:hAnsi="Arial" w:cs="Arial"/>
          <w:color w:val="000000"/>
          <w:sz w:val="20"/>
        </w:rPr>
        <w:t>he amendments to s</w:t>
      </w:r>
      <w:r w:rsidRPr="003D5DFA">
        <w:rPr>
          <w:rFonts w:ascii="Arial" w:hAnsi="Arial" w:cs="Arial"/>
          <w:color w:val="000000"/>
          <w:sz w:val="20"/>
        </w:rPr>
        <w:t>s</w:t>
      </w:r>
      <w:r w:rsidR="004C6AED" w:rsidRPr="003D5DFA">
        <w:rPr>
          <w:rFonts w:ascii="Arial" w:hAnsi="Arial" w:cs="Arial"/>
          <w:color w:val="000000"/>
          <w:sz w:val="20"/>
        </w:rPr>
        <w:t xml:space="preserve">.524 &amp; 525 </w:t>
      </w:r>
      <w:r w:rsidRPr="003D5DFA">
        <w:rPr>
          <w:rFonts w:ascii="Arial" w:hAnsi="Arial" w:cs="Arial"/>
          <w:color w:val="000000"/>
          <w:sz w:val="20"/>
        </w:rPr>
        <w:t xml:space="preserve">of the CYFA </w:t>
      </w:r>
      <w:r w:rsidR="004C6AED" w:rsidRPr="003D5DFA">
        <w:rPr>
          <w:rFonts w:ascii="Arial" w:hAnsi="Arial" w:cs="Arial"/>
          <w:color w:val="000000"/>
          <w:sz w:val="20"/>
        </w:rPr>
        <w:t xml:space="preserve">which came into operation on 27/03/2013 </w:t>
      </w:r>
      <w:r w:rsidR="00BB0912" w:rsidRPr="003D5DFA">
        <w:rPr>
          <w:rFonts w:ascii="Arial" w:hAnsi="Arial" w:cs="Arial"/>
          <w:color w:val="000000"/>
          <w:sz w:val="20"/>
        </w:rPr>
        <w:t xml:space="preserve">fly in the face of the central </w:t>
      </w:r>
      <w:r w:rsidR="00FB7EED" w:rsidRPr="003D5DFA">
        <w:rPr>
          <w:rFonts w:ascii="Arial" w:hAnsi="Arial" w:cs="Arial"/>
          <w:color w:val="000000"/>
          <w:sz w:val="20"/>
        </w:rPr>
        <w:t>aspects</w:t>
      </w:r>
      <w:r w:rsidR="00BB0912" w:rsidRPr="003D5DFA">
        <w:rPr>
          <w:rFonts w:ascii="Arial" w:hAnsi="Arial" w:cs="Arial"/>
          <w:color w:val="000000"/>
          <w:sz w:val="20"/>
        </w:rPr>
        <w:t xml:space="preserve"> of Recommendation 53, namely that all children in protection proceedings be both parties to the proceeding and be legally represented.  They also render Recommendation 54 otiose.</w:t>
      </w:r>
    </w:p>
    <w:p w14:paraId="6ED1E3C0" w14:textId="77777777" w:rsidR="009E5DAC" w:rsidRPr="003D5DFA" w:rsidRDefault="009E5DAC" w:rsidP="000B2C51">
      <w:pPr>
        <w:jc w:val="both"/>
        <w:rPr>
          <w:rFonts w:ascii="Arial" w:hAnsi="Arial" w:cs="Arial"/>
          <w:color w:val="000000"/>
          <w:sz w:val="20"/>
        </w:rPr>
      </w:pPr>
    </w:p>
    <w:p w14:paraId="051B34F0" w14:textId="77777777" w:rsidR="000B2C51" w:rsidRPr="003D5DFA" w:rsidRDefault="000B2C51" w:rsidP="004C6AED">
      <w:pPr>
        <w:pStyle w:val="Heading3"/>
        <w:keepNext/>
        <w:spacing w:after="120" w:line="240" w:lineRule="auto"/>
        <w:rPr>
          <w:rFonts w:ascii="Arial" w:hAnsi="Arial" w:cs="Arial"/>
          <w:b/>
          <w:bCs/>
          <w:color w:val="000000"/>
          <w:sz w:val="20"/>
        </w:rPr>
      </w:pPr>
      <w:bookmarkStart w:id="1100" w:name="_4.7.10_Representation_of"/>
      <w:bookmarkStart w:id="1101" w:name="B4710"/>
      <w:bookmarkEnd w:id="1100"/>
      <w:bookmarkEnd w:id="1101"/>
      <w:r w:rsidRPr="003D5DFA">
        <w:rPr>
          <w:rFonts w:ascii="Arial" w:hAnsi="Arial" w:cs="Arial"/>
          <w:b/>
          <w:bCs/>
          <w:color w:val="000000"/>
          <w:sz w:val="20"/>
        </w:rPr>
        <w:t>4.7.</w:t>
      </w:r>
      <w:r w:rsidR="00F45D7F" w:rsidRPr="003D5DFA">
        <w:rPr>
          <w:rFonts w:ascii="Arial" w:hAnsi="Arial" w:cs="Arial"/>
          <w:b/>
          <w:bCs/>
          <w:color w:val="000000"/>
          <w:sz w:val="20"/>
        </w:rPr>
        <w:t>1</w:t>
      </w:r>
      <w:r w:rsidR="009B3556" w:rsidRPr="003D5DFA">
        <w:rPr>
          <w:rFonts w:ascii="Arial" w:hAnsi="Arial" w:cs="Arial"/>
          <w:b/>
          <w:bCs/>
          <w:color w:val="000000"/>
          <w:sz w:val="20"/>
        </w:rPr>
        <w:t>0</w:t>
      </w:r>
      <w:r w:rsidRPr="003D5DFA">
        <w:rPr>
          <w:rFonts w:ascii="Arial" w:hAnsi="Arial" w:cs="Arial"/>
          <w:b/>
          <w:bCs/>
          <w:color w:val="000000"/>
          <w:sz w:val="20"/>
        </w:rPr>
        <w:tab/>
        <w:t>Representation of child who is not respondent or applicant under the FVPA</w:t>
      </w:r>
    </w:p>
    <w:p w14:paraId="7FCA9C26" w14:textId="77777777" w:rsidR="000B2C51" w:rsidRPr="003D5DFA" w:rsidRDefault="000B2C51" w:rsidP="000B2C51">
      <w:pPr>
        <w:jc w:val="both"/>
        <w:rPr>
          <w:rFonts w:ascii="Arial" w:hAnsi="Arial" w:cs="Arial"/>
          <w:color w:val="000000"/>
          <w:sz w:val="20"/>
        </w:rPr>
      </w:pPr>
      <w:r w:rsidRPr="003D5DFA">
        <w:rPr>
          <w:rFonts w:ascii="Arial" w:hAnsi="Arial" w:cs="Arial"/>
          <w:color w:val="000000"/>
          <w:sz w:val="20"/>
        </w:rPr>
        <w:t xml:space="preserve">Section 62(1) of the </w:t>
      </w:r>
      <w:r w:rsidRPr="003D5DFA">
        <w:rPr>
          <w:rFonts w:ascii="Arial" w:hAnsi="Arial" w:cs="Arial"/>
          <w:color w:val="000000"/>
          <w:sz w:val="20"/>
          <w:u w:val="single"/>
        </w:rPr>
        <w:t>Family Violence Protection Act 2008 (Vic)</w:t>
      </w:r>
      <w:r w:rsidRPr="003D5DFA">
        <w:rPr>
          <w:rFonts w:ascii="Arial" w:hAnsi="Arial" w:cs="Arial"/>
          <w:color w:val="000000"/>
          <w:sz w:val="20"/>
        </w:rPr>
        <w:t xml:space="preserve"> (‘the FVPA’) provides that if an affected family member in a proceeding under the FVPA is a child and is not the applicant, the child may have legal representation only if the court, on its own initiative-</w:t>
      </w:r>
    </w:p>
    <w:p w14:paraId="1AD54A27" w14:textId="77777777" w:rsidR="000B2C51" w:rsidRPr="003D5DFA" w:rsidRDefault="000B2C51" w:rsidP="00EF5014">
      <w:pPr>
        <w:tabs>
          <w:tab w:val="left" w:pos="454"/>
        </w:tabs>
        <w:ind w:left="454" w:hanging="454"/>
        <w:jc w:val="both"/>
        <w:rPr>
          <w:rFonts w:ascii="Arial" w:hAnsi="Arial" w:cs="Arial"/>
          <w:color w:val="000000"/>
          <w:sz w:val="20"/>
        </w:rPr>
      </w:pPr>
      <w:r w:rsidRPr="003D5DFA">
        <w:rPr>
          <w:rFonts w:ascii="Arial" w:hAnsi="Arial" w:cs="Arial"/>
          <w:color w:val="000000"/>
          <w:sz w:val="20"/>
        </w:rPr>
        <w:t>(a)</w:t>
      </w:r>
      <w:r w:rsidRPr="003D5DFA">
        <w:rPr>
          <w:rFonts w:ascii="Arial" w:hAnsi="Arial" w:cs="Arial"/>
          <w:color w:val="000000"/>
          <w:sz w:val="20"/>
        </w:rPr>
        <w:tab/>
        <w:t>considers it appropriate in all the circumstances of the case; and</w:t>
      </w:r>
    </w:p>
    <w:p w14:paraId="038A86D3" w14:textId="77777777" w:rsidR="000B2C51" w:rsidRPr="003D5DFA" w:rsidRDefault="000B2C51" w:rsidP="000B2C51">
      <w:pPr>
        <w:tabs>
          <w:tab w:val="left" w:pos="454"/>
        </w:tabs>
        <w:ind w:left="454" w:hanging="454"/>
        <w:jc w:val="both"/>
        <w:rPr>
          <w:rFonts w:ascii="Arial" w:hAnsi="Arial" w:cs="Arial"/>
          <w:color w:val="000000"/>
          <w:sz w:val="20"/>
        </w:rPr>
      </w:pPr>
      <w:r w:rsidRPr="003D5DFA">
        <w:rPr>
          <w:rFonts w:ascii="Arial" w:hAnsi="Arial" w:cs="Arial"/>
          <w:color w:val="000000"/>
          <w:sz w:val="20"/>
        </w:rPr>
        <w:t>(b)</w:t>
      </w:r>
      <w:r w:rsidRPr="003D5DFA">
        <w:rPr>
          <w:rFonts w:ascii="Arial" w:hAnsi="Arial" w:cs="Arial"/>
          <w:color w:val="000000"/>
          <w:sz w:val="20"/>
        </w:rPr>
        <w:tab/>
        <w:t>gives leave for the child to be represented.</w:t>
      </w:r>
    </w:p>
    <w:p w14:paraId="7462F928" w14:textId="77777777" w:rsidR="000B2C51" w:rsidRPr="003D5DFA" w:rsidRDefault="000B2C51" w:rsidP="000B2C51">
      <w:pPr>
        <w:jc w:val="both"/>
        <w:rPr>
          <w:rFonts w:ascii="Arial" w:hAnsi="Arial" w:cs="Arial"/>
          <w:color w:val="000000"/>
          <w:sz w:val="20"/>
        </w:rPr>
      </w:pPr>
    </w:p>
    <w:p w14:paraId="13FD6FB1" w14:textId="77777777" w:rsidR="000B2C51" w:rsidRPr="003D5DFA" w:rsidRDefault="000B2C51" w:rsidP="000B2C51">
      <w:pPr>
        <w:tabs>
          <w:tab w:val="left" w:pos="454"/>
        </w:tabs>
        <w:jc w:val="both"/>
        <w:rPr>
          <w:rFonts w:ascii="Arial" w:hAnsi="Arial" w:cs="Arial"/>
          <w:color w:val="000000"/>
          <w:sz w:val="20"/>
        </w:rPr>
      </w:pPr>
      <w:r w:rsidRPr="003D5DFA">
        <w:rPr>
          <w:rFonts w:ascii="Arial" w:hAnsi="Arial" w:cs="Arial"/>
          <w:color w:val="000000"/>
          <w:sz w:val="20"/>
        </w:rPr>
        <w:t>Section 62(2) of the FVPA provides that in deciding whether to grant such leave, the court must have regard to-</w:t>
      </w:r>
    </w:p>
    <w:p w14:paraId="7CB28C06" w14:textId="77777777" w:rsidR="000B2C51" w:rsidRPr="003D5DFA" w:rsidRDefault="000B2C51" w:rsidP="000B2C51">
      <w:pPr>
        <w:tabs>
          <w:tab w:val="left" w:pos="454"/>
        </w:tabs>
        <w:ind w:left="454" w:hanging="454"/>
        <w:jc w:val="both"/>
        <w:rPr>
          <w:rFonts w:ascii="Arial" w:hAnsi="Arial" w:cs="Arial"/>
          <w:color w:val="000000"/>
          <w:sz w:val="20"/>
        </w:rPr>
      </w:pPr>
      <w:r w:rsidRPr="003D5DFA">
        <w:rPr>
          <w:rFonts w:ascii="Arial" w:hAnsi="Arial" w:cs="Arial"/>
          <w:color w:val="000000"/>
          <w:sz w:val="20"/>
        </w:rPr>
        <w:t>(a)</w:t>
      </w:r>
      <w:r w:rsidRPr="003D5DFA">
        <w:rPr>
          <w:rFonts w:ascii="Arial" w:hAnsi="Arial" w:cs="Arial"/>
          <w:color w:val="000000"/>
          <w:sz w:val="20"/>
        </w:rPr>
        <w:tab/>
        <w:t>the desirability of protecting children from unnecessary exposure to the court system; and</w:t>
      </w:r>
    </w:p>
    <w:p w14:paraId="68B2C142" w14:textId="77777777" w:rsidR="000B2C51" w:rsidRPr="003D5DFA" w:rsidRDefault="000B2C51" w:rsidP="000B2C51">
      <w:pPr>
        <w:tabs>
          <w:tab w:val="left" w:pos="454"/>
        </w:tabs>
        <w:ind w:left="454" w:hanging="454"/>
        <w:jc w:val="both"/>
        <w:rPr>
          <w:rFonts w:ascii="Arial" w:hAnsi="Arial" w:cs="Arial"/>
          <w:color w:val="000000"/>
          <w:sz w:val="20"/>
        </w:rPr>
      </w:pPr>
      <w:r w:rsidRPr="003D5DFA">
        <w:rPr>
          <w:rFonts w:ascii="Arial" w:hAnsi="Arial" w:cs="Arial"/>
          <w:color w:val="000000"/>
          <w:sz w:val="20"/>
        </w:rPr>
        <w:t>(b)</w:t>
      </w:r>
      <w:r w:rsidRPr="003D5DFA">
        <w:rPr>
          <w:rFonts w:ascii="Arial" w:hAnsi="Arial" w:cs="Arial"/>
          <w:color w:val="000000"/>
          <w:sz w:val="20"/>
        </w:rPr>
        <w:tab/>
        <w:t>the harm that could occur to the child and to family relationships if the child is directly represented in the proceeding.</w:t>
      </w:r>
    </w:p>
    <w:p w14:paraId="2CACDD37" w14:textId="77777777" w:rsidR="000B2C51" w:rsidRPr="003D5DFA" w:rsidRDefault="000B2C51" w:rsidP="000B2C51">
      <w:pPr>
        <w:jc w:val="both"/>
        <w:rPr>
          <w:rFonts w:ascii="Arial" w:hAnsi="Arial" w:cs="Arial"/>
          <w:color w:val="000000"/>
          <w:sz w:val="20"/>
        </w:rPr>
      </w:pPr>
    </w:p>
    <w:p w14:paraId="7EAF5175" w14:textId="77777777" w:rsidR="000B2C51" w:rsidRPr="003D5DFA" w:rsidRDefault="000B2C51" w:rsidP="000B2C51">
      <w:pPr>
        <w:jc w:val="both"/>
        <w:rPr>
          <w:rFonts w:ascii="Arial" w:hAnsi="Arial" w:cs="Arial"/>
          <w:color w:val="000000"/>
          <w:sz w:val="20"/>
        </w:rPr>
      </w:pPr>
      <w:r w:rsidRPr="003D5DFA">
        <w:rPr>
          <w:rFonts w:ascii="Arial" w:hAnsi="Arial" w:cs="Arial"/>
          <w:color w:val="000000"/>
          <w:sz w:val="20"/>
        </w:rPr>
        <w:t>In relation to the representation of children in applications under the FVPA heard in the Children’s Court, it thus appears that there is-</w:t>
      </w:r>
    </w:p>
    <w:p w14:paraId="26D4E479" w14:textId="77777777" w:rsidR="000B2C51" w:rsidRPr="003D5DFA" w:rsidRDefault="000B2C51" w:rsidP="00BA6FBE">
      <w:pPr>
        <w:numPr>
          <w:ilvl w:val="0"/>
          <w:numId w:val="7"/>
        </w:numPr>
        <w:jc w:val="both"/>
        <w:rPr>
          <w:rFonts w:ascii="Arial" w:hAnsi="Arial" w:cs="Arial"/>
          <w:color w:val="000000"/>
          <w:sz w:val="20"/>
        </w:rPr>
      </w:pPr>
      <w:r w:rsidRPr="003D5DFA">
        <w:rPr>
          <w:rFonts w:ascii="Arial" w:hAnsi="Arial" w:cs="Arial"/>
          <w:color w:val="000000"/>
          <w:sz w:val="20"/>
        </w:rPr>
        <w:lastRenderedPageBreak/>
        <w:t>a conflict in policy between s.524 of the CYFA and s.62 of the FVPA even though an intervention order proceeding is not one of the proceedings listed in s.525(1) of the CYFA for which it is mandatory that a child be represented; and</w:t>
      </w:r>
    </w:p>
    <w:p w14:paraId="504DD03F" w14:textId="77777777" w:rsidR="000B2C51" w:rsidRPr="003D5DFA" w:rsidRDefault="000B2C51" w:rsidP="00BA6FBE">
      <w:pPr>
        <w:numPr>
          <w:ilvl w:val="0"/>
          <w:numId w:val="7"/>
        </w:numPr>
        <w:jc w:val="both"/>
        <w:rPr>
          <w:rFonts w:ascii="Arial" w:hAnsi="Arial" w:cs="Arial"/>
          <w:color w:val="000000"/>
          <w:sz w:val="20"/>
        </w:rPr>
      </w:pPr>
      <w:r w:rsidRPr="003D5DFA">
        <w:rPr>
          <w:rFonts w:ascii="Arial" w:hAnsi="Arial" w:cs="Arial"/>
          <w:color w:val="000000"/>
          <w:sz w:val="20"/>
        </w:rPr>
        <w:t>a patent inconsistency where a child is neither the applicant nor the respondent.</w:t>
      </w:r>
    </w:p>
    <w:p w14:paraId="543AD601" w14:textId="09480E6B" w:rsidR="00DF3289" w:rsidRPr="003D5DFA" w:rsidRDefault="000B2C51" w:rsidP="00DF3289">
      <w:pPr>
        <w:jc w:val="both"/>
        <w:rPr>
          <w:rFonts w:ascii="Arial" w:hAnsi="Arial" w:cs="Arial"/>
          <w:color w:val="000000"/>
        </w:rPr>
      </w:pPr>
      <w:r w:rsidRPr="003D5DFA">
        <w:rPr>
          <w:rFonts w:ascii="Arial" w:hAnsi="Arial" w:cs="Arial"/>
          <w:color w:val="000000"/>
          <w:sz w:val="20"/>
        </w:rPr>
        <w:t>To the extent of any inconsistency, it is the writer’s view that s.62, being the later enactment, prevails.</w:t>
      </w:r>
    </w:p>
    <w:p w14:paraId="1512760C" w14:textId="77777777" w:rsidR="000B2C51" w:rsidRPr="003D5DFA" w:rsidRDefault="000B2C51" w:rsidP="000B2C51">
      <w:pPr>
        <w:jc w:val="both"/>
        <w:rPr>
          <w:rFonts w:ascii="Arial" w:hAnsi="Arial" w:cs="Arial"/>
          <w:color w:val="000000"/>
        </w:rPr>
      </w:pPr>
    </w:p>
    <w:p w14:paraId="004767E1" w14:textId="77777777" w:rsidR="00693223" w:rsidRPr="003D5DFA" w:rsidRDefault="00693223">
      <w:pPr>
        <w:pStyle w:val="Heading2"/>
        <w:tabs>
          <w:tab w:val="left" w:pos="567"/>
        </w:tabs>
        <w:spacing w:line="240" w:lineRule="auto"/>
        <w:rPr>
          <w:rFonts w:ascii="Arial" w:hAnsi="Arial" w:cs="Arial"/>
          <w:b/>
          <w:bCs/>
          <w:color w:val="000000"/>
        </w:rPr>
      </w:pPr>
      <w:bookmarkStart w:id="1102" w:name="_4.8_Conduct_of"/>
      <w:bookmarkStart w:id="1103" w:name="B48"/>
      <w:bookmarkEnd w:id="1102"/>
      <w:bookmarkEnd w:id="1103"/>
      <w:r w:rsidRPr="003D5DFA">
        <w:rPr>
          <w:rFonts w:ascii="Arial" w:hAnsi="Arial" w:cs="Arial"/>
          <w:b/>
          <w:bCs/>
          <w:color w:val="000000"/>
        </w:rPr>
        <w:t>4.8</w:t>
      </w:r>
      <w:r w:rsidRPr="003D5DFA">
        <w:rPr>
          <w:rFonts w:ascii="Arial" w:hAnsi="Arial" w:cs="Arial"/>
          <w:b/>
          <w:bCs/>
          <w:color w:val="000000"/>
        </w:rPr>
        <w:tab/>
        <w:t>Conduct of proceedings in Family Division</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4E68DB15" w14:textId="77777777" w:rsidR="00693223" w:rsidRPr="003D5DFA" w:rsidRDefault="00693223">
      <w:pPr>
        <w:jc w:val="both"/>
        <w:rPr>
          <w:rFonts w:ascii="Arial" w:hAnsi="Arial" w:cs="Arial"/>
          <w:color w:val="000000"/>
        </w:rPr>
      </w:pPr>
      <w:bookmarkStart w:id="1104" w:name="_Toc30654118"/>
      <w:bookmarkStart w:id="1105" w:name="_Toc30654469"/>
      <w:bookmarkStart w:id="1106" w:name="_Toc30655088"/>
      <w:bookmarkStart w:id="1107" w:name="_Toc30655345"/>
      <w:bookmarkStart w:id="1108" w:name="_Toc30657023"/>
      <w:bookmarkStart w:id="1109" w:name="_Toc30661772"/>
      <w:bookmarkStart w:id="1110" w:name="_Toc30666460"/>
      <w:bookmarkStart w:id="1111" w:name="_Toc30666690"/>
      <w:bookmarkStart w:id="1112" w:name="_Toc30667865"/>
      <w:bookmarkStart w:id="1113" w:name="_Toc30669243"/>
      <w:bookmarkStart w:id="1114" w:name="_Toc30671459"/>
      <w:bookmarkStart w:id="1115" w:name="_Toc30673986"/>
      <w:bookmarkStart w:id="1116" w:name="_Toc30691208"/>
      <w:bookmarkStart w:id="1117" w:name="_Toc30691581"/>
      <w:bookmarkStart w:id="1118" w:name="_Toc30691961"/>
      <w:bookmarkStart w:id="1119" w:name="_Toc30692720"/>
      <w:bookmarkStart w:id="1120" w:name="_Toc30693099"/>
      <w:bookmarkStart w:id="1121" w:name="_Toc30693477"/>
      <w:bookmarkStart w:id="1122" w:name="_Toc30693855"/>
      <w:bookmarkStart w:id="1123" w:name="_Toc30694236"/>
      <w:bookmarkStart w:id="1124" w:name="_Toc30698825"/>
      <w:bookmarkStart w:id="1125" w:name="_Toc30699203"/>
      <w:bookmarkStart w:id="1126" w:name="_Toc30699588"/>
      <w:bookmarkStart w:id="1127" w:name="_Toc30700743"/>
      <w:bookmarkStart w:id="1128" w:name="_Toc30701130"/>
      <w:bookmarkStart w:id="1129" w:name="_Toc30743739"/>
      <w:bookmarkStart w:id="1130" w:name="_Toc30754562"/>
      <w:bookmarkStart w:id="1131" w:name="_Toc30757002"/>
      <w:bookmarkStart w:id="1132" w:name="_Toc30757551"/>
      <w:bookmarkStart w:id="1133" w:name="_Toc30757951"/>
      <w:bookmarkStart w:id="1134" w:name="_Toc30762712"/>
      <w:bookmarkStart w:id="1135" w:name="_Toc30767366"/>
      <w:bookmarkStart w:id="1136" w:name="_Toc34823381"/>
    </w:p>
    <w:p w14:paraId="27A9A540" w14:textId="77777777" w:rsidR="00693223" w:rsidRPr="003D5DFA" w:rsidRDefault="00693223">
      <w:pPr>
        <w:pStyle w:val="Heading3"/>
        <w:spacing w:after="120" w:line="240" w:lineRule="auto"/>
        <w:rPr>
          <w:rFonts w:ascii="Arial" w:hAnsi="Arial" w:cs="Arial"/>
          <w:color w:val="000000"/>
          <w:sz w:val="16"/>
        </w:rPr>
      </w:pPr>
      <w:bookmarkStart w:id="1137" w:name="_4.8.1_Informal_procedure"/>
      <w:bookmarkStart w:id="1138" w:name="B481"/>
      <w:bookmarkEnd w:id="1137"/>
      <w:bookmarkEnd w:id="1138"/>
      <w:r w:rsidRPr="003D5DFA">
        <w:rPr>
          <w:rFonts w:ascii="Arial" w:hAnsi="Arial" w:cs="Arial"/>
          <w:b/>
          <w:bCs/>
          <w:color w:val="000000"/>
          <w:sz w:val="20"/>
        </w:rPr>
        <w:t>4.8.1</w:t>
      </w:r>
      <w:r w:rsidRPr="003D5DFA">
        <w:rPr>
          <w:rFonts w:ascii="Arial" w:hAnsi="Arial" w:cs="Arial"/>
          <w:b/>
          <w:bCs/>
          <w:color w:val="000000"/>
          <w:sz w:val="20"/>
        </w:rPr>
        <w:tab/>
        <w:t>Informal</w:t>
      </w:r>
      <w:bookmarkEnd w:id="1104"/>
      <w:r w:rsidRPr="003D5DFA">
        <w:rPr>
          <w:rFonts w:ascii="Arial" w:hAnsi="Arial" w:cs="Arial"/>
          <w:b/>
          <w:bCs/>
          <w:color w:val="000000"/>
          <w:sz w:val="20"/>
        </w:rPr>
        <w:t xml:space="preserve"> procedure</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14:paraId="32354A57" w14:textId="77777777" w:rsidR="00693223" w:rsidRPr="003D5DFA" w:rsidRDefault="00693223">
      <w:pPr>
        <w:jc w:val="both"/>
        <w:rPr>
          <w:rFonts w:ascii="Arial" w:hAnsi="Arial" w:cs="Arial"/>
          <w:color w:val="000000"/>
          <w:sz w:val="20"/>
        </w:rPr>
      </w:pPr>
      <w:r w:rsidRPr="003D5DFA">
        <w:rPr>
          <w:rFonts w:ascii="Arial" w:hAnsi="Arial" w:cs="Arial"/>
          <w:color w:val="000000"/>
          <w:sz w:val="20"/>
        </w:rPr>
        <w:t>In addition to-</w:t>
      </w:r>
    </w:p>
    <w:p w14:paraId="4171A706" w14:textId="77777777" w:rsidR="00693223" w:rsidRPr="003D5DFA" w:rsidRDefault="00693223" w:rsidP="00BA6FBE">
      <w:pPr>
        <w:numPr>
          <w:ilvl w:val="0"/>
          <w:numId w:val="8"/>
        </w:numPr>
        <w:jc w:val="both"/>
        <w:rPr>
          <w:rFonts w:ascii="Arial" w:hAnsi="Arial" w:cs="Arial"/>
          <w:color w:val="000000"/>
          <w:sz w:val="20"/>
        </w:rPr>
      </w:pPr>
      <w:r w:rsidRPr="003D5DFA">
        <w:rPr>
          <w:rFonts w:ascii="Arial" w:hAnsi="Arial" w:cs="Arial"/>
          <w:color w:val="000000"/>
          <w:sz w:val="20"/>
        </w:rPr>
        <w:t xml:space="preserve">following the </w:t>
      </w:r>
      <w:r w:rsidR="00BD26FA" w:rsidRPr="003D5DFA">
        <w:rPr>
          <w:rFonts w:ascii="Arial" w:hAnsi="Arial" w:cs="Arial"/>
          <w:color w:val="000000"/>
          <w:sz w:val="20"/>
        </w:rPr>
        <w:t>p</w:t>
      </w:r>
      <w:r w:rsidRPr="003D5DFA">
        <w:rPr>
          <w:rFonts w:ascii="Arial" w:hAnsi="Arial" w:cs="Arial"/>
          <w:color w:val="000000"/>
          <w:sz w:val="20"/>
        </w:rPr>
        <w:t>roced</w:t>
      </w:r>
      <w:r w:rsidR="00BD26FA" w:rsidRPr="003D5DFA">
        <w:rPr>
          <w:rFonts w:ascii="Arial" w:hAnsi="Arial" w:cs="Arial"/>
          <w:color w:val="000000"/>
          <w:sz w:val="20"/>
        </w:rPr>
        <w:t>ural guidelines set out in s.522</w:t>
      </w:r>
      <w:r w:rsidRPr="003D5DFA">
        <w:rPr>
          <w:rFonts w:ascii="Arial" w:hAnsi="Arial" w:cs="Arial"/>
          <w:color w:val="000000"/>
          <w:sz w:val="20"/>
        </w:rPr>
        <w:t xml:space="preserve"> of the CY</w:t>
      </w:r>
      <w:r w:rsidR="00BD26FA" w:rsidRPr="003D5DFA">
        <w:rPr>
          <w:rFonts w:ascii="Arial" w:hAnsi="Arial" w:cs="Arial"/>
          <w:color w:val="000000"/>
          <w:sz w:val="20"/>
        </w:rPr>
        <w:t>F</w:t>
      </w:r>
      <w:r w:rsidRPr="003D5DFA">
        <w:rPr>
          <w:rFonts w:ascii="Arial" w:hAnsi="Arial" w:cs="Arial"/>
          <w:color w:val="000000"/>
          <w:sz w:val="20"/>
        </w:rPr>
        <w:t>A; and</w:t>
      </w:r>
    </w:p>
    <w:p w14:paraId="40216C98" w14:textId="77777777" w:rsidR="00693223" w:rsidRPr="003D5DFA" w:rsidRDefault="00BD26FA" w:rsidP="00BA6FBE">
      <w:pPr>
        <w:numPr>
          <w:ilvl w:val="0"/>
          <w:numId w:val="8"/>
        </w:numPr>
        <w:jc w:val="both"/>
        <w:rPr>
          <w:rFonts w:ascii="Arial" w:hAnsi="Arial" w:cs="Arial"/>
          <w:color w:val="000000"/>
          <w:sz w:val="20"/>
        </w:rPr>
      </w:pPr>
      <w:r w:rsidRPr="003D5DFA">
        <w:rPr>
          <w:rFonts w:ascii="Arial" w:hAnsi="Arial" w:cs="Arial"/>
          <w:color w:val="000000"/>
          <w:sz w:val="20"/>
        </w:rPr>
        <w:t>giving a plain and simple e</w:t>
      </w:r>
      <w:r w:rsidR="00693223" w:rsidRPr="003D5DFA">
        <w:rPr>
          <w:rFonts w:ascii="Arial" w:hAnsi="Arial" w:cs="Arial"/>
          <w:color w:val="000000"/>
          <w:sz w:val="20"/>
        </w:rPr>
        <w:t>xplanation of and reasons for orders as required by s.</w:t>
      </w:r>
      <w:r w:rsidRPr="003D5DFA">
        <w:rPr>
          <w:rFonts w:ascii="Arial" w:hAnsi="Arial" w:cs="Arial"/>
          <w:color w:val="000000"/>
          <w:sz w:val="20"/>
        </w:rPr>
        <w:t>527</w:t>
      </w:r>
      <w:r w:rsidR="00693223" w:rsidRPr="003D5DFA">
        <w:rPr>
          <w:rFonts w:ascii="Arial" w:hAnsi="Arial" w:cs="Arial"/>
          <w:color w:val="000000"/>
          <w:sz w:val="20"/>
        </w:rPr>
        <w:t>-</w:t>
      </w:r>
    </w:p>
    <w:p w14:paraId="5D4FCDC5" w14:textId="77777777" w:rsidR="00965A23" w:rsidRDefault="00693223">
      <w:pPr>
        <w:ind w:left="60"/>
        <w:jc w:val="both"/>
        <w:rPr>
          <w:rFonts w:ascii="Arial" w:hAnsi="Arial" w:cs="Arial"/>
          <w:sz w:val="20"/>
          <w:szCs w:val="20"/>
        </w:rPr>
      </w:pPr>
      <w:r w:rsidRPr="003D5DFA">
        <w:rPr>
          <w:rFonts w:ascii="Arial" w:hAnsi="Arial" w:cs="Arial"/>
          <w:color w:val="000000"/>
          <w:sz w:val="20"/>
          <w:szCs w:val="20"/>
        </w:rPr>
        <w:t>a judicial officer hearing a proceeding in the Family Division of the Court is required to conduct the proceeding in an informal manner and without regard to legal forms: ss.</w:t>
      </w:r>
      <w:r w:rsidR="00BD26FA" w:rsidRPr="003D5DFA">
        <w:rPr>
          <w:rFonts w:ascii="Arial" w:hAnsi="Arial" w:cs="Arial"/>
          <w:color w:val="000000"/>
          <w:sz w:val="20"/>
          <w:szCs w:val="20"/>
        </w:rPr>
        <w:t>215</w:t>
      </w:r>
      <w:r w:rsidRPr="003D5DFA">
        <w:rPr>
          <w:rFonts w:ascii="Arial" w:hAnsi="Arial" w:cs="Arial"/>
          <w:color w:val="000000"/>
          <w:sz w:val="20"/>
          <w:szCs w:val="20"/>
        </w:rPr>
        <w:t>(1)(a)</w:t>
      </w:r>
      <w:r w:rsidRPr="00EE4465">
        <w:rPr>
          <w:rFonts w:ascii="Arial" w:hAnsi="Arial" w:cs="Arial"/>
          <w:sz w:val="20"/>
          <w:szCs w:val="20"/>
        </w:rPr>
        <w:t xml:space="preserve"> &amp; </w:t>
      </w:r>
      <w:r w:rsidR="00A5281F" w:rsidRPr="00EE4465">
        <w:rPr>
          <w:rFonts w:ascii="Arial" w:hAnsi="Arial" w:cs="Arial"/>
          <w:sz w:val="20"/>
          <w:szCs w:val="20"/>
        </w:rPr>
        <w:t>215</w:t>
      </w:r>
      <w:r w:rsidRPr="00EE4465">
        <w:rPr>
          <w:rFonts w:ascii="Arial" w:hAnsi="Arial" w:cs="Arial"/>
          <w:sz w:val="20"/>
          <w:szCs w:val="20"/>
        </w:rPr>
        <w:t>(1)(b) of the CY</w:t>
      </w:r>
      <w:r w:rsidR="00BD26FA" w:rsidRPr="00EE4465">
        <w:rPr>
          <w:rFonts w:ascii="Arial" w:hAnsi="Arial" w:cs="Arial"/>
          <w:sz w:val="20"/>
          <w:szCs w:val="20"/>
        </w:rPr>
        <w:t>F</w:t>
      </w:r>
      <w:r w:rsidRPr="00EE4465">
        <w:rPr>
          <w:rFonts w:ascii="Arial" w:hAnsi="Arial" w:cs="Arial"/>
          <w:sz w:val="20"/>
          <w:szCs w:val="20"/>
        </w:rPr>
        <w:t>A.</w:t>
      </w:r>
      <w:r w:rsidR="005C0020" w:rsidRPr="00EE4465">
        <w:rPr>
          <w:rFonts w:ascii="Arial" w:hAnsi="Arial" w:cs="Arial"/>
          <w:sz w:val="20"/>
          <w:szCs w:val="20"/>
        </w:rPr>
        <w:t xml:space="preserve">  </w:t>
      </w:r>
      <w:r w:rsidR="00EE4465">
        <w:rPr>
          <w:rFonts w:ascii="Arial" w:hAnsi="Arial" w:cs="Arial"/>
          <w:sz w:val="20"/>
          <w:szCs w:val="20"/>
        </w:rPr>
        <w:t>However, t</w:t>
      </w:r>
      <w:r w:rsidR="005C0020" w:rsidRPr="00EE4465">
        <w:rPr>
          <w:rFonts w:ascii="Arial" w:hAnsi="Arial" w:cs="Arial"/>
          <w:sz w:val="20"/>
          <w:szCs w:val="20"/>
        </w:rPr>
        <w:t>hese broad sounding provisions do not</w:t>
      </w:r>
      <w:r w:rsidR="00EE4465">
        <w:rPr>
          <w:rFonts w:ascii="Arial" w:hAnsi="Arial" w:cs="Arial"/>
          <w:sz w:val="20"/>
          <w:szCs w:val="20"/>
        </w:rPr>
        <w:t xml:space="preserve"> </w:t>
      </w:r>
      <w:r w:rsidR="005C0020" w:rsidRPr="00EE4465">
        <w:rPr>
          <w:rFonts w:ascii="Arial" w:hAnsi="Arial" w:cs="Arial"/>
          <w:sz w:val="20"/>
          <w:szCs w:val="20"/>
        </w:rPr>
        <w:t xml:space="preserve">authorize a judicial officer to depart from the procedures followed by courts acting judicially.  They do not authorize the application of ‘palm tree justice’.  See </w:t>
      </w:r>
      <w:r w:rsidR="00287157" w:rsidRPr="00EE4465">
        <w:rPr>
          <w:rFonts w:ascii="Arial" w:hAnsi="Arial" w:cs="Arial"/>
          <w:i/>
          <w:sz w:val="20"/>
          <w:szCs w:val="20"/>
        </w:rPr>
        <w:t>DOHS v Ms B &amp; Mr G</w:t>
      </w:r>
      <w:r w:rsidR="00287157" w:rsidRPr="00EE4465">
        <w:rPr>
          <w:rFonts w:ascii="Arial" w:hAnsi="Arial" w:cs="Arial"/>
          <w:sz w:val="20"/>
          <w:szCs w:val="20"/>
        </w:rPr>
        <w:t xml:space="preserve"> [2008</w:t>
      </w:r>
      <w:r w:rsidR="00965A23">
        <w:rPr>
          <w:rFonts w:ascii="Arial" w:hAnsi="Arial" w:cs="Arial"/>
          <w:sz w:val="20"/>
          <w:szCs w:val="20"/>
        </w:rPr>
        <w:t xml:space="preserve">] </w:t>
      </w:r>
      <w:proofErr w:type="spellStart"/>
      <w:r w:rsidR="00C74768">
        <w:rPr>
          <w:rFonts w:ascii="Arial" w:hAnsi="Arial" w:cs="Arial"/>
          <w:sz w:val="20"/>
          <w:szCs w:val="20"/>
        </w:rPr>
        <w:t>VChC</w:t>
      </w:r>
      <w:proofErr w:type="spellEnd"/>
      <w:r w:rsidR="00C74768">
        <w:rPr>
          <w:rFonts w:ascii="Arial" w:hAnsi="Arial" w:cs="Arial"/>
          <w:sz w:val="20"/>
          <w:szCs w:val="20"/>
        </w:rPr>
        <w:t xml:space="preserve"> 1 </w:t>
      </w:r>
      <w:r w:rsidR="00965A23">
        <w:rPr>
          <w:rFonts w:ascii="Arial" w:hAnsi="Arial" w:cs="Arial"/>
          <w:sz w:val="20"/>
          <w:szCs w:val="20"/>
        </w:rPr>
        <w:t>at</w:t>
      </w:r>
      <w:r w:rsidR="000F6283" w:rsidRPr="00EE4465">
        <w:rPr>
          <w:rFonts w:ascii="Arial" w:hAnsi="Arial" w:cs="Arial"/>
          <w:sz w:val="20"/>
          <w:szCs w:val="20"/>
        </w:rPr>
        <w:t xml:space="preserve"> pp.</w:t>
      </w:r>
      <w:r w:rsidR="00965A23">
        <w:rPr>
          <w:rFonts w:ascii="Arial" w:hAnsi="Arial" w:cs="Arial"/>
          <w:sz w:val="20"/>
          <w:szCs w:val="20"/>
        </w:rPr>
        <w:t>27-28</w:t>
      </w:r>
      <w:r w:rsidR="00287157" w:rsidRPr="00EE4465">
        <w:rPr>
          <w:rFonts w:ascii="Arial" w:hAnsi="Arial" w:cs="Arial"/>
          <w:sz w:val="20"/>
          <w:szCs w:val="20"/>
        </w:rPr>
        <w:t xml:space="preserve"> and see the discussion in </w:t>
      </w:r>
      <w:r w:rsidR="006054BD" w:rsidRPr="00A40A28">
        <w:rPr>
          <w:rFonts w:ascii="Arial" w:hAnsi="Arial" w:cs="Arial"/>
          <w:b/>
          <w:bCs/>
          <w:sz w:val="20"/>
          <w:szCs w:val="20"/>
          <w:shd w:val="clear" w:color="auto" w:fill="C5E0B3"/>
        </w:rPr>
        <w:t>section 3.5.6</w:t>
      </w:r>
      <w:r w:rsidR="006054BD">
        <w:rPr>
          <w:rFonts w:ascii="Arial" w:hAnsi="Arial" w:cs="Arial"/>
          <w:sz w:val="20"/>
          <w:szCs w:val="20"/>
        </w:rPr>
        <w:t xml:space="preserve"> of these Research Materials</w:t>
      </w:r>
      <w:r w:rsidR="00287157" w:rsidRPr="00EE4465">
        <w:rPr>
          <w:rFonts w:ascii="Arial" w:hAnsi="Arial" w:cs="Arial"/>
          <w:sz w:val="20"/>
          <w:szCs w:val="20"/>
        </w:rPr>
        <w:t>.</w:t>
      </w:r>
    </w:p>
    <w:p w14:paraId="5995F481" w14:textId="77777777" w:rsidR="00965A23" w:rsidRDefault="00965A23">
      <w:pPr>
        <w:ind w:left="60"/>
        <w:jc w:val="both"/>
        <w:rPr>
          <w:rFonts w:ascii="Arial" w:hAnsi="Arial" w:cs="Arial"/>
          <w:sz w:val="20"/>
          <w:szCs w:val="20"/>
        </w:rPr>
      </w:pPr>
    </w:p>
    <w:p w14:paraId="68D1CEF4" w14:textId="28B47423" w:rsidR="00595EDE" w:rsidRDefault="003D4BCE" w:rsidP="003D4BCE">
      <w:pPr>
        <w:tabs>
          <w:tab w:val="left" w:pos="363"/>
        </w:tabs>
        <w:spacing w:before="60"/>
        <w:jc w:val="both"/>
        <w:rPr>
          <w:rFonts w:ascii="Arial" w:hAnsi="Arial" w:cs="Arial"/>
          <w:sz w:val="20"/>
          <w:szCs w:val="20"/>
        </w:rPr>
      </w:pPr>
      <w:r>
        <w:rPr>
          <w:rFonts w:ascii="Arial" w:hAnsi="Arial" w:cs="Arial"/>
          <w:color w:val="000000"/>
          <w:sz w:val="20"/>
        </w:rPr>
        <w:t>As from 01/12/2013 s.215B of the CYFA</w:t>
      </w:r>
      <w:r w:rsidRPr="003D4BCE">
        <w:rPr>
          <w:rFonts w:ascii="Arial" w:hAnsi="Arial" w:cs="Arial"/>
          <w:color w:val="000000"/>
          <w:sz w:val="20"/>
        </w:rPr>
        <w:t xml:space="preserve"> gives judicial officers much greater power to manage the conduct of </w:t>
      </w:r>
      <w:r w:rsidR="00713DC8">
        <w:rPr>
          <w:rFonts w:ascii="Arial" w:hAnsi="Arial" w:cs="Arial"/>
          <w:color w:val="000000"/>
          <w:sz w:val="20"/>
        </w:rPr>
        <w:t>child protection</w:t>
      </w:r>
      <w:r w:rsidRPr="003D4BCE">
        <w:rPr>
          <w:rFonts w:ascii="Arial" w:hAnsi="Arial" w:cs="Arial"/>
          <w:color w:val="000000"/>
          <w:sz w:val="20"/>
        </w:rPr>
        <w:t xml:space="preserve"> proceedings</w:t>
      </w:r>
      <w:r>
        <w:rPr>
          <w:rFonts w:ascii="Arial" w:hAnsi="Arial" w:cs="Arial"/>
          <w:color w:val="000000"/>
          <w:sz w:val="20"/>
        </w:rPr>
        <w:t xml:space="preserve"> in a less adversarial way.  </w:t>
      </w:r>
      <w:r w:rsidRPr="003D4BCE">
        <w:rPr>
          <w:rFonts w:ascii="Arial" w:hAnsi="Arial" w:cs="Arial"/>
          <w:color w:val="000000"/>
          <w:sz w:val="20"/>
          <w:szCs w:val="20"/>
        </w:rPr>
        <w:t xml:space="preserve">The </w:t>
      </w:r>
      <w:r w:rsidRPr="003D4BCE">
        <w:rPr>
          <w:rFonts w:ascii="Arial" w:hAnsi="Arial" w:cs="Arial"/>
          <w:sz w:val="20"/>
          <w:szCs w:val="20"/>
        </w:rPr>
        <w:t xml:space="preserve">heading of s.215B is </w:t>
      </w:r>
      <w:r w:rsidRPr="006D5EC2">
        <w:rPr>
          <w:rFonts w:ascii="Arial" w:hAnsi="Arial" w:cs="Arial"/>
          <w:sz w:val="20"/>
          <w:szCs w:val="20"/>
        </w:rPr>
        <w:t xml:space="preserve">“Management of </w:t>
      </w:r>
      <w:r w:rsidR="005832E7" w:rsidRPr="006D5EC2">
        <w:rPr>
          <w:rFonts w:ascii="Arial" w:hAnsi="Arial" w:cs="Arial"/>
          <w:sz w:val="20"/>
          <w:szCs w:val="20"/>
        </w:rPr>
        <w:t>child protection proceedings”</w:t>
      </w:r>
      <w:r w:rsidR="005832E7">
        <w:rPr>
          <w:rFonts w:ascii="Arial" w:hAnsi="Arial" w:cs="Arial"/>
          <w:sz w:val="20"/>
          <w:szCs w:val="20"/>
        </w:rPr>
        <w:t xml:space="preserve"> </w:t>
      </w:r>
      <w:r w:rsidR="006054BD">
        <w:rPr>
          <w:rFonts w:ascii="Arial" w:hAnsi="Arial" w:cs="Arial"/>
          <w:sz w:val="20"/>
          <w:szCs w:val="20"/>
        </w:rPr>
        <w:t>but</w:t>
      </w:r>
      <w:r w:rsidR="005832E7">
        <w:rPr>
          <w:rFonts w:ascii="Arial" w:hAnsi="Arial" w:cs="Arial"/>
          <w:sz w:val="20"/>
          <w:szCs w:val="20"/>
        </w:rPr>
        <w:t xml:space="preserve"> the section refers to “any proceeding before the Family Division </w:t>
      </w:r>
      <w:r w:rsidR="005832E7" w:rsidRPr="006D5EC2">
        <w:rPr>
          <w:rFonts w:ascii="Arial" w:hAnsi="Arial" w:cs="Arial"/>
          <w:sz w:val="20"/>
          <w:szCs w:val="20"/>
        </w:rPr>
        <w:t>under this Act”</w:t>
      </w:r>
      <w:r w:rsidR="005832E7">
        <w:rPr>
          <w:rFonts w:ascii="Arial" w:hAnsi="Arial" w:cs="Arial"/>
          <w:sz w:val="20"/>
          <w:szCs w:val="20"/>
        </w:rPr>
        <w:t xml:space="preserve">.  Although the wording </w:t>
      </w:r>
      <w:r w:rsidR="00A8112F">
        <w:rPr>
          <w:rFonts w:ascii="Arial" w:hAnsi="Arial" w:cs="Arial"/>
          <w:sz w:val="20"/>
          <w:szCs w:val="20"/>
        </w:rPr>
        <w:t xml:space="preserve">of </w:t>
      </w:r>
      <w:r w:rsidR="0093104F">
        <w:rPr>
          <w:rFonts w:ascii="Arial" w:hAnsi="Arial" w:cs="Arial"/>
          <w:sz w:val="20"/>
          <w:szCs w:val="20"/>
        </w:rPr>
        <w:t>s.215B</w:t>
      </w:r>
      <w:r w:rsidR="00A8112F">
        <w:rPr>
          <w:rFonts w:ascii="Arial" w:hAnsi="Arial" w:cs="Arial"/>
          <w:sz w:val="20"/>
          <w:szCs w:val="20"/>
        </w:rPr>
        <w:t xml:space="preserve"> </w:t>
      </w:r>
      <w:r w:rsidR="005832E7">
        <w:rPr>
          <w:rFonts w:ascii="Arial" w:hAnsi="Arial" w:cs="Arial"/>
          <w:sz w:val="20"/>
          <w:szCs w:val="20"/>
        </w:rPr>
        <w:t xml:space="preserve">is ambiguous, the writer has been advised that </w:t>
      </w:r>
      <w:r w:rsidR="0093104F">
        <w:rPr>
          <w:rFonts w:ascii="Arial" w:hAnsi="Arial" w:cs="Arial"/>
          <w:sz w:val="20"/>
          <w:szCs w:val="20"/>
        </w:rPr>
        <w:t>it</w:t>
      </w:r>
      <w:r w:rsidR="005832E7">
        <w:rPr>
          <w:rFonts w:ascii="Arial" w:hAnsi="Arial" w:cs="Arial"/>
          <w:sz w:val="20"/>
          <w:szCs w:val="20"/>
        </w:rPr>
        <w:t xml:space="preserve"> was intended to be read within the context of the section heading which restricts its operation to child protection p</w:t>
      </w:r>
      <w:r w:rsidR="00713DC8">
        <w:rPr>
          <w:rFonts w:ascii="Arial" w:hAnsi="Arial" w:cs="Arial"/>
          <w:sz w:val="20"/>
          <w:szCs w:val="20"/>
        </w:rPr>
        <w:t xml:space="preserve">roceedings and </w:t>
      </w:r>
      <w:r w:rsidR="006D5EC2">
        <w:rPr>
          <w:rFonts w:ascii="Arial" w:hAnsi="Arial" w:cs="Arial"/>
          <w:sz w:val="20"/>
          <w:szCs w:val="20"/>
        </w:rPr>
        <w:t xml:space="preserve">that </w:t>
      </w:r>
      <w:r w:rsidR="006054BD">
        <w:rPr>
          <w:rFonts w:ascii="Arial" w:hAnsi="Arial" w:cs="Arial"/>
          <w:sz w:val="20"/>
          <w:szCs w:val="20"/>
        </w:rPr>
        <w:t xml:space="preserve">it </w:t>
      </w:r>
      <w:r w:rsidR="00713DC8">
        <w:rPr>
          <w:rFonts w:ascii="Arial" w:hAnsi="Arial" w:cs="Arial"/>
          <w:sz w:val="20"/>
          <w:szCs w:val="20"/>
        </w:rPr>
        <w:t xml:space="preserve">does not apply to the conduct of </w:t>
      </w:r>
      <w:r w:rsidR="005832E7">
        <w:rPr>
          <w:rFonts w:ascii="Arial" w:hAnsi="Arial" w:cs="Arial"/>
          <w:sz w:val="20"/>
          <w:szCs w:val="20"/>
        </w:rPr>
        <w:t>intervention order proceedings.</w:t>
      </w:r>
      <w:r w:rsidR="006D5EC2">
        <w:rPr>
          <w:rFonts w:ascii="Arial" w:hAnsi="Arial" w:cs="Arial"/>
          <w:sz w:val="20"/>
          <w:szCs w:val="20"/>
        </w:rPr>
        <w:t xml:space="preserve">  </w:t>
      </w:r>
      <w:r w:rsidR="006054BD">
        <w:rPr>
          <w:rFonts w:ascii="Arial" w:hAnsi="Arial" w:cs="Arial"/>
          <w:sz w:val="20"/>
          <w:szCs w:val="20"/>
        </w:rPr>
        <w:t xml:space="preserve">How </w:t>
      </w:r>
      <w:r w:rsidR="00483E20">
        <w:rPr>
          <w:rFonts w:ascii="Arial" w:hAnsi="Arial" w:cs="Arial"/>
          <w:sz w:val="20"/>
          <w:szCs w:val="20"/>
        </w:rPr>
        <w:t xml:space="preserve">in </w:t>
      </w:r>
      <w:r w:rsidR="006D5EC2">
        <w:rPr>
          <w:rFonts w:ascii="Arial" w:hAnsi="Arial" w:cs="Arial"/>
          <w:sz w:val="20"/>
          <w:szCs w:val="20"/>
        </w:rPr>
        <w:t>fact</w:t>
      </w:r>
      <w:r w:rsidR="00483E20">
        <w:rPr>
          <w:rFonts w:ascii="Arial" w:hAnsi="Arial" w:cs="Arial"/>
          <w:sz w:val="20"/>
          <w:szCs w:val="20"/>
        </w:rPr>
        <w:t xml:space="preserve"> </w:t>
      </w:r>
      <w:r w:rsidR="006054BD">
        <w:rPr>
          <w:rFonts w:ascii="Arial" w:hAnsi="Arial" w:cs="Arial"/>
          <w:sz w:val="20"/>
          <w:szCs w:val="20"/>
        </w:rPr>
        <w:t xml:space="preserve">the Court is </w:t>
      </w:r>
      <w:r w:rsidR="00483E20">
        <w:rPr>
          <w:rFonts w:ascii="Arial" w:hAnsi="Arial" w:cs="Arial"/>
          <w:sz w:val="20"/>
          <w:szCs w:val="20"/>
        </w:rPr>
        <w:t xml:space="preserve">expected </w:t>
      </w:r>
      <w:r w:rsidR="006054BD">
        <w:rPr>
          <w:rFonts w:ascii="Arial" w:hAnsi="Arial" w:cs="Arial"/>
          <w:sz w:val="20"/>
          <w:szCs w:val="20"/>
        </w:rPr>
        <w:t xml:space="preserve">to </w:t>
      </w:r>
      <w:r w:rsidR="005275AD">
        <w:rPr>
          <w:rFonts w:ascii="Arial" w:hAnsi="Arial" w:cs="Arial"/>
          <w:sz w:val="20"/>
          <w:szCs w:val="20"/>
        </w:rPr>
        <w:t>manage</w:t>
      </w:r>
      <w:r w:rsidR="006054BD">
        <w:rPr>
          <w:rFonts w:ascii="Arial" w:hAnsi="Arial" w:cs="Arial"/>
          <w:sz w:val="20"/>
          <w:szCs w:val="20"/>
        </w:rPr>
        <w:t xml:space="preserve"> joint child protection and intervention order proceedings is </w:t>
      </w:r>
      <w:r w:rsidR="00BC54E3">
        <w:rPr>
          <w:rFonts w:ascii="Arial" w:hAnsi="Arial" w:cs="Arial"/>
          <w:sz w:val="20"/>
          <w:szCs w:val="20"/>
        </w:rPr>
        <w:t>un</w:t>
      </w:r>
      <w:r w:rsidR="006054BD">
        <w:rPr>
          <w:rFonts w:ascii="Arial" w:hAnsi="Arial" w:cs="Arial"/>
          <w:sz w:val="20"/>
          <w:szCs w:val="20"/>
        </w:rPr>
        <w:t>clear.</w:t>
      </w:r>
    </w:p>
    <w:p w14:paraId="53FD5B87" w14:textId="77777777" w:rsidR="003D4BCE" w:rsidRDefault="003D4BCE" w:rsidP="00DF3289">
      <w:pPr>
        <w:tabs>
          <w:tab w:val="left" w:pos="363"/>
        </w:tabs>
        <w:spacing w:before="60" w:line="240" w:lineRule="exact"/>
        <w:ind w:left="363" w:hanging="363"/>
        <w:jc w:val="both"/>
        <w:rPr>
          <w:rFonts w:ascii="Arial" w:hAnsi="Arial" w:cs="Arial"/>
          <w:color w:val="000000"/>
          <w:sz w:val="20"/>
        </w:rPr>
      </w:pPr>
      <w:r>
        <w:rPr>
          <w:rFonts w:ascii="Arial" w:hAnsi="Arial" w:cs="Arial"/>
          <w:color w:val="000000"/>
          <w:sz w:val="20"/>
        </w:rPr>
        <w:t>Section 215B provides:</w:t>
      </w:r>
    </w:p>
    <w:p w14:paraId="39AD31AB" w14:textId="0C5B811C" w:rsidR="003D4BCE" w:rsidRPr="003D4BCE" w:rsidRDefault="003D4BCE" w:rsidP="00DF3289">
      <w:pPr>
        <w:tabs>
          <w:tab w:val="left" w:pos="363"/>
        </w:tabs>
        <w:spacing w:before="60" w:line="240" w:lineRule="exact"/>
        <w:ind w:left="363" w:hanging="363"/>
        <w:jc w:val="both"/>
        <w:rPr>
          <w:rFonts w:ascii="Arial" w:hAnsi="Arial" w:cs="Arial"/>
          <w:color w:val="000000"/>
          <w:sz w:val="20"/>
        </w:rPr>
      </w:pPr>
      <w:r w:rsidRPr="003D4BCE">
        <w:rPr>
          <w:rFonts w:ascii="Arial" w:hAnsi="Arial" w:cs="Arial"/>
          <w:color w:val="000000"/>
          <w:sz w:val="20"/>
        </w:rPr>
        <w:t>“</w:t>
      </w:r>
      <w:r w:rsidR="004C770E">
        <w:rPr>
          <w:rFonts w:ascii="Arial" w:hAnsi="Arial" w:cs="Arial"/>
          <w:color w:val="000000"/>
          <w:sz w:val="20"/>
        </w:rPr>
        <w:t xml:space="preserve">(1) Without limiting </w:t>
      </w:r>
      <w:r w:rsidR="009E0C33">
        <w:rPr>
          <w:rFonts w:ascii="Arial" w:hAnsi="Arial" w:cs="Arial"/>
          <w:color w:val="000000"/>
          <w:sz w:val="20"/>
        </w:rPr>
        <w:t>Part 1.1B [</w:t>
      </w:r>
      <w:r w:rsidR="00097C38">
        <w:rPr>
          <w:rFonts w:ascii="Arial" w:hAnsi="Arial" w:cs="Arial"/>
          <w:color w:val="000000"/>
          <w:sz w:val="20"/>
        </w:rPr>
        <w:t>Recognition principles for Aboriginal children and families</w:t>
      </w:r>
      <w:r w:rsidR="009E0C33">
        <w:rPr>
          <w:rFonts w:ascii="Arial" w:hAnsi="Arial" w:cs="Arial"/>
          <w:color w:val="000000"/>
          <w:sz w:val="20"/>
        </w:rPr>
        <w:t xml:space="preserve">] or </w:t>
      </w:r>
      <w:r w:rsidR="004C770E">
        <w:rPr>
          <w:rFonts w:ascii="Arial" w:hAnsi="Arial" w:cs="Arial"/>
          <w:color w:val="000000"/>
          <w:sz w:val="20"/>
        </w:rPr>
        <w:t>Part 1.2 [b</w:t>
      </w:r>
      <w:r w:rsidRPr="003D4BCE">
        <w:rPr>
          <w:rFonts w:ascii="Arial" w:hAnsi="Arial" w:cs="Arial"/>
          <w:color w:val="000000"/>
          <w:sz w:val="20"/>
        </w:rPr>
        <w:t>est Interests principles] or s.215(1), in any proceeding before the Family Division under this Act, the Court may-</w:t>
      </w:r>
    </w:p>
    <w:p w14:paraId="44574EFA" w14:textId="77777777" w:rsidR="003D4BCE" w:rsidRPr="003D4BCE" w:rsidRDefault="003D4BCE" w:rsidP="003D4BCE">
      <w:pPr>
        <w:tabs>
          <w:tab w:val="left" w:pos="851"/>
        </w:tabs>
        <w:spacing w:line="240" w:lineRule="exact"/>
        <w:ind w:left="714" w:hanging="357"/>
        <w:jc w:val="both"/>
        <w:rPr>
          <w:rFonts w:ascii="Arial" w:hAnsi="Arial" w:cs="Arial"/>
          <w:color w:val="000000"/>
          <w:sz w:val="20"/>
        </w:rPr>
      </w:pPr>
      <w:r w:rsidRPr="003D4BCE">
        <w:rPr>
          <w:rFonts w:ascii="Arial" w:hAnsi="Arial" w:cs="Arial"/>
          <w:color w:val="000000"/>
          <w:sz w:val="20"/>
        </w:rPr>
        <w:t>(a)</w:t>
      </w:r>
      <w:r w:rsidRPr="003D4BCE">
        <w:rPr>
          <w:rFonts w:ascii="Arial" w:hAnsi="Arial" w:cs="Arial"/>
          <w:color w:val="000000"/>
          <w:sz w:val="20"/>
        </w:rPr>
        <w:tab/>
        <w:t>consider the needs of the child and the impact that the proceeding may have on the child;</w:t>
      </w:r>
    </w:p>
    <w:p w14:paraId="647DAF33" w14:textId="77777777" w:rsidR="003D4BCE" w:rsidRPr="003D4BCE" w:rsidRDefault="003D4BCE" w:rsidP="003D4BCE">
      <w:pPr>
        <w:tabs>
          <w:tab w:val="left" w:pos="851"/>
        </w:tabs>
        <w:spacing w:line="240" w:lineRule="exact"/>
        <w:ind w:left="714" w:hanging="357"/>
        <w:jc w:val="both"/>
        <w:rPr>
          <w:rFonts w:ascii="Arial" w:hAnsi="Arial" w:cs="Arial"/>
          <w:color w:val="000000"/>
          <w:sz w:val="20"/>
        </w:rPr>
      </w:pPr>
      <w:r w:rsidRPr="003D4BCE">
        <w:rPr>
          <w:rFonts w:ascii="Arial" w:hAnsi="Arial" w:cs="Arial"/>
          <w:color w:val="000000"/>
          <w:sz w:val="20"/>
        </w:rPr>
        <w:t>(b)</w:t>
      </w:r>
      <w:r w:rsidRPr="003D4BCE">
        <w:rPr>
          <w:rFonts w:ascii="Arial" w:hAnsi="Arial" w:cs="Arial"/>
          <w:color w:val="000000"/>
          <w:sz w:val="20"/>
        </w:rPr>
        <w:tab/>
        <w:t xml:space="preserve">conduct proceedings in a manner that promotes cooperative relationships between the parties; </w:t>
      </w:r>
    </w:p>
    <w:p w14:paraId="44B72453" w14:textId="77777777" w:rsidR="003D4BCE" w:rsidRPr="003D4BCE" w:rsidRDefault="003D4BCE" w:rsidP="003D4BCE">
      <w:pPr>
        <w:tabs>
          <w:tab w:val="left" w:pos="851"/>
        </w:tabs>
        <w:spacing w:line="240" w:lineRule="exact"/>
        <w:ind w:left="714" w:hanging="357"/>
        <w:jc w:val="both"/>
        <w:rPr>
          <w:rFonts w:ascii="Arial" w:hAnsi="Arial" w:cs="Arial"/>
          <w:color w:val="000000"/>
          <w:sz w:val="20"/>
        </w:rPr>
      </w:pPr>
      <w:r w:rsidRPr="003D4BCE">
        <w:rPr>
          <w:rFonts w:ascii="Arial" w:hAnsi="Arial" w:cs="Arial"/>
          <w:color w:val="000000"/>
          <w:sz w:val="20"/>
        </w:rPr>
        <w:t>(c)</w:t>
      </w:r>
      <w:r w:rsidRPr="003D4BCE">
        <w:rPr>
          <w:rFonts w:ascii="Arial" w:hAnsi="Arial" w:cs="Arial"/>
          <w:color w:val="000000"/>
          <w:sz w:val="20"/>
        </w:rPr>
        <w:tab/>
        <w:t>ask any person connected to the proceeding whether that person considers that-</w:t>
      </w:r>
    </w:p>
    <w:p w14:paraId="40F9541A" w14:textId="77777777" w:rsidR="003D4BCE" w:rsidRPr="003D4BCE" w:rsidRDefault="003D4BCE" w:rsidP="003D4BCE">
      <w:pPr>
        <w:tabs>
          <w:tab w:val="left" w:pos="363"/>
        </w:tabs>
        <w:spacing w:line="240" w:lineRule="exact"/>
        <w:ind w:left="1083" w:hanging="363"/>
        <w:jc w:val="both"/>
        <w:rPr>
          <w:rFonts w:ascii="Arial" w:hAnsi="Arial" w:cs="Arial"/>
          <w:color w:val="000000"/>
          <w:sz w:val="20"/>
          <w:lang w:val="en-US"/>
        </w:rPr>
      </w:pPr>
      <w:r w:rsidRPr="003D4BCE">
        <w:rPr>
          <w:rFonts w:ascii="Arial" w:hAnsi="Arial" w:cs="Arial"/>
          <w:color w:val="000000"/>
          <w:sz w:val="20"/>
          <w:lang w:val="en-US"/>
        </w:rPr>
        <w:t>(i)</w:t>
      </w:r>
      <w:r w:rsidRPr="003D4BCE">
        <w:rPr>
          <w:rFonts w:ascii="Arial" w:hAnsi="Arial" w:cs="Arial"/>
          <w:color w:val="000000"/>
          <w:sz w:val="20"/>
          <w:lang w:val="en-US"/>
        </w:rPr>
        <w:tab/>
        <w:t>the child has been, or is at risk of being, subjected to or exposed to abuse, neglect or family violence within the meaning of the</w:t>
      </w:r>
      <w:r>
        <w:rPr>
          <w:rFonts w:ascii="Arial" w:hAnsi="Arial" w:cs="Arial"/>
          <w:color w:val="000000"/>
          <w:sz w:val="20"/>
          <w:lang w:val="en-US"/>
        </w:rPr>
        <w:t xml:space="preserve"> Family Violence Protection Act 2008;</w:t>
      </w:r>
    </w:p>
    <w:p w14:paraId="381C3C04" w14:textId="77777777" w:rsidR="003D4BCE" w:rsidRPr="003D4BCE" w:rsidRDefault="003D4BCE" w:rsidP="003D4BCE">
      <w:pPr>
        <w:tabs>
          <w:tab w:val="left" w:pos="363"/>
        </w:tabs>
        <w:spacing w:line="240" w:lineRule="exact"/>
        <w:ind w:left="1083" w:hanging="363"/>
        <w:jc w:val="both"/>
        <w:rPr>
          <w:rFonts w:ascii="Arial" w:hAnsi="Arial" w:cs="Arial"/>
          <w:color w:val="000000"/>
          <w:sz w:val="20"/>
          <w:lang w:val="en-US"/>
        </w:rPr>
      </w:pPr>
      <w:r w:rsidRPr="003D4BCE">
        <w:rPr>
          <w:rFonts w:ascii="Arial" w:hAnsi="Arial" w:cs="Arial"/>
          <w:color w:val="000000"/>
          <w:sz w:val="20"/>
          <w:lang w:val="en-US"/>
        </w:rPr>
        <w:t>(ii)</w:t>
      </w:r>
      <w:r w:rsidRPr="003D4BCE">
        <w:rPr>
          <w:rFonts w:ascii="Arial" w:hAnsi="Arial" w:cs="Arial"/>
          <w:color w:val="000000"/>
          <w:sz w:val="20"/>
          <w:lang w:val="en-US"/>
        </w:rPr>
        <w:tab/>
        <w:t>he or she or any other person connected to the proceeding has been, or is at risk of being subjected to family violence;</w:t>
      </w:r>
    </w:p>
    <w:p w14:paraId="2E3745BD" w14:textId="77777777" w:rsidR="003D4BCE" w:rsidRP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actively direct, control and manage proceedings;</w:t>
      </w:r>
    </w:p>
    <w:p w14:paraId="197B26CC" w14:textId="77777777" w:rsidR="003D4BCE" w:rsidRP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 xml:space="preserve">narrow the issues in dispute; </w:t>
      </w:r>
    </w:p>
    <w:p w14:paraId="248C305C" w14:textId="77777777" w:rsid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determine the order in which the issues are decided;</w:t>
      </w:r>
    </w:p>
    <w:p w14:paraId="31280181" w14:textId="77777777" w:rsid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give directions or make orders about the timing of steps that are to be taken in proceedings;</w:t>
      </w:r>
    </w:p>
    <w:p w14:paraId="66CE81A9" w14:textId="77777777" w:rsid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in deciding whether a particular step is to be taken, consider whether the likely benefits justify the costs of taking it;</w:t>
      </w:r>
    </w:p>
    <w:p w14:paraId="1B511B65" w14:textId="77777777" w:rsid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make appropriate use of technology, such as videoconferencing;</w:t>
      </w:r>
    </w:p>
    <w:p w14:paraId="1194B3DB" w14:textId="77777777" w:rsid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deal with as many aspects of the matter on a single occasion as possible;</w:t>
      </w:r>
    </w:p>
    <w:p w14:paraId="10C49AF3" w14:textId="77777777" w:rsid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where possible, deal with the matter without requiring the parties attend Court;</w:t>
      </w:r>
    </w:p>
    <w:p w14:paraId="61790D34" w14:textId="77777777" w:rsidR="003D4BCE" w:rsidRPr="003D4BCE" w:rsidRDefault="003D4BCE">
      <w:pPr>
        <w:numPr>
          <w:ilvl w:val="0"/>
          <w:numId w:val="30"/>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do any other thing that the Court thinks fit.”</w:t>
      </w:r>
    </w:p>
    <w:p w14:paraId="7BFC752E" w14:textId="77777777" w:rsidR="003D4BCE" w:rsidRPr="003D4BCE" w:rsidRDefault="003D4BCE" w:rsidP="003D4BCE">
      <w:pPr>
        <w:tabs>
          <w:tab w:val="left" w:pos="363"/>
        </w:tabs>
        <w:spacing w:line="240" w:lineRule="exact"/>
        <w:jc w:val="both"/>
        <w:rPr>
          <w:rFonts w:ascii="Arial" w:hAnsi="Arial" w:cs="Arial"/>
          <w:color w:val="000000"/>
          <w:sz w:val="20"/>
          <w:lang w:val="en-US"/>
        </w:rPr>
      </w:pPr>
    </w:p>
    <w:p w14:paraId="1F285821" w14:textId="198D3D7F" w:rsidR="00E4509A" w:rsidRDefault="00E4509A" w:rsidP="00E4509A">
      <w:pPr>
        <w:tabs>
          <w:tab w:val="left" w:pos="363"/>
        </w:tabs>
        <w:spacing w:line="240" w:lineRule="exact"/>
        <w:jc w:val="both"/>
        <w:rPr>
          <w:rFonts w:ascii="Arial" w:hAnsi="Arial" w:cs="Arial"/>
          <w:color w:val="000000"/>
          <w:sz w:val="20"/>
        </w:rPr>
      </w:pPr>
      <w:r>
        <w:rPr>
          <w:rFonts w:ascii="Arial" w:hAnsi="Arial" w:cs="Arial"/>
          <w:color w:val="000000"/>
          <w:sz w:val="20"/>
        </w:rPr>
        <w:t>It is the writer’s view that, broad as they are, ss.215(1)(a)</w:t>
      </w:r>
      <w:r w:rsidR="00121D44">
        <w:rPr>
          <w:rFonts w:ascii="Arial" w:hAnsi="Arial" w:cs="Arial"/>
          <w:color w:val="000000"/>
          <w:sz w:val="20"/>
        </w:rPr>
        <w:t xml:space="preserve">, </w:t>
      </w:r>
      <w:r>
        <w:rPr>
          <w:rFonts w:ascii="Arial" w:hAnsi="Arial" w:cs="Arial"/>
          <w:color w:val="000000"/>
          <w:sz w:val="20"/>
        </w:rPr>
        <w:t xml:space="preserve">215(1)(b) &amp; 215B of the CYFA do not </w:t>
      </w:r>
      <w:r w:rsidR="00C86054">
        <w:rPr>
          <w:rFonts w:ascii="Arial" w:hAnsi="Arial" w:cs="Arial"/>
          <w:color w:val="000000"/>
          <w:sz w:val="20"/>
        </w:rPr>
        <w:t xml:space="preserve">generally </w:t>
      </w:r>
      <w:r>
        <w:rPr>
          <w:rFonts w:ascii="Arial" w:hAnsi="Arial" w:cs="Arial"/>
          <w:color w:val="000000"/>
          <w:sz w:val="20"/>
        </w:rPr>
        <w:t xml:space="preserve">allow the Court to </w:t>
      </w:r>
      <w:r w:rsidRPr="00EE4465">
        <w:rPr>
          <w:rFonts w:ascii="Arial" w:hAnsi="Arial" w:cs="Arial"/>
          <w:sz w:val="20"/>
          <w:szCs w:val="20"/>
        </w:rPr>
        <w:t>dispense with the rules of natural justice</w:t>
      </w:r>
      <w:r>
        <w:rPr>
          <w:rFonts w:ascii="Arial" w:hAnsi="Arial" w:cs="Arial"/>
          <w:sz w:val="20"/>
          <w:szCs w:val="20"/>
        </w:rPr>
        <w:t>,</w:t>
      </w:r>
      <w:r w:rsidRPr="00EE4465">
        <w:rPr>
          <w:rFonts w:ascii="Arial" w:hAnsi="Arial" w:cs="Arial"/>
          <w:sz w:val="20"/>
          <w:szCs w:val="20"/>
        </w:rPr>
        <w:t xml:space="preserve"> as </w:t>
      </w:r>
      <w:r>
        <w:rPr>
          <w:rFonts w:ascii="Arial" w:hAnsi="Arial" w:cs="Arial"/>
          <w:sz w:val="20"/>
          <w:szCs w:val="20"/>
        </w:rPr>
        <w:t xml:space="preserve">Byrne </w:t>
      </w:r>
      <w:r w:rsidRPr="00EE4465">
        <w:rPr>
          <w:rFonts w:ascii="Arial" w:hAnsi="Arial" w:cs="Arial"/>
          <w:sz w:val="20"/>
          <w:szCs w:val="20"/>
        </w:rPr>
        <w:t xml:space="preserve">J made clear in </w:t>
      </w:r>
      <w:r w:rsidRPr="00EE4465">
        <w:rPr>
          <w:rFonts w:ascii="Arial" w:hAnsi="Arial" w:cs="Arial"/>
          <w:i/>
          <w:sz w:val="20"/>
          <w:szCs w:val="20"/>
        </w:rPr>
        <w:t>Van</w:t>
      </w:r>
      <w:r>
        <w:rPr>
          <w:rFonts w:ascii="Arial" w:hAnsi="Arial" w:cs="Arial"/>
          <w:i/>
          <w:sz w:val="20"/>
          <w:szCs w:val="20"/>
        </w:rPr>
        <w:t> </w:t>
      </w:r>
      <w:r w:rsidRPr="00EE4465">
        <w:rPr>
          <w:rFonts w:ascii="Arial" w:hAnsi="Arial" w:cs="Arial"/>
          <w:i/>
          <w:sz w:val="20"/>
          <w:szCs w:val="20"/>
        </w:rPr>
        <w:t xml:space="preserve">Susteren v </w:t>
      </w:r>
      <w:proofErr w:type="spellStart"/>
      <w:r w:rsidRPr="00EE4465">
        <w:rPr>
          <w:rFonts w:ascii="Arial" w:hAnsi="Arial" w:cs="Arial"/>
          <w:i/>
          <w:sz w:val="20"/>
          <w:szCs w:val="20"/>
        </w:rPr>
        <w:t>Packaje</w:t>
      </w:r>
      <w:proofErr w:type="spellEnd"/>
      <w:r w:rsidRPr="00EE4465">
        <w:rPr>
          <w:rFonts w:ascii="Arial" w:hAnsi="Arial" w:cs="Arial"/>
          <w:i/>
          <w:sz w:val="20"/>
          <w:szCs w:val="20"/>
        </w:rPr>
        <w:t xml:space="preserve"> Pty Ltd</w:t>
      </w:r>
      <w:r w:rsidRPr="00EE4465">
        <w:rPr>
          <w:rFonts w:ascii="Arial" w:hAnsi="Arial" w:cs="Arial"/>
          <w:sz w:val="20"/>
          <w:szCs w:val="20"/>
        </w:rPr>
        <w:t xml:space="preserve"> [2008] VSC 586 at [5]-[6] in relation to similar provisions regulating the conduct of proceedings in the </w:t>
      </w:r>
      <w:r>
        <w:rPr>
          <w:rFonts w:ascii="Arial" w:hAnsi="Arial" w:cs="Arial"/>
          <w:sz w:val="20"/>
          <w:szCs w:val="20"/>
        </w:rPr>
        <w:t>Small Claims</w:t>
      </w:r>
      <w:r w:rsidRPr="00EE4465">
        <w:rPr>
          <w:rFonts w:ascii="Arial" w:hAnsi="Arial" w:cs="Arial"/>
          <w:sz w:val="20"/>
          <w:szCs w:val="20"/>
        </w:rPr>
        <w:t xml:space="preserve"> Tribunal:</w:t>
      </w:r>
    </w:p>
    <w:p w14:paraId="69C9AB8C" w14:textId="77777777" w:rsidR="000F6283" w:rsidRDefault="000F6283" w:rsidP="00B9721B">
      <w:pPr>
        <w:spacing w:before="60"/>
        <w:ind w:left="567" w:right="567"/>
        <w:jc w:val="both"/>
        <w:rPr>
          <w:rFonts w:ascii="Arial" w:hAnsi="Arial" w:cs="Arial"/>
          <w:bCs/>
          <w:sz w:val="20"/>
        </w:rPr>
      </w:pPr>
      <w:r>
        <w:rPr>
          <w:rFonts w:ascii="Arial" w:hAnsi="Arial" w:cs="Arial"/>
          <w:bCs/>
          <w:sz w:val="20"/>
        </w:rPr>
        <w:lastRenderedPageBreak/>
        <w:t>“</w:t>
      </w:r>
      <w:r w:rsidRPr="000F6283">
        <w:rPr>
          <w:rFonts w:ascii="Arial" w:hAnsi="Arial" w:cs="Arial"/>
          <w:sz w:val="20"/>
        </w:rPr>
        <w:t>It is common ground that the Small Claims Tribunal has a considerable degree of latitude in the conduct of its proceedings.  It is required by section 98 of the VCAT Act to proceed with as little formality or technicality as is appropriate, and evidence of an informal nature may be received.  Section 102 also provides a broad discretion as to the way the tribunal should be conducted</w:t>
      </w:r>
      <w:r>
        <w:rPr>
          <w:rFonts w:ascii="Arial" w:hAnsi="Arial" w:cs="Arial"/>
          <w:sz w:val="20"/>
        </w:rPr>
        <w:t>…</w:t>
      </w:r>
      <w:r w:rsidRPr="000F6283">
        <w:rPr>
          <w:rFonts w:ascii="Arial" w:hAnsi="Arial" w:cs="Arial"/>
          <w:sz w:val="20"/>
          <w:szCs w:val="20"/>
        </w:rPr>
        <w:t xml:space="preserve"> There is of course an obligation on the Small Claims Tribunal, however informal its procedures may be, to respect the rules of natural justice.  Accepting that the rules of natural justice will vary depending upon the nature of the hearing, the fact remains that, if it concerns a crucial matter or a vital issue, then the party should be given the opportunity to know, to test and to challenge evidence which is put against that party.</w:t>
      </w:r>
      <w:r>
        <w:rPr>
          <w:rFonts w:ascii="Arial" w:hAnsi="Arial" w:cs="Arial"/>
          <w:sz w:val="20"/>
          <w:szCs w:val="20"/>
        </w:rPr>
        <w:t>”</w:t>
      </w:r>
    </w:p>
    <w:p w14:paraId="78C71796" w14:textId="77777777" w:rsidR="000F6283" w:rsidRDefault="00EE4465" w:rsidP="00EE4465">
      <w:pPr>
        <w:spacing w:before="60"/>
        <w:ind w:left="62"/>
        <w:jc w:val="both"/>
        <w:rPr>
          <w:rFonts w:ascii="Arial" w:hAnsi="Arial" w:cs="Arial"/>
          <w:sz w:val="20"/>
        </w:rPr>
      </w:pPr>
      <w:r>
        <w:rPr>
          <w:rFonts w:ascii="Arial" w:hAnsi="Arial" w:cs="Arial"/>
          <w:sz w:val="20"/>
        </w:rPr>
        <w:t xml:space="preserve">See also the detailed discussion of natural justice and procedural fairness in relation to the granting of adjournments </w:t>
      </w:r>
      <w:r w:rsidR="006923D4">
        <w:rPr>
          <w:rFonts w:ascii="Arial" w:hAnsi="Arial" w:cs="Arial"/>
          <w:sz w:val="20"/>
        </w:rPr>
        <w:t>by</w:t>
      </w:r>
      <w:r>
        <w:rPr>
          <w:rFonts w:ascii="Arial" w:hAnsi="Arial" w:cs="Arial"/>
          <w:sz w:val="20"/>
        </w:rPr>
        <w:t xml:space="preserve"> the Victorian Civil and Administrative Tribunal by </w:t>
      </w:r>
      <w:r w:rsidR="006923D4">
        <w:rPr>
          <w:rFonts w:ascii="Arial" w:hAnsi="Arial" w:cs="Arial"/>
          <w:sz w:val="20"/>
        </w:rPr>
        <w:t>Warren C</w:t>
      </w:r>
      <w:r>
        <w:rPr>
          <w:rFonts w:ascii="Arial" w:hAnsi="Arial" w:cs="Arial"/>
          <w:sz w:val="20"/>
        </w:rPr>
        <w:t xml:space="preserve">J in </w:t>
      </w:r>
      <w:proofErr w:type="spellStart"/>
      <w:r w:rsidRPr="00EE4465">
        <w:rPr>
          <w:rFonts w:ascii="Arial" w:hAnsi="Arial" w:cs="Arial"/>
          <w:i/>
          <w:sz w:val="20"/>
        </w:rPr>
        <w:t>Macdiggers</w:t>
      </w:r>
      <w:proofErr w:type="spellEnd"/>
      <w:r w:rsidRPr="00EE4465">
        <w:rPr>
          <w:rFonts w:ascii="Arial" w:hAnsi="Arial" w:cs="Arial"/>
          <w:i/>
          <w:sz w:val="20"/>
        </w:rPr>
        <w:t xml:space="preserve"> Pty Ltd v Maria Dickinson and Peter Dickinson</w:t>
      </w:r>
      <w:r>
        <w:rPr>
          <w:rFonts w:ascii="Arial" w:hAnsi="Arial" w:cs="Arial"/>
          <w:sz w:val="20"/>
        </w:rPr>
        <w:t xml:space="preserve"> [2008] VSC 576 at [23]-[28].</w:t>
      </w:r>
    </w:p>
    <w:p w14:paraId="08E0CDC1" w14:textId="77777777" w:rsidR="0048483D" w:rsidRDefault="0048483D">
      <w:pPr>
        <w:jc w:val="both"/>
        <w:rPr>
          <w:rFonts w:ascii="Arial" w:hAnsi="Arial" w:cs="Arial"/>
          <w:sz w:val="20"/>
        </w:rPr>
      </w:pPr>
    </w:p>
    <w:p w14:paraId="33422D1F" w14:textId="77777777" w:rsidR="006B04AA" w:rsidRDefault="00674508" w:rsidP="00121D44">
      <w:pPr>
        <w:jc w:val="both"/>
        <w:rPr>
          <w:rFonts w:ascii="Arial" w:hAnsi="Arial" w:cs="Arial"/>
          <w:sz w:val="20"/>
        </w:rPr>
      </w:pPr>
      <w:r>
        <w:rPr>
          <w:rFonts w:ascii="Arial" w:hAnsi="Arial" w:cs="Arial"/>
          <w:sz w:val="20"/>
        </w:rPr>
        <w:t xml:space="preserve">The </w:t>
      </w:r>
      <w:r w:rsidR="00121D44">
        <w:rPr>
          <w:rFonts w:ascii="Arial" w:hAnsi="Arial" w:cs="Arial"/>
          <w:sz w:val="20"/>
        </w:rPr>
        <w:t xml:space="preserve">genesis of s.215B is the </w:t>
      </w:r>
      <w:r>
        <w:rPr>
          <w:rFonts w:ascii="Arial" w:hAnsi="Arial" w:cs="Arial"/>
          <w:sz w:val="20"/>
        </w:rPr>
        <w:t xml:space="preserve">Less Adversarial Trial </w:t>
      </w:r>
      <w:r w:rsidR="00121D44">
        <w:rPr>
          <w:rFonts w:ascii="Arial" w:hAnsi="Arial" w:cs="Arial"/>
          <w:sz w:val="20"/>
        </w:rPr>
        <w:t xml:space="preserve">[“LAT”] approach </w:t>
      </w:r>
      <w:r>
        <w:rPr>
          <w:rFonts w:ascii="Arial" w:hAnsi="Arial" w:cs="Arial"/>
          <w:sz w:val="20"/>
        </w:rPr>
        <w:t>in operation in the Family Court of Australia</w:t>
      </w:r>
      <w:r w:rsidR="00121D44">
        <w:rPr>
          <w:rFonts w:ascii="Arial" w:hAnsi="Arial" w:cs="Arial"/>
          <w:sz w:val="20"/>
        </w:rPr>
        <w:t xml:space="preserve">.  </w:t>
      </w:r>
      <w:r w:rsidR="006B04AA">
        <w:rPr>
          <w:rFonts w:ascii="Arial" w:hAnsi="Arial" w:cs="Arial"/>
          <w:sz w:val="20"/>
        </w:rPr>
        <w:t xml:space="preserve">In </w:t>
      </w:r>
      <w:r w:rsidR="006B04AA" w:rsidRPr="001D42F1">
        <w:rPr>
          <w:rFonts w:ascii="Arial" w:hAnsi="Arial" w:cs="Arial"/>
          <w:i/>
          <w:sz w:val="20"/>
        </w:rPr>
        <w:t>T v T</w:t>
      </w:r>
      <w:r w:rsidR="006B04AA">
        <w:rPr>
          <w:rFonts w:ascii="Arial" w:hAnsi="Arial" w:cs="Arial"/>
          <w:sz w:val="20"/>
        </w:rPr>
        <w:t xml:space="preserve"> [2008] </w:t>
      </w:r>
      <w:proofErr w:type="spellStart"/>
      <w:r w:rsidR="006B04AA">
        <w:rPr>
          <w:rFonts w:ascii="Arial" w:hAnsi="Arial" w:cs="Arial"/>
          <w:sz w:val="20"/>
        </w:rPr>
        <w:t>FamCAFC</w:t>
      </w:r>
      <w:proofErr w:type="spellEnd"/>
      <w:r w:rsidR="006B04AA">
        <w:rPr>
          <w:rFonts w:ascii="Arial" w:hAnsi="Arial" w:cs="Arial"/>
          <w:sz w:val="20"/>
        </w:rPr>
        <w:t xml:space="preserve"> 4; (2008) FLC 93-360; (2008) 38 Fam LR 614 the Full Court of the Family Court of Australia (Bryant CJ, Kay &amp; Thackray JJ) highlighted at [163] the Court’s obligation to accord all of the parties procedural fairness and natural justice notwithstanding the LAT provisions:</w:t>
      </w:r>
    </w:p>
    <w:p w14:paraId="0CC9C718" w14:textId="77777777" w:rsidR="006B04AA" w:rsidRDefault="006B04AA" w:rsidP="00234612">
      <w:pPr>
        <w:spacing w:before="60"/>
        <w:ind w:left="567" w:right="567"/>
        <w:jc w:val="both"/>
        <w:rPr>
          <w:rFonts w:ascii="Arial" w:hAnsi="Arial" w:cs="Arial"/>
          <w:bCs/>
          <w:sz w:val="20"/>
        </w:rPr>
      </w:pPr>
      <w:r>
        <w:rPr>
          <w:rFonts w:ascii="Arial" w:hAnsi="Arial" w:cs="Arial"/>
          <w:bCs/>
          <w:sz w:val="20"/>
        </w:rPr>
        <w:t>“Whatever process for adjudication of cases is adopted by the Court, procedural fairness must be accorded to the parties (</w:t>
      </w:r>
      <w:r w:rsidRPr="00061CF0">
        <w:rPr>
          <w:rFonts w:ascii="Arial" w:hAnsi="Arial" w:cs="Arial"/>
          <w:bCs/>
          <w:i/>
          <w:sz w:val="20"/>
        </w:rPr>
        <w:t xml:space="preserve">R v Ludeke; Ex parte Customs Officers Association of </w:t>
      </w:r>
      <w:smartTag w:uri="urn:schemas-microsoft-com:office:smarttags" w:element="place">
        <w:smartTag w:uri="urn:schemas-microsoft-com:office:smarttags" w:element="country-region">
          <w:r w:rsidRPr="00061CF0">
            <w:rPr>
              <w:rFonts w:ascii="Arial" w:hAnsi="Arial" w:cs="Arial"/>
              <w:bCs/>
              <w:i/>
              <w:sz w:val="20"/>
            </w:rPr>
            <w:t>Australia</w:t>
          </w:r>
        </w:smartTag>
      </w:smartTag>
      <w:r>
        <w:rPr>
          <w:rFonts w:ascii="Arial" w:hAnsi="Arial" w:cs="Arial"/>
          <w:bCs/>
          <w:sz w:val="20"/>
        </w:rPr>
        <w:t xml:space="preserve"> (1985) 155 CLR 513; </w:t>
      </w:r>
      <w:r w:rsidRPr="00061CF0">
        <w:rPr>
          <w:rFonts w:ascii="Arial" w:hAnsi="Arial" w:cs="Arial"/>
          <w:bCs/>
          <w:i/>
          <w:sz w:val="20"/>
        </w:rPr>
        <w:t>Re JRL; Ex parte CJL</w:t>
      </w:r>
      <w:r>
        <w:rPr>
          <w:rFonts w:ascii="Arial" w:hAnsi="Arial" w:cs="Arial"/>
          <w:bCs/>
          <w:sz w:val="20"/>
        </w:rPr>
        <w:t xml:space="preserve"> (1986) 161 CLR 342; </w:t>
      </w:r>
      <w:r w:rsidRPr="00061CF0">
        <w:rPr>
          <w:rFonts w:ascii="Arial" w:hAnsi="Arial" w:cs="Arial"/>
          <w:bCs/>
          <w:i/>
          <w:sz w:val="20"/>
        </w:rPr>
        <w:t xml:space="preserve">J v </w:t>
      </w:r>
      <w:proofErr w:type="spellStart"/>
      <w:r w:rsidRPr="00061CF0">
        <w:rPr>
          <w:rFonts w:ascii="Arial" w:hAnsi="Arial" w:cs="Arial"/>
          <w:bCs/>
          <w:i/>
          <w:sz w:val="20"/>
        </w:rPr>
        <w:t>Leischke</w:t>
      </w:r>
      <w:proofErr w:type="spellEnd"/>
      <w:r>
        <w:rPr>
          <w:rFonts w:ascii="Arial" w:hAnsi="Arial" w:cs="Arial"/>
          <w:bCs/>
          <w:sz w:val="20"/>
        </w:rPr>
        <w:t xml:space="preserve"> (1987) 162 CLR 447.  The process adopted in the LAT, particularly on Day 1, gives no warrant to compromise fairness and the usual requirements must be met.  These are that determinations be made impartially, on the basis of all relevant material that the parties were able to put before the trial judge, without any pre-judgment and that the parties were given an adequate opportunity to be heard.”</w:t>
      </w:r>
    </w:p>
    <w:p w14:paraId="33E7AC7A" w14:textId="2DD83211" w:rsidR="006B04AA" w:rsidRDefault="006B04AA">
      <w:pPr>
        <w:jc w:val="both"/>
        <w:rPr>
          <w:rFonts w:ascii="Arial" w:hAnsi="Arial" w:cs="Arial"/>
          <w:sz w:val="20"/>
        </w:rPr>
      </w:pPr>
    </w:p>
    <w:p w14:paraId="170518F9" w14:textId="4A2BEB27" w:rsidR="00237A4D" w:rsidRDefault="00237A4D" w:rsidP="00237A4D">
      <w:pPr>
        <w:jc w:val="both"/>
        <w:rPr>
          <w:rFonts w:ascii="Arial" w:hAnsi="Arial" w:cs="Arial"/>
          <w:iCs/>
          <w:color w:val="000000"/>
          <w:sz w:val="20"/>
        </w:rPr>
      </w:pPr>
      <w:r w:rsidRPr="00237A4D">
        <w:rPr>
          <w:rFonts w:ascii="Arial" w:hAnsi="Arial" w:cs="Arial"/>
          <w:color w:val="000000"/>
          <w:sz w:val="20"/>
        </w:rPr>
        <w:t xml:space="preserve">In </w:t>
      </w:r>
      <w:r>
        <w:rPr>
          <w:rFonts w:ascii="Arial" w:hAnsi="Arial" w:cs="Arial"/>
          <w:i/>
          <w:iCs/>
          <w:color w:val="000000"/>
          <w:sz w:val="20"/>
        </w:rPr>
        <w:t xml:space="preserve">DHHS v Mr &amp; Mrs C </w:t>
      </w:r>
      <w:r w:rsidRPr="008329EB">
        <w:rPr>
          <w:rFonts w:ascii="Arial" w:hAnsi="Arial" w:cs="Arial"/>
          <w:iCs/>
          <w:color w:val="000000"/>
          <w:sz w:val="20"/>
        </w:rPr>
        <w:t xml:space="preserve">[Children’s Court of Victoria-Power M, </w:t>
      </w:r>
      <w:r>
        <w:rPr>
          <w:rFonts w:ascii="Arial" w:hAnsi="Arial" w:cs="Arial"/>
          <w:iCs/>
          <w:color w:val="000000"/>
          <w:sz w:val="20"/>
        </w:rPr>
        <w:t>09</w:t>
      </w:r>
      <w:r w:rsidRPr="008329EB">
        <w:rPr>
          <w:rFonts w:ascii="Arial" w:hAnsi="Arial" w:cs="Arial"/>
          <w:iCs/>
          <w:color w:val="000000"/>
          <w:sz w:val="20"/>
        </w:rPr>
        <w:t>/0</w:t>
      </w:r>
      <w:r>
        <w:rPr>
          <w:rFonts w:ascii="Arial" w:hAnsi="Arial" w:cs="Arial"/>
          <w:iCs/>
          <w:color w:val="000000"/>
          <w:sz w:val="20"/>
        </w:rPr>
        <w:t>7</w:t>
      </w:r>
      <w:r w:rsidRPr="008329EB">
        <w:rPr>
          <w:rFonts w:ascii="Arial" w:hAnsi="Arial" w:cs="Arial"/>
          <w:iCs/>
          <w:color w:val="000000"/>
          <w:sz w:val="20"/>
        </w:rPr>
        <w:t>/201</w:t>
      </w:r>
      <w:r>
        <w:rPr>
          <w:rFonts w:ascii="Arial" w:hAnsi="Arial" w:cs="Arial"/>
          <w:iCs/>
          <w:color w:val="000000"/>
          <w:sz w:val="20"/>
        </w:rPr>
        <w:t>8</w:t>
      </w:r>
      <w:r w:rsidRPr="008329EB">
        <w:rPr>
          <w:rFonts w:ascii="Arial" w:hAnsi="Arial" w:cs="Arial"/>
          <w:iCs/>
          <w:color w:val="000000"/>
          <w:sz w:val="20"/>
        </w:rPr>
        <w:t xml:space="preserve">] </w:t>
      </w:r>
      <w:r>
        <w:rPr>
          <w:rFonts w:ascii="Arial" w:hAnsi="Arial" w:cs="Arial"/>
          <w:iCs/>
          <w:color w:val="000000"/>
          <w:sz w:val="20"/>
        </w:rPr>
        <w:t xml:space="preserve">circumstances arose which required the Court to consider the operation of s.215B in </w:t>
      </w:r>
      <w:r w:rsidR="005632CF">
        <w:rPr>
          <w:rFonts w:ascii="Arial" w:hAnsi="Arial" w:cs="Arial"/>
          <w:iCs/>
          <w:color w:val="000000"/>
          <w:sz w:val="20"/>
        </w:rPr>
        <w:t>two different contexts</w:t>
      </w:r>
      <w:r>
        <w:rPr>
          <w:rFonts w:ascii="Arial" w:hAnsi="Arial" w:cs="Arial"/>
          <w:iCs/>
          <w:color w:val="000000"/>
          <w:sz w:val="20"/>
        </w:rPr>
        <w:t>.</w:t>
      </w:r>
      <w:r w:rsidR="005632CF">
        <w:rPr>
          <w:rFonts w:ascii="Arial" w:hAnsi="Arial" w:cs="Arial"/>
          <w:iCs/>
          <w:color w:val="000000"/>
          <w:sz w:val="20"/>
        </w:rPr>
        <w:t xml:space="preserve">  This was a case in which the Magistrates’ Court – on application by a police officer – had made an intervention order excluding the father of 4 children from the family home because the Court was satisfied on an interim basis that he had subjected the mother to family violence in the sense of controlling behaviour.  </w:t>
      </w:r>
      <w:r w:rsidR="00C86054">
        <w:rPr>
          <w:rFonts w:ascii="Arial" w:hAnsi="Arial" w:cs="Arial"/>
          <w:iCs/>
          <w:color w:val="000000"/>
          <w:sz w:val="20"/>
        </w:rPr>
        <w:t>The Department had issued protection applications in relation to each of the children on the grounds in ss.162(1)(c) &amp; 162(1)(e) and based on the same protective concerns.  Both applications were listed concurrently for contested hearing in the Children’s Court.</w:t>
      </w:r>
    </w:p>
    <w:p w14:paraId="11E906BF" w14:textId="33B47D1E" w:rsidR="00872E57" w:rsidRDefault="00872E57" w:rsidP="00237A4D">
      <w:pPr>
        <w:jc w:val="both"/>
        <w:rPr>
          <w:rFonts w:ascii="Arial" w:hAnsi="Arial" w:cs="Arial"/>
          <w:iCs/>
          <w:color w:val="000000"/>
          <w:sz w:val="20"/>
        </w:rPr>
      </w:pPr>
    </w:p>
    <w:p w14:paraId="7CAF0924" w14:textId="248921C2" w:rsidR="00872E57" w:rsidRDefault="00872E57" w:rsidP="00237A4D">
      <w:pPr>
        <w:jc w:val="both"/>
        <w:rPr>
          <w:rFonts w:ascii="Arial" w:hAnsi="Arial" w:cs="Arial"/>
          <w:iCs/>
          <w:color w:val="000000"/>
          <w:sz w:val="20"/>
        </w:rPr>
      </w:pPr>
      <w:r>
        <w:rPr>
          <w:rFonts w:ascii="Arial" w:hAnsi="Arial" w:cs="Arial"/>
          <w:iCs/>
          <w:color w:val="000000"/>
          <w:sz w:val="20"/>
        </w:rPr>
        <w:t xml:space="preserve">At the commencement of the case, the police prosecutor asked to be excused, saying that he would come back </w:t>
      </w:r>
      <w:r w:rsidR="00D45735">
        <w:rPr>
          <w:rFonts w:ascii="Arial" w:hAnsi="Arial" w:cs="Arial"/>
          <w:iCs/>
          <w:color w:val="000000"/>
          <w:sz w:val="20"/>
        </w:rPr>
        <w:t xml:space="preserve">to prosecute the intervention order case </w:t>
      </w:r>
      <w:r>
        <w:rPr>
          <w:rFonts w:ascii="Arial" w:hAnsi="Arial" w:cs="Arial"/>
          <w:iCs/>
          <w:color w:val="000000"/>
          <w:sz w:val="20"/>
        </w:rPr>
        <w:t>after the child protection case was completed.  The Court refused to excuse him, noting that-</w:t>
      </w:r>
    </w:p>
    <w:p w14:paraId="26B873C3" w14:textId="22D77076" w:rsidR="00872E57" w:rsidRDefault="00872E57">
      <w:pPr>
        <w:pStyle w:val="ListParagraph"/>
        <w:numPr>
          <w:ilvl w:val="0"/>
          <w:numId w:val="91"/>
        </w:numPr>
        <w:ind w:left="357" w:hanging="357"/>
        <w:jc w:val="both"/>
        <w:rPr>
          <w:rFonts w:ascii="Arial" w:hAnsi="Arial" w:cs="Arial"/>
          <w:iCs/>
          <w:color w:val="000000"/>
          <w:sz w:val="20"/>
        </w:rPr>
      </w:pPr>
      <w:r w:rsidRPr="00872E57">
        <w:rPr>
          <w:rFonts w:ascii="Arial" w:hAnsi="Arial" w:cs="Arial"/>
          <w:iCs/>
          <w:color w:val="000000"/>
          <w:sz w:val="20"/>
        </w:rPr>
        <w:t>s.215B(1)(j) empowered the Court to “deal with as many aspects of the matter on a single occasion as possible</w:t>
      </w:r>
      <w:r>
        <w:rPr>
          <w:rFonts w:ascii="Arial" w:hAnsi="Arial" w:cs="Arial"/>
          <w:iCs/>
          <w:color w:val="000000"/>
          <w:sz w:val="20"/>
        </w:rPr>
        <w:t>”; and</w:t>
      </w:r>
    </w:p>
    <w:p w14:paraId="3E021FAE" w14:textId="28603E8A" w:rsidR="00872E57" w:rsidRPr="00872E57" w:rsidRDefault="00872E57">
      <w:pPr>
        <w:pStyle w:val="ListParagraph"/>
        <w:numPr>
          <w:ilvl w:val="0"/>
          <w:numId w:val="91"/>
        </w:numPr>
        <w:ind w:left="357" w:hanging="357"/>
        <w:jc w:val="both"/>
        <w:rPr>
          <w:rFonts w:ascii="Arial" w:hAnsi="Arial" w:cs="Arial"/>
          <w:iCs/>
          <w:color w:val="000000"/>
          <w:sz w:val="20"/>
        </w:rPr>
      </w:pPr>
      <w:r>
        <w:rPr>
          <w:rFonts w:ascii="Arial" w:hAnsi="Arial" w:cs="Arial"/>
          <w:sz w:val="20"/>
        </w:rPr>
        <w:t>t</w:t>
      </w:r>
      <w:r w:rsidRPr="00872E57">
        <w:rPr>
          <w:rFonts w:ascii="Arial" w:hAnsi="Arial" w:cs="Arial"/>
          <w:sz w:val="20"/>
        </w:rPr>
        <w:t>he IVO and protection proceedings could not sensibly be split because the primary issue raised by DHHS in the protection proceedings was the impact on the children of emotional abuse which it alleged that the father had perpetrated against the mother.</w:t>
      </w:r>
    </w:p>
    <w:p w14:paraId="2E30B66D" w14:textId="63807C3F" w:rsidR="00872E57" w:rsidRPr="00213CD2" w:rsidRDefault="00872E57" w:rsidP="00237A4D">
      <w:pPr>
        <w:jc w:val="both"/>
        <w:rPr>
          <w:rFonts w:ascii="Arial" w:hAnsi="Arial" w:cs="Arial"/>
          <w:color w:val="000000"/>
          <w:sz w:val="20"/>
        </w:rPr>
      </w:pPr>
      <w:r>
        <w:rPr>
          <w:rFonts w:ascii="Arial" w:hAnsi="Arial" w:cs="Arial"/>
          <w:iCs/>
          <w:color w:val="000000"/>
          <w:sz w:val="20"/>
        </w:rPr>
        <w:t xml:space="preserve">After the case was stood down for a period, the Court </w:t>
      </w:r>
      <w:r w:rsidR="00D45735">
        <w:rPr>
          <w:rFonts w:ascii="Arial" w:hAnsi="Arial" w:cs="Arial"/>
          <w:iCs/>
          <w:color w:val="000000"/>
          <w:sz w:val="20"/>
        </w:rPr>
        <w:t xml:space="preserve">ultimately </w:t>
      </w:r>
      <w:r>
        <w:rPr>
          <w:rFonts w:ascii="Arial" w:hAnsi="Arial" w:cs="Arial"/>
          <w:iCs/>
          <w:color w:val="000000"/>
          <w:sz w:val="20"/>
        </w:rPr>
        <w:t xml:space="preserve">struck out the intervention order </w:t>
      </w:r>
      <w:r w:rsidR="00234612">
        <w:rPr>
          <w:rFonts w:ascii="Arial" w:hAnsi="Arial" w:cs="Arial"/>
          <w:iCs/>
          <w:color w:val="000000"/>
          <w:sz w:val="20"/>
        </w:rPr>
        <w:t>a</w:t>
      </w:r>
      <w:r>
        <w:rPr>
          <w:rFonts w:ascii="Arial" w:hAnsi="Arial" w:cs="Arial"/>
          <w:iCs/>
          <w:color w:val="000000"/>
          <w:sz w:val="20"/>
        </w:rPr>
        <w:t>pplication at the request of the police prosecutor.</w:t>
      </w:r>
    </w:p>
    <w:p w14:paraId="5A05775D" w14:textId="3D4DED85" w:rsidR="00237A4D" w:rsidRDefault="00237A4D">
      <w:pPr>
        <w:jc w:val="both"/>
        <w:rPr>
          <w:rFonts w:ascii="Arial" w:hAnsi="Arial" w:cs="Arial"/>
          <w:sz w:val="20"/>
        </w:rPr>
      </w:pPr>
    </w:p>
    <w:p w14:paraId="78BD063F" w14:textId="1E0C1661" w:rsidR="00234612" w:rsidRPr="005D395B" w:rsidRDefault="00872E57" w:rsidP="00234612">
      <w:pPr>
        <w:pStyle w:val="ListParagraph"/>
        <w:ind w:left="0"/>
        <w:jc w:val="both"/>
        <w:rPr>
          <w:rFonts w:ascii="Arial" w:hAnsi="Arial" w:cs="Arial"/>
          <w:sz w:val="20"/>
        </w:rPr>
      </w:pPr>
      <w:r>
        <w:rPr>
          <w:rFonts w:ascii="Arial" w:hAnsi="Arial" w:cs="Arial"/>
          <w:sz w:val="20"/>
        </w:rPr>
        <w:t xml:space="preserve">On the fourth full day of the contested hearing </w:t>
      </w:r>
      <w:r w:rsidR="00234612">
        <w:rPr>
          <w:rFonts w:ascii="Arial" w:hAnsi="Arial" w:cs="Arial"/>
          <w:sz w:val="20"/>
        </w:rPr>
        <w:t xml:space="preserve">counsel for DHHS – with the consent of the other </w:t>
      </w:r>
      <w:r w:rsidR="00D45735">
        <w:rPr>
          <w:rFonts w:ascii="Arial" w:hAnsi="Arial" w:cs="Arial"/>
          <w:sz w:val="20"/>
        </w:rPr>
        <w:t>six</w:t>
      </w:r>
      <w:r w:rsidR="00234612">
        <w:rPr>
          <w:rFonts w:ascii="Arial" w:hAnsi="Arial" w:cs="Arial"/>
          <w:sz w:val="20"/>
        </w:rPr>
        <w:t xml:space="preserve"> counsel – </w:t>
      </w:r>
      <w:r w:rsidR="00234612" w:rsidRPr="005D395B">
        <w:rPr>
          <w:rFonts w:ascii="Arial" w:hAnsi="Arial" w:cs="Arial"/>
          <w:sz w:val="20"/>
        </w:rPr>
        <w:t>very</w:t>
      </w:r>
      <w:r w:rsidR="00234612">
        <w:rPr>
          <w:rFonts w:ascii="Arial" w:hAnsi="Arial" w:cs="Arial"/>
          <w:sz w:val="20"/>
        </w:rPr>
        <w:t xml:space="preserve"> </w:t>
      </w:r>
      <w:r w:rsidR="00234612" w:rsidRPr="005D395B">
        <w:rPr>
          <w:rFonts w:ascii="Arial" w:hAnsi="Arial" w:cs="Arial"/>
          <w:sz w:val="20"/>
        </w:rPr>
        <w:t>properly said-</w:t>
      </w:r>
    </w:p>
    <w:p w14:paraId="06A593B4" w14:textId="50C3444E" w:rsidR="00234612" w:rsidRPr="005D395B" w:rsidRDefault="00234612" w:rsidP="00234612">
      <w:pPr>
        <w:spacing w:before="60"/>
        <w:ind w:left="567" w:right="567"/>
        <w:jc w:val="both"/>
        <w:rPr>
          <w:rFonts w:ascii="Arial" w:hAnsi="Arial" w:cs="Arial"/>
          <w:color w:val="000000"/>
          <w:sz w:val="20"/>
          <w:szCs w:val="20"/>
        </w:rPr>
      </w:pPr>
      <w:r w:rsidRPr="005D395B">
        <w:rPr>
          <w:rFonts w:ascii="Arial" w:hAnsi="Arial" w:cs="Arial"/>
          <w:color w:val="000000"/>
          <w:sz w:val="20"/>
          <w:szCs w:val="20"/>
        </w:rPr>
        <w:t>“If the Court had a view at this point in relation to the utility or otherwise of calling any further witnesses, DHHS would be guided by any comments if the Court was minded to make them.  The critical question is the return of the father and the Court has the assessments provided by the Children’s Court Clinician in her evidence.  If the Court feels that there are vacuums that any of the proposed witnesses could speak to, DHHS can arrange that.”</w:t>
      </w:r>
    </w:p>
    <w:p w14:paraId="19201AC3" w14:textId="77777777" w:rsidR="00234612" w:rsidRPr="005D395B" w:rsidRDefault="00234612" w:rsidP="00234612">
      <w:pPr>
        <w:pStyle w:val="ListParagraph"/>
        <w:ind w:left="567" w:hanging="567"/>
        <w:jc w:val="both"/>
        <w:rPr>
          <w:rFonts w:ascii="Arial" w:hAnsi="Arial" w:cs="Arial"/>
          <w:sz w:val="20"/>
        </w:rPr>
      </w:pPr>
    </w:p>
    <w:p w14:paraId="719DE653" w14:textId="3728AFCA" w:rsidR="00872E57" w:rsidRDefault="00286F0B">
      <w:pPr>
        <w:jc w:val="both"/>
        <w:rPr>
          <w:rFonts w:ascii="Arial" w:hAnsi="Arial" w:cs="Arial"/>
          <w:sz w:val="20"/>
        </w:rPr>
      </w:pPr>
      <w:r>
        <w:rPr>
          <w:rFonts w:ascii="Arial" w:hAnsi="Arial" w:cs="Arial"/>
          <w:sz w:val="20"/>
        </w:rPr>
        <w:lastRenderedPageBreak/>
        <w:t>Given</w:t>
      </w:r>
      <w:r w:rsidR="00234612">
        <w:rPr>
          <w:rFonts w:ascii="Arial" w:hAnsi="Arial" w:cs="Arial"/>
          <w:sz w:val="20"/>
        </w:rPr>
        <w:t xml:space="preserve"> that the Court has an independent responsibility under ss.8(1) &amp; 10 CYFA to ensure that any orders it makes are in the best interests of the subject children, the Court </w:t>
      </w:r>
      <w:r>
        <w:rPr>
          <w:rFonts w:ascii="Arial" w:hAnsi="Arial" w:cs="Arial"/>
          <w:sz w:val="20"/>
        </w:rPr>
        <w:t>said</w:t>
      </w:r>
      <w:r w:rsidR="00234612">
        <w:rPr>
          <w:rFonts w:ascii="Arial" w:hAnsi="Arial" w:cs="Arial"/>
          <w:sz w:val="20"/>
        </w:rPr>
        <w:t xml:space="preserve"> that the case would be adjourned over the weekend and the Court would provide written reasons </w:t>
      </w:r>
      <w:r w:rsidR="00234612">
        <w:rPr>
          <w:rFonts w:ascii="Arial" w:hAnsi="Arial" w:cs="Arial"/>
          <w:sz w:val="20"/>
          <w:szCs w:val="20"/>
        </w:rPr>
        <w:t>detailing his</w:t>
      </w:r>
      <w:r w:rsidR="00234612" w:rsidRPr="005D395B">
        <w:rPr>
          <w:rFonts w:ascii="Arial" w:hAnsi="Arial" w:cs="Arial"/>
          <w:sz w:val="20"/>
          <w:szCs w:val="20"/>
        </w:rPr>
        <w:t xml:space="preserve"> interim view of this case based on the evidence heard up to </w:t>
      </w:r>
      <w:r w:rsidR="00234612">
        <w:rPr>
          <w:rFonts w:ascii="Arial" w:hAnsi="Arial" w:cs="Arial"/>
          <w:sz w:val="20"/>
          <w:szCs w:val="20"/>
        </w:rPr>
        <w:t>the point. However, the Court did</w:t>
      </w:r>
      <w:r w:rsidR="00234612" w:rsidRPr="005D395B">
        <w:rPr>
          <w:rFonts w:ascii="Arial" w:hAnsi="Arial" w:cs="Arial"/>
          <w:sz w:val="20"/>
          <w:szCs w:val="20"/>
        </w:rPr>
        <w:t xml:space="preserve"> not </w:t>
      </w:r>
      <w:r w:rsidR="00234612" w:rsidRPr="005D395B">
        <w:rPr>
          <w:rFonts w:ascii="Arial" w:hAnsi="Arial" w:cs="Arial"/>
          <w:color w:val="000000"/>
          <w:sz w:val="20"/>
          <w:szCs w:val="20"/>
        </w:rPr>
        <w:t>seek to bind any of the parties to accept these interim findings and orders</w:t>
      </w:r>
      <w:r w:rsidR="00234612">
        <w:rPr>
          <w:rFonts w:ascii="Arial" w:hAnsi="Arial" w:cs="Arial"/>
          <w:color w:val="000000"/>
          <w:sz w:val="20"/>
          <w:szCs w:val="20"/>
        </w:rPr>
        <w:t>.  Under the heading “</w:t>
      </w:r>
      <w:r w:rsidR="00234612" w:rsidRPr="00234612">
        <w:rPr>
          <w:rFonts w:ascii="Arial" w:hAnsi="Arial" w:cs="Arial"/>
          <w:b/>
          <w:bCs/>
          <w:color w:val="000000"/>
          <w:sz w:val="20"/>
          <w:szCs w:val="20"/>
        </w:rPr>
        <w:t>S.215B CYFA &amp; The Adversarial Process</w:t>
      </w:r>
      <w:r w:rsidR="00234612">
        <w:rPr>
          <w:rFonts w:ascii="Arial" w:hAnsi="Arial" w:cs="Arial"/>
          <w:color w:val="000000"/>
          <w:sz w:val="20"/>
          <w:szCs w:val="20"/>
        </w:rPr>
        <w:t>” the Court said</w:t>
      </w:r>
      <w:r>
        <w:rPr>
          <w:rFonts w:ascii="Arial" w:hAnsi="Arial" w:cs="Arial"/>
          <w:color w:val="000000"/>
          <w:sz w:val="20"/>
          <w:szCs w:val="20"/>
        </w:rPr>
        <w:t xml:space="preserve"> at pp.</w:t>
      </w:r>
      <w:r w:rsidR="00C956A5">
        <w:rPr>
          <w:rFonts w:ascii="Arial" w:hAnsi="Arial" w:cs="Arial"/>
          <w:color w:val="000000"/>
          <w:sz w:val="20"/>
          <w:szCs w:val="20"/>
        </w:rPr>
        <w:t>3-4</w:t>
      </w:r>
      <w:r w:rsidR="00234612">
        <w:rPr>
          <w:rFonts w:ascii="Arial" w:hAnsi="Arial" w:cs="Arial"/>
          <w:color w:val="000000"/>
          <w:sz w:val="20"/>
          <w:szCs w:val="20"/>
        </w:rPr>
        <w:t>:</w:t>
      </w:r>
    </w:p>
    <w:p w14:paraId="3BB27F33" w14:textId="335F2EBC" w:rsidR="00872E57" w:rsidRPr="005D395B" w:rsidRDefault="00234612" w:rsidP="00D45735">
      <w:pPr>
        <w:pStyle w:val="ListParagraph"/>
        <w:spacing w:before="120"/>
        <w:ind w:left="567" w:right="567"/>
        <w:jc w:val="both"/>
        <w:rPr>
          <w:rFonts w:ascii="Arial" w:hAnsi="Arial" w:cs="Arial"/>
          <w:sz w:val="20"/>
        </w:rPr>
      </w:pPr>
      <w:r>
        <w:rPr>
          <w:rFonts w:ascii="Arial" w:hAnsi="Arial" w:cs="Arial"/>
          <w:sz w:val="20"/>
        </w:rPr>
        <w:t>“</w:t>
      </w:r>
      <w:r w:rsidR="00872E57" w:rsidRPr="005D395B">
        <w:rPr>
          <w:rFonts w:ascii="Arial" w:hAnsi="Arial" w:cs="Arial"/>
          <w:sz w:val="20"/>
        </w:rPr>
        <w:t>The common law adversarial system underpins the procedure employed in trial proceedings in the Family Division of the Children’s Court of Victoria.  In that system it is the primary responsibility of the parties to determine what witnesses are to be called and how they are to be examined and cross-examined.  In many instances over the years it has proved to be an inefficient and wasteful process, not infrequently damaging to family relationships and sometimes to the relationship between family members and the Child Protection Authority.  To</w:t>
      </w:r>
      <w:r w:rsidR="00D45735">
        <w:rPr>
          <w:rFonts w:ascii="Arial" w:hAnsi="Arial" w:cs="Arial"/>
          <w:sz w:val="20"/>
        </w:rPr>
        <w:t> </w:t>
      </w:r>
      <w:r w:rsidR="00872E57" w:rsidRPr="005D395B">
        <w:rPr>
          <w:rFonts w:ascii="Arial" w:hAnsi="Arial" w:cs="Arial"/>
          <w:sz w:val="20"/>
        </w:rPr>
        <w:t xml:space="preserve">attempt to ameliorate some of the perceived negatives of the adversarial system, in 2013 Parliament enacted s.215B of the </w:t>
      </w:r>
      <w:r w:rsidR="00872E57" w:rsidRPr="005D395B">
        <w:rPr>
          <w:rFonts w:ascii="Arial" w:hAnsi="Arial" w:cs="Arial"/>
          <w:i/>
          <w:sz w:val="20"/>
        </w:rPr>
        <w:t>CYFA</w:t>
      </w:r>
      <w:r>
        <w:rPr>
          <w:rFonts w:ascii="Arial" w:hAnsi="Arial" w:cs="Arial"/>
          <w:sz w:val="20"/>
        </w:rPr>
        <w:t>…</w:t>
      </w:r>
      <w:r w:rsidR="00872E57" w:rsidRPr="005D395B">
        <w:rPr>
          <w:rFonts w:ascii="Arial" w:hAnsi="Arial" w:cs="Arial"/>
          <w:sz w:val="20"/>
        </w:rPr>
        <w:t xml:space="preserve">  </w:t>
      </w:r>
    </w:p>
    <w:p w14:paraId="49C69800" w14:textId="6F9565A1" w:rsidR="00872E57" w:rsidRPr="005D395B" w:rsidRDefault="00872E57" w:rsidP="00D45735">
      <w:pPr>
        <w:pStyle w:val="ListParagraph"/>
        <w:spacing w:before="120"/>
        <w:ind w:left="567" w:right="567"/>
        <w:jc w:val="both"/>
        <w:rPr>
          <w:rFonts w:ascii="Arial" w:hAnsi="Arial" w:cs="Arial"/>
          <w:sz w:val="20"/>
        </w:rPr>
      </w:pPr>
      <w:r w:rsidRPr="005D395B">
        <w:rPr>
          <w:rFonts w:ascii="Arial" w:hAnsi="Arial" w:cs="Arial"/>
          <w:sz w:val="20"/>
        </w:rPr>
        <w:t>It was pursuant to ss.215B(1)(d) &amp; 215B(1)(j) that I directed</w:t>
      </w:r>
      <w:r w:rsidR="00B979FF">
        <w:rPr>
          <w:rFonts w:ascii="Arial" w:hAnsi="Arial" w:cs="Arial"/>
          <w:sz w:val="20"/>
        </w:rPr>
        <w:t>…</w:t>
      </w:r>
      <w:r w:rsidRPr="005D395B">
        <w:rPr>
          <w:rFonts w:ascii="Arial" w:hAnsi="Arial" w:cs="Arial"/>
          <w:sz w:val="20"/>
        </w:rPr>
        <w:t xml:space="preserve">that the four IVO proceedings and the child protection proceedings were to be dealt with in the one contest.  It was obvious that they had to be, that it would be farcical to deal with the child protection proceedings first and independently of the IVO proceedings, given that the central issue in both proceedings related to allegations of emotional abuse by the father of the mother to which the children were exposed and to related allegations of physical and emotional abuse of their mother by </w:t>
      </w:r>
      <w:r w:rsidR="00B979FF">
        <w:rPr>
          <w:rFonts w:ascii="Arial" w:hAnsi="Arial" w:cs="Arial"/>
          <w:sz w:val="20"/>
        </w:rPr>
        <w:t>[2 of the children]</w:t>
      </w:r>
      <w:r w:rsidRPr="005D395B">
        <w:rPr>
          <w:rFonts w:ascii="Arial" w:hAnsi="Arial" w:cs="Arial"/>
          <w:sz w:val="20"/>
        </w:rPr>
        <w:t>.</w:t>
      </w:r>
    </w:p>
    <w:p w14:paraId="4AABF158" w14:textId="7A96DF18" w:rsidR="00872E57" w:rsidRPr="005D395B" w:rsidRDefault="00872E57" w:rsidP="00D45735">
      <w:pPr>
        <w:pStyle w:val="ListParagraph"/>
        <w:spacing w:before="120"/>
        <w:ind w:left="567" w:right="567"/>
        <w:jc w:val="both"/>
        <w:rPr>
          <w:rFonts w:ascii="Arial" w:hAnsi="Arial" w:cs="Arial"/>
          <w:sz w:val="20"/>
        </w:rPr>
      </w:pPr>
      <w:r w:rsidRPr="005D395B">
        <w:rPr>
          <w:rFonts w:ascii="Arial" w:hAnsi="Arial" w:cs="Arial"/>
          <w:sz w:val="20"/>
        </w:rPr>
        <w:t>Giving the parties primary responsibility for deciding on appropriate witnesses in this simple, single-issue case has led to DHHS producing a witness list containing the names and thumbnail sketches of 19 witnesses, not including the mother and father should they wish to give evidence or call any other witnesses</w:t>
      </w:r>
      <w:r w:rsidR="00D45735">
        <w:rPr>
          <w:rFonts w:ascii="Arial" w:hAnsi="Arial" w:cs="Arial"/>
          <w:sz w:val="20"/>
        </w:rPr>
        <w:t>…</w:t>
      </w:r>
    </w:p>
    <w:p w14:paraId="34A1B551" w14:textId="7A1B6144" w:rsidR="00872E57" w:rsidRPr="00D45735" w:rsidRDefault="00872E57" w:rsidP="00286F0B">
      <w:pPr>
        <w:pStyle w:val="ListParagraph"/>
        <w:spacing w:before="120"/>
        <w:ind w:left="567" w:right="567"/>
        <w:jc w:val="both"/>
        <w:rPr>
          <w:rFonts w:ascii="Arial" w:hAnsi="Arial" w:cs="Arial"/>
          <w:sz w:val="20"/>
        </w:rPr>
      </w:pPr>
      <w:r w:rsidRPr="00D45735">
        <w:rPr>
          <w:rFonts w:ascii="Arial" w:hAnsi="Arial" w:cs="Arial"/>
          <w:sz w:val="20"/>
        </w:rPr>
        <w:t>Further, while s.215B is easy enough to understand, it is rarely easy to apply.  This is because one of the foundations of the adversarial system is the doctrine of procedural fairness</w:t>
      </w:r>
      <w:r w:rsidR="00D45735" w:rsidRPr="00D45735">
        <w:rPr>
          <w:rFonts w:ascii="Arial" w:hAnsi="Arial" w:cs="Arial"/>
          <w:sz w:val="20"/>
        </w:rPr>
        <w:t>.  F</w:t>
      </w:r>
      <w:r w:rsidR="00D45735" w:rsidRPr="00D45735">
        <w:rPr>
          <w:rFonts w:ascii="Arial" w:hAnsi="Arial" w:cs="Arial"/>
          <w:sz w:val="20"/>
          <w:szCs w:val="16"/>
        </w:rPr>
        <w:t xml:space="preserve">or the same reasons as the Court of Appeal held in </w:t>
      </w:r>
      <w:r w:rsidR="00D45735" w:rsidRPr="00D45735">
        <w:rPr>
          <w:rFonts w:ascii="Arial" w:hAnsi="Arial" w:cs="Arial"/>
          <w:i/>
          <w:sz w:val="20"/>
          <w:szCs w:val="16"/>
        </w:rPr>
        <w:t xml:space="preserve">Weinstein v Medical Practitioners Board of Victoria </w:t>
      </w:r>
      <w:r w:rsidR="00D45735" w:rsidRPr="00D45735">
        <w:rPr>
          <w:rFonts w:ascii="Arial" w:hAnsi="Arial" w:cs="Arial"/>
          <w:sz w:val="20"/>
          <w:szCs w:val="16"/>
        </w:rPr>
        <w:t xml:space="preserve">[2008] VSCA 193 at [28]-[29] that s.215(1)(d) of the </w:t>
      </w:r>
      <w:r w:rsidR="00D45735" w:rsidRPr="00D45735">
        <w:rPr>
          <w:rFonts w:ascii="Arial" w:hAnsi="Arial" w:cs="Arial"/>
          <w:i/>
          <w:sz w:val="20"/>
          <w:szCs w:val="16"/>
        </w:rPr>
        <w:t>CYFA</w:t>
      </w:r>
      <w:r w:rsidR="00D45735" w:rsidRPr="00D45735">
        <w:rPr>
          <w:rFonts w:ascii="Arial" w:hAnsi="Arial" w:cs="Arial"/>
          <w:sz w:val="20"/>
          <w:szCs w:val="16"/>
        </w:rPr>
        <w:t xml:space="preserve"> was subject to a requirement to afford procedural fairness to all parties</w:t>
      </w:r>
      <w:r w:rsidR="00D45735">
        <w:rPr>
          <w:rFonts w:ascii="Arial" w:hAnsi="Arial" w:cs="Arial"/>
          <w:sz w:val="20"/>
          <w:szCs w:val="16"/>
        </w:rPr>
        <w:t xml:space="preserve">, </w:t>
      </w:r>
      <w:r w:rsidRPr="00D45735">
        <w:rPr>
          <w:rFonts w:ascii="Arial" w:hAnsi="Arial" w:cs="Arial"/>
          <w:sz w:val="20"/>
        </w:rPr>
        <w:t>it seems probable to me that s.215B must be read subject to that doctrine unless to do so would be contrary to the best interests of the subject child.</w:t>
      </w:r>
    </w:p>
    <w:p w14:paraId="6809571E" w14:textId="46DC1883" w:rsidR="00872E57" w:rsidRPr="005D395B" w:rsidRDefault="00872E57" w:rsidP="00286F0B">
      <w:pPr>
        <w:pStyle w:val="ListParagraph"/>
        <w:spacing w:before="120"/>
        <w:ind w:left="567" w:right="567"/>
        <w:jc w:val="both"/>
        <w:rPr>
          <w:rFonts w:ascii="Arial" w:hAnsi="Arial" w:cs="Arial"/>
          <w:sz w:val="20"/>
        </w:rPr>
      </w:pPr>
      <w:r w:rsidRPr="005D395B">
        <w:rPr>
          <w:rFonts w:ascii="Arial" w:hAnsi="Arial" w:cs="Arial"/>
          <w:sz w:val="20"/>
        </w:rPr>
        <w:t>I am of the strong view that continuation of this trial – which is in many ways a Trial by Ordeal so far as both parents are concerned – is likely to have a negative impact on the family members and on the relationship between the parties and hence is contra-indicated by ss.215B(1)(a) &amp; 215B(1)(b)</w:t>
      </w:r>
      <w:r w:rsidR="00D45735">
        <w:rPr>
          <w:rFonts w:ascii="Arial" w:hAnsi="Arial" w:cs="Arial"/>
          <w:sz w:val="20"/>
        </w:rPr>
        <w:t xml:space="preserve">…  </w:t>
      </w:r>
      <w:r w:rsidR="00D45735" w:rsidRPr="005D395B">
        <w:rPr>
          <w:rFonts w:ascii="Arial" w:hAnsi="Arial" w:cs="Arial"/>
          <w:sz w:val="20"/>
        </w:rPr>
        <w:t>A</w:t>
      </w:r>
      <w:r w:rsidR="00286F0B">
        <w:rPr>
          <w:rFonts w:ascii="Arial" w:hAnsi="Arial" w:cs="Arial"/>
          <w:sz w:val="20"/>
        </w:rPr>
        <w:t> </w:t>
      </w:r>
      <w:r w:rsidR="00D45735" w:rsidRPr="005D395B">
        <w:rPr>
          <w:rFonts w:ascii="Arial" w:hAnsi="Arial" w:cs="Arial"/>
          <w:sz w:val="20"/>
        </w:rPr>
        <w:t>negative impact on the children’s mother has the risk of being translated into a negative impact on the children as well.  In</w:t>
      </w:r>
      <w:r w:rsidR="00D45735">
        <w:rPr>
          <w:rFonts w:ascii="Arial" w:hAnsi="Arial" w:cs="Arial"/>
          <w:sz w:val="20"/>
        </w:rPr>
        <w:t> </w:t>
      </w:r>
      <w:r w:rsidR="00D45735" w:rsidRPr="005D395B">
        <w:rPr>
          <w:rFonts w:ascii="Arial" w:hAnsi="Arial" w:cs="Arial"/>
          <w:sz w:val="20"/>
        </w:rPr>
        <w:t>addition, continuation of the trial in my view comes nowhere near justifying the costs which would be incurred by both parents and by the Victorian taxpayer and is therefore contra-indicated by s.215B(1)(h)</w:t>
      </w:r>
      <w:r w:rsidR="00D45735">
        <w:rPr>
          <w:rFonts w:ascii="Arial" w:hAnsi="Arial" w:cs="Arial"/>
          <w:sz w:val="20"/>
        </w:rPr>
        <w:t>.</w:t>
      </w:r>
    </w:p>
    <w:p w14:paraId="4C406245" w14:textId="77943B4E" w:rsidR="00872E57" w:rsidRPr="005D395B" w:rsidRDefault="00872E57" w:rsidP="00286F0B">
      <w:pPr>
        <w:pStyle w:val="ListParagraph"/>
        <w:spacing w:before="120"/>
        <w:ind w:left="567" w:right="567"/>
        <w:jc w:val="both"/>
        <w:rPr>
          <w:rFonts w:ascii="Arial" w:hAnsi="Arial" w:cs="Arial"/>
          <w:sz w:val="20"/>
        </w:rPr>
      </w:pPr>
      <w:r w:rsidRPr="005D395B">
        <w:rPr>
          <w:rFonts w:ascii="Arial" w:hAnsi="Arial" w:cs="Arial"/>
          <w:sz w:val="20"/>
        </w:rPr>
        <w:t>Having read the thumbnail sketches provided by DHHS of the rest of the witnesses, I</w:t>
      </w:r>
      <w:r w:rsidR="00C956A5">
        <w:rPr>
          <w:rFonts w:ascii="Arial" w:hAnsi="Arial" w:cs="Arial"/>
          <w:sz w:val="20"/>
        </w:rPr>
        <w:t xml:space="preserve"> </w:t>
      </w:r>
      <w:r w:rsidRPr="005D395B">
        <w:rPr>
          <w:rFonts w:ascii="Arial" w:hAnsi="Arial" w:cs="Arial"/>
          <w:sz w:val="20"/>
        </w:rPr>
        <w:t>think it is unlikely that any of their evidence would fundamentally change my preliminary view on the central disputed issue of the timing of the father’s return to the family home.  However, I cannot be certain of that based just on the synopses of their evidence and – as usual in this Court – there are no witness statements available.  Further, while I would prefer not to subject both parents to the stress of giving evidence in these proceedings – which would not be necessary if my preliminary view was accepted by all parties – it does not seem fair to require them and their counsel to make that decision in a vacuum.  Although the provisions of paragraphs (a), (b), (d), (f) &amp; (h) of s.215B(1) on their face appear to allow it, I am concerned that for me to state that the rest of the witnesses originally foreshadowed by DHHS need not be called may have the unintended effect of denying procedural fairness to one or more of the parties.  So I am taking the unusual step of providing the parties with this document which details my interim view of this case based on the evidence I</w:t>
      </w:r>
      <w:r w:rsidR="00286F0B">
        <w:rPr>
          <w:rFonts w:ascii="Arial" w:hAnsi="Arial" w:cs="Arial"/>
          <w:sz w:val="20"/>
        </w:rPr>
        <w:t xml:space="preserve"> </w:t>
      </w:r>
      <w:r w:rsidRPr="005D395B">
        <w:rPr>
          <w:rFonts w:ascii="Arial" w:hAnsi="Arial" w:cs="Arial"/>
          <w:sz w:val="20"/>
        </w:rPr>
        <w:t xml:space="preserve">have heard </w:t>
      </w:r>
      <w:r w:rsidR="00C956A5">
        <w:rPr>
          <w:rFonts w:ascii="Arial" w:hAnsi="Arial" w:cs="Arial"/>
          <w:sz w:val="20"/>
        </w:rPr>
        <w:t>[to date]</w:t>
      </w:r>
      <w:r w:rsidRPr="005D395B">
        <w:rPr>
          <w:rFonts w:ascii="Arial" w:hAnsi="Arial" w:cs="Arial"/>
          <w:sz w:val="20"/>
        </w:rPr>
        <w:t xml:space="preserve"> and which </w:t>
      </w:r>
      <w:r w:rsidRPr="005D395B">
        <w:rPr>
          <w:rFonts w:ascii="Arial" w:hAnsi="Arial" w:cs="Arial"/>
          <w:sz w:val="20"/>
        </w:rPr>
        <w:lastRenderedPageBreak/>
        <w:t>details the findings and orders that I</w:t>
      </w:r>
      <w:r w:rsidR="00C956A5">
        <w:rPr>
          <w:rFonts w:ascii="Arial" w:hAnsi="Arial" w:cs="Arial"/>
          <w:sz w:val="20"/>
        </w:rPr>
        <w:t xml:space="preserve"> </w:t>
      </w:r>
      <w:r w:rsidRPr="005D395B">
        <w:rPr>
          <w:rFonts w:ascii="Arial" w:hAnsi="Arial" w:cs="Arial"/>
          <w:sz w:val="20"/>
        </w:rPr>
        <w:t>consider to be in the best interests of each of the children based on that evidence.</w:t>
      </w:r>
    </w:p>
    <w:p w14:paraId="6BCEA771" w14:textId="2657533F" w:rsidR="00872E57" w:rsidRPr="005D395B" w:rsidRDefault="00872E57" w:rsidP="00286F0B">
      <w:pPr>
        <w:spacing w:before="120"/>
        <w:ind w:left="567" w:right="567"/>
        <w:jc w:val="both"/>
        <w:rPr>
          <w:rFonts w:ascii="Arial" w:hAnsi="Arial" w:cs="Arial"/>
          <w:color w:val="000000"/>
          <w:sz w:val="20"/>
          <w:szCs w:val="20"/>
        </w:rPr>
      </w:pPr>
      <w:r w:rsidRPr="005D395B">
        <w:rPr>
          <w:rFonts w:ascii="Arial" w:hAnsi="Arial" w:cs="Arial"/>
          <w:sz w:val="20"/>
          <w:szCs w:val="20"/>
        </w:rPr>
        <w:t xml:space="preserve">I do not </w:t>
      </w:r>
      <w:r w:rsidRPr="005D395B">
        <w:rPr>
          <w:rFonts w:ascii="Arial" w:hAnsi="Arial" w:cs="Arial"/>
          <w:color w:val="000000"/>
          <w:sz w:val="20"/>
          <w:szCs w:val="20"/>
        </w:rPr>
        <w:t>seek to bind any of the parties to accept these interim findings and orders.  If</w:t>
      </w:r>
      <w:r w:rsidR="00286F0B">
        <w:rPr>
          <w:rFonts w:ascii="Arial" w:hAnsi="Arial" w:cs="Arial"/>
          <w:color w:val="000000"/>
          <w:sz w:val="20"/>
          <w:szCs w:val="20"/>
        </w:rPr>
        <w:t xml:space="preserve"> </w:t>
      </w:r>
      <w:r w:rsidRPr="005D395B">
        <w:rPr>
          <w:rFonts w:ascii="Arial" w:hAnsi="Arial" w:cs="Arial"/>
          <w:color w:val="000000"/>
          <w:sz w:val="20"/>
          <w:szCs w:val="20"/>
        </w:rPr>
        <w:t>any of the parties wish to proceed with the contested hearing, the Court will provide the time to do so</w:t>
      </w:r>
      <w:r w:rsidR="00286F0B">
        <w:rPr>
          <w:rFonts w:ascii="Arial" w:hAnsi="Arial" w:cs="Arial"/>
          <w:color w:val="000000"/>
          <w:sz w:val="20"/>
          <w:szCs w:val="20"/>
        </w:rPr>
        <w:t>.”</w:t>
      </w:r>
    </w:p>
    <w:p w14:paraId="71FA8DE3" w14:textId="77777777" w:rsidR="00872E57" w:rsidRPr="005D395B" w:rsidRDefault="00872E57" w:rsidP="00872E57">
      <w:pPr>
        <w:jc w:val="both"/>
        <w:rPr>
          <w:rFonts w:ascii="Arial" w:hAnsi="Arial" w:cs="Arial"/>
          <w:color w:val="000000"/>
          <w:sz w:val="20"/>
          <w:szCs w:val="20"/>
        </w:rPr>
      </w:pPr>
    </w:p>
    <w:p w14:paraId="65FAEE24" w14:textId="05542E1E" w:rsidR="00872E57" w:rsidRDefault="00286F0B">
      <w:pPr>
        <w:jc w:val="both"/>
        <w:rPr>
          <w:rFonts w:ascii="Arial" w:hAnsi="Arial" w:cs="Arial"/>
          <w:sz w:val="20"/>
        </w:rPr>
      </w:pPr>
      <w:r>
        <w:rPr>
          <w:rFonts w:ascii="Arial" w:hAnsi="Arial" w:cs="Arial"/>
          <w:sz w:val="20"/>
        </w:rPr>
        <w:t>The case ultimately settled on the basis of the proposed orders contained in the Court’s interim written reasons.</w:t>
      </w:r>
    </w:p>
    <w:p w14:paraId="6E037DFC" w14:textId="5FF07FB5" w:rsidR="00237A4D" w:rsidRPr="00872E57" w:rsidRDefault="00237A4D">
      <w:pPr>
        <w:jc w:val="both"/>
        <w:rPr>
          <w:rFonts w:ascii="Arial" w:hAnsi="Arial" w:cs="Arial"/>
          <w:sz w:val="16"/>
          <w:szCs w:val="20"/>
        </w:rPr>
      </w:pPr>
    </w:p>
    <w:p w14:paraId="7C9F2B05" w14:textId="45B80C79" w:rsidR="0099333E" w:rsidRDefault="0099333E" w:rsidP="0099333E">
      <w:pPr>
        <w:pStyle w:val="Heading3"/>
        <w:keepNext/>
        <w:keepLines/>
        <w:widowControl/>
        <w:spacing w:after="120" w:line="240" w:lineRule="auto"/>
        <w:rPr>
          <w:rFonts w:ascii="Arial" w:hAnsi="Arial" w:cs="Arial"/>
          <w:sz w:val="20"/>
        </w:rPr>
      </w:pPr>
      <w:bookmarkStart w:id="1139" w:name="_4.8.2_Whether_an"/>
      <w:bookmarkEnd w:id="1139"/>
      <w:r>
        <w:rPr>
          <w:rFonts w:ascii="Arial" w:hAnsi="Arial" w:cs="Arial"/>
          <w:b/>
          <w:bCs/>
          <w:sz w:val="20"/>
        </w:rPr>
        <w:t>4.8.</w:t>
      </w:r>
      <w:r>
        <w:rPr>
          <w:rFonts w:ascii="Arial" w:hAnsi="Arial" w:cs="Arial"/>
          <w:b/>
          <w:bCs/>
          <w:color w:val="000000"/>
          <w:sz w:val="20"/>
        </w:rPr>
        <w:t>2</w:t>
      </w:r>
      <w:r>
        <w:rPr>
          <w:rFonts w:ascii="Arial" w:hAnsi="Arial" w:cs="Arial"/>
          <w:b/>
          <w:bCs/>
          <w:sz w:val="20"/>
        </w:rPr>
        <w:tab/>
        <w:t>Whether an adult party may be represented by a ‘litigation guardian’</w:t>
      </w:r>
    </w:p>
    <w:p w14:paraId="5266A010" w14:textId="77777777" w:rsidR="00323B33" w:rsidRDefault="00256DC5" w:rsidP="0099333E">
      <w:pPr>
        <w:keepNext/>
        <w:keepLines/>
        <w:jc w:val="both"/>
        <w:rPr>
          <w:rFonts w:ascii="Arial" w:hAnsi="Arial" w:cs="Arial"/>
          <w:sz w:val="20"/>
        </w:rPr>
      </w:pPr>
      <w:bookmarkStart w:id="1140" w:name="_Hlk119517881"/>
      <w:r>
        <w:rPr>
          <w:rFonts w:ascii="Arial" w:hAnsi="Arial" w:cs="Arial"/>
          <w:sz w:val="20"/>
        </w:rPr>
        <w:t>In the Family Division of the Children’s Court</w:t>
      </w:r>
      <w:r w:rsidR="00323B33">
        <w:rPr>
          <w:rFonts w:ascii="Arial" w:hAnsi="Arial" w:cs="Arial"/>
          <w:sz w:val="20"/>
        </w:rPr>
        <w:t>-</w:t>
      </w:r>
    </w:p>
    <w:p w14:paraId="3B45D075" w14:textId="77777777" w:rsidR="00323B33" w:rsidRDefault="00256DC5">
      <w:pPr>
        <w:pStyle w:val="ListParagraph"/>
        <w:numPr>
          <w:ilvl w:val="0"/>
          <w:numId w:val="72"/>
        </w:numPr>
        <w:ind w:left="357" w:hanging="357"/>
        <w:jc w:val="both"/>
        <w:rPr>
          <w:rFonts w:ascii="Arial" w:hAnsi="Arial" w:cs="Arial"/>
          <w:sz w:val="20"/>
        </w:rPr>
      </w:pPr>
      <w:r w:rsidRPr="00323B33">
        <w:rPr>
          <w:rFonts w:ascii="Arial" w:hAnsi="Arial" w:cs="Arial"/>
          <w:sz w:val="20"/>
        </w:rPr>
        <w:t>a child aged under 10 years</w:t>
      </w:r>
      <w:r w:rsidR="00323B33">
        <w:rPr>
          <w:rFonts w:ascii="Arial" w:hAnsi="Arial" w:cs="Arial"/>
          <w:sz w:val="20"/>
        </w:rPr>
        <w:t>;</w:t>
      </w:r>
      <w:r w:rsidRPr="00323B33">
        <w:rPr>
          <w:rFonts w:ascii="Arial" w:hAnsi="Arial" w:cs="Arial"/>
          <w:sz w:val="20"/>
        </w:rPr>
        <w:t xml:space="preserve"> or</w:t>
      </w:r>
    </w:p>
    <w:p w14:paraId="6D452FDC" w14:textId="77777777" w:rsidR="00323B33" w:rsidRDefault="00256DC5">
      <w:pPr>
        <w:pStyle w:val="ListParagraph"/>
        <w:numPr>
          <w:ilvl w:val="0"/>
          <w:numId w:val="72"/>
        </w:numPr>
        <w:ind w:left="357" w:hanging="357"/>
        <w:jc w:val="both"/>
        <w:rPr>
          <w:rFonts w:ascii="Arial" w:hAnsi="Arial" w:cs="Arial"/>
          <w:sz w:val="20"/>
        </w:rPr>
      </w:pPr>
      <w:r w:rsidRPr="00323B33">
        <w:rPr>
          <w:rFonts w:ascii="Arial" w:hAnsi="Arial" w:cs="Arial"/>
          <w:sz w:val="20"/>
        </w:rPr>
        <w:t>a child aged 10 years or more whom the Court determines is not mature enough to give instructions</w:t>
      </w:r>
      <w:r w:rsidR="00323B33">
        <w:rPr>
          <w:rFonts w:ascii="Arial" w:hAnsi="Arial" w:cs="Arial"/>
          <w:sz w:val="20"/>
        </w:rPr>
        <w:t>-</w:t>
      </w:r>
    </w:p>
    <w:p w14:paraId="64C8BF0C" w14:textId="6001A775" w:rsidR="0099333E" w:rsidRPr="00323B33" w:rsidRDefault="00256DC5" w:rsidP="00323B33">
      <w:pPr>
        <w:jc w:val="both"/>
        <w:rPr>
          <w:rFonts w:ascii="Arial" w:hAnsi="Arial" w:cs="Arial"/>
          <w:sz w:val="20"/>
        </w:rPr>
      </w:pPr>
      <w:r w:rsidRPr="00323B33">
        <w:rPr>
          <w:rFonts w:ascii="Arial" w:hAnsi="Arial" w:cs="Arial"/>
          <w:sz w:val="20"/>
        </w:rPr>
        <w:t>may be legally represented by a</w:t>
      </w:r>
      <w:r w:rsidR="00AF7ECC">
        <w:rPr>
          <w:rFonts w:ascii="Arial" w:hAnsi="Arial" w:cs="Arial"/>
          <w:sz w:val="20"/>
        </w:rPr>
        <w:t xml:space="preserve"> best interest</w:t>
      </w:r>
      <w:r w:rsidRPr="00323B33">
        <w:rPr>
          <w:rFonts w:ascii="Arial" w:hAnsi="Arial" w:cs="Arial"/>
          <w:sz w:val="20"/>
        </w:rPr>
        <w:t xml:space="preserve">s </w:t>
      </w:r>
      <w:r w:rsidR="00AF7ECC">
        <w:rPr>
          <w:rFonts w:ascii="Arial" w:hAnsi="Arial" w:cs="Arial"/>
          <w:sz w:val="20"/>
        </w:rPr>
        <w:t>l</w:t>
      </w:r>
      <w:r w:rsidRPr="00323B33">
        <w:rPr>
          <w:rFonts w:ascii="Arial" w:hAnsi="Arial" w:cs="Arial"/>
          <w:sz w:val="20"/>
        </w:rPr>
        <w:t>awyer (</w:t>
      </w:r>
      <w:r w:rsidR="00AF7ECC">
        <w:rPr>
          <w:rFonts w:ascii="Arial" w:hAnsi="Arial" w:cs="Arial"/>
          <w:sz w:val="20"/>
        </w:rPr>
        <w:t>BI</w:t>
      </w:r>
      <w:r w:rsidRPr="00323B33">
        <w:rPr>
          <w:rFonts w:ascii="Arial" w:hAnsi="Arial" w:cs="Arial"/>
          <w:sz w:val="20"/>
        </w:rPr>
        <w:t xml:space="preserve">L) if the Court is satisfied there are exceptional circumstances </w:t>
      </w:r>
      <w:r w:rsidR="00323B33" w:rsidRPr="00323B33">
        <w:rPr>
          <w:rFonts w:ascii="Arial" w:hAnsi="Arial" w:cs="Arial"/>
          <w:sz w:val="20"/>
        </w:rPr>
        <w:t xml:space="preserve">and that it is in the best interests of the child to do so: see </w:t>
      </w:r>
      <w:r w:rsidR="00323B33" w:rsidRPr="003B600E">
        <w:rPr>
          <w:rFonts w:ascii="Arial" w:hAnsi="Arial" w:cs="Arial"/>
          <w:b/>
          <w:bCs/>
          <w:sz w:val="20"/>
          <w:shd w:val="clear" w:color="auto" w:fill="C5E0B3"/>
        </w:rPr>
        <w:t>sections 4.7.3 &amp; 4.7.4</w:t>
      </w:r>
      <w:r w:rsidR="00323B33" w:rsidRPr="00323B33">
        <w:rPr>
          <w:rFonts w:ascii="Arial" w:hAnsi="Arial" w:cs="Arial"/>
          <w:sz w:val="20"/>
        </w:rPr>
        <w:t xml:space="preserve"> above.</w:t>
      </w:r>
    </w:p>
    <w:p w14:paraId="776EAFDF" w14:textId="332F4986" w:rsidR="0099333E" w:rsidRDefault="0099333E">
      <w:pPr>
        <w:jc w:val="both"/>
        <w:rPr>
          <w:rFonts w:ascii="Arial" w:hAnsi="Arial" w:cs="Arial"/>
          <w:sz w:val="20"/>
        </w:rPr>
      </w:pPr>
    </w:p>
    <w:p w14:paraId="38245E8A" w14:textId="4D19B8DE" w:rsidR="00323B33" w:rsidRPr="0082419B" w:rsidRDefault="00323B33">
      <w:pPr>
        <w:jc w:val="both"/>
        <w:rPr>
          <w:rFonts w:ascii="Arial" w:hAnsi="Arial" w:cs="Arial"/>
          <w:bCs/>
          <w:sz w:val="20"/>
          <w:szCs w:val="20"/>
        </w:rPr>
      </w:pPr>
      <w:r>
        <w:rPr>
          <w:rFonts w:ascii="Arial" w:hAnsi="Arial" w:cs="Arial"/>
          <w:sz w:val="20"/>
        </w:rPr>
        <w:t xml:space="preserve">However, there is an ongoing issue whether the Children’s Court has power to appoint a litigation guardian to represent an </w:t>
      </w:r>
      <w:r w:rsidRPr="00323B33">
        <w:rPr>
          <w:rFonts w:ascii="Arial" w:hAnsi="Arial" w:cs="Arial"/>
          <w:b/>
          <w:bCs/>
          <w:sz w:val="20"/>
          <w:u w:val="single"/>
        </w:rPr>
        <w:t>adult</w:t>
      </w:r>
      <w:r>
        <w:rPr>
          <w:rFonts w:ascii="Arial" w:hAnsi="Arial" w:cs="Arial"/>
          <w:sz w:val="20"/>
        </w:rPr>
        <w:t xml:space="preserve"> party </w:t>
      </w:r>
      <w:r w:rsidR="00E70D52">
        <w:rPr>
          <w:rFonts w:ascii="Arial" w:hAnsi="Arial" w:cs="Arial"/>
          <w:sz w:val="20"/>
        </w:rPr>
        <w:t xml:space="preserve">in the Family Division </w:t>
      </w:r>
      <w:r>
        <w:rPr>
          <w:rFonts w:ascii="Arial" w:hAnsi="Arial" w:cs="Arial"/>
          <w:sz w:val="20"/>
        </w:rPr>
        <w:t>who is “under disability”</w:t>
      </w:r>
      <w:r w:rsidR="008445F8">
        <w:rPr>
          <w:rFonts w:ascii="Arial" w:hAnsi="Arial" w:cs="Arial"/>
          <w:sz w:val="20"/>
        </w:rPr>
        <w:t>.</w:t>
      </w:r>
    </w:p>
    <w:p w14:paraId="7FF39FE9" w14:textId="5AB30CCD" w:rsidR="00323B33" w:rsidRDefault="00323B33">
      <w:pPr>
        <w:jc w:val="both"/>
        <w:rPr>
          <w:rFonts w:ascii="Arial" w:hAnsi="Arial" w:cs="Arial"/>
          <w:sz w:val="20"/>
        </w:rPr>
      </w:pPr>
    </w:p>
    <w:p w14:paraId="43F22AE9" w14:textId="58937429" w:rsidR="008445F8" w:rsidRDefault="0082419B">
      <w:pPr>
        <w:jc w:val="both"/>
        <w:rPr>
          <w:rFonts w:ascii="Arial" w:hAnsi="Arial" w:cs="Arial"/>
          <w:sz w:val="20"/>
        </w:rPr>
      </w:pPr>
      <w:r>
        <w:rPr>
          <w:rFonts w:ascii="Arial" w:hAnsi="Arial" w:cs="Arial"/>
          <w:sz w:val="20"/>
        </w:rPr>
        <w:t xml:space="preserve">The issue is </w:t>
      </w:r>
      <w:r w:rsidR="00614733">
        <w:rPr>
          <w:rFonts w:ascii="Arial" w:hAnsi="Arial" w:cs="Arial"/>
          <w:sz w:val="20"/>
        </w:rPr>
        <w:t xml:space="preserve">neatly </w:t>
      </w:r>
      <w:r w:rsidR="008445F8">
        <w:rPr>
          <w:rFonts w:ascii="Arial" w:hAnsi="Arial" w:cs="Arial"/>
          <w:sz w:val="20"/>
        </w:rPr>
        <w:t>analy</w:t>
      </w:r>
      <w:r w:rsidR="00614733">
        <w:rPr>
          <w:rFonts w:ascii="Arial" w:hAnsi="Arial" w:cs="Arial"/>
          <w:sz w:val="20"/>
        </w:rPr>
        <w:t>sed</w:t>
      </w:r>
      <w:r>
        <w:rPr>
          <w:rFonts w:ascii="Arial" w:hAnsi="Arial" w:cs="Arial"/>
          <w:sz w:val="20"/>
        </w:rPr>
        <w:t xml:space="preserve"> by Siobhan Mansfield in an article entitled “Parents lacking capacity” dated 01/04/2017 and published in the Law Institute of Victoria</w:t>
      </w:r>
      <w:r w:rsidR="000E7063">
        <w:rPr>
          <w:rFonts w:ascii="Arial" w:hAnsi="Arial" w:cs="Arial"/>
          <w:sz w:val="20"/>
        </w:rPr>
        <w:t xml:space="preserve"> Journal</w:t>
      </w:r>
      <w:r>
        <w:rPr>
          <w:rFonts w:ascii="Arial" w:hAnsi="Arial" w:cs="Arial"/>
          <w:sz w:val="20"/>
        </w:rPr>
        <w:t>.</w:t>
      </w:r>
      <w:r w:rsidR="00C030AE">
        <w:rPr>
          <w:rFonts w:ascii="Arial" w:hAnsi="Arial" w:cs="Arial"/>
          <w:sz w:val="20"/>
        </w:rPr>
        <w:t xml:space="preserve">  Ms</w:t>
      </w:r>
      <w:r w:rsidR="000E7063">
        <w:rPr>
          <w:rFonts w:ascii="Arial" w:hAnsi="Arial" w:cs="Arial"/>
          <w:sz w:val="20"/>
        </w:rPr>
        <w:t> </w:t>
      </w:r>
      <w:r w:rsidR="00C030AE">
        <w:rPr>
          <w:rFonts w:ascii="Arial" w:hAnsi="Arial" w:cs="Arial"/>
          <w:sz w:val="20"/>
        </w:rPr>
        <w:t xml:space="preserve">Mansfield </w:t>
      </w:r>
      <w:r w:rsidR="008445F8">
        <w:rPr>
          <w:rFonts w:ascii="Arial" w:hAnsi="Arial" w:cs="Arial"/>
          <w:sz w:val="20"/>
        </w:rPr>
        <w:t>note</w:t>
      </w:r>
      <w:r w:rsidR="00C030AE">
        <w:rPr>
          <w:rFonts w:ascii="Arial" w:hAnsi="Arial" w:cs="Arial"/>
          <w:sz w:val="20"/>
        </w:rPr>
        <w:t>s</w:t>
      </w:r>
      <w:r w:rsidR="008445F8">
        <w:rPr>
          <w:rFonts w:ascii="Arial" w:hAnsi="Arial" w:cs="Arial"/>
          <w:sz w:val="20"/>
        </w:rPr>
        <w:t>:</w:t>
      </w:r>
    </w:p>
    <w:p w14:paraId="5BDA530A" w14:textId="78DA618F" w:rsidR="008445F8" w:rsidRDefault="008445F8" w:rsidP="00286F0B">
      <w:pPr>
        <w:spacing w:before="60"/>
        <w:ind w:left="567" w:right="567"/>
        <w:jc w:val="both"/>
        <w:rPr>
          <w:rFonts w:ascii="Arial" w:hAnsi="Arial" w:cs="Arial"/>
          <w:bCs/>
          <w:sz w:val="20"/>
        </w:rPr>
      </w:pPr>
      <w:r>
        <w:rPr>
          <w:rFonts w:ascii="Arial" w:hAnsi="Arial" w:cs="Arial"/>
          <w:bCs/>
          <w:sz w:val="20"/>
        </w:rPr>
        <w:t>“As a court of inferior jurisdiction, the Children’s Court possesses no ‘inherent’ powers from which to make such an order.  It possesses some of the ‘implied powers’ that ‘may in many instances serve a function similar to that served by the inherent powers exercised by a superior court but they are derived from a different source and are limited in their extent’.  A court’s implied powers are derived from the doctrine of abuse of process which, although flexible, seems an unlikely vehicle from which to make such a significant appointment.</w:t>
      </w:r>
      <w:r w:rsidR="005B4A74">
        <w:rPr>
          <w:rFonts w:ascii="Arial" w:hAnsi="Arial" w:cs="Arial"/>
          <w:bCs/>
          <w:sz w:val="20"/>
        </w:rPr>
        <w:t>”</w:t>
      </w:r>
    </w:p>
    <w:p w14:paraId="6CDD9DF6" w14:textId="0D01DFAE" w:rsidR="005B4A74" w:rsidRDefault="005B4A74" w:rsidP="005B4A74">
      <w:pPr>
        <w:jc w:val="both"/>
        <w:rPr>
          <w:rFonts w:ascii="Arial" w:hAnsi="Arial" w:cs="Arial"/>
          <w:bCs/>
          <w:sz w:val="20"/>
        </w:rPr>
      </w:pPr>
    </w:p>
    <w:p w14:paraId="36465BFE" w14:textId="1E19A71A" w:rsidR="005B4A74" w:rsidRPr="005B4A74" w:rsidRDefault="005B4A74" w:rsidP="005B4A74">
      <w:pPr>
        <w:jc w:val="both"/>
        <w:rPr>
          <w:rFonts w:ascii="Arial" w:hAnsi="Arial" w:cs="Arial"/>
          <w:bCs/>
          <w:sz w:val="20"/>
        </w:rPr>
      </w:pPr>
      <w:r>
        <w:rPr>
          <w:rFonts w:ascii="Arial" w:hAnsi="Arial" w:cs="Arial"/>
          <w:bCs/>
          <w:sz w:val="20"/>
        </w:rPr>
        <w:t xml:space="preserve">It follows that Ms Mansfield considers – and the writer agrees – that if the Children’s Court has any such power, it must have been expressly conferred.  Referring to the </w:t>
      </w:r>
      <w:r w:rsidR="008445F8" w:rsidRPr="008D3853">
        <w:rPr>
          <w:rFonts w:ascii="Arial" w:hAnsi="Arial" w:cs="Arial"/>
          <w:bCs/>
          <w:sz w:val="20"/>
          <w:szCs w:val="20"/>
          <w:u w:val="single"/>
        </w:rPr>
        <w:t>Magistrates' Court General Civil Procedure Rules</w:t>
      </w:r>
      <w:r w:rsidR="00703D27">
        <w:rPr>
          <w:rFonts w:ascii="Arial" w:hAnsi="Arial" w:cs="Arial"/>
          <w:bCs/>
          <w:sz w:val="20"/>
          <w:szCs w:val="20"/>
          <w:u w:val="single"/>
        </w:rPr>
        <w:t xml:space="preserve"> </w:t>
      </w:r>
      <w:r w:rsidR="008445F8" w:rsidRPr="008D3853">
        <w:rPr>
          <w:rFonts w:ascii="Arial" w:hAnsi="Arial" w:cs="Arial"/>
          <w:bCs/>
          <w:sz w:val="20"/>
          <w:szCs w:val="20"/>
          <w:u w:val="single"/>
        </w:rPr>
        <w:t>20</w:t>
      </w:r>
      <w:r>
        <w:rPr>
          <w:rFonts w:ascii="Arial" w:hAnsi="Arial" w:cs="Arial"/>
          <w:bCs/>
          <w:sz w:val="20"/>
          <w:szCs w:val="20"/>
          <w:u w:val="single"/>
        </w:rPr>
        <w:t>1</w:t>
      </w:r>
      <w:r w:rsidR="008445F8" w:rsidRPr="008D3853">
        <w:rPr>
          <w:rFonts w:ascii="Arial" w:hAnsi="Arial" w:cs="Arial"/>
          <w:bCs/>
          <w:sz w:val="20"/>
          <w:szCs w:val="20"/>
          <w:u w:val="single"/>
        </w:rPr>
        <w:t>0</w:t>
      </w:r>
      <w:r w:rsidRPr="005B4A74">
        <w:rPr>
          <w:rFonts w:ascii="Arial" w:hAnsi="Arial" w:cs="Arial"/>
          <w:bCs/>
          <w:sz w:val="20"/>
          <w:szCs w:val="20"/>
        </w:rPr>
        <w:t xml:space="preserve"> – which have since been re-enacted </w:t>
      </w:r>
      <w:r>
        <w:rPr>
          <w:rFonts w:ascii="Arial" w:hAnsi="Arial" w:cs="Arial"/>
          <w:bCs/>
          <w:sz w:val="20"/>
          <w:szCs w:val="20"/>
        </w:rPr>
        <w:t xml:space="preserve">to like effect in the </w:t>
      </w:r>
      <w:r w:rsidRPr="008D3853">
        <w:rPr>
          <w:rFonts w:ascii="Arial" w:hAnsi="Arial" w:cs="Arial"/>
          <w:bCs/>
          <w:sz w:val="20"/>
          <w:szCs w:val="20"/>
          <w:u w:val="single"/>
        </w:rPr>
        <w:t>Magistrates' Court General Civil Procedure Rules</w:t>
      </w:r>
      <w:r w:rsidR="00703D27">
        <w:rPr>
          <w:rFonts w:ascii="Arial" w:hAnsi="Arial" w:cs="Arial"/>
          <w:bCs/>
          <w:sz w:val="20"/>
          <w:szCs w:val="20"/>
          <w:u w:val="single"/>
        </w:rPr>
        <w:t xml:space="preserve"> </w:t>
      </w:r>
      <w:r w:rsidRPr="008D3853">
        <w:rPr>
          <w:rFonts w:ascii="Arial" w:hAnsi="Arial" w:cs="Arial"/>
          <w:bCs/>
          <w:sz w:val="20"/>
          <w:szCs w:val="20"/>
          <w:u w:val="single"/>
        </w:rPr>
        <w:t>20</w:t>
      </w:r>
      <w:r>
        <w:rPr>
          <w:rFonts w:ascii="Arial" w:hAnsi="Arial" w:cs="Arial"/>
          <w:bCs/>
          <w:sz w:val="20"/>
          <w:szCs w:val="20"/>
          <w:u w:val="single"/>
        </w:rPr>
        <w:t>2</w:t>
      </w:r>
      <w:r w:rsidRPr="008D3853">
        <w:rPr>
          <w:rFonts w:ascii="Arial" w:hAnsi="Arial" w:cs="Arial"/>
          <w:bCs/>
          <w:sz w:val="20"/>
          <w:szCs w:val="20"/>
          <w:u w:val="single"/>
        </w:rPr>
        <w:t>0</w:t>
      </w:r>
      <w:r w:rsidRPr="005B4A74">
        <w:rPr>
          <w:rFonts w:ascii="Arial" w:hAnsi="Arial" w:cs="Arial"/>
          <w:bCs/>
          <w:sz w:val="20"/>
          <w:szCs w:val="20"/>
        </w:rPr>
        <w:t xml:space="preserve"> </w:t>
      </w:r>
      <w:r>
        <w:rPr>
          <w:rFonts w:ascii="Arial" w:hAnsi="Arial" w:cs="Arial"/>
          <w:bCs/>
          <w:sz w:val="20"/>
          <w:szCs w:val="20"/>
        </w:rPr>
        <w:t>– Ms Mansfield traces the potential source of such power f</w:t>
      </w:r>
      <w:r w:rsidR="00703D27">
        <w:rPr>
          <w:rFonts w:ascii="Arial" w:hAnsi="Arial" w:cs="Arial"/>
          <w:bCs/>
          <w:sz w:val="20"/>
          <w:szCs w:val="20"/>
        </w:rPr>
        <w:t xml:space="preserve">lowing from these </w:t>
      </w:r>
      <w:r w:rsidR="007577D4">
        <w:rPr>
          <w:rFonts w:ascii="Arial" w:hAnsi="Arial" w:cs="Arial"/>
          <w:bCs/>
          <w:sz w:val="20"/>
          <w:szCs w:val="20"/>
        </w:rPr>
        <w:t>R</w:t>
      </w:r>
      <w:r w:rsidR="00703D27">
        <w:rPr>
          <w:rFonts w:ascii="Arial" w:hAnsi="Arial" w:cs="Arial"/>
          <w:bCs/>
          <w:sz w:val="20"/>
          <w:szCs w:val="20"/>
        </w:rPr>
        <w:t>ules and the CYFA as follows</w:t>
      </w:r>
      <w:r>
        <w:rPr>
          <w:rFonts w:ascii="Arial" w:hAnsi="Arial" w:cs="Arial"/>
          <w:bCs/>
          <w:sz w:val="20"/>
          <w:szCs w:val="20"/>
        </w:rPr>
        <w:t>:</w:t>
      </w:r>
    </w:p>
    <w:p w14:paraId="0A12BC18" w14:textId="4E00481A" w:rsidR="008445F8" w:rsidRPr="00C47AF6" w:rsidRDefault="005B4A74" w:rsidP="00C47AF6">
      <w:pPr>
        <w:spacing w:before="60"/>
        <w:ind w:left="567" w:right="567"/>
        <w:jc w:val="both"/>
        <w:rPr>
          <w:rFonts w:ascii="Arial" w:hAnsi="Arial" w:cs="Arial"/>
          <w:bCs/>
          <w:sz w:val="20"/>
          <w:szCs w:val="20"/>
        </w:rPr>
      </w:pPr>
      <w:r w:rsidRPr="005B4A74">
        <w:rPr>
          <w:rFonts w:ascii="Arial" w:hAnsi="Arial" w:cs="Arial"/>
          <w:bCs/>
          <w:sz w:val="20"/>
          <w:szCs w:val="20"/>
        </w:rPr>
        <w:t>“[Rule</w:t>
      </w:r>
      <w:r w:rsidR="00C47AF6">
        <w:rPr>
          <w:rFonts w:ascii="Arial" w:hAnsi="Arial" w:cs="Arial"/>
          <w:bCs/>
          <w:sz w:val="20"/>
          <w:szCs w:val="20"/>
        </w:rPr>
        <w:t>s</w:t>
      </w:r>
      <w:r w:rsidRPr="005B4A74">
        <w:rPr>
          <w:rFonts w:ascii="Arial" w:hAnsi="Arial" w:cs="Arial"/>
          <w:bCs/>
          <w:sz w:val="20"/>
          <w:szCs w:val="20"/>
        </w:rPr>
        <w:t xml:space="preserve"> 15.0</w:t>
      </w:r>
      <w:r w:rsidR="00C47AF6">
        <w:rPr>
          <w:rFonts w:ascii="Arial" w:hAnsi="Arial" w:cs="Arial"/>
          <w:bCs/>
          <w:sz w:val="20"/>
          <w:szCs w:val="20"/>
        </w:rPr>
        <w:t>3(3) &amp; 15.01(b)</w:t>
      </w:r>
      <w:r w:rsidRPr="005B4A74">
        <w:rPr>
          <w:rFonts w:ascii="Arial" w:hAnsi="Arial" w:cs="Arial"/>
          <w:bCs/>
          <w:sz w:val="20"/>
          <w:szCs w:val="20"/>
        </w:rPr>
        <w:t xml:space="preserve"> provide</w:t>
      </w:r>
      <w:r w:rsidR="00C47AF6">
        <w:rPr>
          <w:rFonts w:ascii="Arial" w:hAnsi="Arial" w:cs="Arial"/>
          <w:bCs/>
          <w:sz w:val="20"/>
          <w:szCs w:val="20"/>
        </w:rPr>
        <w:t>]</w:t>
      </w:r>
      <w:r w:rsidRPr="005B4A74">
        <w:rPr>
          <w:rFonts w:ascii="Arial" w:hAnsi="Arial" w:cs="Arial"/>
          <w:bCs/>
          <w:sz w:val="20"/>
          <w:szCs w:val="20"/>
        </w:rPr>
        <w:t xml:space="preserve"> that if, after </w:t>
      </w:r>
      <w:r>
        <w:rPr>
          <w:rFonts w:ascii="Arial" w:hAnsi="Arial" w:cs="Arial"/>
          <w:bCs/>
          <w:sz w:val="20"/>
          <w:szCs w:val="20"/>
        </w:rPr>
        <w:t xml:space="preserve">a proceeding is commenced, a party to the proceeding becomes a person ‘under disability’, the Court must appoint a litigation guardian.  </w:t>
      </w:r>
      <w:r w:rsidR="00B267C6">
        <w:rPr>
          <w:rFonts w:ascii="Arial" w:hAnsi="Arial" w:cs="Arial"/>
          <w:bCs/>
          <w:sz w:val="20"/>
          <w:szCs w:val="20"/>
        </w:rPr>
        <w:t xml:space="preserve">People ‘under disability’ are defined </w:t>
      </w:r>
      <w:r w:rsidR="00C47AF6">
        <w:rPr>
          <w:rFonts w:ascii="Arial" w:hAnsi="Arial" w:cs="Arial"/>
          <w:bCs/>
          <w:sz w:val="20"/>
          <w:szCs w:val="20"/>
        </w:rPr>
        <w:t xml:space="preserve">as </w:t>
      </w:r>
      <w:r w:rsidR="00C47AF6">
        <w:rPr>
          <w:rFonts w:ascii="Arial" w:hAnsi="Arial" w:cs="Arial"/>
          <w:sz w:val="20"/>
        </w:rPr>
        <w:t>‘</w:t>
      </w:r>
      <w:r w:rsidR="008445F8">
        <w:rPr>
          <w:rFonts w:ascii="Arial" w:hAnsi="Arial" w:cs="Arial"/>
          <w:sz w:val="20"/>
        </w:rPr>
        <w:t xml:space="preserve">incapable by reason of injury, disease, senility, illness or physical or mental infirmity of managing his or her affairs in relation to </w:t>
      </w:r>
      <w:r w:rsidR="00C47AF6">
        <w:rPr>
          <w:rFonts w:ascii="Arial" w:hAnsi="Arial" w:cs="Arial"/>
          <w:sz w:val="20"/>
        </w:rPr>
        <w:t xml:space="preserve">the </w:t>
      </w:r>
      <w:r w:rsidR="008445F8">
        <w:rPr>
          <w:rFonts w:ascii="Arial" w:hAnsi="Arial" w:cs="Arial"/>
          <w:sz w:val="20"/>
        </w:rPr>
        <w:t>proceeding</w:t>
      </w:r>
      <w:r w:rsidR="00C47AF6">
        <w:rPr>
          <w:rFonts w:ascii="Arial" w:hAnsi="Arial" w:cs="Arial"/>
          <w:sz w:val="20"/>
        </w:rPr>
        <w:t xml:space="preserve">’.  Section 528(1) of the CYFA provides that the Children’s Court has and may exercise all powers and authorities that the Magistrates’ Court has in relation to matters over which it has jurisdiction.  Section 528(2) of the CYFA provides that the </w:t>
      </w:r>
      <w:r w:rsidR="00C47AF6" w:rsidRPr="00451D58">
        <w:rPr>
          <w:rFonts w:ascii="Arial" w:hAnsi="Arial" w:cs="Arial"/>
          <w:bCs/>
          <w:sz w:val="20"/>
          <w:u w:val="single"/>
        </w:rPr>
        <w:t>Magistrates’ Court Act 1989 (Vic)</w:t>
      </w:r>
      <w:r w:rsidR="00C47AF6" w:rsidRPr="00C47AF6">
        <w:rPr>
          <w:rFonts w:ascii="Arial" w:hAnsi="Arial" w:cs="Arial"/>
          <w:bCs/>
          <w:sz w:val="20"/>
        </w:rPr>
        <w:t xml:space="preserve"> </w:t>
      </w:r>
      <w:r w:rsidR="003649FE">
        <w:rPr>
          <w:rFonts w:ascii="Arial" w:hAnsi="Arial" w:cs="Arial"/>
          <w:bCs/>
          <w:sz w:val="20"/>
        </w:rPr>
        <w:t xml:space="preserve">(MCA) </w:t>
      </w:r>
      <w:r w:rsidR="00C47AF6" w:rsidRPr="00C47AF6">
        <w:rPr>
          <w:rFonts w:ascii="Arial" w:hAnsi="Arial" w:cs="Arial"/>
          <w:bCs/>
          <w:sz w:val="20"/>
        </w:rPr>
        <w:t xml:space="preserve">has application </w:t>
      </w:r>
      <w:r w:rsidR="00C47AF6">
        <w:rPr>
          <w:rFonts w:ascii="Arial" w:hAnsi="Arial" w:cs="Arial"/>
          <w:bCs/>
          <w:sz w:val="20"/>
        </w:rPr>
        <w:t>in all Children’s Court proceedings (subject to consistency w</w:t>
      </w:r>
      <w:r w:rsidR="00703D27">
        <w:rPr>
          <w:rFonts w:ascii="Arial" w:hAnsi="Arial" w:cs="Arial"/>
          <w:bCs/>
          <w:sz w:val="20"/>
        </w:rPr>
        <w:t>i</w:t>
      </w:r>
      <w:r w:rsidR="00C47AF6">
        <w:rPr>
          <w:rFonts w:ascii="Arial" w:hAnsi="Arial" w:cs="Arial"/>
          <w:bCs/>
          <w:sz w:val="20"/>
        </w:rPr>
        <w:t>th the CYFA), with two exceptions: s.58 and Part 5 – Civil proceedings.”</w:t>
      </w:r>
    </w:p>
    <w:p w14:paraId="5D6D6076" w14:textId="77777777" w:rsidR="008445F8" w:rsidRDefault="008445F8">
      <w:pPr>
        <w:jc w:val="both"/>
        <w:rPr>
          <w:rFonts w:ascii="Arial" w:hAnsi="Arial" w:cs="Arial"/>
          <w:sz w:val="20"/>
        </w:rPr>
      </w:pPr>
    </w:p>
    <w:p w14:paraId="21FEEA7E" w14:textId="7F0EAE83" w:rsidR="0082419B" w:rsidRDefault="00703D27">
      <w:pPr>
        <w:jc w:val="both"/>
        <w:rPr>
          <w:rFonts w:ascii="Arial" w:hAnsi="Arial" w:cs="Arial"/>
          <w:sz w:val="20"/>
        </w:rPr>
      </w:pPr>
      <w:r>
        <w:rPr>
          <w:rFonts w:ascii="Arial" w:hAnsi="Arial" w:cs="Arial"/>
          <w:sz w:val="20"/>
        </w:rPr>
        <w:t xml:space="preserve">Ms Mansfield goes on to </w:t>
      </w:r>
      <w:r w:rsidR="008445F8">
        <w:rPr>
          <w:rFonts w:ascii="Arial" w:hAnsi="Arial" w:cs="Arial"/>
          <w:sz w:val="20"/>
        </w:rPr>
        <w:t xml:space="preserve">describe </w:t>
      </w:r>
      <w:r w:rsidR="00C030AE">
        <w:rPr>
          <w:rFonts w:ascii="Arial" w:hAnsi="Arial" w:cs="Arial"/>
          <w:sz w:val="20"/>
        </w:rPr>
        <w:t xml:space="preserve">the </w:t>
      </w:r>
      <w:r w:rsidR="000730EB">
        <w:rPr>
          <w:rFonts w:ascii="Arial" w:hAnsi="Arial" w:cs="Arial"/>
          <w:sz w:val="20"/>
        </w:rPr>
        <w:t xml:space="preserve">two </w:t>
      </w:r>
      <w:r w:rsidR="00C030AE">
        <w:rPr>
          <w:rFonts w:ascii="Arial" w:hAnsi="Arial" w:cs="Arial"/>
          <w:sz w:val="20"/>
        </w:rPr>
        <w:t>conflicting views as follows:</w:t>
      </w:r>
    </w:p>
    <w:p w14:paraId="58C37E7D" w14:textId="37932A5E" w:rsidR="00C030AE" w:rsidRDefault="00C030AE" w:rsidP="008D3853">
      <w:pPr>
        <w:spacing w:before="60"/>
        <w:ind w:left="567" w:right="567"/>
        <w:jc w:val="both"/>
        <w:rPr>
          <w:rFonts w:ascii="Arial" w:hAnsi="Arial" w:cs="Arial"/>
          <w:bCs/>
          <w:sz w:val="20"/>
        </w:rPr>
      </w:pPr>
      <w:r>
        <w:rPr>
          <w:rFonts w:ascii="Arial" w:hAnsi="Arial" w:cs="Arial"/>
          <w:bCs/>
          <w:sz w:val="20"/>
        </w:rPr>
        <w:t>“The provisions for the appointment of a litigation guardian in the Magistrates’ Court apply to civil proceedings.  It has been argued that this puts the appointment of litigation guardians within the exceptions provided in s.528(2) [CYFA].  If this argument is accepted, the Children’s Court has no authority to appoint a lit</w:t>
      </w:r>
      <w:r w:rsidR="008445F8">
        <w:rPr>
          <w:rFonts w:ascii="Arial" w:hAnsi="Arial" w:cs="Arial"/>
          <w:bCs/>
          <w:sz w:val="20"/>
        </w:rPr>
        <w:t>i</w:t>
      </w:r>
      <w:r>
        <w:rPr>
          <w:rFonts w:ascii="Arial" w:hAnsi="Arial" w:cs="Arial"/>
          <w:bCs/>
          <w:sz w:val="20"/>
        </w:rPr>
        <w:t>gation guardian pursuant to the general civil procedure rules.</w:t>
      </w:r>
    </w:p>
    <w:p w14:paraId="2EAC9A3A" w14:textId="17A4098B" w:rsidR="00C030AE" w:rsidRDefault="00C030AE" w:rsidP="008D3853">
      <w:pPr>
        <w:spacing w:before="60"/>
        <w:ind w:left="567" w:right="567"/>
        <w:jc w:val="both"/>
        <w:rPr>
          <w:rFonts w:ascii="Arial" w:hAnsi="Arial" w:cs="Arial"/>
          <w:bCs/>
          <w:sz w:val="20"/>
        </w:rPr>
      </w:pPr>
      <w:r>
        <w:rPr>
          <w:rFonts w:ascii="Arial" w:hAnsi="Arial" w:cs="Arial"/>
          <w:bCs/>
          <w:sz w:val="20"/>
        </w:rPr>
        <w:t>A contrary view argues that as the power to make rules is contained in Part 2 of the</w:t>
      </w:r>
      <w:r w:rsidR="003649FE">
        <w:rPr>
          <w:rFonts w:ascii="Arial" w:hAnsi="Arial" w:cs="Arial"/>
          <w:bCs/>
          <w:sz w:val="20"/>
        </w:rPr>
        <w:t xml:space="preserve"> MCA,</w:t>
      </w:r>
      <w:r>
        <w:rPr>
          <w:rFonts w:ascii="Arial" w:hAnsi="Arial" w:cs="Arial"/>
          <w:bCs/>
          <w:sz w:val="20"/>
        </w:rPr>
        <w:t xml:space="preserve"> it is </w:t>
      </w:r>
      <w:r w:rsidR="00451D58">
        <w:rPr>
          <w:rFonts w:ascii="Arial" w:hAnsi="Arial" w:cs="Arial"/>
          <w:bCs/>
          <w:sz w:val="20"/>
        </w:rPr>
        <w:t xml:space="preserve">not excluded from operation in the Children’s Court. This would enable the Children’s Court to appoint a litigation guardian.  The </w:t>
      </w:r>
      <w:r w:rsidR="00451D58" w:rsidRPr="00753A49">
        <w:rPr>
          <w:rFonts w:ascii="Arial" w:hAnsi="Arial" w:cs="Arial"/>
          <w:bCs/>
          <w:i/>
          <w:iCs/>
          <w:sz w:val="20"/>
        </w:rPr>
        <w:t>Charter</w:t>
      </w:r>
      <w:r w:rsidR="00451D58">
        <w:rPr>
          <w:rFonts w:ascii="Arial" w:hAnsi="Arial" w:cs="Arial"/>
          <w:bCs/>
          <w:sz w:val="20"/>
        </w:rPr>
        <w:t xml:space="preserve"> and Article 13 of the </w:t>
      </w:r>
      <w:r w:rsidR="00451D58" w:rsidRPr="00451D58">
        <w:rPr>
          <w:rFonts w:ascii="Arial" w:hAnsi="Arial" w:cs="Arial"/>
          <w:bCs/>
          <w:i/>
          <w:iCs/>
          <w:sz w:val="20"/>
        </w:rPr>
        <w:t>Convention on the Rights of Persons with Disabilities</w:t>
      </w:r>
      <w:r w:rsidR="00451D58">
        <w:rPr>
          <w:rFonts w:ascii="Arial" w:hAnsi="Arial" w:cs="Arial"/>
          <w:bCs/>
          <w:sz w:val="20"/>
        </w:rPr>
        <w:t xml:space="preserve"> [which states </w:t>
      </w:r>
      <w:r w:rsidR="00245BE6">
        <w:rPr>
          <w:rFonts w:ascii="Arial" w:hAnsi="Arial" w:cs="Arial"/>
          <w:bCs/>
          <w:sz w:val="20"/>
        </w:rPr>
        <w:lastRenderedPageBreak/>
        <w:t>that countries ‘shall ensure effective access to justice for persons with disabilities on an equal basis with others’] serve to strengthen this construction.  There have been a small number of appointments made by the Court on the bas</w:t>
      </w:r>
      <w:r w:rsidR="00753A49">
        <w:rPr>
          <w:rFonts w:ascii="Arial" w:hAnsi="Arial" w:cs="Arial"/>
          <w:bCs/>
          <w:sz w:val="20"/>
        </w:rPr>
        <w:t>i</w:t>
      </w:r>
      <w:r w:rsidR="00245BE6">
        <w:rPr>
          <w:rFonts w:ascii="Arial" w:hAnsi="Arial" w:cs="Arial"/>
          <w:bCs/>
          <w:sz w:val="20"/>
        </w:rPr>
        <w:t>s of this construction.”</w:t>
      </w:r>
    </w:p>
    <w:p w14:paraId="134C2632" w14:textId="6883D81E" w:rsidR="0082419B" w:rsidRDefault="0082419B">
      <w:pPr>
        <w:jc w:val="both"/>
        <w:rPr>
          <w:rFonts w:ascii="Arial" w:hAnsi="Arial" w:cs="Arial"/>
          <w:sz w:val="20"/>
        </w:rPr>
      </w:pPr>
    </w:p>
    <w:p w14:paraId="3A1CAFBC" w14:textId="5FE6A9A2" w:rsidR="00C030AE" w:rsidRDefault="00323B33" w:rsidP="007577D4">
      <w:pPr>
        <w:jc w:val="both"/>
        <w:rPr>
          <w:rFonts w:ascii="Arial" w:hAnsi="Arial" w:cs="Arial"/>
          <w:sz w:val="20"/>
        </w:rPr>
      </w:pPr>
      <w:r>
        <w:rPr>
          <w:rFonts w:ascii="Arial" w:hAnsi="Arial" w:cs="Arial"/>
          <w:sz w:val="20"/>
        </w:rPr>
        <w:t xml:space="preserve">In the writer’s </w:t>
      </w:r>
      <w:r w:rsidR="00C030AE">
        <w:rPr>
          <w:rFonts w:ascii="Arial" w:hAnsi="Arial" w:cs="Arial"/>
          <w:sz w:val="20"/>
        </w:rPr>
        <w:t xml:space="preserve">opinion, the better view is that the Children’s Court does </w:t>
      </w:r>
      <w:r w:rsidR="00C030AE" w:rsidRPr="00E11513">
        <w:rPr>
          <w:rFonts w:ascii="Arial" w:hAnsi="Arial" w:cs="Arial"/>
          <w:b/>
          <w:bCs/>
          <w:sz w:val="20"/>
          <w:u w:val="single"/>
        </w:rPr>
        <w:t>not</w:t>
      </w:r>
      <w:r w:rsidR="00C030AE">
        <w:rPr>
          <w:rFonts w:ascii="Arial" w:hAnsi="Arial" w:cs="Arial"/>
          <w:sz w:val="20"/>
        </w:rPr>
        <w:t xml:space="preserve"> have jurisdiction to appoint a litigation guardian to represent an adult party in Family Division proceedings whether they are-</w:t>
      </w:r>
    </w:p>
    <w:p w14:paraId="395306F1" w14:textId="1EEEEE76" w:rsidR="00323B33" w:rsidRDefault="00323B33">
      <w:pPr>
        <w:pStyle w:val="ListParagraph"/>
        <w:numPr>
          <w:ilvl w:val="0"/>
          <w:numId w:val="72"/>
        </w:numPr>
        <w:ind w:left="357" w:hanging="357"/>
        <w:jc w:val="both"/>
        <w:rPr>
          <w:rFonts w:ascii="Arial" w:hAnsi="Arial" w:cs="Arial"/>
          <w:sz w:val="20"/>
        </w:rPr>
      </w:pPr>
      <w:r>
        <w:rPr>
          <w:rFonts w:ascii="Arial" w:hAnsi="Arial" w:cs="Arial"/>
          <w:sz w:val="20"/>
        </w:rPr>
        <w:t xml:space="preserve">child protection proceedings in the Family Division </w:t>
      </w:r>
      <w:r w:rsidR="00753A49">
        <w:rPr>
          <w:rFonts w:ascii="Arial" w:hAnsi="Arial" w:cs="Arial"/>
          <w:sz w:val="20"/>
        </w:rPr>
        <w:t xml:space="preserve">as </w:t>
      </w:r>
      <w:r>
        <w:rPr>
          <w:rFonts w:ascii="Arial" w:hAnsi="Arial" w:cs="Arial"/>
          <w:sz w:val="20"/>
        </w:rPr>
        <w:t xml:space="preserve">listed in s.515(1) CYFA; </w:t>
      </w:r>
      <w:r w:rsidR="005F72F3">
        <w:rPr>
          <w:rFonts w:ascii="Arial" w:hAnsi="Arial" w:cs="Arial"/>
          <w:sz w:val="20"/>
        </w:rPr>
        <w:t>or</w:t>
      </w:r>
    </w:p>
    <w:p w14:paraId="3A6D1E2F" w14:textId="3CCE5651" w:rsidR="00323B33" w:rsidRDefault="0082419B">
      <w:pPr>
        <w:pStyle w:val="ListParagraph"/>
        <w:numPr>
          <w:ilvl w:val="0"/>
          <w:numId w:val="72"/>
        </w:numPr>
        <w:ind w:left="357" w:hanging="357"/>
        <w:jc w:val="both"/>
        <w:rPr>
          <w:rFonts w:ascii="Arial" w:hAnsi="Arial" w:cs="Arial"/>
          <w:sz w:val="20"/>
        </w:rPr>
      </w:pPr>
      <w:r>
        <w:rPr>
          <w:rFonts w:ascii="Arial" w:hAnsi="Arial" w:cs="Arial"/>
          <w:sz w:val="20"/>
        </w:rPr>
        <w:t xml:space="preserve">intervention order proceedings </w:t>
      </w:r>
      <w:r w:rsidR="00C030AE">
        <w:rPr>
          <w:rFonts w:ascii="Arial" w:hAnsi="Arial" w:cs="Arial"/>
          <w:sz w:val="20"/>
        </w:rPr>
        <w:t>or</w:t>
      </w:r>
      <w:r>
        <w:rPr>
          <w:rFonts w:ascii="Arial" w:hAnsi="Arial" w:cs="Arial"/>
          <w:sz w:val="20"/>
        </w:rPr>
        <w:t xml:space="preserve"> vexatious proceedings </w:t>
      </w:r>
      <w:r w:rsidR="00753A49">
        <w:rPr>
          <w:rFonts w:ascii="Arial" w:hAnsi="Arial" w:cs="Arial"/>
          <w:sz w:val="20"/>
        </w:rPr>
        <w:t xml:space="preserve">as </w:t>
      </w:r>
      <w:r>
        <w:rPr>
          <w:rFonts w:ascii="Arial" w:hAnsi="Arial" w:cs="Arial"/>
          <w:sz w:val="20"/>
        </w:rPr>
        <w:t>listed in s.515(2) CYFA.</w:t>
      </w:r>
    </w:p>
    <w:p w14:paraId="26A534FD" w14:textId="072E420E" w:rsidR="00323B33" w:rsidRDefault="00E70D52" w:rsidP="007577D4">
      <w:pPr>
        <w:jc w:val="both"/>
        <w:rPr>
          <w:rFonts w:ascii="Arial" w:hAnsi="Arial" w:cs="Arial"/>
          <w:sz w:val="20"/>
        </w:rPr>
      </w:pPr>
      <w:r>
        <w:rPr>
          <w:rFonts w:ascii="Arial" w:hAnsi="Arial" w:cs="Arial"/>
          <w:sz w:val="20"/>
        </w:rPr>
        <w:t>His</w:t>
      </w:r>
      <w:r w:rsidR="00703D27">
        <w:rPr>
          <w:rFonts w:ascii="Arial" w:hAnsi="Arial" w:cs="Arial"/>
          <w:sz w:val="20"/>
        </w:rPr>
        <w:t xml:space="preserve"> reas</w:t>
      </w:r>
      <w:r w:rsidR="003649FE">
        <w:rPr>
          <w:rFonts w:ascii="Arial" w:hAnsi="Arial" w:cs="Arial"/>
          <w:sz w:val="20"/>
        </w:rPr>
        <w:t>ons are</w:t>
      </w:r>
      <w:r w:rsidR="00703D27">
        <w:rPr>
          <w:rFonts w:ascii="Arial" w:hAnsi="Arial" w:cs="Arial"/>
          <w:sz w:val="20"/>
        </w:rPr>
        <w:t xml:space="preserve"> as follows.</w:t>
      </w:r>
    </w:p>
    <w:p w14:paraId="3D38CC4B" w14:textId="47023735" w:rsidR="00703D27" w:rsidRDefault="00703D27">
      <w:pPr>
        <w:jc w:val="both"/>
        <w:rPr>
          <w:rFonts w:ascii="Arial" w:hAnsi="Arial" w:cs="Arial"/>
          <w:sz w:val="20"/>
        </w:rPr>
      </w:pPr>
    </w:p>
    <w:p w14:paraId="7ECE73F8" w14:textId="36C95D95" w:rsidR="003649FE" w:rsidRDefault="003649FE">
      <w:pPr>
        <w:jc w:val="both"/>
        <w:rPr>
          <w:rFonts w:ascii="Arial" w:hAnsi="Arial" w:cs="Arial"/>
          <w:bCs/>
          <w:sz w:val="20"/>
          <w:szCs w:val="20"/>
        </w:rPr>
      </w:pPr>
      <w:r>
        <w:rPr>
          <w:rFonts w:ascii="Arial" w:hAnsi="Arial" w:cs="Arial"/>
          <w:sz w:val="20"/>
        </w:rPr>
        <w:t xml:space="preserve">First, the writer notes that the </w:t>
      </w:r>
      <w:r w:rsidRPr="008D3853">
        <w:rPr>
          <w:rFonts w:ascii="Arial" w:hAnsi="Arial" w:cs="Arial"/>
          <w:bCs/>
          <w:sz w:val="20"/>
          <w:szCs w:val="20"/>
          <w:u w:val="single"/>
        </w:rPr>
        <w:t>Magistrates' Court General Civil Procedure Rules</w:t>
      </w:r>
      <w:r>
        <w:rPr>
          <w:rFonts w:ascii="Arial" w:hAnsi="Arial" w:cs="Arial"/>
          <w:bCs/>
          <w:sz w:val="20"/>
          <w:szCs w:val="20"/>
          <w:u w:val="single"/>
        </w:rPr>
        <w:t xml:space="preserve"> </w:t>
      </w:r>
      <w:r w:rsidRPr="008D3853">
        <w:rPr>
          <w:rFonts w:ascii="Arial" w:hAnsi="Arial" w:cs="Arial"/>
          <w:bCs/>
          <w:sz w:val="20"/>
          <w:szCs w:val="20"/>
          <w:u w:val="single"/>
        </w:rPr>
        <w:t>20</w:t>
      </w:r>
      <w:r>
        <w:rPr>
          <w:rFonts w:ascii="Arial" w:hAnsi="Arial" w:cs="Arial"/>
          <w:bCs/>
          <w:sz w:val="20"/>
          <w:szCs w:val="20"/>
          <w:u w:val="single"/>
        </w:rPr>
        <w:t>2</w:t>
      </w:r>
      <w:r w:rsidRPr="008D3853">
        <w:rPr>
          <w:rFonts w:ascii="Arial" w:hAnsi="Arial" w:cs="Arial"/>
          <w:bCs/>
          <w:sz w:val="20"/>
          <w:szCs w:val="20"/>
          <w:u w:val="single"/>
        </w:rPr>
        <w:t>0</w:t>
      </w:r>
      <w:r w:rsidRPr="003649FE">
        <w:rPr>
          <w:rFonts w:ascii="Arial" w:hAnsi="Arial" w:cs="Arial"/>
          <w:bCs/>
          <w:sz w:val="20"/>
          <w:szCs w:val="20"/>
        </w:rPr>
        <w:t xml:space="preserve"> provide</w:t>
      </w:r>
      <w:r>
        <w:rPr>
          <w:rFonts w:ascii="Arial" w:hAnsi="Arial" w:cs="Arial"/>
          <w:bCs/>
          <w:sz w:val="20"/>
          <w:szCs w:val="20"/>
        </w:rPr>
        <w:t>-</w:t>
      </w:r>
    </w:p>
    <w:p w14:paraId="2CF930FA" w14:textId="1BF0069A" w:rsidR="00B06693" w:rsidRDefault="00B06693">
      <w:pPr>
        <w:pStyle w:val="ListParagraph"/>
        <w:numPr>
          <w:ilvl w:val="0"/>
          <w:numId w:val="72"/>
        </w:numPr>
        <w:ind w:left="357" w:hanging="357"/>
        <w:jc w:val="both"/>
        <w:rPr>
          <w:rFonts w:ascii="Arial" w:hAnsi="Arial" w:cs="Arial"/>
          <w:sz w:val="20"/>
        </w:rPr>
      </w:pPr>
      <w:r>
        <w:rPr>
          <w:rFonts w:ascii="Arial" w:hAnsi="Arial" w:cs="Arial"/>
          <w:sz w:val="20"/>
        </w:rPr>
        <w:t>in Rule 1.01(2) that “The object of these Rules is to remake with amendments the rule</w:t>
      </w:r>
      <w:r w:rsidR="00753A49">
        <w:rPr>
          <w:rFonts w:ascii="Arial" w:hAnsi="Arial" w:cs="Arial"/>
          <w:sz w:val="20"/>
        </w:rPr>
        <w:t>s</w:t>
      </w:r>
      <w:r>
        <w:rPr>
          <w:rFonts w:ascii="Arial" w:hAnsi="Arial" w:cs="Arial"/>
          <w:sz w:val="20"/>
        </w:rPr>
        <w:t xml:space="preserve"> of procedure in civil proceedings in the Magistrates’ Court of Victoria”;</w:t>
      </w:r>
    </w:p>
    <w:p w14:paraId="086671B7" w14:textId="22219A62" w:rsidR="003649FE" w:rsidRPr="0096449C" w:rsidRDefault="003649FE">
      <w:pPr>
        <w:pStyle w:val="ListParagraph"/>
        <w:numPr>
          <w:ilvl w:val="0"/>
          <w:numId w:val="72"/>
        </w:numPr>
        <w:ind w:left="357" w:hanging="357"/>
        <w:jc w:val="both"/>
        <w:rPr>
          <w:rFonts w:ascii="Arial" w:hAnsi="Arial" w:cs="Arial"/>
          <w:sz w:val="20"/>
        </w:rPr>
      </w:pPr>
      <w:r>
        <w:rPr>
          <w:rFonts w:ascii="Arial" w:hAnsi="Arial" w:cs="Arial"/>
          <w:sz w:val="20"/>
        </w:rPr>
        <w:t xml:space="preserve">in Rule 1.05(1) that </w:t>
      </w:r>
      <w:r>
        <w:rPr>
          <w:rFonts w:ascii="Arial" w:hAnsi="Arial" w:cs="Arial"/>
          <w:bCs/>
          <w:sz w:val="20"/>
        </w:rPr>
        <w:t>“</w:t>
      </w:r>
      <w:r w:rsidR="0096449C">
        <w:rPr>
          <w:rFonts w:ascii="Arial" w:hAnsi="Arial" w:cs="Arial"/>
          <w:bCs/>
          <w:sz w:val="20"/>
        </w:rPr>
        <w:t xml:space="preserve">Subject to this Part and to any…provision in these Rules to the contrary, </w:t>
      </w:r>
      <w:r w:rsidRPr="0096449C">
        <w:rPr>
          <w:rFonts w:ascii="Arial" w:hAnsi="Arial" w:cs="Arial"/>
          <w:bCs/>
          <w:sz w:val="20"/>
        </w:rPr>
        <w:t xml:space="preserve">these Rules apply to every civil proceeding commenced in the </w:t>
      </w:r>
      <w:r w:rsidR="00E11513" w:rsidRPr="0096449C">
        <w:rPr>
          <w:rFonts w:ascii="Arial" w:hAnsi="Arial" w:cs="Arial"/>
          <w:bCs/>
          <w:sz w:val="20"/>
        </w:rPr>
        <w:t xml:space="preserve">[Magistrates’] </w:t>
      </w:r>
      <w:r w:rsidRPr="0096449C">
        <w:rPr>
          <w:rFonts w:ascii="Arial" w:hAnsi="Arial" w:cs="Arial"/>
          <w:bCs/>
          <w:sz w:val="20"/>
        </w:rPr>
        <w:t>Court”; and</w:t>
      </w:r>
    </w:p>
    <w:p w14:paraId="2788277E" w14:textId="01DDF558" w:rsidR="003649FE" w:rsidRDefault="003649FE">
      <w:pPr>
        <w:pStyle w:val="ListParagraph"/>
        <w:numPr>
          <w:ilvl w:val="0"/>
          <w:numId w:val="72"/>
        </w:numPr>
        <w:ind w:left="357" w:hanging="357"/>
        <w:jc w:val="both"/>
        <w:rPr>
          <w:rFonts w:ascii="Arial" w:hAnsi="Arial" w:cs="Arial"/>
          <w:sz w:val="20"/>
        </w:rPr>
      </w:pPr>
      <w:r>
        <w:rPr>
          <w:rFonts w:ascii="Arial" w:hAnsi="Arial" w:cs="Arial"/>
          <w:bCs/>
          <w:sz w:val="20"/>
        </w:rPr>
        <w:t>in Rule 1.05(2) that “</w:t>
      </w:r>
      <w:r w:rsidR="00B06693">
        <w:rPr>
          <w:rFonts w:ascii="Arial" w:hAnsi="Arial" w:cs="Arial"/>
          <w:bCs/>
          <w:sz w:val="20"/>
        </w:rPr>
        <w:t>T</w:t>
      </w:r>
      <w:r>
        <w:rPr>
          <w:rFonts w:ascii="Arial" w:hAnsi="Arial" w:cs="Arial"/>
          <w:bCs/>
          <w:sz w:val="20"/>
        </w:rPr>
        <w:t>hese Rules do not apply to a civil proceeding to which the following Rules of the Magistrates’ Court apply except as those Rules provide-</w:t>
      </w:r>
    </w:p>
    <w:p w14:paraId="337EE589" w14:textId="1DD2C0D8" w:rsidR="003649FE" w:rsidRDefault="003649FE">
      <w:pPr>
        <w:pStyle w:val="ListParagraph"/>
        <w:numPr>
          <w:ilvl w:val="4"/>
          <w:numId w:val="95"/>
        </w:numPr>
        <w:ind w:left="714" w:hanging="357"/>
        <w:jc w:val="both"/>
        <w:rPr>
          <w:rFonts w:ascii="Arial" w:hAnsi="Arial" w:cs="Arial"/>
          <w:bCs/>
          <w:sz w:val="20"/>
        </w:rPr>
      </w:pPr>
      <w:r>
        <w:rPr>
          <w:rFonts w:ascii="Arial" w:hAnsi="Arial" w:cs="Arial"/>
          <w:bCs/>
          <w:sz w:val="20"/>
        </w:rPr>
        <w:t>the Magistrates’ Court (Family Violence Protection</w:t>
      </w:r>
      <w:r w:rsidR="00E11513">
        <w:rPr>
          <w:rFonts w:ascii="Arial" w:hAnsi="Arial" w:cs="Arial"/>
          <w:bCs/>
          <w:sz w:val="20"/>
        </w:rPr>
        <w:t>)</w:t>
      </w:r>
      <w:r>
        <w:rPr>
          <w:rFonts w:ascii="Arial" w:hAnsi="Arial" w:cs="Arial"/>
          <w:bCs/>
          <w:sz w:val="20"/>
        </w:rPr>
        <w:t xml:space="preserve"> Rules</w:t>
      </w:r>
      <w:r w:rsidR="00E11513">
        <w:rPr>
          <w:rFonts w:ascii="Arial" w:hAnsi="Arial" w:cs="Arial"/>
          <w:bCs/>
          <w:sz w:val="20"/>
        </w:rPr>
        <w:t xml:space="preserve"> 2018; and…</w:t>
      </w:r>
    </w:p>
    <w:p w14:paraId="2A1043AD" w14:textId="25D9235B" w:rsidR="00E11513" w:rsidRPr="003649FE" w:rsidRDefault="00E11513">
      <w:pPr>
        <w:pStyle w:val="ListParagraph"/>
        <w:numPr>
          <w:ilvl w:val="0"/>
          <w:numId w:val="73"/>
        </w:numPr>
        <w:ind w:left="714" w:hanging="357"/>
        <w:jc w:val="both"/>
        <w:rPr>
          <w:rFonts w:ascii="Arial" w:hAnsi="Arial" w:cs="Arial"/>
          <w:bCs/>
          <w:sz w:val="20"/>
        </w:rPr>
      </w:pPr>
      <w:r>
        <w:rPr>
          <w:rFonts w:ascii="Arial" w:hAnsi="Arial" w:cs="Arial"/>
          <w:bCs/>
          <w:sz w:val="20"/>
        </w:rPr>
        <w:t>the Magistrates’ Court (Personal Safety Intervention Order) Rules 2011;…”</w:t>
      </w:r>
    </w:p>
    <w:p w14:paraId="2410A861" w14:textId="77777777" w:rsidR="00B06693" w:rsidRDefault="00B06693">
      <w:pPr>
        <w:jc w:val="both"/>
        <w:rPr>
          <w:rFonts w:ascii="Arial" w:hAnsi="Arial" w:cs="Arial"/>
          <w:bCs/>
          <w:sz w:val="20"/>
          <w:szCs w:val="20"/>
        </w:rPr>
      </w:pPr>
    </w:p>
    <w:p w14:paraId="3B0CBD8D" w14:textId="47F2194C" w:rsidR="00703D27" w:rsidRDefault="00E11513" w:rsidP="00E11513">
      <w:pPr>
        <w:jc w:val="both"/>
        <w:rPr>
          <w:rFonts w:ascii="Arial" w:hAnsi="Arial" w:cs="Arial"/>
          <w:sz w:val="20"/>
        </w:rPr>
      </w:pPr>
      <w:r>
        <w:rPr>
          <w:rFonts w:ascii="Arial" w:hAnsi="Arial" w:cs="Arial"/>
          <w:sz w:val="20"/>
        </w:rPr>
        <w:t xml:space="preserve">Secondly, the writer considers that </w:t>
      </w:r>
      <w:r w:rsidR="00B06693">
        <w:rPr>
          <w:rFonts w:ascii="Arial" w:hAnsi="Arial" w:cs="Arial"/>
          <w:sz w:val="20"/>
        </w:rPr>
        <w:t xml:space="preserve">it is irrelevant that the rule-making power in s.16 of the MCA – which is in Part 2 – is not specifically excluded by s.528(2) CYFA.  The </w:t>
      </w:r>
      <w:r w:rsidR="003649FE">
        <w:rPr>
          <w:rFonts w:ascii="Arial" w:hAnsi="Arial" w:cs="Arial"/>
          <w:sz w:val="20"/>
        </w:rPr>
        <w:t xml:space="preserve">Magistrates’ Court civil jurisdiction – enshrined in Part 5 of the MCA – </w:t>
      </w:r>
      <w:r w:rsidR="0096449C">
        <w:rPr>
          <w:rFonts w:ascii="Arial" w:hAnsi="Arial" w:cs="Arial"/>
          <w:sz w:val="20"/>
        </w:rPr>
        <w:t>is</w:t>
      </w:r>
      <w:r w:rsidR="003649FE">
        <w:rPr>
          <w:rFonts w:ascii="Arial" w:hAnsi="Arial" w:cs="Arial"/>
          <w:sz w:val="20"/>
        </w:rPr>
        <w:t xml:space="preserve"> specifically excluded from the jurisdiction </w:t>
      </w:r>
      <w:r>
        <w:rPr>
          <w:rFonts w:ascii="Arial" w:hAnsi="Arial" w:cs="Arial"/>
          <w:sz w:val="20"/>
        </w:rPr>
        <w:t>of the Children’s Court</w:t>
      </w:r>
      <w:r w:rsidR="0096449C">
        <w:rPr>
          <w:rFonts w:ascii="Arial" w:hAnsi="Arial" w:cs="Arial"/>
          <w:sz w:val="20"/>
        </w:rPr>
        <w:t>.  Hence</w:t>
      </w:r>
      <w:r>
        <w:rPr>
          <w:rFonts w:ascii="Arial" w:hAnsi="Arial" w:cs="Arial"/>
          <w:sz w:val="20"/>
        </w:rPr>
        <w:t xml:space="preserve">, the Rules </w:t>
      </w:r>
      <w:r w:rsidR="00B06693">
        <w:rPr>
          <w:rFonts w:ascii="Arial" w:hAnsi="Arial" w:cs="Arial"/>
          <w:sz w:val="20"/>
        </w:rPr>
        <w:t>of procedure for</w:t>
      </w:r>
      <w:r>
        <w:rPr>
          <w:rFonts w:ascii="Arial" w:hAnsi="Arial" w:cs="Arial"/>
          <w:sz w:val="20"/>
        </w:rPr>
        <w:t xml:space="preserve"> that jurisdiction in the Magistrates’ Court can</w:t>
      </w:r>
      <w:r w:rsidR="00B06693">
        <w:rPr>
          <w:rFonts w:ascii="Arial" w:hAnsi="Arial" w:cs="Arial"/>
          <w:sz w:val="20"/>
        </w:rPr>
        <w:t>not sensibly</w:t>
      </w:r>
      <w:r>
        <w:rPr>
          <w:rFonts w:ascii="Arial" w:hAnsi="Arial" w:cs="Arial"/>
          <w:sz w:val="20"/>
        </w:rPr>
        <w:t xml:space="preserve"> have </w:t>
      </w:r>
      <w:r w:rsidR="00B06693">
        <w:rPr>
          <w:rFonts w:ascii="Arial" w:hAnsi="Arial" w:cs="Arial"/>
          <w:sz w:val="20"/>
        </w:rPr>
        <w:t>any</w:t>
      </w:r>
      <w:r>
        <w:rPr>
          <w:rFonts w:ascii="Arial" w:hAnsi="Arial" w:cs="Arial"/>
          <w:sz w:val="20"/>
        </w:rPr>
        <w:t xml:space="preserve"> </w:t>
      </w:r>
      <w:r w:rsidR="005F72F3">
        <w:rPr>
          <w:rFonts w:ascii="Arial" w:hAnsi="Arial" w:cs="Arial"/>
          <w:sz w:val="20"/>
        </w:rPr>
        <w:t xml:space="preserve">residual </w:t>
      </w:r>
      <w:r>
        <w:rPr>
          <w:rFonts w:ascii="Arial" w:hAnsi="Arial" w:cs="Arial"/>
          <w:sz w:val="20"/>
        </w:rPr>
        <w:t>application in the Family Division of the Children’s Court.</w:t>
      </w:r>
      <w:r w:rsidR="00E86D91">
        <w:rPr>
          <w:rFonts w:ascii="Arial" w:hAnsi="Arial" w:cs="Arial"/>
          <w:sz w:val="20"/>
        </w:rPr>
        <w:t xml:space="preserve">  In short, rules of procedure for a jurisdiction cannot have any application in a court which does not have that jurisdiction.</w:t>
      </w:r>
    </w:p>
    <w:p w14:paraId="49A8A62F" w14:textId="65FC2307" w:rsidR="00703D27" w:rsidRDefault="00703D27">
      <w:pPr>
        <w:jc w:val="both"/>
        <w:rPr>
          <w:rFonts w:ascii="Arial" w:hAnsi="Arial" w:cs="Arial"/>
          <w:sz w:val="20"/>
        </w:rPr>
      </w:pPr>
    </w:p>
    <w:p w14:paraId="18412805" w14:textId="53C4C5E5" w:rsidR="005F72F3" w:rsidRDefault="00B06693" w:rsidP="005F72F3">
      <w:pPr>
        <w:jc w:val="both"/>
        <w:rPr>
          <w:rFonts w:ascii="Arial" w:hAnsi="Arial" w:cs="Arial"/>
          <w:bCs/>
          <w:sz w:val="20"/>
        </w:rPr>
      </w:pPr>
      <w:r>
        <w:rPr>
          <w:rFonts w:ascii="Arial" w:hAnsi="Arial" w:cs="Arial"/>
          <w:sz w:val="20"/>
        </w:rPr>
        <w:t xml:space="preserve">Thirdly, by operation of Rule 1.05(2), the </w:t>
      </w:r>
      <w:r w:rsidRPr="008D3853">
        <w:rPr>
          <w:rFonts w:ascii="Arial" w:hAnsi="Arial" w:cs="Arial"/>
          <w:bCs/>
          <w:sz w:val="20"/>
          <w:szCs w:val="20"/>
          <w:u w:val="single"/>
        </w:rPr>
        <w:t>Magistrates' Court General Civil Procedure Rules</w:t>
      </w:r>
      <w:r>
        <w:rPr>
          <w:rFonts w:ascii="Arial" w:hAnsi="Arial" w:cs="Arial"/>
          <w:bCs/>
          <w:sz w:val="20"/>
          <w:szCs w:val="20"/>
          <w:u w:val="single"/>
        </w:rPr>
        <w:t xml:space="preserve"> </w:t>
      </w:r>
      <w:r w:rsidRPr="008D3853">
        <w:rPr>
          <w:rFonts w:ascii="Arial" w:hAnsi="Arial" w:cs="Arial"/>
          <w:bCs/>
          <w:sz w:val="20"/>
          <w:szCs w:val="20"/>
          <w:u w:val="single"/>
        </w:rPr>
        <w:t>20</w:t>
      </w:r>
      <w:r>
        <w:rPr>
          <w:rFonts w:ascii="Arial" w:hAnsi="Arial" w:cs="Arial"/>
          <w:bCs/>
          <w:sz w:val="20"/>
          <w:szCs w:val="20"/>
          <w:u w:val="single"/>
        </w:rPr>
        <w:t>2</w:t>
      </w:r>
      <w:r w:rsidRPr="008D3853">
        <w:rPr>
          <w:rFonts w:ascii="Arial" w:hAnsi="Arial" w:cs="Arial"/>
          <w:bCs/>
          <w:sz w:val="20"/>
          <w:szCs w:val="20"/>
          <w:u w:val="single"/>
        </w:rPr>
        <w:t>0</w:t>
      </w:r>
      <w:r w:rsidR="005F72F3" w:rsidRPr="005F72F3">
        <w:rPr>
          <w:rFonts w:ascii="Arial" w:hAnsi="Arial" w:cs="Arial"/>
          <w:bCs/>
          <w:sz w:val="20"/>
          <w:szCs w:val="20"/>
        </w:rPr>
        <w:t xml:space="preserve"> are excluded from application in </w:t>
      </w:r>
      <w:r w:rsidR="005F72F3">
        <w:rPr>
          <w:rFonts w:ascii="Arial" w:hAnsi="Arial" w:cs="Arial"/>
          <w:bCs/>
          <w:sz w:val="20"/>
          <w:szCs w:val="20"/>
        </w:rPr>
        <w:t xml:space="preserve">the Magistrates’ Court in proceedings under the </w:t>
      </w:r>
      <w:r w:rsidR="005F72F3" w:rsidRPr="005F72F3">
        <w:rPr>
          <w:rFonts w:ascii="Arial" w:hAnsi="Arial" w:cs="Arial"/>
          <w:bCs/>
          <w:sz w:val="20"/>
          <w:u w:val="single"/>
        </w:rPr>
        <w:t>Family Violence Protection Act 2008</w:t>
      </w:r>
      <w:r w:rsidR="005F72F3" w:rsidRPr="005F72F3">
        <w:rPr>
          <w:rFonts w:ascii="Arial" w:hAnsi="Arial" w:cs="Arial"/>
          <w:bCs/>
          <w:sz w:val="20"/>
        </w:rPr>
        <w:t xml:space="preserve"> </w:t>
      </w:r>
      <w:r w:rsidR="005F72F3">
        <w:rPr>
          <w:rFonts w:ascii="Arial" w:hAnsi="Arial" w:cs="Arial"/>
          <w:bCs/>
          <w:sz w:val="20"/>
        </w:rPr>
        <w:t xml:space="preserve">and the </w:t>
      </w:r>
      <w:r w:rsidR="005F72F3" w:rsidRPr="005F72F3">
        <w:rPr>
          <w:rFonts w:ascii="Arial" w:hAnsi="Arial" w:cs="Arial"/>
          <w:bCs/>
          <w:sz w:val="20"/>
          <w:u w:val="single"/>
        </w:rPr>
        <w:t>Personal Safety Intervention Order Act 2010</w:t>
      </w:r>
      <w:r w:rsidR="005F72F3">
        <w:rPr>
          <w:rFonts w:ascii="Arial" w:hAnsi="Arial" w:cs="Arial"/>
          <w:bCs/>
          <w:sz w:val="20"/>
        </w:rPr>
        <w:t xml:space="preserve"> </w:t>
      </w:r>
      <w:r w:rsidR="00D30271">
        <w:rPr>
          <w:rFonts w:ascii="Arial" w:hAnsi="Arial" w:cs="Arial"/>
          <w:bCs/>
          <w:sz w:val="20"/>
        </w:rPr>
        <w:t xml:space="preserve">except as provided by the Rules under either Act.  However, there </w:t>
      </w:r>
      <w:r w:rsidRPr="005F72F3">
        <w:rPr>
          <w:rFonts w:ascii="Arial" w:hAnsi="Arial" w:cs="Arial"/>
          <w:bCs/>
          <w:sz w:val="20"/>
          <w:szCs w:val="20"/>
        </w:rPr>
        <w:t xml:space="preserve">are no provisions in either </w:t>
      </w:r>
      <w:r w:rsidR="005F72F3" w:rsidRPr="005F72F3">
        <w:rPr>
          <w:rFonts w:ascii="Arial" w:hAnsi="Arial" w:cs="Arial"/>
          <w:bCs/>
          <w:sz w:val="20"/>
        </w:rPr>
        <w:t xml:space="preserve">the </w:t>
      </w:r>
      <w:r w:rsidR="005F72F3" w:rsidRPr="005F72F3">
        <w:rPr>
          <w:rFonts w:ascii="Arial" w:hAnsi="Arial" w:cs="Arial"/>
          <w:bCs/>
          <w:sz w:val="20"/>
          <w:u w:val="single"/>
        </w:rPr>
        <w:t>Magistrates’ Court (Family Violence Protection) Rules 201</w:t>
      </w:r>
      <w:r w:rsidR="00D30271">
        <w:rPr>
          <w:rFonts w:ascii="Arial" w:hAnsi="Arial" w:cs="Arial"/>
          <w:bCs/>
          <w:sz w:val="20"/>
          <w:u w:val="single"/>
        </w:rPr>
        <w:t>8</w:t>
      </w:r>
      <w:r w:rsidR="005F72F3">
        <w:rPr>
          <w:rFonts w:ascii="Arial" w:hAnsi="Arial" w:cs="Arial"/>
          <w:bCs/>
          <w:sz w:val="20"/>
        </w:rPr>
        <w:t xml:space="preserve"> </w:t>
      </w:r>
      <w:r w:rsidR="00D30271">
        <w:rPr>
          <w:rFonts w:ascii="Arial" w:hAnsi="Arial" w:cs="Arial"/>
          <w:bCs/>
          <w:sz w:val="20"/>
        </w:rPr>
        <w:t>or</w:t>
      </w:r>
      <w:r w:rsidR="005F72F3">
        <w:rPr>
          <w:rFonts w:ascii="Arial" w:hAnsi="Arial" w:cs="Arial"/>
          <w:bCs/>
          <w:sz w:val="20"/>
        </w:rPr>
        <w:t xml:space="preserve"> the </w:t>
      </w:r>
      <w:r w:rsidR="005F72F3" w:rsidRPr="005F72F3">
        <w:rPr>
          <w:rFonts w:ascii="Arial" w:hAnsi="Arial" w:cs="Arial"/>
          <w:bCs/>
          <w:sz w:val="20"/>
          <w:u w:val="single"/>
        </w:rPr>
        <w:t>Magistrates’ Court (Personal Safety Intervention Order) Rules 2011</w:t>
      </w:r>
      <w:r w:rsidR="005F72F3">
        <w:rPr>
          <w:rFonts w:ascii="Arial" w:hAnsi="Arial" w:cs="Arial"/>
          <w:bCs/>
          <w:sz w:val="20"/>
        </w:rPr>
        <w:t xml:space="preserve"> </w:t>
      </w:r>
      <w:r w:rsidR="00D30271">
        <w:rPr>
          <w:rFonts w:ascii="Arial" w:hAnsi="Arial" w:cs="Arial"/>
          <w:bCs/>
          <w:sz w:val="20"/>
        </w:rPr>
        <w:t>which</w:t>
      </w:r>
      <w:r w:rsidR="005F72F3">
        <w:rPr>
          <w:rFonts w:ascii="Arial" w:hAnsi="Arial" w:cs="Arial"/>
          <w:bCs/>
          <w:sz w:val="20"/>
        </w:rPr>
        <w:t xml:space="preserve"> give the Magistrates’ Court power to order the appointment of a litigation guardian to represent any party in proceedings under either Act.</w:t>
      </w:r>
      <w:r w:rsidR="000E7063">
        <w:rPr>
          <w:rFonts w:ascii="Arial" w:hAnsi="Arial" w:cs="Arial"/>
          <w:bCs/>
          <w:sz w:val="20"/>
        </w:rPr>
        <w:t xml:space="preserve">  </w:t>
      </w:r>
      <w:r w:rsidR="005F72F3">
        <w:rPr>
          <w:rFonts w:ascii="Arial" w:hAnsi="Arial" w:cs="Arial"/>
          <w:bCs/>
          <w:sz w:val="20"/>
        </w:rPr>
        <w:t xml:space="preserve">Accordingly, in the writer’s view there is no power </w:t>
      </w:r>
      <w:r w:rsidR="00D30271">
        <w:rPr>
          <w:rFonts w:ascii="Arial" w:hAnsi="Arial" w:cs="Arial"/>
          <w:bCs/>
          <w:sz w:val="20"/>
        </w:rPr>
        <w:t xml:space="preserve">in the Magistrates’ Court capable of being used in the Children’s Court pursuant to s.528(1) CYFA </w:t>
      </w:r>
      <w:r w:rsidR="005F72F3">
        <w:rPr>
          <w:rFonts w:ascii="Arial" w:hAnsi="Arial" w:cs="Arial"/>
          <w:bCs/>
          <w:sz w:val="20"/>
        </w:rPr>
        <w:t xml:space="preserve">to order </w:t>
      </w:r>
      <w:r w:rsidR="00D30271">
        <w:rPr>
          <w:rFonts w:ascii="Arial" w:hAnsi="Arial" w:cs="Arial"/>
          <w:bCs/>
          <w:sz w:val="20"/>
        </w:rPr>
        <w:t xml:space="preserve">the appointment of </w:t>
      </w:r>
      <w:r w:rsidR="005F72F3">
        <w:rPr>
          <w:rFonts w:ascii="Arial" w:hAnsi="Arial" w:cs="Arial"/>
          <w:bCs/>
          <w:sz w:val="20"/>
        </w:rPr>
        <w:t>a litigation guardian for an adult party in any proceedings under either Act.</w:t>
      </w:r>
    </w:p>
    <w:p w14:paraId="6E498DCD" w14:textId="00E09697" w:rsidR="005F72F3" w:rsidRDefault="005F72F3" w:rsidP="005F72F3">
      <w:pPr>
        <w:jc w:val="both"/>
        <w:rPr>
          <w:rFonts w:ascii="Arial" w:hAnsi="Arial" w:cs="Arial"/>
          <w:bCs/>
          <w:sz w:val="20"/>
        </w:rPr>
      </w:pPr>
    </w:p>
    <w:p w14:paraId="04C0ED4A" w14:textId="2D03047F" w:rsidR="008267E0" w:rsidRDefault="00657490" w:rsidP="0085089D">
      <w:pPr>
        <w:jc w:val="both"/>
        <w:rPr>
          <w:rFonts w:ascii="Arial" w:hAnsi="Arial" w:cs="Arial"/>
          <w:bCs/>
          <w:sz w:val="20"/>
          <w:szCs w:val="20"/>
        </w:rPr>
      </w:pPr>
      <w:r>
        <w:rPr>
          <w:rFonts w:ascii="Arial" w:hAnsi="Arial" w:cs="Arial"/>
          <w:bCs/>
          <w:sz w:val="20"/>
        </w:rPr>
        <w:t xml:space="preserve">The writer has only conducted one </w:t>
      </w:r>
      <w:r w:rsidR="0085089D">
        <w:rPr>
          <w:rFonts w:ascii="Arial" w:hAnsi="Arial" w:cs="Arial"/>
          <w:bCs/>
          <w:sz w:val="20"/>
        </w:rPr>
        <w:t xml:space="preserve">child protection </w:t>
      </w:r>
      <w:r>
        <w:rPr>
          <w:rFonts w:ascii="Arial" w:hAnsi="Arial" w:cs="Arial"/>
          <w:bCs/>
          <w:sz w:val="20"/>
        </w:rPr>
        <w:t xml:space="preserve">contest in which an adult party </w:t>
      </w:r>
      <w:r w:rsidR="0085089D">
        <w:rPr>
          <w:rFonts w:ascii="Arial" w:hAnsi="Arial" w:cs="Arial"/>
          <w:bCs/>
          <w:sz w:val="20"/>
        </w:rPr>
        <w:t xml:space="preserve">– the mother – </w:t>
      </w:r>
      <w:r>
        <w:rPr>
          <w:rFonts w:ascii="Arial" w:hAnsi="Arial" w:cs="Arial"/>
          <w:bCs/>
          <w:sz w:val="20"/>
        </w:rPr>
        <w:t>was</w:t>
      </w:r>
      <w:r w:rsidR="0085089D">
        <w:rPr>
          <w:rFonts w:ascii="Arial" w:hAnsi="Arial" w:cs="Arial"/>
          <w:bCs/>
          <w:sz w:val="20"/>
        </w:rPr>
        <w:t xml:space="preserve"> </w:t>
      </w:r>
      <w:r>
        <w:rPr>
          <w:rFonts w:ascii="Arial" w:hAnsi="Arial" w:cs="Arial"/>
          <w:bCs/>
          <w:sz w:val="20"/>
        </w:rPr>
        <w:t xml:space="preserve">represented by a litigation guardian.  The case </w:t>
      </w:r>
      <w:r w:rsidR="0085089D">
        <w:rPr>
          <w:rFonts w:ascii="Arial" w:hAnsi="Arial" w:cs="Arial"/>
          <w:bCs/>
          <w:sz w:val="20"/>
        </w:rPr>
        <w:t xml:space="preserve">– </w:t>
      </w:r>
      <w:r w:rsidR="0085089D" w:rsidRPr="00657490">
        <w:rPr>
          <w:rFonts w:ascii="Arial" w:hAnsi="Arial" w:cs="Arial"/>
          <w:bCs/>
          <w:i/>
          <w:iCs/>
          <w:sz w:val="20"/>
        </w:rPr>
        <w:t>Re</w:t>
      </w:r>
      <w:r w:rsidR="0085089D">
        <w:rPr>
          <w:rFonts w:ascii="Arial" w:hAnsi="Arial" w:cs="Arial"/>
          <w:bCs/>
          <w:i/>
          <w:iCs/>
          <w:sz w:val="20"/>
        </w:rPr>
        <w:t xml:space="preserve"> </w:t>
      </w:r>
      <w:r w:rsidR="0085089D" w:rsidRPr="00657490">
        <w:rPr>
          <w:rFonts w:ascii="Arial" w:hAnsi="Arial" w:cs="Arial"/>
          <w:bCs/>
          <w:i/>
          <w:iCs/>
          <w:sz w:val="20"/>
        </w:rPr>
        <w:t>C Children</w:t>
      </w:r>
      <w:r w:rsidR="0085089D">
        <w:rPr>
          <w:rFonts w:ascii="Arial" w:hAnsi="Arial" w:cs="Arial"/>
          <w:bCs/>
          <w:sz w:val="20"/>
        </w:rPr>
        <w:t xml:space="preserve"> [Children’s Court of Victoria-Power M, unreported, 18/07/2013] – </w:t>
      </w:r>
      <w:r>
        <w:rPr>
          <w:rFonts w:ascii="Arial" w:hAnsi="Arial" w:cs="Arial"/>
          <w:bCs/>
          <w:sz w:val="20"/>
        </w:rPr>
        <w:t>involved</w:t>
      </w:r>
      <w:r w:rsidR="0085089D">
        <w:rPr>
          <w:rFonts w:ascii="Arial" w:hAnsi="Arial" w:cs="Arial"/>
          <w:bCs/>
          <w:sz w:val="20"/>
        </w:rPr>
        <w:t xml:space="preserve"> </w:t>
      </w:r>
      <w:r>
        <w:rPr>
          <w:rFonts w:ascii="Arial" w:hAnsi="Arial" w:cs="Arial"/>
          <w:bCs/>
          <w:sz w:val="20"/>
        </w:rPr>
        <w:t xml:space="preserve">two children aged 9y11m &amp; 15y8m who were living with their father.  Their mother had </w:t>
      </w:r>
      <w:r w:rsidRPr="00657490">
        <w:rPr>
          <w:rFonts w:ascii="Arial" w:hAnsi="Arial" w:cs="Arial"/>
          <w:bCs/>
          <w:sz w:val="20"/>
          <w:szCs w:val="20"/>
        </w:rPr>
        <w:t xml:space="preserve">started to display symptoms of schizophrenia in the last trimester before the birth of </w:t>
      </w:r>
      <w:r>
        <w:rPr>
          <w:rFonts w:ascii="Arial" w:hAnsi="Arial" w:cs="Arial"/>
          <w:bCs/>
          <w:sz w:val="20"/>
          <w:szCs w:val="20"/>
        </w:rPr>
        <w:t xml:space="preserve">the older child and had a history of inpatient admissions.  </w:t>
      </w:r>
      <w:r w:rsidR="00C95C32">
        <w:rPr>
          <w:rFonts w:ascii="Arial" w:hAnsi="Arial" w:cs="Arial"/>
          <w:bCs/>
          <w:sz w:val="20"/>
          <w:szCs w:val="20"/>
        </w:rPr>
        <w:t xml:space="preserve">Even if </w:t>
      </w:r>
      <w:r w:rsidR="002C31FE">
        <w:rPr>
          <w:rFonts w:ascii="Arial" w:hAnsi="Arial" w:cs="Arial"/>
          <w:bCs/>
          <w:sz w:val="20"/>
          <w:szCs w:val="20"/>
        </w:rPr>
        <w:t xml:space="preserve">it was </w:t>
      </w:r>
      <w:r w:rsidR="00C95C32">
        <w:rPr>
          <w:rFonts w:ascii="Arial" w:hAnsi="Arial" w:cs="Arial"/>
          <w:bCs/>
          <w:sz w:val="20"/>
          <w:szCs w:val="20"/>
        </w:rPr>
        <w:t>authorised by law, a</w:t>
      </w:r>
      <w:r w:rsidR="002C31FE">
        <w:rPr>
          <w:rFonts w:ascii="Arial" w:hAnsi="Arial" w:cs="Arial"/>
          <w:bCs/>
          <w:sz w:val="20"/>
          <w:szCs w:val="20"/>
        </w:rPr>
        <w:t xml:space="preserve"> </w:t>
      </w:r>
      <w:r>
        <w:rPr>
          <w:rFonts w:ascii="Arial" w:hAnsi="Arial" w:cs="Arial"/>
          <w:bCs/>
          <w:sz w:val="20"/>
          <w:szCs w:val="20"/>
        </w:rPr>
        <w:t xml:space="preserve">practical difficulty </w:t>
      </w:r>
      <w:r w:rsidR="00BB642A">
        <w:rPr>
          <w:rFonts w:ascii="Arial" w:hAnsi="Arial" w:cs="Arial"/>
          <w:bCs/>
          <w:sz w:val="20"/>
          <w:szCs w:val="20"/>
        </w:rPr>
        <w:t>with</w:t>
      </w:r>
      <w:r>
        <w:rPr>
          <w:rFonts w:ascii="Arial" w:hAnsi="Arial" w:cs="Arial"/>
          <w:bCs/>
          <w:sz w:val="20"/>
          <w:szCs w:val="20"/>
        </w:rPr>
        <w:t xml:space="preserve"> such an appointment is that the litigation guardian is required to act in the best interests of the adult </w:t>
      </w:r>
      <w:r w:rsidR="00A46FC7">
        <w:rPr>
          <w:rFonts w:ascii="Arial" w:hAnsi="Arial" w:cs="Arial"/>
          <w:bCs/>
          <w:sz w:val="20"/>
          <w:szCs w:val="20"/>
        </w:rPr>
        <w:t>under disability</w:t>
      </w:r>
      <w:r w:rsidR="00AA54A1">
        <w:rPr>
          <w:rFonts w:ascii="Arial" w:hAnsi="Arial" w:cs="Arial"/>
          <w:bCs/>
          <w:sz w:val="20"/>
          <w:szCs w:val="20"/>
        </w:rPr>
        <w:t xml:space="preserve">: see </w:t>
      </w:r>
      <w:r w:rsidR="00AA54A1" w:rsidRPr="0085089D">
        <w:rPr>
          <w:rFonts w:ascii="Arial" w:hAnsi="Arial" w:cs="Arial"/>
          <w:sz w:val="20"/>
          <w:szCs w:val="20"/>
        </w:rPr>
        <w:t xml:space="preserve">ss.4(2) &amp; 16(1)(f) of the </w:t>
      </w:r>
      <w:r w:rsidR="00AA54A1" w:rsidRPr="0085089D">
        <w:rPr>
          <w:rFonts w:ascii="Arial" w:hAnsi="Arial" w:cs="Arial"/>
          <w:iCs/>
          <w:sz w:val="20"/>
          <w:szCs w:val="20"/>
          <w:u w:val="single"/>
        </w:rPr>
        <w:t>Guardianship and Administration Act 1986</w:t>
      </w:r>
      <w:r w:rsidR="00AA54A1">
        <w:rPr>
          <w:rFonts w:ascii="Arial" w:hAnsi="Arial" w:cs="Arial"/>
          <w:bCs/>
          <w:sz w:val="20"/>
          <w:szCs w:val="20"/>
        </w:rPr>
        <w:t>.  By</w:t>
      </w:r>
      <w:r w:rsidR="002C31FE">
        <w:rPr>
          <w:rFonts w:ascii="Arial" w:hAnsi="Arial" w:cs="Arial"/>
          <w:bCs/>
          <w:sz w:val="20"/>
          <w:szCs w:val="20"/>
        </w:rPr>
        <w:t> </w:t>
      </w:r>
      <w:r w:rsidR="00AA54A1">
        <w:rPr>
          <w:rFonts w:ascii="Arial" w:hAnsi="Arial" w:cs="Arial"/>
          <w:bCs/>
          <w:sz w:val="20"/>
          <w:szCs w:val="20"/>
        </w:rPr>
        <w:t xml:space="preserve">contrast, </w:t>
      </w:r>
      <w:r w:rsidR="0085089D">
        <w:rPr>
          <w:rFonts w:ascii="Arial" w:hAnsi="Arial" w:cs="Arial"/>
          <w:bCs/>
          <w:sz w:val="20"/>
          <w:szCs w:val="20"/>
        </w:rPr>
        <w:t>in child protection proceedings the C</w:t>
      </w:r>
      <w:r w:rsidR="00503285">
        <w:rPr>
          <w:rFonts w:ascii="Arial" w:hAnsi="Arial" w:cs="Arial"/>
          <w:bCs/>
          <w:sz w:val="20"/>
          <w:szCs w:val="20"/>
        </w:rPr>
        <w:t>hildren’s C</w:t>
      </w:r>
      <w:r w:rsidR="0085089D">
        <w:rPr>
          <w:rFonts w:ascii="Arial" w:hAnsi="Arial" w:cs="Arial"/>
          <w:bCs/>
          <w:sz w:val="20"/>
          <w:szCs w:val="20"/>
        </w:rPr>
        <w:t>ourt has to act on the basis that the best interests of the child are paramount: see s</w:t>
      </w:r>
      <w:r w:rsidR="00095B7A">
        <w:rPr>
          <w:rFonts w:ascii="Arial" w:hAnsi="Arial" w:cs="Arial"/>
          <w:bCs/>
          <w:sz w:val="20"/>
          <w:szCs w:val="20"/>
        </w:rPr>
        <w:t>s</w:t>
      </w:r>
      <w:r w:rsidR="0085089D">
        <w:rPr>
          <w:rFonts w:ascii="Arial" w:hAnsi="Arial" w:cs="Arial"/>
          <w:bCs/>
          <w:sz w:val="20"/>
          <w:szCs w:val="20"/>
        </w:rPr>
        <w:t xml:space="preserve">.8(1) </w:t>
      </w:r>
      <w:r w:rsidR="00095B7A">
        <w:rPr>
          <w:rFonts w:ascii="Arial" w:hAnsi="Arial" w:cs="Arial"/>
          <w:bCs/>
          <w:sz w:val="20"/>
          <w:szCs w:val="20"/>
        </w:rPr>
        <w:t xml:space="preserve">&amp; 10(1) </w:t>
      </w:r>
      <w:r w:rsidR="0085089D">
        <w:rPr>
          <w:rFonts w:ascii="Arial" w:hAnsi="Arial" w:cs="Arial"/>
          <w:bCs/>
          <w:sz w:val="20"/>
          <w:szCs w:val="20"/>
        </w:rPr>
        <w:t xml:space="preserve">CYFA.  This difficulty was ameliorated to some extent in this case because during the hearing of the case the mother had advised the </w:t>
      </w:r>
      <w:r w:rsidR="002C31FE">
        <w:rPr>
          <w:rFonts w:ascii="Arial" w:hAnsi="Arial" w:cs="Arial"/>
          <w:bCs/>
          <w:sz w:val="20"/>
          <w:szCs w:val="20"/>
        </w:rPr>
        <w:t>litigation guardian (the OPA) who had been appointed by another magistrate:</w:t>
      </w:r>
      <w:r w:rsidR="0085089D">
        <w:rPr>
          <w:rFonts w:ascii="Arial" w:hAnsi="Arial" w:cs="Arial"/>
          <w:bCs/>
          <w:sz w:val="20"/>
          <w:szCs w:val="20"/>
        </w:rPr>
        <w:t xml:space="preserve"> “Whatever is best for my kids is best for me.”  But some tension still remained and </w:t>
      </w:r>
      <w:r w:rsidR="00AA54A1">
        <w:rPr>
          <w:rFonts w:ascii="Arial" w:hAnsi="Arial" w:cs="Arial"/>
          <w:bCs/>
          <w:sz w:val="20"/>
          <w:szCs w:val="20"/>
        </w:rPr>
        <w:t>from time to time in the 14</w:t>
      </w:r>
      <w:r w:rsidR="008307BE">
        <w:rPr>
          <w:rFonts w:ascii="Arial" w:hAnsi="Arial" w:cs="Arial"/>
          <w:bCs/>
          <w:sz w:val="20"/>
          <w:szCs w:val="20"/>
        </w:rPr>
        <w:t>-</w:t>
      </w:r>
      <w:r w:rsidR="00AA54A1">
        <w:rPr>
          <w:rFonts w:ascii="Arial" w:hAnsi="Arial" w:cs="Arial"/>
          <w:bCs/>
          <w:sz w:val="20"/>
          <w:szCs w:val="20"/>
        </w:rPr>
        <w:t xml:space="preserve">day hearing </w:t>
      </w:r>
      <w:r w:rsidR="000E7063">
        <w:rPr>
          <w:rFonts w:ascii="Arial" w:hAnsi="Arial" w:cs="Arial"/>
          <w:bCs/>
          <w:sz w:val="20"/>
          <w:szCs w:val="20"/>
        </w:rPr>
        <w:t xml:space="preserve">counsel for </w:t>
      </w:r>
      <w:r w:rsidR="00AA54A1">
        <w:rPr>
          <w:rFonts w:ascii="Arial" w:hAnsi="Arial" w:cs="Arial"/>
          <w:bCs/>
          <w:sz w:val="20"/>
          <w:szCs w:val="20"/>
        </w:rPr>
        <w:t xml:space="preserve">the OPA </w:t>
      </w:r>
      <w:r w:rsidR="008267E0">
        <w:rPr>
          <w:rFonts w:ascii="Arial" w:hAnsi="Arial" w:cs="Arial"/>
          <w:bCs/>
          <w:sz w:val="20"/>
          <w:szCs w:val="20"/>
        </w:rPr>
        <w:t xml:space="preserve">found herself on a collision course with DFFH and the </w:t>
      </w:r>
      <w:r w:rsidR="00095B7A">
        <w:rPr>
          <w:rFonts w:ascii="Arial" w:hAnsi="Arial" w:cs="Arial"/>
          <w:bCs/>
          <w:sz w:val="20"/>
          <w:szCs w:val="20"/>
        </w:rPr>
        <w:t>BI</w:t>
      </w:r>
      <w:r w:rsidR="008267E0">
        <w:rPr>
          <w:rFonts w:ascii="Arial" w:hAnsi="Arial" w:cs="Arial"/>
          <w:bCs/>
          <w:sz w:val="20"/>
          <w:szCs w:val="20"/>
        </w:rPr>
        <w:t xml:space="preserve">L for the younger child, having assessed what was in the best interests of the children through a different lens, an assessment which was understandably not as well informed as </w:t>
      </w:r>
      <w:r w:rsidR="00D46FAD">
        <w:rPr>
          <w:rFonts w:ascii="Arial" w:hAnsi="Arial" w:cs="Arial"/>
          <w:bCs/>
          <w:sz w:val="20"/>
          <w:szCs w:val="20"/>
        </w:rPr>
        <w:t>those</w:t>
      </w:r>
      <w:r w:rsidR="008267E0">
        <w:rPr>
          <w:rFonts w:ascii="Arial" w:hAnsi="Arial" w:cs="Arial"/>
          <w:bCs/>
          <w:sz w:val="20"/>
          <w:szCs w:val="20"/>
        </w:rPr>
        <w:t xml:space="preserve"> of the other parties.</w:t>
      </w:r>
    </w:p>
    <w:p w14:paraId="79F606AF" w14:textId="77777777" w:rsidR="003431A4" w:rsidRDefault="003431A4" w:rsidP="0085089D">
      <w:pPr>
        <w:jc w:val="both"/>
        <w:rPr>
          <w:rFonts w:ascii="Arial" w:hAnsi="Arial" w:cs="Arial"/>
          <w:bCs/>
          <w:sz w:val="20"/>
          <w:szCs w:val="20"/>
        </w:rPr>
      </w:pPr>
    </w:p>
    <w:p w14:paraId="59D0861B" w14:textId="0A81B6E3" w:rsidR="00693223" w:rsidRDefault="00693223" w:rsidP="00121D44">
      <w:pPr>
        <w:pStyle w:val="Heading3"/>
        <w:keepNext/>
        <w:spacing w:after="120" w:line="240" w:lineRule="auto"/>
        <w:rPr>
          <w:rFonts w:ascii="Arial" w:hAnsi="Arial" w:cs="Arial"/>
          <w:sz w:val="20"/>
        </w:rPr>
      </w:pPr>
      <w:bookmarkStart w:id="1141" w:name="_4.8.3_Court_may"/>
      <w:bookmarkStart w:id="1142" w:name="_Toc30654119"/>
      <w:bookmarkStart w:id="1143" w:name="_Toc30654470"/>
      <w:bookmarkStart w:id="1144" w:name="_Toc30655089"/>
      <w:bookmarkStart w:id="1145" w:name="_Toc30655346"/>
      <w:bookmarkStart w:id="1146" w:name="_Toc30657024"/>
      <w:bookmarkStart w:id="1147" w:name="_Toc30661773"/>
      <w:bookmarkStart w:id="1148" w:name="_Toc30666461"/>
      <w:bookmarkStart w:id="1149" w:name="_Toc30666691"/>
      <w:bookmarkStart w:id="1150" w:name="_Toc30667866"/>
      <w:bookmarkStart w:id="1151" w:name="_Toc30669244"/>
      <w:bookmarkStart w:id="1152" w:name="_Toc30671460"/>
      <w:bookmarkStart w:id="1153" w:name="_Toc30673987"/>
      <w:bookmarkStart w:id="1154" w:name="_Toc30691209"/>
      <w:bookmarkStart w:id="1155" w:name="_Toc30691582"/>
      <w:bookmarkStart w:id="1156" w:name="_Toc30691962"/>
      <w:bookmarkStart w:id="1157" w:name="_Toc30692721"/>
      <w:bookmarkStart w:id="1158" w:name="_Toc30693100"/>
      <w:bookmarkStart w:id="1159" w:name="_Toc30693478"/>
      <w:bookmarkStart w:id="1160" w:name="_Toc30693856"/>
      <w:bookmarkStart w:id="1161" w:name="_Toc30694237"/>
      <w:bookmarkStart w:id="1162" w:name="_Toc30698826"/>
      <w:bookmarkStart w:id="1163" w:name="_Toc30699204"/>
      <w:bookmarkStart w:id="1164" w:name="_Toc30699589"/>
      <w:bookmarkStart w:id="1165" w:name="_Toc30700744"/>
      <w:bookmarkStart w:id="1166" w:name="_Toc30701131"/>
      <w:bookmarkStart w:id="1167" w:name="_Toc30743740"/>
      <w:bookmarkStart w:id="1168" w:name="_Toc30754563"/>
      <w:bookmarkStart w:id="1169" w:name="_Toc30757003"/>
      <w:bookmarkStart w:id="1170" w:name="_Toc30757552"/>
      <w:bookmarkStart w:id="1171" w:name="_Toc30757952"/>
      <w:bookmarkStart w:id="1172" w:name="_Toc30762713"/>
      <w:bookmarkStart w:id="1173" w:name="_Toc30767367"/>
      <w:bookmarkStart w:id="1174" w:name="_Toc34823382"/>
      <w:bookmarkEnd w:id="1140"/>
      <w:bookmarkEnd w:id="1141"/>
      <w:r>
        <w:rPr>
          <w:rFonts w:ascii="Arial" w:hAnsi="Arial" w:cs="Arial"/>
          <w:b/>
          <w:bCs/>
          <w:sz w:val="20"/>
        </w:rPr>
        <w:lastRenderedPageBreak/>
        <w:t>4.8.</w:t>
      </w:r>
      <w:r w:rsidR="0026104F">
        <w:rPr>
          <w:rFonts w:ascii="Arial" w:hAnsi="Arial" w:cs="Arial"/>
          <w:b/>
          <w:bCs/>
          <w:color w:val="000000"/>
          <w:sz w:val="20"/>
        </w:rPr>
        <w:t>3</w:t>
      </w:r>
      <w:r>
        <w:rPr>
          <w:rFonts w:ascii="Arial" w:hAnsi="Arial" w:cs="Arial"/>
          <w:b/>
          <w:bCs/>
          <w:sz w:val="20"/>
        </w:rPr>
        <w:tab/>
      </w:r>
      <w:r w:rsidR="00D36D17">
        <w:rPr>
          <w:rFonts w:ascii="Arial" w:hAnsi="Arial" w:cs="Arial"/>
          <w:b/>
          <w:bCs/>
          <w:sz w:val="20"/>
        </w:rPr>
        <w:t xml:space="preserve">Court may inform itself as it thinks fit </w:t>
      </w:r>
      <w:r w:rsidR="004C770E">
        <w:rPr>
          <w:rFonts w:ascii="Arial" w:hAnsi="Arial" w:cs="Arial"/>
          <w:b/>
          <w:bCs/>
          <w:sz w:val="20"/>
        </w:rPr>
        <w:t>–</w:t>
      </w:r>
      <w:r w:rsidR="00D36D17">
        <w:rPr>
          <w:rFonts w:ascii="Arial" w:hAnsi="Arial" w:cs="Arial"/>
          <w:b/>
          <w:bCs/>
          <w:sz w:val="20"/>
        </w:rPr>
        <w:t xml:space="preserve"> </w:t>
      </w:r>
      <w:r>
        <w:rPr>
          <w:rFonts w:ascii="Arial" w:hAnsi="Arial" w:cs="Arial"/>
          <w:b/>
          <w:bCs/>
          <w:sz w:val="20"/>
        </w:rPr>
        <w:t>Rules</w:t>
      </w:r>
      <w:r w:rsidR="004C770E">
        <w:rPr>
          <w:rFonts w:ascii="Arial" w:hAnsi="Arial" w:cs="Arial"/>
          <w:b/>
          <w:bCs/>
          <w:sz w:val="20"/>
        </w:rPr>
        <w:t xml:space="preserve"> </w:t>
      </w:r>
      <w:r>
        <w:rPr>
          <w:rFonts w:ascii="Arial" w:hAnsi="Arial" w:cs="Arial"/>
          <w:b/>
          <w:bCs/>
          <w:sz w:val="20"/>
        </w:rPr>
        <w:t>of evidence not mandatory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14:paraId="2FB5A615" w14:textId="77777777" w:rsidR="00693223" w:rsidRDefault="00693223">
      <w:pPr>
        <w:jc w:val="both"/>
        <w:rPr>
          <w:rFonts w:ascii="Arial" w:hAnsi="Arial" w:cs="Arial"/>
          <w:bCs/>
          <w:sz w:val="20"/>
        </w:rPr>
      </w:pPr>
      <w:r>
        <w:rPr>
          <w:rFonts w:ascii="Arial" w:hAnsi="Arial" w:cs="Arial"/>
          <w:sz w:val="20"/>
        </w:rPr>
        <w:t xml:space="preserve">In the Family Division the Court </w:t>
      </w:r>
      <w:r w:rsidR="00411BA1">
        <w:rPr>
          <w:rFonts w:ascii="Arial" w:hAnsi="Arial" w:cs="Arial"/>
          <w:sz w:val="20"/>
        </w:rPr>
        <w:t>“</w:t>
      </w:r>
      <w:r>
        <w:rPr>
          <w:rFonts w:ascii="Arial" w:hAnsi="Arial" w:cs="Arial"/>
          <w:sz w:val="20"/>
        </w:rPr>
        <w:t>may inform itself on a matter in such manner as it thinks fit, despite any rules of evidence to the contrary</w:t>
      </w:r>
      <w:r w:rsidR="00411BA1">
        <w:rPr>
          <w:rFonts w:ascii="Arial" w:hAnsi="Arial" w:cs="Arial"/>
          <w:sz w:val="20"/>
        </w:rPr>
        <w:t>”</w:t>
      </w:r>
      <w:r>
        <w:rPr>
          <w:rFonts w:ascii="Arial" w:hAnsi="Arial" w:cs="Arial"/>
          <w:sz w:val="20"/>
        </w:rPr>
        <w:t>: s.</w:t>
      </w:r>
      <w:r w:rsidR="00AC69EC">
        <w:rPr>
          <w:rFonts w:ascii="Arial" w:hAnsi="Arial" w:cs="Arial"/>
          <w:sz w:val="20"/>
        </w:rPr>
        <w:t>215</w:t>
      </w:r>
      <w:r>
        <w:rPr>
          <w:rFonts w:ascii="Arial" w:hAnsi="Arial" w:cs="Arial"/>
          <w:sz w:val="20"/>
        </w:rPr>
        <w:t>(1)(d)</w:t>
      </w:r>
      <w:r w:rsidR="00AC69EC">
        <w:rPr>
          <w:rFonts w:ascii="Arial" w:hAnsi="Arial" w:cs="Arial"/>
          <w:sz w:val="20"/>
        </w:rPr>
        <w:t xml:space="preserve"> of the CYFA</w:t>
      </w:r>
      <w:r>
        <w:rPr>
          <w:rFonts w:ascii="Arial" w:hAnsi="Arial" w:cs="Arial"/>
          <w:sz w:val="20"/>
        </w:rPr>
        <w:t xml:space="preserve">.  There is a similar provision in s.93(3) of the Children's Services Act 1986 (A.C.T.): </w:t>
      </w:r>
      <w:r>
        <w:rPr>
          <w:rFonts w:ascii="Arial" w:hAnsi="Arial" w:cs="Arial"/>
          <w:bCs/>
          <w:sz w:val="20"/>
        </w:rPr>
        <w:t xml:space="preserve">“The Court is not bound by the rules of evidence and may inform itself in any manner it thinks fit.”  The proper operation of such a provision was explained by Higgins J in the Supreme Court of the A.C.T. in </w:t>
      </w:r>
      <w:r>
        <w:rPr>
          <w:rFonts w:ascii="Arial" w:hAnsi="Arial" w:cs="Arial"/>
          <w:bCs/>
          <w:i/>
          <w:iCs/>
          <w:sz w:val="20"/>
        </w:rPr>
        <w:t xml:space="preserve">A &amp; B v Director of Family Services </w:t>
      </w:r>
      <w:r>
        <w:rPr>
          <w:rFonts w:ascii="Arial" w:hAnsi="Arial" w:cs="Arial"/>
          <w:sz w:val="20"/>
        </w:rPr>
        <w:t>(1996) 20 Fam LR 549 at 553-4</w:t>
      </w:r>
      <w:r>
        <w:rPr>
          <w:rFonts w:ascii="Arial" w:hAnsi="Arial" w:cs="Arial"/>
          <w:bCs/>
          <w:sz w:val="20"/>
        </w:rPr>
        <w:t>-</w:t>
      </w:r>
    </w:p>
    <w:p w14:paraId="66B13929" w14:textId="77777777" w:rsidR="00693223" w:rsidRDefault="00693223">
      <w:pPr>
        <w:spacing w:before="60" w:line="240" w:lineRule="exact"/>
        <w:ind w:left="567" w:right="567"/>
        <w:jc w:val="both"/>
        <w:rPr>
          <w:rFonts w:ascii="Arial" w:hAnsi="Arial" w:cs="Arial"/>
          <w:bCs/>
          <w:sz w:val="20"/>
        </w:rPr>
      </w:pPr>
      <w:r>
        <w:rPr>
          <w:rFonts w:ascii="Arial" w:hAnsi="Arial" w:cs="Arial"/>
          <w:bCs/>
          <w:sz w:val="20"/>
        </w:rPr>
        <w:t>“[I]t should be recognised that such provisions do not render the rules of evidence irrelevant.  They should still be applied unless, for sound reason, their application is dispensed with.</w:t>
      </w:r>
    </w:p>
    <w:p w14:paraId="37EAC950" w14:textId="77777777" w:rsidR="00693223" w:rsidRDefault="00693223">
      <w:pPr>
        <w:spacing w:before="60" w:line="240" w:lineRule="exact"/>
        <w:ind w:left="567" w:right="567"/>
        <w:jc w:val="both"/>
        <w:rPr>
          <w:rFonts w:ascii="Arial" w:hAnsi="Arial" w:cs="Arial"/>
          <w:bCs/>
          <w:sz w:val="20"/>
        </w:rPr>
      </w:pPr>
      <w:r>
        <w:rPr>
          <w:rFonts w:ascii="Arial" w:hAnsi="Arial" w:cs="Arial"/>
          <w:bCs/>
          <w:sz w:val="20"/>
        </w:rPr>
        <w:t>In these proceedings, it seems to have been assumed that the rules of evidence relating to both hearsay and to expert evidence had no application.</w:t>
      </w:r>
    </w:p>
    <w:p w14:paraId="4539DFB9" w14:textId="77777777" w:rsidR="00693223" w:rsidRDefault="00693223">
      <w:pPr>
        <w:spacing w:before="60" w:line="240" w:lineRule="exact"/>
        <w:ind w:left="567" w:right="567"/>
        <w:jc w:val="both"/>
        <w:rPr>
          <w:rFonts w:ascii="Arial" w:hAnsi="Arial" w:cs="Arial"/>
          <w:bCs/>
          <w:sz w:val="20"/>
        </w:rPr>
      </w:pPr>
      <w:r>
        <w:rPr>
          <w:rFonts w:ascii="Arial" w:hAnsi="Arial" w:cs="Arial"/>
          <w:bCs/>
          <w:sz w:val="20"/>
        </w:rPr>
        <w:t xml:space="preserve">The proper approach to the application of the rules of evidence in the face of such a provision was considered by Lockhart J in </w:t>
      </w:r>
      <w:r>
        <w:rPr>
          <w:rFonts w:ascii="Arial" w:hAnsi="Arial" w:cs="Arial"/>
          <w:bCs/>
          <w:i/>
          <w:iCs/>
          <w:sz w:val="20"/>
        </w:rPr>
        <w:t xml:space="preserve">Pearce v Button </w:t>
      </w:r>
      <w:r>
        <w:rPr>
          <w:rFonts w:ascii="Arial" w:hAnsi="Arial" w:cs="Arial"/>
          <w:sz w:val="20"/>
        </w:rPr>
        <w:t>(1985) 65 ALR 83 at 97; 8 FCR 408 at 422.</w:t>
      </w:r>
      <w:r>
        <w:rPr>
          <w:sz w:val="20"/>
        </w:rPr>
        <w:t xml:space="preserve">  </w:t>
      </w:r>
      <w:r>
        <w:rPr>
          <w:rFonts w:ascii="Arial" w:hAnsi="Arial" w:cs="Arial"/>
          <w:bCs/>
          <w:sz w:val="20"/>
        </w:rPr>
        <w:t>His Honour said-</w:t>
      </w:r>
    </w:p>
    <w:p w14:paraId="584897FE" w14:textId="77777777" w:rsidR="00693223" w:rsidRDefault="00693223">
      <w:pPr>
        <w:spacing w:before="60"/>
        <w:ind w:left="567" w:right="567"/>
        <w:jc w:val="both"/>
        <w:rPr>
          <w:rFonts w:ascii="Arial" w:hAnsi="Arial" w:cs="Arial"/>
          <w:bCs/>
          <w:sz w:val="20"/>
        </w:rPr>
      </w:pPr>
      <w:r>
        <w:rPr>
          <w:rFonts w:ascii="Arial" w:hAnsi="Arial" w:cs="Arial"/>
          <w:bCs/>
          <w:sz w:val="20"/>
        </w:rPr>
        <w:t>‘…a judge should be slow to invoke it [a power to dispense with compliance with rules of evidence] where there is a real dispute about matters which go to the heart of the case.’”</w:t>
      </w:r>
    </w:p>
    <w:p w14:paraId="73FBD8AA" w14:textId="77777777" w:rsidR="00693223" w:rsidRDefault="00693223">
      <w:pPr>
        <w:spacing w:before="120"/>
        <w:jc w:val="both"/>
        <w:rPr>
          <w:rFonts w:ascii="Arial" w:hAnsi="Arial" w:cs="Arial"/>
          <w:bCs/>
          <w:sz w:val="20"/>
        </w:rPr>
      </w:pPr>
      <w:r>
        <w:rPr>
          <w:rFonts w:ascii="Arial" w:hAnsi="Arial" w:cs="Arial"/>
          <w:bCs/>
          <w:sz w:val="20"/>
        </w:rPr>
        <w:t xml:space="preserve">Higgins J </w:t>
      </w:r>
      <w:r>
        <w:rPr>
          <w:rFonts w:ascii="Arial" w:hAnsi="Arial" w:cs="Arial"/>
          <w:sz w:val="20"/>
        </w:rPr>
        <w:t xml:space="preserve">went on to discuss in detail the dangers inherent in the reception of hearsay evidence, citing dicta of the High Court in </w:t>
      </w:r>
      <w:r>
        <w:rPr>
          <w:rFonts w:ascii="Arial" w:hAnsi="Arial" w:cs="Arial"/>
          <w:i/>
          <w:sz w:val="20"/>
        </w:rPr>
        <w:t>Bannon v R</w:t>
      </w:r>
      <w:r>
        <w:rPr>
          <w:rFonts w:ascii="Arial" w:hAnsi="Arial" w:cs="Arial"/>
          <w:sz w:val="20"/>
        </w:rPr>
        <w:t xml:space="preserve"> (1995) 132 ALR 87; 70 ALJR 25 and </w:t>
      </w:r>
      <w:r>
        <w:rPr>
          <w:rFonts w:ascii="Arial" w:hAnsi="Arial" w:cs="Arial"/>
          <w:i/>
          <w:sz w:val="20"/>
        </w:rPr>
        <w:t>Straker v R</w:t>
      </w:r>
      <w:r>
        <w:rPr>
          <w:rFonts w:ascii="Arial" w:hAnsi="Arial" w:cs="Arial"/>
          <w:sz w:val="20"/>
        </w:rPr>
        <w:t xml:space="preserve"> (1977) 15 ALR 103; 51 ALJR 690.</w:t>
      </w:r>
    </w:p>
    <w:p w14:paraId="1FB3F975" w14:textId="77777777" w:rsidR="00693223" w:rsidRDefault="00693223">
      <w:pPr>
        <w:jc w:val="both"/>
        <w:rPr>
          <w:rFonts w:ascii="Arial" w:hAnsi="Arial" w:cs="Arial"/>
          <w:sz w:val="20"/>
        </w:rPr>
      </w:pPr>
    </w:p>
    <w:p w14:paraId="5675AF2E" w14:textId="4DEEE666" w:rsidR="00544F20" w:rsidRDefault="00544F20">
      <w:pPr>
        <w:jc w:val="both"/>
        <w:rPr>
          <w:rFonts w:ascii="Arial" w:hAnsi="Arial" w:cs="Arial"/>
          <w:sz w:val="20"/>
        </w:rPr>
      </w:pPr>
      <w:r>
        <w:rPr>
          <w:rFonts w:ascii="Arial" w:hAnsi="Arial" w:cs="Arial"/>
          <w:sz w:val="20"/>
        </w:rPr>
        <w:t xml:space="preserve">In </w:t>
      </w:r>
      <w:r w:rsidRPr="00544F20">
        <w:rPr>
          <w:rFonts w:ascii="Arial" w:hAnsi="Arial" w:cs="Arial"/>
          <w:i/>
          <w:sz w:val="20"/>
        </w:rPr>
        <w:t>Weinstein v Medical Practitioners Board of Victoria</w:t>
      </w:r>
      <w:r>
        <w:rPr>
          <w:rFonts w:ascii="Arial" w:hAnsi="Arial" w:cs="Arial"/>
          <w:sz w:val="20"/>
        </w:rPr>
        <w:t xml:space="preserve"> </w:t>
      </w:r>
      <w:r w:rsidR="004963AC">
        <w:rPr>
          <w:rFonts w:ascii="Arial" w:hAnsi="Arial" w:cs="Arial"/>
          <w:sz w:val="20"/>
        </w:rPr>
        <w:t xml:space="preserve">(2008) 21 VR 29; </w:t>
      </w:r>
      <w:r>
        <w:rPr>
          <w:rFonts w:ascii="Arial" w:hAnsi="Arial" w:cs="Arial"/>
          <w:sz w:val="20"/>
        </w:rPr>
        <w:t xml:space="preserve">[2008] VSCA 193 the Court of Appeal discussed the operation of a similar provision in s.52(1)(c) of the </w:t>
      </w:r>
      <w:r w:rsidRPr="004963AC">
        <w:rPr>
          <w:rFonts w:ascii="Arial" w:hAnsi="Arial" w:cs="Arial"/>
          <w:i/>
          <w:iCs/>
          <w:sz w:val="20"/>
        </w:rPr>
        <w:t>Medical Practice Act 1994</w:t>
      </w:r>
      <w:r>
        <w:rPr>
          <w:rFonts w:ascii="Arial" w:hAnsi="Arial" w:cs="Arial"/>
          <w:sz w:val="20"/>
        </w:rPr>
        <w:t xml:space="preserve"> (Vic). </w:t>
      </w:r>
      <w:r w:rsidR="0031744F">
        <w:rPr>
          <w:rFonts w:ascii="Arial" w:hAnsi="Arial" w:cs="Arial"/>
          <w:sz w:val="20"/>
        </w:rPr>
        <w:t xml:space="preserve">In rejecting a submission that the words </w:t>
      </w:r>
      <w:r w:rsidR="000C259D">
        <w:rPr>
          <w:rFonts w:ascii="Arial" w:hAnsi="Arial" w:cs="Arial"/>
          <w:sz w:val="20"/>
        </w:rPr>
        <w:t xml:space="preserve">“may inform itself in any way it thinks fit” should be regarded as redundant </w:t>
      </w:r>
      <w:r w:rsidR="007660F0">
        <w:rPr>
          <w:rFonts w:ascii="Arial" w:hAnsi="Arial" w:cs="Arial"/>
          <w:sz w:val="20"/>
        </w:rPr>
        <w:t>but</w:t>
      </w:r>
      <w:r w:rsidR="000C259D">
        <w:rPr>
          <w:rFonts w:ascii="Arial" w:hAnsi="Arial" w:cs="Arial"/>
          <w:sz w:val="20"/>
        </w:rPr>
        <w:t xml:space="preserve"> holding that the words were subject to </w:t>
      </w:r>
      <w:r w:rsidR="001E0258">
        <w:rPr>
          <w:rFonts w:ascii="Arial" w:hAnsi="Arial" w:cs="Arial"/>
          <w:sz w:val="20"/>
        </w:rPr>
        <w:t>a</w:t>
      </w:r>
      <w:r w:rsidR="000C259D">
        <w:rPr>
          <w:rFonts w:ascii="Arial" w:hAnsi="Arial" w:cs="Arial"/>
          <w:sz w:val="20"/>
        </w:rPr>
        <w:t xml:space="preserve"> requirement to </w:t>
      </w:r>
      <w:r w:rsidR="00FC40FC">
        <w:rPr>
          <w:rFonts w:ascii="Arial" w:hAnsi="Arial" w:cs="Arial"/>
          <w:sz w:val="20"/>
        </w:rPr>
        <w:t>accord</w:t>
      </w:r>
      <w:r w:rsidR="000C259D">
        <w:rPr>
          <w:rFonts w:ascii="Arial" w:hAnsi="Arial" w:cs="Arial"/>
          <w:sz w:val="20"/>
        </w:rPr>
        <w:t xml:space="preserve"> </w:t>
      </w:r>
      <w:r w:rsidR="00BB1A34">
        <w:rPr>
          <w:rFonts w:ascii="Arial" w:hAnsi="Arial" w:cs="Arial"/>
          <w:sz w:val="20"/>
        </w:rPr>
        <w:t>procedural fairness</w:t>
      </w:r>
      <w:r w:rsidR="000C259D">
        <w:rPr>
          <w:rFonts w:ascii="Arial" w:hAnsi="Arial" w:cs="Arial"/>
          <w:sz w:val="20"/>
        </w:rPr>
        <w:t xml:space="preserve">, </w:t>
      </w:r>
      <w:r>
        <w:rPr>
          <w:rFonts w:ascii="Arial" w:hAnsi="Arial" w:cs="Arial"/>
          <w:sz w:val="20"/>
        </w:rPr>
        <w:t>Maxwell P said at [28]</w:t>
      </w:r>
      <w:r w:rsidR="0031744F">
        <w:rPr>
          <w:rFonts w:ascii="Arial" w:hAnsi="Arial" w:cs="Arial"/>
          <w:sz w:val="20"/>
        </w:rPr>
        <w:t>-[29]</w:t>
      </w:r>
      <w:r w:rsidR="004963AC">
        <w:rPr>
          <w:rFonts w:ascii="Arial" w:hAnsi="Arial" w:cs="Arial"/>
          <w:sz w:val="20"/>
        </w:rPr>
        <w:t>:</w:t>
      </w:r>
    </w:p>
    <w:p w14:paraId="7BB8B0BB" w14:textId="4A306894" w:rsidR="004963AC" w:rsidRDefault="004963AC" w:rsidP="00FC40FC">
      <w:pPr>
        <w:spacing w:before="60"/>
        <w:ind w:left="567" w:right="567"/>
        <w:jc w:val="both"/>
        <w:rPr>
          <w:rFonts w:ascii="Arial" w:hAnsi="Arial" w:cs="Arial"/>
          <w:sz w:val="20"/>
        </w:rPr>
      </w:pPr>
      <w:r>
        <w:rPr>
          <w:rFonts w:ascii="Arial" w:hAnsi="Arial" w:cs="Arial"/>
          <w:bCs/>
          <w:sz w:val="20"/>
        </w:rPr>
        <w:t xml:space="preserve">[28] </w:t>
      </w:r>
      <w:r w:rsidR="00544F20">
        <w:rPr>
          <w:rFonts w:ascii="Arial" w:hAnsi="Arial" w:cs="Arial"/>
          <w:bCs/>
          <w:sz w:val="20"/>
        </w:rPr>
        <w:t>“</w:t>
      </w:r>
      <w:r w:rsidR="00544F20">
        <w:rPr>
          <w:rFonts w:ascii="Arial" w:hAnsi="Arial" w:cs="Arial"/>
          <w:sz w:val="20"/>
        </w:rPr>
        <w:t xml:space="preserve">The words ‘may inform itself…’ were plainly intended to have work to </w:t>
      </w:r>
      <w:proofErr w:type="gramStart"/>
      <w:r w:rsidR="00544F20">
        <w:rPr>
          <w:rFonts w:ascii="Arial" w:hAnsi="Arial" w:cs="Arial"/>
          <w:sz w:val="20"/>
        </w:rPr>
        <w:t>do:</w:t>
      </w:r>
      <w:proofErr w:type="gramEnd"/>
      <w:r w:rsidR="00544F20">
        <w:rPr>
          <w:rFonts w:ascii="Arial" w:hAnsi="Arial" w:cs="Arial"/>
          <w:sz w:val="20"/>
        </w:rPr>
        <w:t xml:space="preserve"> cf. </w:t>
      </w:r>
      <w:r w:rsidR="00544F20" w:rsidRPr="00FC40FC">
        <w:rPr>
          <w:rFonts w:ascii="Arial" w:hAnsi="Arial" w:cs="Arial"/>
          <w:i/>
          <w:sz w:val="20"/>
        </w:rPr>
        <w:t xml:space="preserve">Project Blue Sky Inc v </w:t>
      </w:r>
      <w:smartTag w:uri="urn:schemas-microsoft-com:office:smarttags" w:element="place">
        <w:smartTag w:uri="urn:schemas-microsoft-com:office:smarttags" w:element="City">
          <w:r w:rsidR="00544F20" w:rsidRPr="00FC40FC">
            <w:rPr>
              <w:rFonts w:ascii="Arial" w:hAnsi="Arial" w:cs="Arial"/>
              <w:i/>
              <w:sz w:val="20"/>
            </w:rPr>
            <w:t>ABA</w:t>
          </w:r>
        </w:smartTag>
      </w:smartTag>
      <w:r w:rsidR="00544F20" w:rsidRPr="00FC40FC">
        <w:rPr>
          <w:rFonts w:ascii="Arial" w:hAnsi="Arial" w:cs="Arial"/>
          <w:i/>
          <w:sz w:val="20"/>
        </w:rPr>
        <w:t xml:space="preserve"> </w:t>
      </w:r>
      <w:r w:rsidR="00544F20">
        <w:rPr>
          <w:rFonts w:ascii="Arial" w:hAnsi="Arial" w:cs="Arial"/>
          <w:sz w:val="20"/>
        </w:rPr>
        <w:t xml:space="preserve">(1998) 194 CLR 335, 382 [71] (McHugh, Gummow, Kirby &amp; Hayne JJ). They have a meaning and a purpose quite distinct from the meaning and purpose of the words ‘not bound by the rules of evidence’…For the purposes of ‘determining the matter before it’, the panel is authorised to ‘inform itself in any way it thinks fit’ subject always to the overriding obligation to accord procedural fairness. </w:t>
      </w:r>
      <w:r>
        <w:rPr>
          <w:rFonts w:ascii="Arial" w:hAnsi="Arial" w:cs="Arial"/>
          <w:sz w:val="20"/>
        </w:rPr>
        <w:t xml:space="preserve">As Weinberg JA pointed out in argument, an equivalent power is conferred on the Family Division of the Children’s Court: s.215(1)(d) of the </w:t>
      </w:r>
      <w:r w:rsidRPr="00544F20">
        <w:rPr>
          <w:rFonts w:ascii="Arial" w:hAnsi="Arial" w:cs="Arial"/>
          <w:sz w:val="20"/>
        </w:rPr>
        <w:t>CYFA</w:t>
      </w:r>
      <w:r>
        <w:rPr>
          <w:rFonts w:ascii="Arial" w:hAnsi="Arial" w:cs="Arial"/>
          <w:sz w:val="20"/>
        </w:rPr>
        <w:t>.</w:t>
      </w:r>
    </w:p>
    <w:p w14:paraId="7BCE61F5" w14:textId="2FC94ACC" w:rsidR="006B7A0D" w:rsidRDefault="004963AC" w:rsidP="00FC40FC">
      <w:pPr>
        <w:spacing w:before="60"/>
        <w:ind w:left="567" w:right="567"/>
        <w:jc w:val="both"/>
        <w:rPr>
          <w:rFonts w:ascii="Arial" w:hAnsi="Arial" w:cs="Arial"/>
          <w:bCs/>
          <w:sz w:val="20"/>
        </w:rPr>
      </w:pPr>
      <w:r>
        <w:rPr>
          <w:rFonts w:ascii="Arial" w:hAnsi="Arial" w:cs="Arial"/>
          <w:sz w:val="20"/>
        </w:rPr>
        <w:t xml:space="preserve">[29] </w:t>
      </w:r>
      <w:r w:rsidR="00544F20">
        <w:rPr>
          <w:rFonts w:ascii="Arial" w:hAnsi="Arial" w:cs="Arial"/>
          <w:sz w:val="20"/>
        </w:rPr>
        <w:t>Th</w:t>
      </w:r>
      <w:r w:rsidR="0098022D">
        <w:rPr>
          <w:rFonts w:ascii="Arial" w:hAnsi="Arial" w:cs="Arial"/>
          <w:sz w:val="20"/>
        </w:rPr>
        <w:t>is</w:t>
      </w:r>
      <w:r w:rsidR="00544F20">
        <w:rPr>
          <w:rFonts w:ascii="Arial" w:hAnsi="Arial" w:cs="Arial"/>
          <w:sz w:val="20"/>
        </w:rPr>
        <w:t xml:space="preserve"> </w:t>
      </w:r>
      <w:r w:rsidR="005C0020">
        <w:rPr>
          <w:rFonts w:ascii="Arial" w:hAnsi="Arial" w:cs="Arial"/>
          <w:sz w:val="20"/>
        </w:rPr>
        <w:t>conclusion</w:t>
      </w:r>
      <w:r w:rsidR="0098022D">
        <w:rPr>
          <w:rFonts w:ascii="Arial" w:hAnsi="Arial" w:cs="Arial"/>
          <w:sz w:val="20"/>
        </w:rPr>
        <w:t xml:space="preserve"> </w:t>
      </w:r>
      <w:r w:rsidR="00544F20">
        <w:rPr>
          <w:rFonts w:ascii="Arial" w:hAnsi="Arial" w:cs="Arial"/>
          <w:sz w:val="20"/>
        </w:rPr>
        <w:t xml:space="preserve">accords with what was said by McInerney J when considering analogous provisions in </w:t>
      </w:r>
      <w:proofErr w:type="spellStart"/>
      <w:r w:rsidR="00544F20" w:rsidRPr="00544F20">
        <w:rPr>
          <w:rFonts w:ascii="Arial" w:hAnsi="Arial" w:cs="Arial"/>
          <w:i/>
          <w:sz w:val="20"/>
        </w:rPr>
        <w:t>Wajnberg</w:t>
      </w:r>
      <w:proofErr w:type="spellEnd"/>
      <w:r w:rsidR="00544F20" w:rsidRPr="00544F20">
        <w:rPr>
          <w:rFonts w:ascii="Arial" w:hAnsi="Arial" w:cs="Arial"/>
          <w:i/>
          <w:sz w:val="20"/>
        </w:rPr>
        <w:t xml:space="preserve"> v Raynor </w:t>
      </w:r>
      <w:r w:rsidR="00544F20">
        <w:rPr>
          <w:rFonts w:ascii="Arial" w:hAnsi="Arial" w:cs="Arial"/>
          <w:sz w:val="20"/>
        </w:rPr>
        <w:t>[1971] VR 665.</w:t>
      </w:r>
      <w:r>
        <w:rPr>
          <w:rFonts w:ascii="Arial" w:hAnsi="Arial" w:cs="Arial"/>
          <w:sz w:val="20"/>
        </w:rPr>
        <w:t>”</w:t>
      </w:r>
    </w:p>
    <w:p w14:paraId="3790E393" w14:textId="77777777" w:rsidR="00E04070" w:rsidRDefault="00E04070" w:rsidP="00E04070">
      <w:pPr>
        <w:jc w:val="both"/>
        <w:rPr>
          <w:rFonts w:ascii="Arial" w:hAnsi="Arial" w:cs="Arial"/>
          <w:sz w:val="20"/>
        </w:rPr>
      </w:pPr>
    </w:p>
    <w:p w14:paraId="4C7743B6" w14:textId="77777777" w:rsidR="00E04070" w:rsidRPr="00E04070" w:rsidRDefault="0014387F" w:rsidP="00E04070">
      <w:pPr>
        <w:jc w:val="both"/>
        <w:rPr>
          <w:rFonts w:ascii="Arial" w:hAnsi="Arial" w:cs="Arial"/>
          <w:sz w:val="20"/>
          <w:u w:val="single"/>
        </w:rPr>
      </w:pPr>
      <w:r w:rsidRPr="0014387F">
        <w:rPr>
          <w:rFonts w:ascii="Arial" w:hAnsi="Arial" w:cs="Arial"/>
          <w:sz w:val="20"/>
        </w:rPr>
        <w:t xml:space="preserve">In </w:t>
      </w:r>
      <w:r w:rsidR="000F27BB">
        <w:rPr>
          <w:rFonts w:ascii="Arial" w:hAnsi="Arial" w:cs="Arial"/>
          <w:sz w:val="20"/>
        </w:rPr>
        <w:t xml:space="preserve">the dictionary annexed to the </w:t>
      </w:r>
      <w:r w:rsidR="000F27BB" w:rsidRPr="000F27BB">
        <w:rPr>
          <w:rFonts w:ascii="Arial" w:hAnsi="Arial" w:cs="Arial"/>
          <w:sz w:val="20"/>
          <w:u w:val="single"/>
        </w:rPr>
        <w:t>Evidence Act 2008 (Vic)</w:t>
      </w:r>
      <w:r w:rsidR="000F27BB" w:rsidRPr="000F27BB">
        <w:rPr>
          <w:rFonts w:ascii="Arial" w:hAnsi="Arial" w:cs="Arial"/>
          <w:sz w:val="20"/>
        </w:rPr>
        <w:t>, “Victorian court” means-</w:t>
      </w:r>
    </w:p>
    <w:p w14:paraId="166D77A2" w14:textId="77777777" w:rsidR="000F27BB" w:rsidRDefault="000F27BB">
      <w:pPr>
        <w:numPr>
          <w:ilvl w:val="0"/>
          <w:numId w:val="21"/>
        </w:numPr>
        <w:ind w:right="567"/>
        <w:jc w:val="both"/>
        <w:rPr>
          <w:rFonts w:ascii="Arial" w:hAnsi="Arial" w:cs="Arial"/>
          <w:bCs/>
          <w:sz w:val="20"/>
        </w:rPr>
      </w:pPr>
      <w:r>
        <w:rPr>
          <w:rFonts w:ascii="Arial" w:hAnsi="Arial" w:cs="Arial"/>
          <w:bCs/>
          <w:sz w:val="20"/>
        </w:rPr>
        <w:t>the Supreme Court; or</w:t>
      </w:r>
    </w:p>
    <w:p w14:paraId="00934584" w14:textId="77777777" w:rsidR="000F27BB" w:rsidRDefault="002563EE">
      <w:pPr>
        <w:numPr>
          <w:ilvl w:val="0"/>
          <w:numId w:val="21"/>
        </w:numPr>
        <w:ind w:right="567"/>
        <w:jc w:val="both"/>
        <w:rPr>
          <w:rFonts w:ascii="Arial" w:hAnsi="Arial" w:cs="Arial"/>
          <w:bCs/>
          <w:sz w:val="20"/>
        </w:rPr>
      </w:pPr>
      <w:r>
        <w:rPr>
          <w:rFonts w:ascii="Arial" w:hAnsi="Arial" w:cs="Arial"/>
          <w:bCs/>
          <w:sz w:val="20"/>
        </w:rPr>
        <w:t>any other Court created by Parliament-</w:t>
      </w:r>
    </w:p>
    <w:p w14:paraId="2CDE8D41" w14:textId="77777777" w:rsidR="002563EE" w:rsidRDefault="002563EE" w:rsidP="002563EE">
      <w:pPr>
        <w:ind w:left="567" w:right="567"/>
        <w:jc w:val="both"/>
        <w:rPr>
          <w:rFonts w:ascii="Arial" w:hAnsi="Arial" w:cs="Arial"/>
          <w:bCs/>
          <w:sz w:val="20"/>
        </w:rPr>
      </w:pPr>
      <w:r>
        <w:rPr>
          <w:rFonts w:ascii="Arial" w:hAnsi="Arial" w:cs="Arial"/>
          <w:bCs/>
          <w:sz w:val="20"/>
        </w:rPr>
        <w:t>and includes any person or body (other than a court) that, in exercising a function under the law of the State, is required to apply the laws of evidence.</w:t>
      </w:r>
    </w:p>
    <w:p w14:paraId="70DDC835" w14:textId="77777777" w:rsidR="002563EE" w:rsidRDefault="002563EE" w:rsidP="002563EE">
      <w:pPr>
        <w:jc w:val="both"/>
        <w:rPr>
          <w:rFonts w:ascii="Arial" w:hAnsi="Arial" w:cs="Arial"/>
          <w:sz w:val="20"/>
        </w:rPr>
      </w:pPr>
    </w:p>
    <w:p w14:paraId="07569D8B" w14:textId="77777777" w:rsidR="002563EE" w:rsidRDefault="002563EE" w:rsidP="002563EE">
      <w:pPr>
        <w:jc w:val="both"/>
        <w:rPr>
          <w:rFonts w:ascii="Arial" w:hAnsi="Arial" w:cs="Arial"/>
          <w:sz w:val="20"/>
        </w:rPr>
      </w:pPr>
      <w:r>
        <w:rPr>
          <w:rFonts w:ascii="Arial" w:hAnsi="Arial" w:cs="Arial"/>
          <w:sz w:val="20"/>
        </w:rPr>
        <w:t xml:space="preserve">It follows that the Children’s Court is a Victorian court within paragraph (b) of the definition.  Section 4 of the </w:t>
      </w:r>
      <w:r w:rsidRPr="002563EE">
        <w:rPr>
          <w:rFonts w:ascii="Arial" w:hAnsi="Arial" w:cs="Arial"/>
          <w:sz w:val="20"/>
          <w:u w:val="single"/>
        </w:rPr>
        <w:t>Evidence Act 2008 (Vic)</w:t>
      </w:r>
      <w:r>
        <w:rPr>
          <w:rFonts w:ascii="Arial" w:hAnsi="Arial" w:cs="Arial"/>
          <w:sz w:val="20"/>
        </w:rPr>
        <w:t xml:space="preserve"> provides</w:t>
      </w:r>
      <w:r w:rsidR="00411BA1">
        <w:rPr>
          <w:rFonts w:ascii="Arial" w:hAnsi="Arial" w:cs="Arial"/>
          <w:sz w:val="20"/>
        </w:rPr>
        <w:t xml:space="preserve">, </w:t>
      </w:r>
      <w:r w:rsidR="00411BA1" w:rsidRPr="00411BA1">
        <w:rPr>
          <w:rFonts w:ascii="Arial" w:hAnsi="Arial" w:cs="Arial"/>
          <w:i/>
          <w:sz w:val="20"/>
        </w:rPr>
        <w:t>inter alia</w:t>
      </w:r>
      <w:r>
        <w:rPr>
          <w:rFonts w:ascii="Arial" w:hAnsi="Arial" w:cs="Arial"/>
          <w:sz w:val="20"/>
        </w:rPr>
        <w:t>-</w:t>
      </w:r>
    </w:p>
    <w:p w14:paraId="20E6982B" w14:textId="77777777" w:rsidR="002563EE" w:rsidRDefault="00411BA1" w:rsidP="002563EE">
      <w:pPr>
        <w:ind w:left="924" w:right="567" w:hanging="357"/>
        <w:jc w:val="both"/>
        <w:rPr>
          <w:rFonts w:ascii="Arial" w:hAnsi="Arial" w:cs="Arial"/>
          <w:bCs/>
          <w:sz w:val="20"/>
        </w:rPr>
      </w:pPr>
      <w:r>
        <w:rPr>
          <w:rFonts w:ascii="Arial" w:hAnsi="Arial" w:cs="Arial"/>
          <w:bCs/>
          <w:sz w:val="20"/>
        </w:rPr>
        <w:t>“</w:t>
      </w:r>
      <w:r w:rsidR="002563EE">
        <w:rPr>
          <w:rFonts w:ascii="Arial" w:hAnsi="Arial" w:cs="Arial"/>
          <w:bCs/>
          <w:sz w:val="20"/>
        </w:rPr>
        <w:t>(1)</w:t>
      </w:r>
      <w:r w:rsidR="002563EE">
        <w:rPr>
          <w:rFonts w:ascii="Arial" w:hAnsi="Arial" w:cs="Arial"/>
          <w:bCs/>
          <w:sz w:val="20"/>
        </w:rPr>
        <w:tab/>
        <w:t>This Act applies to all proceedings in a Victorian court, including proceedings that-</w:t>
      </w:r>
    </w:p>
    <w:p w14:paraId="496865B7" w14:textId="77777777" w:rsidR="002563EE" w:rsidRDefault="002563EE" w:rsidP="00033D59">
      <w:pPr>
        <w:ind w:left="924" w:right="567" w:hanging="357"/>
        <w:jc w:val="both"/>
        <w:rPr>
          <w:rFonts w:ascii="Arial" w:hAnsi="Arial" w:cs="Arial"/>
          <w:bCs/>
          <w:sz w:val="20"/>
        </w:rPr>
      </w:pPr>
      <w:r>
        <w:rPr>
          <w:rFonts w:ascii="Arial" w:hAnsi="Arial" w:cs="Arial"/>
          <w:bCs/>
          <w:sz w:val="20"/>
        </w:rPr>
        <w:tab/>
        <w:t>(a)</w:t>
      </w:r>
      <w:r>
        <w:rPr>
          <w:rFonts w:ascii="Arial" w:hAnsi="Arial" w:cs="Arial"/>
          <w:bCs/>
          <w:sz w:val="20"/>
        </w:rPr>
        <w:tab/>
        <w:t>relate to bail; or</w:t>
      </w:r>
    </w:p>
    <w:p w14:paraId="4512EAE2" w14:textId="77777777" w:rsidR="002563EE" w:rsidRDefault="002563EE" w:rsidP="002563EE">
      <w:pPr>
        <w:ind w:left="924" w:right="567" w:hanging="357"/>
        <w:jc w:val="both"/>
        <w:rPr>
          <w:rFonts w:ascii="Arial" w:hAnsi="Arial" w:cs="Arial"/>
          <w:bCs/>
          <w:sz w:val="20"/>
        </w:rPr>
      </w:pPr>
      <w:r>
        <w:rPr>
          <w:rFonts w:ascii="Arial" w:hAnsi="Arial" w:cs="Arial"/>
          <w:bCs/>
          <w:sz w:val="20"/>
        </w:rPr>
        <w:tab/>
        <w:t>(b)</w:t>
      </w:r>
      <w:r>
        <w:rPr>
          <w:rFonts w:ascii="Arial" w:hAnsi="Arial" w:cs="Arial"/>
          <w:bCs/>
          <w:sz w:val="20"/>
        </w:rPr>
        <w:tab/>
        <w:t>are interlocutory proceedings or proceedings of a similar kind; or</w:t>
      </w:r>
    </w:p>
    <w:p w14:paraId="01C9ABEF" w14:textId="77777777" w:rsidR="002563EE" w:rsidRDefault="002563EE" w:rsidP="002563EE">
      <w:pPr>
        <w:ind w:left="924" w:right="567" w:hanging="357"/>
        <w:jc w:val="both"/>
        <w:rPr>
          <w:rFonts w:ascii="Arial" w:hAnsi="Arial" w:cs="Arial"/>
          <w:bCs/>
          <w:sz w:val="20"/>
        </w:rPr>
      </w:pPr>
      <w:r>
        <w:rPr>
          <w:rFonts w:ascii="Arial" w:hAnsi="Arial" w:cs="Arial"/>
          <w:bCs/>
          <w:sz w:val="20"/>
        </w:rPr>
        <w:tab/>
        <w:t>(c)</w:t>
      </w:r>
      <w:r>
        <w:rPr>
          <w:rFonts w:ascii="Arial" w:hAnsi="Arial" w:cs="Arial"/>
          <w:bCs/>
          <w:sz w:val="20"/>
        </w:rPr>
        <w:tab/>
        <w:t>are heard in chambers; or</w:t>
      </w:r>
    </w:p>
    <w:p w14:paraId="30D59C68" w14:textId="77777777" w:rsidR="002563EE" w:rsidRDefault="002563EE" w:rsidP="002563EE">
      <w:pPr>
        <w:ind w:left="924" w:right="567" w:hanging="357"/>
        <w:jc w:val="both"/>
        <w:rPr>
          <w:rFonts w:ascii="Arial" w:hAnsi="Arial" w:cs="Arial"/>
          <w:bCs/>
          <w:sz w:val="20"/>
        </w:rPr>
      </w:pPr>
      <w:r>
        <w:rPr>
          <w:rFonts w:ascii="Arial" w:hAnsi="Arial" w:cs="Arial"/>
          <w:bCs/>
          <w:sz w:val="20"/>
        </w:rPr>
        <w:tab/>
        <w:t>(d)</w:t>
      </w:r>
      <w:r>
        <w:rPr>
          <w:rFonts w:ascii="Arial" w:hAnsi="Arial" w:cs="Arial"/>
          <w:bCs/>
          <w:sz w:val="20"/>
        </w:rPr>
        <w:tab/>
        <w:t>subject to subsection (2) relate to sentencing.</w:t>
      </w:r>
    </w:p>
    <w:p w14:paraId="0DDE1E8C" w14:textId="77777777" w:rsidR="002563EE" w:rsidRDefault="002563EE" w:rsidP="002563EE">
      <w:pPr>
        <w:ind w:left="924" w:right="567" w:hanging="357"/>
        <w:jc w:val="both"/>
        <w:rPr>
          <w:rFonts w:ascii="Arial" w:hAnsi="Arial" w:cs="Arial"/>
          <w:bCs/>
          <w:sz w:val="20"/>
        </w:rPr>
      </w:pPr>
      <w:r>
        <w:rPr>
          <w:rFonts w:ascii="Arial" w:hAnsi="Arial" w:cs="Arial"/>
          <w:bCs/>
          <w:sz w:val="20"/>
        </w:rPr>
        <w:t>(2)</w:t>
      </w:r>
      <w:r>
        <w:rPr>
          <w:rFonts w:ascii="Arial" w:hAnsi="Arial" w:cs="Arial"/>
          <w:bCs/>
          <w:sz w:val="20"/>
        </w:rPr>
        <w:tab/>
        <w:t>If such a proceeding relates to sentencing-</w:t>
      </w:r>
    </w:p>
    <w:p w14:paraId="1D46A665" w14:textId="77777777" w:rsidR="002563EE" w:rsidRDefault="002563EE" w:rsidP="002563EE">
      <w:pPr>
        <w:ind w:left="1287" w:right="567" w:hanging="363"/>
        <w:jc w:val="both"/>
        <w:rPr>
          <w:rFonts w:ascii="Arial" w:hAnsi="Arial" w:cs="Arial"/>
          <w:bCs/>
          <w:sz w:val="20"/>
        </w:rPr>
      </w:pPr>
      <w:r>
        <w:rPr>
          <w:rFonts w:ascii="Arial" w:hAnsi="Arial" w:cs="Arial"/>
          <w:bCs/>
          <w:sz w:val="20"/>
        </w:rPr>
        <w:t>(a)</w:t>
      </w:r>
      <w:r>
        <w:rPr>
          <w:rFonts w:ascii="Arial" w:hAnsi="Arial" w:cs="Arial"/>
          <w:bCs/>
          <w:sz w:val="20"/>
        </w:rPr>
        <w:tab/>
        <w:t>this Act applies only if the court directs that the law of evidence applies in the proceeding; and</w:t>
      </w:r>
    </w:p>
    <w:p w14:paraId="3A6A39BF" w14:textId="77777777" w:rsidR="002563EE" w:rsidRDefault="002563EE" w:rsidP="002563EE">
      <w:pPr>
        <w:ind w:left="1287" w:right="567" w:hanging="363"/>
        <w:jc w:val="both"/>
        <w:rPr>
          <w:rFonts w:ascii="Arial" w:hAnsi="Arial" w:cs="Arial"/>
          <w:bCs/>
          <w:sz w:val="20"/>
        </w:rPr>
      </w:pPr>
      <w:r>
        <w:rPr>
          <w:rFonts w:ascii="Arial" w:hAnsi="Arial" w:cs="Arial"/>
          <w:bCs/>
          <w:sz w:val="20"/>
        </w:rPr>
        <w:t>(b)</w:t>
      </w:r>
      <w:r>
        <w:rPr>
          <w:rFonts w:ascii="Arial" w:hAnsi="Arial" w:cs="Arial"/>
          <w:bCs/>
          <w:sz w:val="20"/>
        </w:rPr>
        <w:tab/>
        <w:t>if the court specifies in the direction that the law of evidence applies only in relation to specified matters – the direction has effect accordingly.</w:t>
      </w:r>
      <w:r w:rsidR="00411BA1">
        <w:rPr>
          <w:rFonts w:ascii="Arial" w:hAnsi="Arial" w:cs="Arial"/>
          <w:bCs/>
          <w:sz w:val="20"/>
        </w:rPr>
        <w:t>”</w:t>
      </w:r>
    </w:p>
    <w:p w14:paraId="1836320D" w14:textId="77777777" w:rsidR="002563EE" w:rsidRDefault="002563EE" w:rsidP="002563EE">
      <w:pPr>
        <w:jc w:val="both"/>
        <w:rPr>
          <w:rFonts w:ascii="Arial" w:hAnsi="Arial" w:cs="Arial"/>
          <w:sz w:val="20"/>
        </w:rPr>
      </w:pPr>
    </w:p>
    <w:p w14:paraId="722AD225" w14:textId="77777777" w:rsidR="0014387F" w:rsidRDefault="002563EE">
      <w:pPr>
        <w:jc w:val="both"/>
        <w:rPr>
          <w:rFonts w:ascii="Arial" w:hAnsi="Arial" w:cs="Arial"/>
          <w:sz w:val="20"/>
        </w:rPr>
      </w:pPr>
      <w:r>
        <w:rPr>
          <w:rFonts w:ascii="Arial" w:hAnsi="Arial" w:cs="Arial"/>
          <w:sz w:val="20"/>
        </w:rPr>
        <w:t xml:space="preserve">However, s.8 of the </w:t>
      </w:r>
      <w:r w:rsidRPr="002563EE">
        <w:rPr>
          <w:rFonts w:ascii="Arial" w:hAnsi="Arial" w:cs="Arial"/>
          <w:sz w:val="20"/>
          <w:u w:val="single"/>
        </w:rPr>
        <w:t>Evidence Act 2008 (Vic)</w:t>
      </w:r>
      <w:r>
        <w:rPr>
          <w:rFonts w:ascii="Arial" w:hAnsi="Arial" w:cs="Arial"/>
          <w:sz w:val="20"/>
        </w:rPr>
        <w:t xml:space="preserve"> provides-</w:t>
      </w:r>
      <w:r w:rsidR="00411BA1">
        <w:rPr>
          <w:rFonts w:ascii="Arial" w:hAnsi="Arial" w:cs="Arial"/>
          <w:sz w:val="20"/>
        </w:rPr>
        <w:t xml:space="preserve"> “This Act does not affect the operation of the provisions of any other Act.”  Note 4 to s.4 states: “Provisions in other Victorian Acts which relieve courts from the obligation to apply the rules of evidence in certain proceedings are preserved by s.8 of this Act.  These include s.215 of the </w:t>
      </w:r>
      <w:r w:rsidR="00411BA1" w:rsidRPr="00411BA1">
        <w:rPr>
          <w:rFonts w:ascii="Arial" w:hAnsi="Arial" w:cs="Arial"/>
          <w:b/>
          <w:sz w:val="20"/>
        </w:rPr>
        <w:t>Children, Youth and Families Act 2005</w:t>
      </w:r>
      <w:r w:rsidR="00411BA1">
        <w:rPr>
          <w:rFonts w:ascii="Arial" w:hAnsi="Arial" w:cs="Arial"/>
          <w:sz w:val="20"/>
        </w:rPr>
        <w:t>.”</w:t>
      </w:r>
      <w:r w:rsidR="00E223F2">
        <w:rPr>
          <w:rFonts w:ascii="Arial" w:hAnsi="Arial" w:cs="Arial"/>
          <w:sz w:val="20"/>
        </w:rPr>
        <w:t xml:space="preserve">  It follows from all of this that the </w:t>
      </w:r>
      <w:r w:rsidR="00E223F2" w:rsidRPr="00E223F2">
        <w:rPr>
          <w:rFonts w:ascii="Arial" w:hAnsi="Arial" w:cs="Arial"/>
          <w:sz w:val="20"/>
          <w:u w:val="single"/>
        </w:rPr>
        <w:t>Evidence Act 2008</w:t>
      </w:r>
      <w:r w:rsidR="00E223F2">
        <w:rPr>
          <w:rFonts w:ascii="Arial" w:hAnsi="Arial" w:cs="Arial"/>
          <w:sz w:val="20"/>
        </w:rPr>
        <w:t xml:space="preserve"> does not alter the power of the Family Division of the Children’s Court to “inform itself on a matter in such manner as it thinks fit, despite any rules of evidence to the contrary”.</w:t>
      </w:r>
    </w:p>
    <w:p w14:paraId="6FCCC2D6" w14:textId="77777777" w:rsidR="00E223F2" w:rsidRDefault="00E223F2">
      <w:pPr>
        <w:jc w:val="both"/>
        <w:rPr>
          <w:rFonts w:ascii="Arial" w:hAnsi="Arial" w:cs="Arial"/>
          <w:sz w:val="16"/>
        </w:rPr>
      </w:pPr>
    </w:p>
    <w:p w14:paraId="1D5B6D14" w14:textId="77777777" w:rsidR="00061CF0" w:rsidRDefault="002A72C0">
      <w:pPr>
        <w:jc w:val="both"/>
        <w:rPr>
          <w:rFonts w:ascii="Arial" w:hAnsi="Arial" w:cs="Arial"/>
          <w:sz w:val="20"/>
        </w:rPr>
      </w:pPr>
      <w:r>
        <w:rPr>
          <w:rFonts w:ascii="Arial" w:hAnsi="Arial" w:cs="Arial"/>
          <w:sz w:val="20"/>
        </w:rPr>
        <w:t>T</w:t>
      </w:r>
      <w:r w:rsidR="00061CF0">
        <w:rPr>
          <w:rFonts w:ascii="Arial" w:hAnsi="Arial" w:cs="Arial"/>
          <w:sz w:val="20"/>
        </w:rPr>
        <w:t xml:space="preserve">he Less Adversarial Trial </w:t>
      </w:r>
      <w:r>
        <w:rPr>
          <w:rFonts w:ascii="Arial" w:hAnsi="Arial" w:cs="Arial"/>
          <w:sz w:val="20"/>
        </w:rPr>
        <w:t xml:space="preserve">[‘LAT’] approach currently in operation in the Family Court of </w:t>
      </w:r>
      <w:smartTag w:uri="urn:schemas-microsoft-com:office:smarttags" w:element="place">
        <w:smartTag w:uri="urn:schemas-microsoft-com:office:smarttags" w:element="country-region">
          <w:r>
            <w:rPr>
              <w:rFonts w:ascii="Arial" w:hAnsi="Arial" w:cs="Arial"/>
              <w:sz w:val="20"/>
            </w:rPr>
            <w:t>Australia</w:t>
          </w:r>
        </w:smartTag>
      </w:smartTag>
      <w:r>
        <w:rPr>
          <w:rFonts w:ascii="Arial" w:hAnsi="Arial" w:cs="Arial"/>
          <w:sz w:val="20"/>
        </w:rPr>
        <w:t xml:space="preserve"> has as one of its cornerstones the amendments introduced in 2006 as </w:t>
      </w:r>
      <w:r>
        <w:rPr>
          <w:rFonts w:ascii="Arial" w:hAnsi="Arial" w:cs="Arial"/>
          <w:iCs/>
          <w:sz w:val="20"/>
        </w:rPr>
        <w:t xml:space="preserve">Division 12A of Part VII of the </w:t>
      </w:r>
      <w:r w:rsidRPr="002A72C0">
        <w:rPr>
          <w:rFonts w:ascii="Arial" w:hAnsi="Arial" w:cs="Arial"/>
          <w:iCs/>
          <w:sz w:val="20"/>
          <w:u w:val="single"/>
        </w:rPr>
        <w:t>Family Law Act 1975 (</w:t>
      </w:r>
      <w:proofErr w:type="spellStart"/>
      <w:r w:rsidRPr="002A72C0">
        <w:rPr>
          <w:rFonts w:ascii="Arial" w:hAnsi="Arial" w:cs="Arial"/>
          <w:iCs/>
          <w:sz w:val="20"/>
          <w:u w:val="single"/>
        </w:rPr>
        <w:t>Cth</w:t>
      </w:r>
      <w:proofErr w:type="spellEnd"/>
      <w:r w:rsidRPr="002A72C0">
        <w:rPr>
          <w:rFonts w:ascii="Arial" w:hAnsi="Arial" w:cs="Arial"/>
          <w:iCs/>
          <w:sz w:val="20"/>
          <w:u w:val="single"/>
        </w:rPr>
        <w:t>)</w:t>
      </w:r>
      <w:r>
        <w:rPr>
          <w:rFonts w:ascii="Arial" w:hAnsi="Arial" w:cs="Arial"/>
          <w:iCs/>
          <w:sz w:val="20"/>
        </w:rPr>
        <w:t>.  One of these amendments is the insertion of s.69ZT which provides that in child-related proceedings:</w:t>
      </w:r>
    </w:p>
    <w:p w14:paraId="577449F1" w14:textId="77777777" w:rsidR="002A72C0" w:rsidRDefault="002A72C0">
      <w:pPr>
        <w:numPr>
          <w:ilvl w:val="0"/>
          <w:numId w:val="44"/>
        </w:numPr>
        <w:ind w:left="419" w:hanging="357"/>
        <w:jc w:val="both"/>
        <w:rPr>
          <w:rFonts w:ascii="Arial" w:hAnsi="Arial" w:cs="Arial"/>
          <w:sz w:val="20"/>
        </w:rPr>
      </w:pPr>
      <w:r>
        <w:rPr>
          <w:rFonts w:ascii="Arial" w:hAnsi="Arial" w:cs="Arial"/>
          <w:sz w:val="20"/>
        </w:rPr>
        <w:t>certain of the rules of evidence do not apply unless – in exceptional circumstances - the Court decides to the contrary; the</w:t>
      </w:r>
      <w:r w:rsidR="00D451AD">
        <w:rPr>
          <w:rFonts w:ascii="Arial" w:hAnsi="Arial" w:cs="Arial"/>
          <w:sz w:val="20"/>
        </w:rPr>
        <w:t xml:space="preserve"> </w:t>
      </w:r>
      <w:r w:rsidR="00E96907">
        <w:rPr>
          <w:rFonts w:ascii="Arial" w:hAnsi="Arial" w:cs="Arial"/>
          <w:sz w:val="20"/>
        </w:rPr>
        <w:t xml:space="preserve">generally </w:t>
      </w:r>
      <w:r w:rsidR="00D451AD">
        <w:rPr>
          <w:rFonts w:ascii="Arial" w:hAnsi="Arial" w:cs="Arial"/>
          <w:sz w:val="20"/>
        </w:rPr>
        <w:t>inapplicable rules</w:t>
      </w:r>
      <w:r w:rsidR="00E96907">
        <w:rPr>
          <w:rFonts w:ascii="Arial" w:hAnsi="Arial" w:cs="Arial"/>
          <w:sz w:val="20"/>
        </w:rPr>
        <w:t xml:space="preserve"> include the traditional procedures for</w:t>
      </w:r>
      <w:r>
        <w:rPr>
          <w:rFonts w:ascii="Arial" w:hAnsi="Arial" w:cs="Arial"/>
          <w:sz w:val="20"/>
        </w:rPr>
        <w:t xml:space="preserve"> giving </w:t>
      </w:r>
      <w:r w:rsidR="00E96907" w:rsidRPr="00E96907">
        <w:rPr>
          <w:rFonts w:ascii="Arial" w:hAnsi="Arial" w:cs="Arial"/>
          <w:i/>
          <w:sz w:val="20"/>
        </w:rPr>
        <w:t>viva voce</w:t>
      </w:r>
      <w:r w:rsidR="00E96907">
        <w:rPr>
          <w:rFonts w:ascii="Arial" w:hAnsi="Arial" w:cs="Arial"/>
          <w:sz w:val="20"/>
        </w:rPr>
        <w:t xml:space="preserve"> </w:t>
      </w:r>
      <w:r>
        <w:rPr>
          <w:rFonts w:ascii="Arial" w:hAnsi="Arial" w:cs="Arial"/>
          <w:sz w:val="20"/>
        </w:rPr>
        <w:t>evidence, rules dealing</w:t>
      </w:r>
      <w:r w:rsidR="00D451AD">
        <w:rPr>
          <w:rFonts w:ascii="Arial" w:hAnsi="Arial" w:cs="Arial"/>
          <w:sz w:val="20"/>
        </w:rPr>
        <w:t xml:space="preserve"> with documents and </w:t>
      </w:r>
      <w:r>
        <w:rPr>
          <w:rFonts w:ascii="Arial" w:hAnsi="Arial" w:cs="Arial"/>
          <w:sz w:val="20"/>
        </w:rPr>
        <w:t>hearsay evidence, opinion evidence, evidence of judgments and convictions, tendency and coincidence evidence and evidence of credibility [ss.69ZT(1) &amp; 69ZT(3)]; and</w:t>
      </w:r>
    </w:p>
    <w:p w14:paraId="23458CCD" w14:textId="77777777" w:rsidR="002A72C0" w:rsidRDefault="002A72C0">
      <w:pPr>
        <w:numPr>
          <w:ilvl w:val="0"/>
          <w:numId w:val="44"/>
        </w:numPr>
        <w:jc w:val="both"/>
        <w:rPr>
          <w:rFonts w:ascii="Arial" w:hAnsi="Arial" w:cs="Arial"/>
          <w:sz w:val="20"/>
        </w:rPr>
      </w:pPr>
      <w:r>
        <w:rPr>
          <w:rFonts w:ascii="Arial" w:hAnsi="Arial" w:cs="Arial"/>
          <w:sz w:val="20"/>
        </w:rPr>
        <w:t>the Court may give such weight (if any) as it thinks fit to evidence admitted either contrary to or in accord with the rules of evidence [ss.69ZT(2) &amp; 69ZT(4)].</w:t>
      </w:r>
    </w:p>
    <w:p w14:paraId="3E375DAE" w14:textId="77777777" w:rsidR="002A72C0" w:rsidRDefault="002A72C0">
      <w:pPr>
        <w:jc w:val="both"/>
        <w:rPr>
          <w:rFonts w:ascii="Arial" w:hAnsi="Arial" w:cs="Arial"/>
          <w:sz w:val="20"/>
        </w:rPr>
      </w:pPr>
    </w:p>
    <w:p w14:paraId="6D11A171" w14:textId="77777777" w:rsidR="00061CF0" w:rsidRDefault="002A72C0" w:rsidP="00BB1A34">
      <w:pPr>
        <w:jc w:val="both"/>
        <w:rPr>
          <w:rFonts w:ascii="Arial" w:hAnsi="Arial" w:cs="Arial"/>
          <w:sz w:val="20"/>
        </w:rPr>
      </w:pPr>
      <w:bookmarkStart w:id="1175" w:name="_Toc30654120"/>
      <w:bookmarkStart w:id="1176" w:name="_Toc30654471"/>
      <w:bookmarkStart w:id="1177" w:name="_Toc30655090"/>
      <w:bookmarkStart w:id="1178" w:name="_Toc30655347"/>
      <w:bookmarkStart w:id="1179" w:name="_Toc30657025"/>
      <w:bookmarkStart w:id="1180" w:name="_Toc30661774"/>
      <w:bookmarkStart w:id="1181" w:name="_Toc30666462"/>
      <w:bookmarkStart w:id="1182" w:name="_Toc30666692"/>
      <w:bookmarkStart w:id="1183" w:name="_Toc30667867"/>
      <w:bookmarkStart w:id="1184" w:name="_Toc30669245"/>
      <w:bookmarkStart w:id="1185" w:name="_Toc30671461"/>
      <w:bookmarkStart w:id="1186" w:name="_Toc30673988"/>
      <w:bookmarkStart w:id="1187" w:name="_Toc30691210"/>
      <w:bookmarkStart w:id="1188" w:name="_Toc30691583"/>
      <w:bookmarkStart w:id="1189" w:name="_Toc30691963"/>
      <w:bookmarkStart w:id="1190" w:name="_Toc30692722"/>
      <w:bookmarkStart w:id="1191" w:name="_Toc30693101"/>
      <w:bookmarkStart w:id="1192" w:name="_Toc30693479"/>
      <w:bookmarkStart w:id="1193" w:name="_Toc30693857"/>
      <w:bookmarkStart w:id="1194" w:name="_Toc30694238"/>
      <w:bookmarkStart w:id="1195" w:name="_Toc30698827"/>
      <w:bookmarkStart w:id="1196" w:name="_Toc30699205"/>
      <w:bookmarkStart w:id="1197" w:name="_Toc30699590"/>
      <w:bookmarkStart w:id="1198" w:name="_Toc30700745"/>
      <w:bookmarkStart w:id="1199" w:name="_Toc30701132"/>
      <w:bookmarkStart w:id="1200" w:name="_Toc30743741"/>
      <w:bookmarkStart w:id="1201" w:name="_Toc30754564"/>
      <w:bookmarkStart w:id="1202" w:name="_Toc30757004"/>
      <w:bookmarkStart w:id="1203" w:name="_Toc30757553"/>
      <w:bookmarkStart w:id="1204" w:name="_Toc30757953"/>
      <w:bookmarkStart w:id="1205" w:name="_Toc30762714"/>
      <w:bookmarkStart w:id="1206" w:name="_Toc30767368"/>
      <w:bookmarkStart w:id="1207" w:name="_Toc34823383"/>
      <w:r>
        <w:rPr>
          <w:rFonts w:ascii="Arial" w:hAnsi="Arial" w:cs="Arial"/>
          <w:sz w:val="20"/>
        </w:rPr>
        <w:t xml:space="preserve">The </w:t>
      </w:r>
      <w:r w:rsidRPr="002A72C0">
        <w:rPr>
          <w:rFonts w:ascii="Arial" w:hAnsi="Arial" w:cs="Arial"/>
          <w:sz w:val="20"/>
          <w:u w:val="single"/>
        </w:rPr>
        <w:t>Family Violence Protection Act 2008 (Vic)</w:t>
      </w:r>
      <w:r>
        <w:rPr>
          <w:rFonts w:ascii="Arial" w:hAnsi="Arial" w:cs="Arial"/>
          <w:sz w:val="20"/>
        </w:rPr>
        <w:t xml:space="preserve"> </w:t>
      </w:r>
      <w:r w:rsidR="009F7EDF">
        <w:rPr>
          <w:rFonts w:ascii="Arial" w:hAnsi="Arial" w:cs="Arial"/>
          <w:sz w:val="20"/>
        </w:rPr>
        <w:t>came</w:t>
      </w:r>
      <w:r>
        <w:rPr>
          <w:rFonts w:ascii="Arial" w:hAnsi="Arial" w:cs="Arial"/>
          <w:sz w:val="20"/>
        </w:rPr>
        <w:t xml:space="preserve"> into operation in </w:t>
      </w:r>
      <w:r w:rsidR="00D451AD">
        <w:rPr>
          <w:rFonts w:ascii="Arial" w:hAnsi="Arial" w:cs="Arial"/>
          <w:sz w:val="20"/>
        </w:rPr>
        <w:t>both the Magistrates’ Co</w:t>
      </w:r>
      <w:r w:rsidR="009F7EDF">
        <w:rPr>
          <w:rFonts w:ascii="Arial" w:hAnsi="Arial" w:cs="Arial"/>
          <w:sz w:val="20"/>
        </w:rPr>
        <w:t>urt and the Children’s Court on 08/12/</w:t>
      </w:r>
      <w:r>
        <w:rPr>
          <w:rFonts w:ascii="Arial" w:hAnsi="Arial" w:cs="Arial"/>
          <w:sz w:val="20"/>
        </w:rPr>
        <w:t xml:space="preserve">2008.  Section 65 of that Act provides </w:t>
      </w:r>
      <w:r w:rsidR="00A07795">
        <w:rPr>
          <w:rFonts w:ascii="Arial" w:hAnsi="Arial" w:cs="Arial"/>
          <w:sz w:val="20"/>
        </w:rPr>
        <w:t>a broad but qualified dispensation from the rules of evidence:</w:t>
      </w:r>
    </w:p>
    <w:p w14:paraId="586B65F5" w14:textId="77777777" w:rsidR="00A07795" w:rsidRDefault="00A07795" w:rsidP="00A07795">
      <w:pPr>
        <w:tabs>
          <w:tab w:val="left" w:pos="363"/>
          <w:tab w:val="left" w:pos="1083"/>
        </w:tabs>
        <w:spacing w:before="60"/>
        <w:ind w:left="930" w:right="567" w:hanging="363"/>
        <w:jc w:val="both"/>
        <w:rPr>
          <w:rFonts w:ascii="Arial" w:hAnsi="Arial" w:cs="Arial"/>
          <w:bCs/>
          <w:sz w:val="20"/>
        </w:rPr>
      </w:pPr>
      <w:r>
        <w:rPr>
          <w:rFonts w:ascii="Arial" w:hAnsi="Arial" w:cs="Arial"/>
          <w:bCs/>
          <w:sz w:val="20"/>
        </w:rPr>
        <w:t>“(1)</w:t>
      </w:r>
      <w:r>
        <w:rPr>
          <w:rFonts w:ascii="Arial" w:hAnsi="Arial" w:cs="Arial"/>
          <w:bCs/>
          <w:sz w:val="20"/>
        </w:rPr>
        <w:tab/>
        <w:t>Subje</w:t>
      </w:r>
      <w:r w:rsidR="00D451AD">
        <w:rPr>
          <w:rFonts w:ascii="Arial" w:hAnsi="Arial" w:cs="Arial"/>
          <w:bCs/>
          <w:sz w:val="20"/>
        </w:rPr>
        <w:t>ct to this Act, in a proceeding</w:t>
      </w:r>
      <w:r>
        <w:rPr>
          <w:rFonts w:ascii="Arial" w:hAnsi="Arial" w:cs="Arial"/>
          <w:bCs/>
          <w:sz w:val="20"/>
        </w:rPr>
        <w:t xml:space="preserve"> for a family violence intervention order the court may inform itself in any way it thinks fit, despite any rules of evidence to the contrary…</w:t>
      </w:r>
    </w:p>
    <w:p w14:paraId="2B33563A" w14:textId="77777777" w:rsidR="00A07795" w:rsidRDefault="00A07795" w:rsidP="00A07795">
      <w:pPr>
        <w:tabs>
          <w:tab w:val="left" w:pos="363"/>
          <w:tab w:val="left" w:pos="1083"/>
        </w:tabs>
        <w:spacing w:before="60"/>
        <w:ind w:left="930" w:right="567" w:hanging="363"/>
        <w:jc w:val="both"/>
        <w:rPr>
          <w:rFonts w:ascii="Arial" w:hAnsi="Arial" w:cs="Arial"/>
          <w:bCs/>
          <w:sz w:val="20"/>
        </w:rPr>
      </w:pPr>
      <w:r>
        <w:rPr>
          <w:rFonts w:ascii="Arial" w:hAnsi="Arial" w:cs="Arial"/>
          <w:bCs/>
          <w:sz w:val="20"/>
        </w:rPr>
        <w:t>(3)</w:t>
      </w:r>
      <w:r>
        <w:rPr>
          <w:rFonts w:ascii="Arial" w:hAnsi="Arial" w:cs="Arial"/>
          <w:bCs/>
          <w:sz w:val="20"/>
        </w:rPr>
        <w:tab/>
        <w:t xml:space="preserve">The </w:t>
      </w:r>
      <w:r w:rsidR="00D451AD">
        <w:rPr>
          <w:rFonts w:ascii="Arial" w:hAnsi="Arial" w:cs="Arial"/>
          <w:bCs/>
          <w:sz w:val="20"/>
        </w:rPr>
        <w:t>c</w:t>
      </w:r>
      <w:r>
        <w:rPr>
          <w:rFonts w:ascii="Arial" w:hAnsi="Arial" w:cs="Arial"/>
          <w:bCs/>
          <w:sz w:val="20"/>
        </w:rPr>
        <w:t xml:space="preserve">ourt may refuse to admit, or may limit the use to be made of, evidence if the </w:t>
      </w:r>
      <w:r w:rsidR="00D451AD">
        <w:rPr>
          <w:rFonts w:ascii="Arial" w:hAnsi="Arial" w:cs="Arial"/>
          <w:bCs/>
          <w:sz w:val="20"/>
        </w:rPr>
        <w:t>court is satisfied-</w:t>
      </w:r>
    </w:p>
    <w:p w14:paraId="6B7FA9F6" w14:textId="77777777" w:rsidR="00A07795" w:rsidRDefault="00A07795" w:rsidP="00033D59">
      <w:pPr>
        <w:tabs>
          <w:tab w:val="left" w:pos="284"/>
        </w:tabs>
        <w:ind w:left="1650" w:right="567" w:hanging="720"/>
        <w:jc w:val="both"/>
        <w:rPr>
          <w:rFonts w:ascii="Arial" w:hAnsi="Arial" w:cs="Arial"/>
          <w:sz w:val="20"/>
        </w:rPr>
      </w:pPr>
      <w:r>
        <w:rPr>
          <w:rFonts w:ascii="Arial" w:hAnsi="Arial" w:cs="Arial"/>
          <w:sz w:val="20"/>
        </w:rPr>
        <w:t>(a)   it is just and equitable to do so; or</w:t>
      </w:r>
    </w:p>
    <w:p w14:paraId="1BA839BB" w14:textId="77777777" w:rsidR="00A07795" w:rsidRDefault="00A07795" w:rsidP="00A07795">
      <w:pPr>
        <w:tabs>
          <w:tab w:val="left" w:pos="363"/>
          <w:tab w:val="left" w:pos="1083"/>
        </w:tabs>
        <w:ind w:left="1293" w:right="567" w:hanging="363"/>
        <w:jc w:val="both"/>
        <w:rPr>
          <w:rFonts w:ascii="Arial" w:hAnsi="Arial" w:cs="Arial"/>
          <w:sz w:val="20"/>
        </w:rPr>
      </w:pPr>
      <w:r>
        <w:rPr>
          <w:rFonts w:ascii="Arial" w:hAnsi="Arial" w:cs="Arial"/>
          <w:sz w:val="20"/>
        </w:rPr>
        <w:t>(b)  the probative value of the evidence is substantially outweighed by the danger that the evidence may be unfairly prejudicial to a party or misleading or confusing.”</w:t>
      </w:r>
    </w:p>
    <w:p w14:paraId="1FBB7C0C" w14:textId="77777777" w:rsidR="00A07795" w:rsidRDefault="00A07795" w:rsidP="00A07795">
      <w:pPr>
        <w:jc w:val="both"/>
        <w:rPr>
          <w:rFonts w:ascii="Arial" w:hAnsi="Arial" w:cs="Arial"/>
          <w:sz w:val="20"/>
        </w:rPr>
      </w:pPr>
    </w:p>
    <w:p w14:paraId="7692AC47" w14:textId="77777777" w:rsidR="004E7B22" w:rsidRDefault="004E7B22" w:rsidP="00A07795">
      <w:pPr>
        <w:jc w:val="both"/>
        <w:rPr>
          <w:rFonts w:ascii="Arial" w:hAnsi="Arial" w:cs="Arial"/>
          <w:bCs/>
          <w:sz w:val="20"/>
        </w:rPr>
      </w:pPr>
      <w:r>
        <w:rPr>
          <w:rFonts w:ascii="Arial" w:hAnsi="Arial" w:cs="Arial"/>
          <w:bCs/>
          <w:sz w:val="20"/>
        </w:rPr>
        <w:t xml:space="preserve">See also s.47 of the </w:t>
      </w:r>
      <w:r w:rsidRPr="004E7B22">
        <w:rPr>
          <w:rFonts w:ascii="Arial" w:hAnsi="Arial" w:cs="Arial"/>
          <w:bCs/>
          <w:sz w:val="20"/>
          <w:u w:val="single"/>
        </w:rPr>
        <w:t>Personal Safety Intervention Orders Act 2010 (Vic)</w:t>
      </w:r>
      <w:r>
        <w:rPr>
          <w:rFonts w:ascii="Arial" w:hAnsi="Arial" w:cs="Arial"/>
          <w:bCs/>
          <w:sz w:val="20"/>
        </w:rPr>
        <w:t xml:space="preserve"> to like effect.</w:t>
      </w:r>
    </w:p>
    <w:p w14:paraId="73E80A6A" w14:textId="77777777" w:rsidR="004E7B22" w:rsidRDefault="004E7B22" w:rsidP="00A07795">
      <w:pPr>
        <w:jc w:val="both"/>
        <w:rPr>
          <w:rFonts w:ascii="Arial" w:hAnsi="Arial" w:cs="Arial"/>
          <w:bCs/>
          <w:sz w:val="20"/>
        </w:rPr>
      </w:pPr>
    </w:p>
    <w:p w14:paraId="27E470A2" w14:textId="77777777" w:rsidR="00D741BD" w:rsidRPr="00A07795" w:rsidRDefault="00A07795" w:rsidP="00A07795">
      <w:pPr>
        <w:jc w:val="both"/>
        <w:rPr>
          <w:rFonts w:ascii="Arial" w:hAnsi="Arial" w:cs="Arial"/>
          <w:sz w:val="20"/>
        </w:rPr>
      </w:pPr>
      <w:r>
        <w:rPr>
          <w:rFonts w:ascii="Arial" w:hAnsi="Arial" w:cs="Arial"/>
          <w:bCs/>
          <w:sz w:val="20"/>
        </w:rPr>
        <w:t xml:space="preserve">In </w:t>
      </w:r>
      <w:r w:rsidRPr="00A07795">
        <w:rPr>
          <w:rFonts w:ascii="Arial" w:hAnsi="Arial" w:cs="Arial"/>
          <w:bCs/>
          <w:i/>
          <w:sz w:val="20"/>
        </w:rPr>
        <w:t>H v H</w:t>
      </w:r>
      <w:r>
        <w:rPr>
          <w:rFonts w:ascii="Arial" w:hAnsi="Arial" w:cs="Arial"/>
          <w:bCs/>
          <w:sz w:val="20"/>
        </w:rPr>
        <w:t xml:space="preserve"> [2008] FMCAfam 884 the Federal Magistrates’ Court held that where family violence is a serious issue in proceedings under the </w:t>
      </w:r>
      <w:r w:rsidRPr="002A72C0">
        <w:rPr>
          <w:rFonts w:ascii="Arial" w:hAnsi="Arial" w:cs="Arial"/>
          <w:iCs/>
          <w:sz w:val="20"/>
          <w:u w:val="single"/>
        </w:rPr>
        <w:t>Family Law Act 1975 (</w:t>
      </w:r>
      <w:proofErr w:type="spellStart"/>
      <w:r w:rsidRPr="002A72C0">
        <w:rPr>
          <w:rFonts w:ascii="Arial" w:hAnsi="Arial" w:cs="Arial"/>
          <w:iCs/>
          <w:sz w:val="20"/>
          <w:u w:val="single"/>
        </w:rPr>
        <w:t>Cth</w:t>
      </w:r>
      <w:proofErr w:type="spellEnd"/>
      <w:r w:rsidRPr="002A72C0">
        <w:rPr>
          <w:rFonts w:ascii="Arial" w:hAnsi="Arial" w:cs="Arial"/>
          <w:iCs/>
          <w:sz w:val="20"/>
          <w:u w:val="single"/>
        </w:rPr>
        <w:t>)</w:t>
      </w:r>
      <w:r w:rsidRPr="00A07795">
        <w:rPr>
          <w:rFonts w:ascii="Arial" w:hAnsi="Arial" w:cs="Arial"/>
          <w:iCs/>
          <w:sz w:val="20"/>
        </w:rPr>
        <w:t xml:space="preserve"> “</w:t>
      </w:r>
      <w:r>
        <w:rPr>
          <w:rFonts w:ascii="Arial" w:hAnsi="Arial" w:cs="Arial"/>
          <w:iCs/>
          <w:sz w:val="20"/>
        </w:rPr>
        <w:t>the Court should be careful in admitting into evidence…only that evidence which each of the parties has had an appropriate opportunity to test”.</w:t>
      </w:r>
    </w:p>
    <w:p w14:paraId="01C1AE87" w14:textId="77777777" w:rsidR="00E04070" w:rsidRPr="00785E1A" w:rsidRDefault="00E04070" w:rsidP="00BB1A34">
      <w:pPr>
        <w:jc w:val="both"/>
        <w:rPr>
          <w:rFonts w:ascii="Arial" w:hAnsi="Arial" w:cs="Arial"/>
          <w:color w:val="000000"/>
          <w:sz w:val="20"/>
        </w:rPr>
      </w:pPr>
    </w:p>
    <w:p w14:paraId="7E5122F1" w14:textId="3A949E5D" w:rsidR="007D2F69" w:rsidRPr="003D5DFA" w:rsidRDefault="00C75CA9" w:rsidP="007D2F69">
      <w:pPr>
        <w:pStyle w:val="Heading3"/>
        <w:keepNext/>
        <w:keepLines/>
        <w:spacing w:after="120" w:line="240" w:lineRule="auto"/>
        <w:rPr>
          <w:rFonts w:ascii="Arial" w:hAnsi="Arial" w:cs="Arial"/>
          <w:b/>
          <w:bCs/>
          <w:color w:val="000000"/>
          <w:sz w:val="20"/>
        </w:rPr>
      </w:pPr>
      <w:bookmarkStart w:id="1208" w:name="_4.8.3_Impact_of"/>
      <w:bookmarkStart w:id="1209" w:name="B483"/>
      <w:bookmarkEnd w:id="1208"/>
      <w:bookmarkEnd w:id="1209"/>
      <w:r w:rsidRPr="00785E1A">
        <w:rPr>
          <w:rFonts w:ascii="Arial" w:hAnsi="Arial" w:cs="Arial"/>
          <w:b/>
          <w:bCs/>
          <w:color w:val="000000"/>
          <w:sz w:val="20"/>
        </w:rPr>
        <w:t>4.8.</w:t>
      </w:r>
      <w:r w:rsidR="0026104F">
        <w:rPr>
          <w:rFonts w:ascii="Arial" w:hAnsi="Arial" w:cs="Arial"/>
          <w:b/>
          <w:bCs/>
          <w:color w:val="000000"/>
          <w:sz w:val="20"/>
        </w:rPr>
        <w:t>4</w:t>
      </w:r>
      <w:r w:rsidRPr="00785E1A">
        <w:rPr>
          <w:rFonts w:ascii="Arial" w:hAnsi="Arial" w:cs="Arial"/>
          <w:b/>
          <w:bCs/>
          <w:color w:val="000000"/>
          <w:sz w:val="20"/>
        </w:rPr>
        <w:tab/>
        <w:t>Impact of the “best interests” principle on the Court’s procedure</w:t>
      </w:r>
    </w:p>
    <w:p w14:paraId="09B676B6" w14:textId="77777777" w:rsidR="00192251" w:rsidRDefault="00192251" w:rsidP="00192251">
      <w:pPr>
        <w:jc w:val="both"/>
        <w:rPr>
          <w:rFonts w:ascii="Arial" w:hAnsi="Arial" w:cs="Arial"/>
          <w:color w:val="000000"/>
          <w:sz w:val="20"/>
        </w:rPr>
      </w:pPr>
      <w:r w:rsidRPr="00785E1A">
        <w:rPr>
          <w:rFonts w:ascii="Arial" w:hAnsi="Arial" w:cs="Arial"/>
          <w:bCs/>
          <w:i/>
          <w:color w:val="000000"/>
          <w:sz w:val="20"/>
        </w:rPr>
        <w:t>DOHS v Sanding</w:t>
      </w:r>
      <w:r w:rsidRPr="00785E1A">
        <w:rPr>
          <w:rFonts w:ascii="Arial" w:hAnsi="Arial" w:cs="Arial"/>
          <w:bCs/>
          <w:color w:val="000000"/>
          <w:sz w:val="20"/>
        </w:rPr>
        <w:t xml:space="preserve"> [2011] VSC 42</w:t>
      </w:r>
      <w:r>
        <w:rPr>
          <w:rFonts w:ascii="Arial" w:hAnsi="Arial" w:cs="Arial"/>
          <w:bCs/>
          <w:color w:val="000000"/>
          <w:sz w:val="20"/>
        </w:rPr>
        <w:t>; (2011) 36 VR 221</w:t>
      </w:r>
      <w:r w:rsidRPr="00785E1A">
        <w:rPr>
          <w:rFonts w:ascii="Arial" w:hAnsi="Arial" w:cs="Arial"/>
          <w:bCs/>
          <w:color w:val="000000"/>
          <w:sz w:val="20"/>
        </w:rPr>
        <w:t xml:space="preserve"> is in many ways a watershed Supreme Court decision on the relationship between the “best interests” principle, the court’s procedural discretion and the rules of natural justice</w:t>
      </w:r>
      <w:r>
        <w:rPr>
          <w:rFonts w:ascii="Arial" w:hAnsi="Arial" w:cs="Arial"/>
          <w:bCs/>
          <w:color w:val="000000"/>
          <w:sz w:val="20"/>
        </w:rPr>
        <w:t>/procedural fairness</w:t>
      </w:r>
      <w:r w:rsidRPr="00785E1A">
        <w:rPr>
          <w:rFonts w:ascii="Arial" w:hAnsi="Arial" w:cs="Arial"/>
          <w:bCs/>
          <w:color w:val="000000"/>
          <w:sz w:val="20"/>
        </w:rPr>
        <w:t xml:space="preserve">.  In that case </w:t>
      </w:r>
      <w:r w:rsidRPr="00785E1A">
        <w:rPr>
          <w:rFonts w:ascii="Arial" w:hAnsi="Arial" w:cs="Arial"/>
          <w:color w:val="000000"/>
          <w:sz w:val="20"/>
        </w:rPr>
        <w:t xml:space="preserve">four Aboriginal children aged 9, 7, 4 &amp; 2 had been residing in the care of their maternal grandmother under custody to Secretary orders.  At [279] Bell J described “the real risk to the wellbeing of the children” as “the drug-taking activity of their mother and her disturbance of the home of the grandmother in which the family was living”.  Nine weeks after the custody to Secretary orders were made by consent, the Department removed the children from the care of their grandmother and placed them separately in out of home care with non-Aboriginal families.  No family was available to take the four children together and no Aboriginal family was available to take any of them.  Within a week of their separation, the behaviour of the two oldest children substantially regressed.  The mother made applications to revoke each of the custody to Secretary orders on the basis that the children would live with her mother and that she would not live in the home.  A Children’s Court magistrate conducted a “submissions contest” in which he obtained information, but not </w:t>
      </w:r>
      <w:r w:rsidRPr="00365FFA">
        <w:rPr>
          <w:rFonts w:ascii="Arial" w:hAnsi="Arial" w:cs="Arial"/>
          <w:i/>
          <w:iCs/>
          <w:color w:val="000000"/>
          <w:sz w:val="20"/>
        </w:rPr>
        <w:t>viva voce</w:t>
      </w:r>
      <w:r w:rsidRPr="00785E1A">
        <w:rPr>
          <w:rFonts w:ascii="Arial" w:hAnsi="Arial" w:cs="Arial"/>
          <w:color w:val="000000"/>
          <w:sz w:val="20"/>
        </w:rPr>
        <w:t xml:space="preserve"> evidence, from </w:t>
      </w:r>
      <w:r>
        <w:rPr>
          <w:rFonts w:ascii="Arial" w:hAnsi="Arial" w:cs="Arial"/>
          <w:color w:val="000000"/>
          <w:sz w:val="20"/>
        </w:rPr>
        <w:t>DOHS’</w:t>
      </w:r>
      <w:r w:rsidRPr="00785E1A">
        <w:rPr>
          <w:rFonts w:ascii="Arial" w:hAnsi="Arial" w:cs="Arial"/>
          <w:color w:val="000000"/>
          <w:sz w:val="20"/>
        </w:rPr>
        <w:t xml:space="preserve"> reports and the legal representatives of </w:t>
      </w:r>
      <w:r>
        <w:rPr>
          <w:rFonts w:ascii="Arial" w:hAnsi="Arial" w:cs="Arial"/>
          <w:color w:val="000000"/>
          <w:sz w:val="20"/>
        </w:rPr>
        <w:t>DOHS</w:t>
      </w:r>
      <w:r w:rsidRPr="00785E1A">
        <w:rPr>
          <w:rFonts w:ascii="Arial" w:hAnsi="Arial" w:cs="Arial"/>
          <w:color w:val="000000"/>
          <w:sz w:val="20"/>
        </w:rPr>
        <w:t xml:space="preserve">, the grandmother and the mother.  He then revoked the custody to Secretary orders and placed the children on interim accommodation orders in the grandmother’s care with various conditions.  The Department appealed, submitting that the </w:t>
      </w:r>
      <w:r w:rsidRPr="00785E1A">
        <w:rPr>
          <w:rFonts w:ascii="Arial" w:hAnsi="Arial" w:cs="Arial"/>
          <w:color w:val="000000"/>
          <w:sz w:val="20"/>
        </w:rPr>
        <w:lastRenderedPageBreak/>
        <w:t xml:space="preserve">magistrate should have conducted a formal hearing at which at least some formal </w:t>
      </w:r>
      <w:r w:rsidRPr="00365FFA">
        <w:rPr>
          <w:rFonts w:ascii="Arial" w:hAnsi="Arial" w:cs="Arial"/>
          <w:i/>
          <w:iCs/>
          <w:color w:val="000000"/>
          <w:sz w:val="20"/>
        </w:rPr>
        <w:t>viva voce</w:t>
      </w:r>
      <w:r>
        <w:rPr>
          <w:rFonts w:ascii="Arial" w:hAnsi="Arial" w:cs="Arial"/>
          <w:color w:val="000000"/>
          <w:sz w:val="20"/>
        </w:rPr>
        <w:t xml:space="preserve"> </w:t>
      </w:r>
      <w:r w:rsidRPr="00785E1A">
        <w:rPr>
          <w:rFonts w:ascii="Arial" w:hAnsi="Arial" w:cs="Arial"/>
          <w:color w:val="000000"/>
          <w:sz w:val="20"/>
        </w:rPr>
        <w:t>evidence was taken.  The appeal was dismissed.</w:t>
      </w:r>
      <w:r>
        <w:rPr>
          <w:rFonts w:ascii="Arial" w:hAnsi="Arial" w:cs="Arial"/>
          <w:color w:val="000000"/>
          <w:sz w:val="20"/>
        </w:rPr>
        <w:t xml:space="preserve">  </w:t>
      </w:r>
    </w:p>
    <w:p w14:paraId="37F4D199" w14:textId="77777777" w:rsidR="00192251" w:rsidRPr="00785E1A" w:rsidRDefault="00192251" w:rsidP="00192251">
      <w:pPr>
        <w:jc w:val="both"/>
        <w:rPr>
          <w:rFonts w:ascii="Arial" w:hAnsi="Arial" w:cs="Arial"/>
          <w:caps/>
          <w:color w:val="000000"/>
          <w:sz w:val="20"/>
        </w:rPr>
      </w:pPr>
    </w:p>
    <w:p w14:paraId="4619BE3D" w14:textId="1C8ADD38" w:rsidR="00192251" w:rsidRDefault="00192251" w:rsidP="00192251">
      <w:pPr>
        <w:jc w:val="both"/>
        <w:rPr>
          <w:rFonts w:ascii="Arial" w:hAnsi="Arial" w:cs="Arial"/>
          <w:color w:val="000000"/>
          <w:sz w:val="20"/>
        </w:rPr>
      </w:pPr>
      <w:r w:rsidRPr="00785E1A">
        <w:rPr>
          <w:rFonts w:ascii="Arial" w:hAnsi="Arial" w:cs="Arial"/>
          <w:color w:val="000000"/>
          <w:sz w:val="20"/>
        </w:rPr>
        <w:t xml:space="preserve">This was the first Supreme Court endorsement of which the writer is aware of the approval of a “submissions contest” procedure in a case involving anything other than an </w:t>
      </w:r>
      <w:r w:rsidR="003F74A9">
        <w:rPr>
          <w:rFonts w:ascii="Arial" w:hAnsi="Arial" w:cs="Arial"/>
          <w:color w:val="000000"/>
          <w:sz w:val="20"/>
        </w:rPr>
        <w:t>interim</w:t>
      </w:r>
      <w:r w:rsidRPr="00785E1A">
        <w:rPr>
          <w:rFonts w:ascii="Arial" w:hAnsi="Arial" w:cs="Arial"/>
          <w:color w:val="000000"/>
          <w:sz w:val="20"/>
        </w:rPr>
        <w:t xml:space="preserve"> hearing on a protection application by apprehension.  In the writer’s view it extends the procedure approved by the Supreme Court in cases such as </w:t>
      </w:r>
      <w:r w:rsidRPr="00785E1A">
        <w:rPr>
          <w:rFonts w:ascii="Arial" w:hAnsi="Arial" w:cs="Arial"/>
          <w:i/>
          <w:iCs/>
          <w:color w:val="000000"/>
          <w:sz w:val="20"/>
        </w:rPr>
        <w:t>G v H [No 2]</w:t>
      </w:r>
      <w:r w:rsidRPr="00785E1A">
        <w:rPr>
          <w:rFonts w:ascii="Arial" w:hAnsi="Arial" w:cs="Arial"/>
          <w:color w:val="000000"/>
          <w:sz w:val="20"/>
        </w:rPr>
        <w:t xml:space="preserve"> [Supreme Court of Victoria-Beach J, unreported, 10/08/1994], </w:t>
      </w:r>
      <w:r w:rsidRPr="00785E1A">
        <w:rPr>
          <w:rFonts w:ascii="Arial" w:hAnsi="Arial" w:cs="Arial"/>
          <w:i/>
          <w:iCs/>
          <w:color w:val="000000"/>
          <w:sz w:val="20"/>
        </w:rPr>
        <w:t>The Secretary DOHS v R &amp; Anor</w:t>
      </w:r>
      <w:r w:rsidRPr="00785E1A">
        <w:rPr>
          <w:rFonts w:ascii="Arial" w:hAnsi="Arial" w:cs="Arial"/>
          <w:color w:val="000000"/>
          <w:sz w:val="20"/>
        </w:rPr>
        <w:t xml:space="preserve"> [2003] VSC 172 at [11] per Ashley J and </w:t>
      </w:r>
      <w:r w:rsidRPr="00785E1A">
        <w:rPr>
          <w:rFonts w:ascii="Arial" w:hAnsi="Arial" w:cs="Arial"/>
          <w:i/>
          <w:iCs/>
          <w:color w:val="000000"/>
          <w:sz w:val="20"/>
        </w:rPr>
        <w:t>P v RM &amp; Ors</w:t>
      </w:r>
      <w:r w:rsidRPr="00785E1A">
        <w:rPr>
          <w:rFonts w:ascii="Arial" w:hAnsi="Arial" w:cs="Arial"/>
          <w:color w:val="000000"/>
          <w:sz w:val="20"/>
        </w:rPr>
        <w:t xml:space="preserve"> [2004] VSC 14 per Gillard J.</w:t>
      </w:r>
    </w:p>
    <w:p w14:paraId="64A3F3F6" w14:textId="77777777" w:rsidR="00192251" w:rsidRDefault="00192251" w:rsidP="00192251">
      <w:pPr>
        <w:jc w:val="both"/>
        <w:rPr>
          <w:rFonts w:ascii="Arial" w:hAnsi="Arial" w:cs="Arial"/>
          <w:color w:val="000000"/>
          <w:sz w:val="20"/>
        </w:rPr>
      </w:pPr>
    </w:p>
    <w:p w14:paraId="00D3215A" w14:textId="77777777" w:rsidR="00192251" w:rsidRDefault="00192251" w:rsidP="00192251">
      <w:pPr>
        <w:jc w:val="both"/>
        <w:rPr>
          <w:rFonts w:ascii="Arial" w:hAnsi="Arial" w:cs="Arial"/>
          <w:bCs/>
          <w:color w:val="000000"/>
          <w:sz w:val="20"/>
        </w:rPr>
      </w:pPr>
      <w:r w:rsidRPr="00785E1A">
        <w:rPr>
          <w:rFonts w:ascii="Arial" w:hAnsi="Arial" w:cs="Arial"/>
          <w:bCs/>
          <w:color w:val="000000"/>
          <w:sz w:val="20"/>
        </w:rPr>
        <w:t>In the course of his extensive judgment</w:t>
      </w:r>
      <w:r>
        <w:rPr>
          <w:rFonts w:ascii="Arial" w:hAnsi="Arial" w:cs="Arial"/>
          <w:bCs/>
          <w:color w:val="000000"/>
          <w:sz w:val="20"/>
        </w:rPr>
        <w:t xml:space="preserve">, Bell J discussed the impact of the best interests of the child on the court’s procedural discretion, saying </w:t>
      </w:r>
      <w:r w:rsidRPr="00A24DDE">
        <w:rPr>
          <w:rFonts w:ascii="Arial" w:hAnsi="Arial" w:cs="Arial"/>
          <w:bCs/>
          <w:i/>
          <w:iCs/>
          <w:color w:val="000000"/>
          <w:sz w:val="20"/>
        </w:rPr>
        <w:t>inter alia</w:t>
      </w:r>
      <w:r>
        <w:rPr>
          <w:rFonts w:ascii="Arial" w:hAnsi="Arial" w:cs="Arial"/>
          <w:bCs/>
          <w:color w:val="000000"/>
          <w:sz w:val="20"/>
        </w:rPr>
        <w:t xml:space="preserve"> at [129]-[130], [135]-[137] &amp; [146]-[147]:</w:t>
      </w:r>
    </w:p>
    <w:p w14:paraId="3EB32C46" w14:textId="77777777" w:rsidR="00192251" w:rsidRDefault="00192251" w:rsidP="00192251">
      <w:pPr>
        <w:spacing w:before="60"/>
        <w:ind w:left="567" w:right="567"/>
        <w:jc w:val="both"/>
        <w:rPr>
          <w:rFonts w:ascii="Arial" w:hAnsi="Arial" w:cs="Arial"/>
          <w:sz w:val="20"/>
          <w:szCs w:val="20"/>
          <w:lang w:eastAsia="en-AU"/>
        </w:rPr>
      </w:pPr>
      <w:r w:rsidRPr="00365FFA">
        <w:rPr>
          <w:rFonts w:ascii="Arial" w:hAnsi="Arial" w:cs="Arial"/>
          <w:sz w:val="20"/>
          <w:szCs w:val="20"/>
          <w:lang w:eastAsia="en-AU"/>
        </w:rPr>
        <w:t xml:space="preserve">[129] “By the established principles, any statutory exclusion of the rules of natural justice must be by express words or plain intendment: see </w:t>
      </w:r>
      <w:r w:rsidRPr="00365FFA">
        <w:rPr>
          <w:rFonts w:ascii="Arial" w:hAnsi="Arial" w:cs="Arial"/>
          <w:i/>
          <w:sz w:val="20"/>
          <w:szCs w:val="20"/>
          <w:lang w:eastAsia="en-AU"/>
        </w:rPr>
        <w:t>Commissioner of Police v Tanos</w:t>
      </w:r>
      <w:r w:rsidRPr="00365FFA">
        <w:rPr>
          <w:rFonts w:ascii="Arial" w:hAnsi="Arial" w:cs="Arial"/>
          <w:sz w:val="20"/>
          <w:szCs w:val="20"/>
          <w:lang w:eastAsia="en-AU"/>
        </w:rPr>
        <w:t xml:space="preserve"> (1958) 98 CLR 383 at 395, per Dixon CJ and Webb J and </w:t>
      </w:r>
      <w:r w:rsidRPr="00365FFA">
        <w:rPr>
          <w:rFonts w:ascii="Arial" w:hAnsi="Arial" w:cs="Arial"/>
          <w:i/>
          <w:sz w:val="20"/>
          <w:szCs w:val="20"/>
          <w:lang w:eastAsia="en-AU"/>
        </w:rPr>
        <w:t xml:space="preserve">Annetts v </w:t>
      </w:r>
      <w:r w:rsidRPr="00365FFA">
        <w:rPr>
          <w:rFonts w:ascii="Arial" w:hAnsi="Arial" w:cs="Arial"/>
          <w:sz w:val="20"/>
          <w:szCs w:val="20"/>
          <w:lang w:eastAsia="en-AU"/>
        </w:rPr>
        <w:t xml:space="preserve">McCann (1990) 170 CLR 596, 598 per Mason CJ, Deane &amp; McHugh JJ.  There are no such express words and there is no such plain intendment in s 215(1) of the </w:t>
      </w:r>
      <w:r w:rsidRPr="00365FFA">
        <w:rPr>
          <w:rFonts w:ascii="Arial" w:hAnsi="Arial" w:cs="Arial"/>
          <w:i/>
          <w:sz w:val="20"/>
          <w:szCs w:val="20"/>
          <w:lang w:eastAsia="en-AU"/>
        </w:rPr>
        <w:t>Children, Youth &amp; Families Act</w:t>
      </w:r>
      <w:r w:rsidRPr="00365FFA">
        <w:rPr>
          <w:rFonts w:ascii="Arial" w:hAnsi="Arial" w:cs="Arial"/>
          <w:sz w:val="20"/>
          <w:szCs w:val="20"/>
          <w:lang w:eastAsia="en-AU"/>
        </w:rPr>
        <w:t>.   Therefore the obligation of the Children’s Court to observe the rules of natural justice has not been overridden.</w:t>
      </w:r>
    </w:p>
    <w:p w14:paraId="7AB64435" w14:textId="77777777" w:rsidR="00192251" w:rsidRDefault="00192251" w:rsidP="00192251">
      <w:pPr>
        <w:spacing w:before="60"/>
        <w:ind w:left="567" w:right="567"/>
        <w:jc w:val="both"/>
        <w:rPr>
          <w:rFonts w:ascii="Arial" w:hAnsi="Arial" w:cs="Arial"/>
          <w:color w:val="000000"/>
          <w:sz w:val="20"/>
          <w:szCs w:val="20"/>
          <w:bdr w:val="none" w:sz="0" w:space="0" w:color="auto" w:frame="1"/>
        </w:rPr>
      </w:pPr>
      <w:r>
        <w:rPr>
          <w:rFonts w:ascii="Arial" w:hAnsi="Arial" w:cs="Arial"/>
          <w:sz w:val="20"/>
          <w:szCs w:val="20"/>
          <w:lang w:eastAsia="en-AU"/>
        </w:rPr>
        <w:t xml:space="preserve">[130] While </w:t>
      </w:r>
      <w:r w:rsidRPr="00A24DDE">
        <w:rPr>
          <w:rFonts w:ascii="Arial" w:hAnsi="Arial" w:cs="Arial"/>
          <w:color w:val="000000"/>
          <w:sz w:val="20"/>
          <w:szCs w:val="20"/>
        </w:rPr>
        <w:t>a court or tribunal operating under flexible procedural provisions must</w:t>
      </w:r>
      <w:r w:rsidRPr="00A24DDE">
        <w:rPr>
          <w:rFonts w:ascii="Arial" w:hAnsi="Arial" w:cs="Arial"/>
          <w:color w:val="000000"/>
          <w:sz w:val="20"/>
          <w:szCs w:val="20"/>
          <w:bdr w:val="none" w:sz="0" w:space="0" w:color="auto" w:frame="1"/>
        </w:rPr>
        <w:t xml:space="preserve"> observe the rules of natural justice, this does not mean that those rules can be used to admit the rules of evidence through a side door or, as Brennan J put it in </w:t>
      </w:r>
      <w:r w:rsidRPr="00A24DDE">
        <w:rPr>
          <w:rFonts w:ascii="Arial" w:hAnsi="Arial" w:cs="Arial"/>
          <w:i/>
          <w:iCs/>
          <w:color w:val="000000"/>
          <w:sz w:val="20"/>
          <w:szCs w:val="20"/>
          <w:bdr w:val="none" w:sz="0" w:space="0" w:color="auto" w:frame="1"/>
        </w:rPr>
        <w:t xml:space="preserve">Re </w:t>
      </w:r>
      <w:proofErr w:type="spellStart"/>
      <w:r w:rsidRPr="00A24DDE">
        <w:rPr>
          <w:rFonts w:ascii="Arial" w:hAnsi="Arial" w:cs="Arial"/>
          <w:i/>
          <w:iCs/>
          <w:color w:val="000000"/>
          <w:sz w:val="20"/>
          <w:szCs w:val="20"/>
          <w:bdr w:val="none" w:sz="0" w:space="0" w:color="auto" w:frame="1"/>
        </w:rPr>
        <w:t>Pochi</w:t>
      </w:r>
      <w:proofErr w:type="spellEnd"/>
      <w:r w:rsidRPr="00A24DDE">
        <w:rPr>
          <w:rFonts w:ascii="Arial" w:hAnsi="Arial" w:cs="Arial"/>
          <w:i/>
          <w:iCs/>
          <w:color w:val="000000"/>
          <w:sz w:val="20"/>
          <w:szCs w:val="20"/>
          <w:bdr w:val="none" w:sz="0" w:space="0" w:color="auto" w:frame="1"/>
        </w:rPr>
        <w:t xml:space="preserve"> v Minister for Immigration and Ethnic Affairs</w:t>
      </w:r>
      <w:r w:rsidRPr="00A24DDE">
        <w:rPr>
          <w:rFonts w:ascii="Calibri" w:hAnsi="Calibri" w:cs="Calibri"/>
          <w:color w:val="000000"/>
          <w:sz w:val="20"/>
          <w:szCs w:val="20"/>
        </w:rPr>
        <w:t> </w:t>
      </w:r>
      <w:r w:rsidRPr="00A24DDE">
        <w:rPr>
          <w:rFonts w:ascii="Arial" w:hAnsi="Arial" w:cs="Arial"/>
          <w:color w:val="000000"/>
          <w:sz w:val="20"/>
          <w:szCs w:val="20"/>
          <w:bdr w:val="none" w:sz="0" w:space="0" w:color="auto" w:frame="1"/>
        </w:rPr>
        <w:t>(1979) 36 FLR 482, 492 to allow the rules of evidence to ‘creep back in through a domestic procedural rule’.  </w:t>
      </w:r>
      <w:r w:rsidRPr="00A24DDE">
        <w:rPr>
          <w:rFonts w:ascii="Arial" w:hAnsi="Arial" w:cs="Arial"/>
          <w:b/>
          <w:bCs/>
          <w:color w:val="000000"/>
          <w:sz w:val="20"/>
          <w:szCs w:val="20"/>
          <w:bdr w:val="none" w:sz="0" w:space="0" w:color="auto" w:frame="1"/>
        </w:rPr>
        <w:t>It is well</w:t>
      </w:r>
      <w:r w:rsidRPr="00A24DDE">
        <w:rPr>
          <w:rFonts w:ascii="Arial" w:hAnsi="Arial" w:cs="Arial"/>
          <w:b/>
          <w:bCs/>
          <w:color w:val="000000"/>
          <w:sz w:val="20"/>
          <w:szCs w:val="20"/>
          <w:bdr w:val="none" w:sz="0" w:space="0" w:color="auto" w:frame="1"/>
        </w:rPr>
        <w:noBreakHyphen/>
        <w:t>established that the rules of evidence ‘form no part of the rules of natural justice’</w:t>
      </w:r>
      <w:r w:rsidRPr="00A24DDE">
        <w:rPr>
          <w:rFonts w:ascii="Arial" w:hAnsi="Arial" w:cs="Arial"/>
          <w:color w:val="000000"/>
          <w:sz w:val="20"/>
          <w:szCs w:val="20"/>
          <w:bdr w:val="none" w:sz="0" w:space="0" w:color="auto" w:frame="1"/>
        </w:rPr>
        <w:t>: </w:t>
      </w:r>
      <w:r w:rsidRPr="00A24DDE">
        <w:rPr>
          <w:rFonts w:ascii="Arial" w:hAnsi="Arial" w:cs="Arial"/>
          <w:i/>
          <w:iCs/>
          <w:color w:val="000000"/>
          <w:sz w:val="20"/>
          <w:szCs w:val="20"/>
          <w:bdr w:val="none" w:sz="0" w:space="0" w:color="auto" w:frame="1"/>
        </w:rPr>
        <w:t>R v Deputy Industrial Injuries Commissioner; ex parte Moore</w:t>
      </w:r>
      <w:r w:rsidRPr="00A24DDE">
        <w:rPr>
          <w:rFonts w:ascii="Arial" w:hAnsi="Arial" w:cs="Arial"/>
          <w:color w:val="000000"/>
          <w:sz w:val="20"/>
          <w:szCs w:val="20"/>
          <w:bdr w:val="none" w:sz="0" w:space="0" w:color="auto" w:frame="1"/>
        </w:rPr>
        <w:t> [1965] 1 QB 456, 488 per Diplock LJ; see also </w:t>
      </w:r>
      <w:r w:rsidRPr="00A24DDE">
        <w:rPr>
          <w:rFonts w:ascii="Arial" w:hAnsi="Arial" w:cs="Arial"/>
          <w:i/>
          <w:iCs/>
          <w:color w:val="000000"/>
          <w:sz w:val="20"/>
          <w:szCs w:val="20"/>
          <w:bdr w:val="none" w:sz="0" w:space="0" w:color="auto" w:frame="1"/>
        </w:rPr>
        <w:t>R v War Pensions Entitlement Appeal Tribunal; ex parte Bott</w:t>
      </w:r>
      <w:r w:rsidRPr="00A24DDE">
        <w:rPr>
          <w:rFonts w:ascii="Arial" w:hAnsi="Arial" w:cs="Arial"/>
          <w:color w:val="000000"/>
          <w:sz w:val="20"/>
          <w:szCs w:val="20"/>
          <w:bdr w:val="none" w:sz="0" w:space="0" w:color="auto" w:frame="1"/>
        </w:rPr>
        <w:t> (1933) 50 CLR 228, 249 per Starke J and 252 per Evatt J; </w:t>
      </w:r>
      <w:r w:rsidRPr="00A24DDE">
        <w:rPr>
          <w:rFonts w:ascii="Arial" w:hAnsi="Arial" w:cs="Arial"/>
          <w:i/>
          <w:iCs/>
          <w:color w:val="000000"/>
          <w:sz w:val="20"/>
          <w:szCs w:val="20"/>
          <w:bdr w:val="none" w:sz="0" w:space="0" w:color="auto" w:frame="1"/>
        </w:rPr>
        <w:t>Mahon v Air New Zealand</w:t>
      </w:r>
      <w:r w:rsidRPr="00A24DDE">
        <w:rPr>
          <w:rFonts w:ascii="Arial" w:hAnsi="Arial" w:cs="Arial"/>
          <w:color w:val="000000"/>
          <w:sz w:val="20"/>
          <w:szCs w:val="20"/>
          <w:bdr w:val="none" w:sz="0" w:space="0" w:color="auto" w:frame="1"/>
        </w:rPr>
        <w:t> [1984] 1 AC 808, 821; </w:t>
      </w:r>
      <w:r w:rsidRPr="00A24DDE">
        <w:rPr>
          <w:rFonts w:ascii="Arial" w:hAnsi="Arial" w:cs="Arial"/>
          <w:i/>
          <w:iCs/>
          <w:color w:val="000000"/>
          <w:sz w:val="20"/>
          <w:szCs w:val="20"/>
          <w:bdr w:val="none" w:sz="0" w:space="0" w:color="auto" w:frame="1"/>
        </w:rPr>
        <w:t>Hayward v Minister for Immigration and Citizenship</w:t>
      </w:r>
      <w:r w:rsidRPr="00A24DDE">
        <w:rPr>
          <w:rFonts w:ascii="Arial" w:hAnsi="Arial" w:cs="Arial"/>
          <w:color w:val="000000"/>
          <w:sz w:val="20"/>
          <w:szCs w:val="20"/>
          <w:bdr w:val="none" w:sz="0" w:space="0" w:color="auto" w:frame="1"/>
        </w:rPr>
        <w:t> [2009] FCA 1313, [64].  </w:t>
      </w:r>
      <w:r w:rsidRPr="00A24DDE">
        <w:rPr>
          <w:rFonts w:ascii="Arial" w:hAnsi="Arial" w:cs="Arial"/>
          <w:b/>
          <w:bCs/>
          <w:color w:val="000000"/>
          <w:sz w:val="20"/>
          <w:szCs w:val="20"/>
          <w:bdr w:val="none" w:sz="0" w:space="0" w:color="auto" w:frame="1"/>
        </w:rPr>
        <w:t>Certainly the rules of evidence may be valuable and should not be lightly discarded, particularly where there is a serious dispute over a matter which may be of importance to the outcome of the proceeding</w:t>
      </w:r>
      <w:r w:rsidRPr="00A24DDE">
        <w:rPr>
          <w:rFonts w:ascii="Arial" w:hAnsi="Arial" w:cs="Arial"/>
          <w:color w:val="000000"/>
          <w:sz w:val="20"/>
          <w:szCs w:val="20"/>
          <w:bdr w:val="none" w:sz="0" w:space="0" w:color="auto" w:frame="1"/>
        </w:rPr>
        <w:t>: </w:t>
      </w:r>
      <w:r w:rsidRPr="00A24DDE">
        <w:rPr>
          <w:rFonts w:ascii="Arial" w:hAnsi="Arial" w:cs="Arial"/>
          <w:i/>
          <w:iCs/>
          <w:color w:val="000000"/>
          <w:sz w:val="20"/>
          <w:szCs w:val="20"/>
          <w:bdr w:val="none" w:sz="0" w:space="0" w:color="auto" w:frame="1"/>
        </w:rPr>
        <w:t>R v War Pensions Entitlement Appeal Tribunal; ex parte Bott</w:t>
      </w:r>
      <w:r w:rsidRPr="00A24DDE">
        <w:rPr>
          <w:rFonts w:ascii="Arial" w:hAnsi="Arial" w:cs="Arial"/>
          <w:color w:val="000000"/>
          <w:sz w:val="20"/>
          <w:szCs w:val="20"/>
          <w:bdr w:val="none" w:sz="0" w:space="0" w:color="auto" w:frame="1"/>
        </w:rPr>
        <w:t> (1933) 50 CLR 228, 256 per Evatt J; </w:t>
      </w:r>
      <w:r w:rsidRPr="00A24DDE">
        <w:rPr>
          <w:rFonts w:ascii="Arial" w:hAnsi="Arial" w:cs="Arial"/>
          <w:i/>
          <w:iCs/>
          <w:color w:val="000000"/>
          <w:sz w:val="20"/>
          <w:szCs w:val="20"/>
          <w:bdr w:val="none" w:sz="0" w:space="0" w:color="auto" w:frame="1"/>
        </w:rPr>
        <w:t>Kostas v HIA Insurance Services Pty Ltd</w:t>
      </w:r>
      <w:r w:rsidRPr="00A24DDE">
        <w:rPr>
          <w:rFonts w:ascii="Arial" w:hAnsi="Arial" w:cs="Arial"/>
          <w:color w:val="000000"/>
          <w:sz w:val="20"/>
          <w:szCs w:val="20"/>
          <w:bdr w:val="none" w:sz="0" w:space="0" w:color="auto" w:frame="1"/>
        </w:rPr>
        <w:t> (2010) 84 ALJR 228 [17] per French CJ; </w:t>
      </w:r>
      <w:r w:rsidRPr="00A24DDE">
        <w:rPr>
          <w:rFonts w:ascii="Arial" w:hAnsi="Arial" w:cs="Arial"/>
          <w:i/>
          <w:iCs/>
          <w:color w:val="000000"/>
          <w:sz w:val="20"/>
          <w:szCs w:val="20"/>
          <w:bdr w:val="none" w:sz="0" w:space="0" w:color="auto" w:frame="1"/>
        </w:rPr>
        <w:t xml:space="preserve">Re </w:t>
      </w:r>
      <w:proofErr w:type="spellStart"/>
      <w:r w:rsidRPr="00A24DDE">
        <w:rPr>
          <w:rFonts w:ascii="Arial" w:hAnsi="Arial" w:cs="Arial"/>
          <w:i/>
          <w:iCs/>
          <w:color w:val="000000"/>
          <w:sz w:val="20"/>
          <w:szCs w:val="20"/>
          <w:bdr w:val="none" w:sz="0" w:space="0" w:color="auto" w:frame="1"/>
        </w:rPr>
        <w:t>Pochi</w:t>
      </w:r>
      <w:proofErr w:type="spellEnd"/>
      <w:r w:rsidRPr="00A24DDE">
        <w:rPr>
          <w:rFonts w:ascii="Arial" w:hAnsi="Arial" w:cs="Arial"/>
          <w:i/>
          <w:iCs/>
          <w:color w:val="000000"/>
          <w:sz w:val="20"/>
          <w:szCs w:val="20"/>
          <w:bdr w:val="none" w:sz="0" w:space="0" w:color="auto" w:frame="1"/>
        </w:rPr>
        <w:t xml:space="preserve"> v Minister for Immigration and Ethnic Affairs</w:t>
      </w:r>
      <w:r w:rsidRPr="00A24DDE">
        <w:rPr>
          <w:rFonts w:ascii="Arial" w:hAnsi="Arial" w:cs="Arial"/>
          <w:color w:val="000000"/>
          <w:sz w:val="20"/>
          <w:szCs w:val="20"/>
          <w:bdr w:val="none" w:sz="0" w:space="0" w:color="auto" w:frame="1"/>
        </w:rPr>
        <w:t> (1979) 36 FLR 482, 493 per Brennan J; </w:t>
      </w:r>
      <w:r w:rsidRPr="00A24DDE">
        <w:rPr>
          <w:rFonts w:ascii="Arial" w:hAnsi="Arial" w:cs="Arial"/>
          <w:i/>
          <w:iCs/>
          <w:color w:val="000000"/>
          <w:sz w:val="20"/>
          <w:szCs w:val="20"/>
          <w:bdr w:val="none" w:sz="0" w:space="0" w:color="auto" w:frame="1"/>
        </w:rPr>
        <w:t>Martin v Medical Complaints Tribunal</w:t>
      </w:r>
      <w:r w:rsidRPr="00A24DDE">
        <w:rPr>
          <w:rFonts w:ascii="Arial" w:hAnsi="Arial" w:cs="Arial"/>
          <w:color w:val="000000"/>
          <w:sz w:val="20"/>
          <w:szCs w:val="20"/>
          <w:bdr w:val="none" w:sz="0" w:space="0" w:color="auto" w:frame="1"/>
        </w:rPr>
        <w:t> (2006) 15 Tas R 413, [14]; </w:t>
      </w:r>
      <w:r w:rsidRPr="00A24DDE">
        <w:rPr>
          <w:rFonts w:ascii="Arial" w:hAnsi="Arial" w:cs="Arial"/>
          <w:i/>
          <w:iCs/>
          <w:color w:val="000000"/>
          <w:sz w:val="20"/>
          <w:szCs w:val="20"/>
          <w:bdr w:val="none" w:sz="0" w:space="0" w:color="auto" w:frame="1"/>
        </w:rPr>
        <w:t>A and B v Director of Family Services </w:t>
      </w:r>
      <w:r w:rsidRPr="00A24DDE">
        <w:rPr>
          <w:rFonts w:ascii="Arial" w:hAnsi="Arial" w:cs="Arial"/>
          <w:color w:val="000000"/>
          <w:sz w:val="20"/>
          <w:szCs w:val="20"/>
          <w:bdr w:val="none" w:sz="0" w:space="0" w:color="auto" w:frame="1"/>
        </w:rPr>
        <w:t>(1996) 20 Fam LR 549, 553; </w:t>
      </w:r>
      <w:r w:rsidRPr="00A24DDE">
        <w:rPr>
          <w:rFonts w:ascii="Arial" w:hAnsi="Arial" w:cs="Arial"/>
          <w:i/>
          <w:iCs/>
          <w:color w:val="000000"/>
          <w:sz w:val="20"/>
          <w:szCs w:val="20"/>
          <w:bdr w:val="none" w:sz="0" w:space="0" w:color="auto" w:frame="1"/>
        </w:rPr>
        <w:t>Pearce v Button</w:t>
      </w:r>
      <w:r w:rsidRPr="00A24DDE">
        <w:rPr>
          <w:rFonts w:ascii="Arial" w:hAnsi="Arial" w:cs="Arial"/>
          <w:color w:val="000000"/>
          <w:sz w:val="20"/>
          <w:szCs w:val="20"/>
          <w:bdr w:val="none" w:sz="0" w:space="0" w:color="auto" w:frame="1"/>
        </w:rPr>
        <w:t> (1985) 8 FCR 408, 422; </w:t>
      </w:r>
      <w:r w:rsidRPr="00A24DDE">
        <w:rPr>
          <w:rFonts w:ascii="Arial" w:hAnsi="Arial" w:cs="Arial"/>
          <w:i/>
          <w:iCs/>
          <w:color w:val="000000"/>
          <w:sz w:val="20"/>
          <w:szCs w:val="20"/>
          <w:bdr w:val="none" w:sz="0" w:space="0" w:color="auto" w:frame="1"/>
        </w:rPr>
        <w:t>Clean Ocean Foundation v Environment Protection Authority</w:t>
      </w:r>
      <w:r w:rsidRPr="00A24DDE">
        <w:rPr>
          <w:rFonts w:ascii="Arial" w:hAnsi="Arial" w:cs="Arial"/>
          <w:color w:val="000000"/>
          <w:sz w:val="20"/>
          <w:szCs w:val="20"/>
          <w:bdr w:val="none" w:sz="0" w:space="0" w:color="auto" w:frame="1"/>
        </w:rPr>
        <w:t> (2003) 20 VAR 227, 235.  But courts or tribunals operating under such provisions are not required to apply court</w:t>
      </w:r>
      <w:r w:rsidRPr="00A24DDE">
        <w:rPr>
          <w:rFonts w:ascii="Arial" w:hAnsi="Arial" w:cs="Arial"/>
          <w:color w:val="000000"/>
          <w:sz w:val="20"/>
          <w:szCs w:val="20"/>
          <w:bdr w:val="none" w:sz="0" w:space="0" w:color="auto" w:frame="1"/>
        </w:rPr>
        <w:noBreakHyphen/>
        <w:t>like rules or to act on evidence alone: </w:t>
      </w:r>
      <w:r w:rsidRPr="00A24DDE">
        <w:rPr>
          <w:rFonts w:ascii="Arial" w:hAnsi="Arial" w:cs="Arial"/>
          <w:i/>
          <w:iCs/>
          <w:color w:val="000000"/>
          <w:sz w:val="20"/>
          <w:szCs w:val="20"/>
          <w:bdr w:val="none" w:sz="0" w:space="0" w:color="auto" w:frame="1"/>
        </w:rPr>
        <w:t>R v War Pensions Entitlement Appeal Tribunal; ex parte Bott</w:t>
      </w:r>
      <w:r w:rsidRPr="00A24DDE">
        <w:rPr>
          <w:rFonts w:ascii="Arial" w:hAnsi="Arial" w:cs="Arial"/>
          <w:color w:val="000000"/>
          <w:sz w:val="20"/>
          <w:szCs w:val="20"/>
          <w:bdr w:val="none" w:sz="0" w:space="0" w:color="auto" w:frame="1"/>
        </w:rPr>
        <w:t> (1933) 50 CLR 228, 248 per Starke J and 256 per Evatt J; </w:t>
      </w:r>
      <w:proofErr w:type="spellStart"/>
      <w:r w:rsidRPr="00A24DDE">
        <w:rPr>
          <w:rFonts w:ascii="Arial" w:hAnsi="Arial" w:cs="Arial"/>
          <w:i/>
          <w:iCs/>
          <w:color w:val="000000"/>
          <w:sz w:val="20"/>
          <w:szCs w:val="20"/>
          <w:bdr w:val="none" w:sz="0" w:space="0" w:color="auto" w:frame="1"/>
        </w:rPr>
        <w:t>Wajnberg</w:t>
      </w:r>
      <w:proofErr w:type="spellEnd"/>
      <w:r w:rsidRPr="00A24DDE">
        <w:rPr>
          <w:rFonts w:ascii="Arial" w:hAnsi="Arial" w:cs="Arial"/>
          <w:i/>
          <w:iCs/>
          <w:color w:val="000000"/>
          <w:sz w:val="20"/>
          <w:szCs w:val="20"/>
          <w:bdr w:val="none" w:sz="0" w:space="0" w:color="auto" w:frame="1"/>
        </w:rPr>
        <w:t xml:space="preserve"> v Raynor and Melbourne Metropolitan Board of Works</w:t>
      </w:r>
      <w:r w:rsidRPr="00A24DDE">
        <w:rPr>
          <w:rFonts w:ascii="Arial" w:hAnsi="Arial" w:cs="Arial"/>
          <w:color w:val="000000"/>
          <w:sz w:val="20"/>
          <w:szCs w:val="20"/>
          <w:bdr w:val="none" w:sz="0" w:space="0" w:color="auto" w:frame="1"/>
        </w:rPr>
        <w:t> [1971] VR 665, 678.  The provisions are intended to be ‘facultative, not restrictive’ (</w:t>
      </w:r>
      <w:r w:rsidRPr="00A24DDE">
        <w:rPr>
          <w:rFonts w:ascii="Arial" w:hAnsi="Arial" w:cs="Arial"/>
          <w:i/>
          <w:iCs/>
          <w:color w:val="000000"/>
          <w:sz w:val="20"/>
          <w:szCs w:val="20"/>
          <w:bdr w:val="none" w:sz="0" w:space="0" w:color="auto" w:frame="1"/>
        </w:rPr>
        <w:t>Wecker v Secretary, Department of Education, Science and Training</w:t>
      </w:r>
      <w:r w:rsidRPr="00A24DDE">
        <w:rPr>
          <w:rFonts w:ascii="Arial" w:hAnsi="Arial" w:cs="Arial"/>
          <w:color w:val="000000"/>
          <w:sz w:val="20"/>
          <w:szCs w:val="20"/>
          <w:bdr w:val="none" w:sz="0" w:space="0" w:color="auto" w:frame="1"/>
        </w:rPr>
        <w:t> (2008) 168 FCR 272, [95] per Greenwood J) and are intended to free a court or tribunal ‘from constraints otherwise applicable to courts of law and regarded as in appropriate’: </w:t>
      </w:r>
      <w:r w:rsidRPr="00A24DDE">
        <w:rPr>
          <w:rFonts w:ascii="Arial" w:hAnsi="Arial" w:cs="Arial"/>
          <w:i/>
          <w:iCs/>
          <w:color w:val="000000"/>
          <w:sz w:val="20"/>
          <w:szCs w:val="20"/>
          <w:bdr w:val="none" w:sz="0" w:space="0" w:color="auto" w:frame="1"/>
        </w:rPr>
        <w:t>Minister for Immigration and Multicultural Affairs</w:t>
      </w:r>
      <w:r w:rsidRPr="00A24DDE">
        <w:rPr>
          <w:rFonts w:ascii="Arial" w:hAnsi="Arial" w:cs="Arial"/>
          <w:color w:val="000000"/>
          <w:sz w:val="20"/>
          <w:szCs w:val="20"/>
          <w:bdr w:val="none" w:sz="0" w:space="0" w:color="auto" w:frame="1"/>
        </w:rPr>
        <w:t> v </w:t>
      </w:r>
      <w:r w:rsidRPr="00A24DDE">
        <w:rPr>
          <w:rFonts w:ascii="Arial" w:hAnsi="Arial" w:cs="Arial"/>
          <w:i/>
          <w:iCs/>
          <w:color w:val="000000"/>
          <w:sz w:val="20"/>
          <w:szCs w:val="20"/>
          <w:bdr w:val="none" w:sz="0" w:space="0" w:color="auto" w:frame="1"/>
        </w:rPr>
        <w:t>Eshetu </w:t>
      </w:r>
      <w:r w:rsidRPr="00A24DDE">
        <w:rPr>
          <w:rFonts w:ascii="Arial" w:hAnsi="Arial" w:cs="Arial"/>
          <w:color w:val="000000"/>
          <w:sz w:val="20"/>
          <w:szCs w:val="20"/>
          <w:bdr w:val="none" w:sz="0" w:space="0" w:color="auto" w:frame="1"/>
        </w:rPr>
        <w:t>(1999) 197 CLR 611, [49] per Gleeson CJ and McHugh J. As Davies J said as the president of the federal tribunal in </w:t>
      </w:r>
      <w:r w:rsidRPr="00A24DDE">
        <w:rPr>
          <w:rFonts w:ascii="Arial" w:hAnsi="Arial" w:cs="Arial"/>
          <w:i/>
          <w:iCs/>
          <w:color w:val="000000"/>
          <w:sz w:val="20"/>
          <w:szCs w:val="20"/>
          <w:bdr w:val="none" w:sz="0" w:space="0" w:color="auto" w:frame="1"/>
        </w:rPr>
        <w:t>Re Barbaro and Minister for Immigration and Ethnic Affairs </w:t>
      </w:r>
      <w:r w:rsidRPr="00A24DDE">
        <w:rPr>
          <w:rFonts w:ascii="Arial" w:hAnsi="Arial" w:cs="Arial"/>
          <w:color w:val="000000"/>
          <w:sz w:val="20"/>
          <w:szCs w:val="20"/>
          <w:bdr w:val="none" w:sz="0" w:space="0" w:color="auto" w:frame="1"/>
        </w:rPr>
        <w:t>[(1980) 3 ALD 1, 5], flexible procedural provisions allow ‘the nature of the procedures adopted at the hearing and the nature of the evidence which is received … [to] be adapted to the functions which [the tribunal] performs.’” discretion.”</w:t>
      </w:r>
    </w:p>
    <w:p w14:paraId="3D639533" w14:textId="77777777" w:rsidR="00192251" w:rsidRPr="006B1B1F" w:rsidRDefault="00192251" w:rsidP="00192251">
      <w:pPr>
        <w:ind w:left="567" w:right="567"/>
        <w:jc w:val="both"/>
        <w:rPr>
          <w:rFonts w:ascii="Arial" w:hAnsi="Arial" w:cs="Arial"/>
          <w:color w:val="000000"/>
          <w:sz w:val="12"/>
          <w:szCs w:val="12"/>
          <w:bdr w:val="none" w:sz="0" w:space="0" w:color="auto" w:frame="1"/>
        </w:rPr>
      </w:pPr>
    </w:p>
    <w:p w14:paraId="305F8764" w14:textId="77777777" w:rsidR="00192251" w:rsidRDefault="00192251" w:rsidP="00192251">
      <w:pPr>
        <w:pBdr>
          <w:top w:val="single" w:sz="8" w:space="1" w:color="auto"/>
        </w:pBdr>
        <w:ind w:left="567" w:right="567"/>
        <w:jc w:val="both"/>
        <w:rPr>
          <w:rFonts w:ascii="Arial" w:hAnsi="Arial" w:cs="Arial"/>
          <w:sz w:val="12"/>
          <w:szCs w:val="12"/>
        </w:rPr>
      </w:pPr>
    </w:p>
    <w:p w14:paraId="5BD9D434" w14:textId="77777777" w:rsidR="00192251" w:rsidRDefault="00192251" w:rsidP="00192251">
      <w:pPr>
        <w:pBdr>
          <w:top w:val="single" w:sz="8" w:space="1" w:color="auto"/>
        </w:pBdr>
        <w:ind w:left="567" w:right="567"/>
        <w:jc w:val="both"/>
        <w:rPr>
          <w:rFonts w:ascii="Arial" w:hAnsi="Arial" w:cs="Arial"/>
          <w:sz w:val="12"/>
          <w:szCs w:val="12"/>
        </w:rPr>
      </w:pPr>
      <w:r>
        <w:rPr>
          <w:rFonts w:ascii="Arial" w:hAnsi="Arial" w:cs="Arial"/>
          <w:sz w:val="20"/>
          <w:szCs w:val="20"/>
        </w:rPr>
        <w:t>[135] “</w:t>
      </w:r>
      <w:r w:rsidRPr="00E10917">
        <w:rPr>
          <w:rFonts w:ascii="Arial" w:hAnsi="Arial" w:cs="Arial"/>
          <w:sz w:val="20"/>
          <w:szCs w:val="20"/>
          <w:lang w:eastAsia="en-AU"/>
        </w:rPr>
        <w:t>What is the relationship between the paramountcy principle, the court’s procedural discretion and the rules of natural justice which apply?  The well</w:t>
      </w:r>
      <w:r w:rsidRPr="00E10917">
        <w:rPr>
          <w:rFonts w:ascii="Arial" w:hAnsi="Arial" w:cs="Arial"/>
          <w:sz w:val="20"/>
          <w:szCs w:val="20"/>
          <w:lang w:eastAsia="en-AU"/>
        </w:rPr>
        <w:noBreakHyphen/>
        <w:t xml:space="preserve">established general principle is that the content of the rules of natural justice must take into account the </w:t>
      </w:r>
      <w:r w:rsidRPr="00964079">
        <w:rPr>
          <w:rFonts w:ascii="Arial" w:hAnsi="Arial" w:cs="Arial"/>
          <w:sz w:val="20"/>
          <w:szCs w:val="20"/>
          <w:lang w:eastAsia="en-AU"/>
        </w:rPr>
        <w:t xml:space="preserve">nature of the jurisdiction being exercised: </w:t>
      </w:r>
      <w:r w:rsidRPr="00964079">
        <w:rPr>
          <w:rFonts w:ascii="Arial" w:hAnsi="Arial" w:cs="Arial"/>
          <w:i/>
          <w:sz w:val="20"/>
          <w:szCs w:val="20"/>
        </w:rPr>
        <w:t>Kioa v West</w:t>
      </w:r>
      <w:r w:rsidRPr="00964079">
        <w:rPr>
          <w:rFonts w:ascii="Arial" w:hAnsi="Arial" w:cs="Arial"/>
          <w:sz w:val="20"/>
          <w:szCs w:val="20"/>
        </w:rPr>
        <w:t xml:space="preserve"> </w:t>
      </w:r>
      <w:r w:rsidRPr="00964079">
        <w:rPr>
          <w:rFonts w:ascii="Arial" w:hAnsi="Arial" w:cs="Arial"/>
          <w:sz w:val="20"/>
          <w:szCs w:val="20"/>
        </w:rPr>
        <w:lastRenderedPageBreak/>
        <w:t>(1985) 159 CLR 550, 615, 633-634.</w:t>
      </w:r>
      <w:r w:rsidRPr="00964079">
        <w:rPr>
          <w:rFonts w:ascii="Arial" w:hAnsi="Arial" w:cs="Arial"/>
          <w:sz w:val="20"/>
          <w:szCs w:val="20"/>
          <w:lang w:eastAsia="en-AU"/>
        </w:rPr>
        <w:t xml:space="preserve">  Where the jurisdiction is one in which the interests of the child are paramount, the particular content and application of the rules of natural justice will reflect the nature of that jurisdiction.  Likewise, the principle will influence the exercise of the court’s procedural discretion.</w:t>
      </w:r>
    </w:p>
    <w:p w14:paraId="4EAEB6AA" w14:textId="77777777" w:rsidR="00192251" w:rsidRPr="00964079" w:rsidRDefault="00192251" w:rsidP="00192251">
      <w:pPr>
        <w:spacing w:before="60"/>
        <w:ind w:left="567" w:right="567"/>
        <w:jc w:val="both"/>
      </w:pPr>
      <w:r>
        <w:rPr>
          <w:rFonts w:ascii="Arial" w:hAnsi="Arial" w:cs="Arial"/>
          <w:sz w:val="20"/>
          <w:szCs w:val="20"/>
          <w:lang w:eastAsia="en-AU"/>
        </w:rPr>
        <w:t xml:space="preserve">[136] </w:t>
      </w:r>
      <w:r w:rsidRPr="00E10917">
        <w:rPr>
          <w:rFonts w:ascii="Arial" w:hAnsi="Arial" w:cs="Arial"/>
          <w:sz w:val="20"/>
          <w:szCs w:val="20"/>
          <w:lang w:eastAsia="en-AU"/>
        </w:rPr>
        <w:t xml:space="preserve">Thus, in </w:t>
      </w:r>
      <w:r w:rsidRPr="00E10917">
        <w:rPr>
          <w:rFonts w:ascii="Arial" w:hAnsi="Arial" w:cs="Arial"/>
          <w:i/>
          <w:sz w:val="20"/>
          <w:szCs w:val="20"/>
          <w:lang w:eastAsia="en-AU"/>
        </w:rPr>
        <w:t xml:space="preserve">J v </w:t>
      </w:r>
      <w:proofErr w:type="spellStart"/>
      <w:r w:rsidRPr="00E10917">
        <w:rPr>
          <w:rFonts w:ascii="Arial" w:hAnsi="Arial" w:cs="Arial"/>
          <w:i/>
          <w:sz w:val="20"/>
          <w:szCs w:val="20"/>
          <w:lang w:eastAsia="en-AU"/>
        </w:rPr>
        <w:t>Leischke</w:t>
      </w:r>
      <w:proofErr w:type="spellEnd"/>
      <w:r>
        <w:rPr>
          <w:rFonts w:ascii="Arial" w:hAnsi="Arial" w:cs="Arial"/>
          <w:i/>
          <w:sz w:val="20"/>
          <w:szCs w:val="20"/>
          <w:lang w:eastAsia="en-AU"/>
        </w:rPr>
        <w:t xml:space="preserve"> </w:t>
      </w:r>
      <w:r w:rsidRPr="00964079">
        <w:rPr>
          <w:rFonts w:ascii="Arial" w:hAnsi="Arial" w:cs="Arial"/>
          <w:sz w:val="20"/>
          <w:szCs w:val="20"/>
        </w:rPr>
        <w:t>(1987) 162 CLR 447</w:t>
      </w:r>
      <w:r>
        <w:rPr>
          <w:rFonts w:ascii="Arial" w:hAnsi="Arial" w:cs="Arial"/>
          <w:sz w:val="20"/>
          <w:szCs w:val="20"/>
        </w:rPr>
        <w:t xml:space="preserve"> at 457</w:t>
      </w:r>
      <w:r w:rsidRPr="00964079">
        <w:rPr>
          <w:rFonts w:ascii="Arial" w:hAnsi="Arial" w:cs="Arial"/>
          <w:sz w:val="20"/>
          <w:szCs w:val="20"/>
          <w:lang w:eastAsia="en-AU"/>
        </w:rPr>
        <w:t>, it</w:t>
      </w:r>
      <w:r w:rsidRPr="00E10917">
        <w:rPr>
          <w:rFonts w:ascii="Arial" w:hAnsi="Arial" w:cs="Arial"/>
          <w:sz w:val="20"/>
          <w:szCs w:val="20"/>
          <w:lang w:eastAsia="en-AU"/>
        </w:rPr>
        <w:t xml:space="preserve"> was held by Brennan J </w:t>
      </w:r>
      <w:r>
        <w:rPr>
          <w:rFonts w:ascii="Arial" w:hAnsi="Arial" w:cs="Arial"/>
          <w:sz w:val="20"/>
          <w:szCs w:val="20"/>
          <w:lang w:eastAsia="en-AU"/>
        </w:rPr>
        <w:t>(with whom Mason, Wilson, Deane &amp; Dawson JJ agreed) t</w:t>
      </w:r>
      <w:r w:rsidRPr="00E10917">
        <w:rPr>
          <w:rFonts w:ascii="Arial" w:hAnsi="Arial" w:cs="Arial"/>
          <w:sz w:val="20"/>
          <w:szCs w:val="20"/>
          <w:lang w:eastAsia="en-AU"/>
        </w:rPr>
        <w:t xml:space="preserve">hat in </w:t>
      </w:r>
      <w:r>
        <w:rPr>
          <w:rFonts w:ascii="Arial" w:hAnsi="Arial" w:cs="Arial"/>
          <w:sz w:val="20"/>
          <w:szCs w:val="20"/>
          <w:lang w:eastAsia="en-AU"/>
        </w:rPr>
        <w:t>‘</w:t>
      </w:r>
      <w:r w:rsidRPr="00E10917">
        <w:rPr>
          <w:rFonts w:ascii="Arial" w:hAnsi="Arial" w:cs="Arial"/>
          <w:sz w:val="20"/>
          <w:szCs w:val="20"/>
          <w:lang w:eastAsia="en-AU"/>
        </w:rPr>
        <w:t>some custody proceedings, some qualification of the principles of natural justice may be necessary in order to ensure paramountcy of the welfare of the child</w:t>
      </w:r>
      <w:r>
        <w:rPr>
          <w:rFonts w:ascii="Arial" w:hAnsi="Arial" w:cs="Arial"/>
          <w:sz w:val="20"/>
          <w:szCs w:val="20"/>
          <w:lang w:eastAsia="en-AU"/>
        </w:rPr>
        <w:t>’</w:t>
      </w:r>
      <w:r w:rsidRPr="00E10917">
        <w:rPr>
          <w:rFonts w:ascii="Arial" w:hAnsi="Arial" w:cs="Arial"/>
          <w:sz w:val="20"/>
          <w:szCs w:val="20"/>
          <w:lang w:eastAsia="en-AU"/>
        </w:rPr>
        <w:t xml:space="preserve">, but only </w:t>
      </w:r>
      <w:r>
        <w:rPr>
          <w:rFonts w:ascii="Arial" w:hAnsi="Arial" w:cs="Arial"/>
          <w:sz w:val="20"/>
          <w:szCs w:val="20"/>
          <w:lang w:eastAsia="en-AU"/>
        </w:rPr>
        <w:t>‘</w:t>
      </w:r>
      <w:r w:rsidRPr="00E10917">
        <w:rPr>
          <w:rFonts w:ascii="Arial" w:hAnsi="Arial" w:cs="Arial"/>
          <w:sz w:val="20"/>
          <w:szCs w:val="20"/>
          <w:lang w:eastAsia="en-AU"/>
        </w:rPr>
        <w:t>so far as necessary to avoid frustration of the purpose for which the jurisdiction is conferred</w:t>
      </w:r>
      <w:r>
        <w:rPr>
          <w:rFonts w:ascii="Arial" w:hAnsi="Arial" w:cs="Arial"/>
          <w:sz w:val="20"/>
          <w:szCs w:val="20"/>
          <w:lang w:eastAsia="en-AU"/>
        </w:rPr>
        <w:t>’</w:t>
      </w:r>
      <w:r w:rsidRPr="00E10917">
        <w:rPr>
          <w:rFonts w:ascii="Arial" w:hAnsi="Arial" w:cs="Arial"/>
          <w:sz w:val="20"/>
          <w:szCs w:val="20"/>
          <w:lang w:eastAsia="en-AU"/>
        </w:rPr>
        <w:t>.</w:t>
      </w:r>
      <w:r>
        <w:t xml:space="preserve">  </w:t>
      </w:r>
      <w:r w:rsidRPr="00E10917">
        <w:rPr>
          <w:rFonts w:ascii="Arial" w:hAnsi="Arial" w:cs="Arial"/>
          <w:sz w:val="20"/>
          <w:szCs w:val="20"/>
          <w:lang w:eastAsia="en-AU"/>
        </w:rPr>
        <w:t xml:space="preserve">That principle was applied in the Family Court of Australia in </w:t>
      </w:r>
      <w:r w:rsidRPr="00E10917">
        <w:rPr>
          <w:rFonts w:ascii="Arial" w:hAnsi="Arial" w:cs="Arial"/>
          <w:i/>
          <w:sz w:val="20"/>
          <w:szCs w:val="20"/>
          <w:lang w:eastAsia="en-AU"/>
        </w:rPr>
        <w:t>Separate Representative v E</w:t>
      </w:r>
      <w:r w:rsidRPr="00E10917">
        <w:rPr>
          <w:rFonts w:ascii="Arial" w:hAnsi="Arial" w:cs="Arial"/>
          <w:sz w:val="20"/>
          <w:szCs w:val="20"/>
          <w:lang w:eastAsia="en-AU"/>
        </w:rPr>
        <w:t xml:space="preserve"> </w:t>
      </w:r>
      <w:r w:rsidRPr="00964079">
        <w:rPr>
          <w:rFonts w:ascii="Arial" w:hAnsi="Arial" w:cs="Arial"/>
          <w:sz w:val="20"/>
          <w:szCs w:val="20"/>
        </w:rPr>
        <w:t>(1993) 114 FLR 1</w:t>
      </w:r>
      <w:r>
        <w:rPr>
          <w:rFonts w:ascii="Arial" w:hAnsi="Arial" w:cs="Arial"/>
          <w:sz w:val="20"/>
          <w:szCs w:val="20"/>
        </w:rPr>
        <w:t xml:space="preserve"> </w:t>
      </w:r>
      <w:r w:rsidRPr="00964079">
        <w:rPr>
          <w:rFonts w:ascii="Arial" w:hAnsi="Arial" w:cs="Arial"/>
          <w:sz w:val="20"/>
          <w:szCs w:val="20"/>
          <w:lang w:eastAsia="en-AU"/>
        </w:rPr>
        <w:t xml:space="preserve">by </w:t>
      </w:r>
      <w:r w:rsidRPr="00E10917">
        <w:rPr>
          <w:rFonts w:ascii="Arial" w:hAnsi="Arial" w:cs="Arial"/>
          <w:sz w:val="20"/>
          <w:szCs w:val="20"/>
          <w:lang w:eastAsia="en-AU"/>
        </w:rPr>
        <w:t>Nicholson CJ and Fogarty J, who held</w:t>
      </w:r>
      <w:r>
        <w:rPr>
          <w:rFonts w:ascii="Arial" w:hAnsi="Arial" w:cs="Arial"/>
          <w:sz w:val="20"/>
          <w:szCs w:val="20"/>
          <w:lang w:eastAsia="en-AU"/>
        </w:rPr>
        <w:t xml:space="preserve"> at 14</w:t>
      </w:r>
      <w:r w:rsidRPr="00E10917">
        <w:rPr>
          <w:rFonts w:ascii="Arial" w:hAnsi="Arial" w:cs="Arial"/>
          <w:sz w:val="20"/>
          <w:szCs w:val="20"/>
          <w:lang w:eastAsia="en-AU"/>
        </w:rPr>
        <w:t>:</w:t>
      </w:r>
    </w:p>
    <w:p w14:paraId="1FA2878E" w14:textId="77777777" w:rsidR="00192251" w:rsidRPr="00E10917" w:rsidRDefault="00192251" w:rsidP="00192251">
      <w:pPr>
        <w:pStyle w:val="Quote1"/>
        <w:widowControl/>
        <w:spacing w:before="60" w:after="0" w:line="240" w:lineRule="auto"/>
        <w:ind w:left="1021" w:right="1021" w:firstLine="0"/>
        <w:rPr>
          <w:rFonts w:ascii="Arial" w:hAnsi="Arial" w:cs="Arial"/>
          <w:sz w:val="20"/>
          <w:lang w:eastAsia="en-AU"/>
        </w:rPr>
      </w:pPr>
      <w:r>
        <w:rPr>
          <w:rFonts w:ascii="Arial" w:hAnsi="Arial" w:cs="Arial"/>
          <w:sz w:val="20"/>
          <w:lang w:eastAsia="en-AU"/>
        </w:rPr>
        <w:t>‘</w:t>
      </w:r>
      <w:r w:rsidRPr="00E10917">
        <w:rPr>
          <w:rFonts w:ascii="Arial" w:hAnsi="Arial" w:cs="Arial"/>
          <w:sz w:val="20"/>
          <w:lang w:eastAsia="en-AU"/>
        </w:rPr>
        <w:t>In the exercise of its jurisdiction to determine disputes relating to the custody, guardianship or welfare of, or access to a child, the Family Court has obligations to regard the child’s welfare as paramount (s 64(1)(a)), to protect the child from harm (s 64(1)(b)(a)), and to make ‘such order in respect of those matters as it considers proper’ (s 64(1)(c)).  The rights of the disputants to natural justice are therefore qualified to the extent that those rights encroach on or are in conflict with these obligations.</w:t>
      </w:r>
      <w:r>
        <w:rPr>
          <w:rFonts w:ascii="Arial" w:hAnsi="Arial" w:cs="Arial"/>
          <w:sz w:val="20"/>
          <w:lang w:eastAsia="en-AU"/>
        </w:rPr>
        <w:t>’</w:t>
      </w:r>
    </w:p>
    <w:p w14:paraId="3937065D" w14:textId="77777777" w:rsidR="00192251" w:rsidRPr="005960F3" w:rsidRDefault="00192251" w:rsidP="00192251">
      <w:pPr>
        <w:spacing w:before="60"/>
        <w:ind w:left="567" w:right="567"/>
        <w:jc w:val="both"/>
        <w:rPr>
          <w:rFonts w:ascii="Arial" w:hAnsi="Arial" w:cs="Arial"/>
          <w:sz w:val="20"/>
          <w:szCs w:val="20"/>
        </w:rPr>
      </w:pPr>
      <w:r w:rsidRPr="005960F3">
        <w:rPr>
          <w:rFonts w:ascii="Arial" w:hAnsi="Arial" w:cs="Arial"/>
          <w:sz w:val="20"/>
          <w:szCs w:val="20"/>
        </w:rPr>
        <w:t>[137]</w:t>
      </w:r>
      <w:r>
        <w:rPr>
          <w:rFonts w:ascii="Arial" w:hAnsi="Arial" w:cs="Arial"/>
          <w:sz w:val="20"/>
          <w:szCs w:val="20"/>
        </w:rPr>
        <w:t xml:space="preserve"> </w:t>
      </w:r>
      <w:r w:rsidRPr="00E10917">
        <w:rPr>
          <w:rFonts w:ascii="Arial" w:hAnsi="Arial" w:cs="Arial"/>
          <w:sz w:val="20"/>
          <w:szCs w:val="20"/>
          <w:lang w:eastAsia="en-AU"/>
        </w:rPr>
        <w:t>Accordingly, the rules of natural justice do not prevent a court, when exercising a wardship, guardianship, protection or like jurisdiction in the best interests of the child, from exercising its discretion to adopt fair procedures which will suit that purpose.</w:t>
      </w:r>
      <w:r>
        <w:rPr>
          <w:rFonts w:ascii="Arial" w:hAnsi="Arial" w:cs="Arial"/>
          <w:sz w:val="20"/>
          <w:szCs w:val="20"/>
          <w:lang w:eastAsia="en-AU"/>
        </w:rPr>
        <w:t>”</w:t>
      </w:r>
    </w:p>
    <w:p w14:paraId="0EFBE4F8" w14:textId="77777777" w:rsidR="00192251" w:rsidRPr="006B1B1F" w:rsidRDefault="00192251" w:rsidP="00192251">
      <w:pPr>
        <w:ind w:left="567" w:right="567"/>
        <w:jc w:val="both"/>
        <w:rPr>
          <w:rFonts w:ascii="Arial" w:hAnsi="Arial" w:cs="Arial"/>
          <w:color w:val="000000"/>
          <w:sz w:val="12"/>
          <w:szCs w:val="12"/>
          <w:bdr w:val="none" w:sz="0" w:space="0" w:color="auto" w:frame="1"/>
        </w:rPr>
      </w:pPr>
    </w:p>
    <w:p w14:paraId="708BC6FF" w14:textId="77777777" w:rsidR="00192251" w:rsidRDefault="00192251" w:rsidP="00192251">
      <w:pPr>
        <w:pBdr>
          <w:top w:val="single" w:sz="8" w:space="1" w:color="auto"/>
        </w:pBdr>
        <w:ind w:left="567" w:right="567"/>
        <w:jc w:val="both"/>
        <w:rPr>
          <w:rFonts w:ascii="Arial" w:hAnsi="Arial" w:cs="Arial"/>
          <w:sz w:val="12"/>
          <w:szCs w:val="12"/>
        </w:rPr>
      </w:pPr>
    </w:p>
    <w:p w14:paraId="3D5E1AB9" w14:textId="77777777" w:rsidR="00192251" w:rsidRPr="00785E1A" w:rsidRDefault="00192251" w:rsidP="00192251">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 xml:space="preserve">[146] </w:t>
      </w:r>
      <w:r>
        <w:rPr>
          <w:rFonts w:ascii="Arial" w:hAnsi="Arial" w:cs="Arial"/>
          <w:bCs/>
          <w:color w:val="000000"/>
          <w:sz w:val="20"/>
        </w:rPr>
        <w:t>“</w:t>
      </w:r>
      <w:r w:rsidRPr="00785E1A">
        <w:rPr>
          <w:rFonts w:ascii="Arial" w:hAnsi="Arial" w:cs="Arial"/>
          <w:bCs/>
          <w:color w:val="000000"/>
          <w:sz w:val="20"/>
        </w:rPr>
        <w:t xml:space="preserve">While the natural justice afforded to parties, and the procedures followed by the court, may be influenced by the overriding consideration of the best interests of the child, the parties must still be afforded procedural fairness.  So it was that, in </w:t>
      </w:r>
      <w:r w:rsidRPr="00785E1A">
        <w:rPr>
          <w:rFonts w:ascii="Arial" w:hAnsi="Arial" w:cs="Arial"/>
          <w:bCs/>
          <w:i/>
          <w:color w:val="000000"/>
          <w:sz w:val="20"/>
        </w:rPr>
        <w:t>T v T</w:t>
      </w:r>
      <w:r w:rsidRPr="00785E1A">
        <w:rPr>
          <w:rFonts w:ascii="Arial" w:hAnsi="Arial" w:cs="Arial"/>
          <w:bCs/>
          <w:color w:val="000000"/>
          <w:sz w:val="20"/>
        </w:rPr>
        <w:t xml:space="preserve"> (2008) 38 Fam LR 614, the Full Court of the Family Court of Australia held that trials conducted under the new less adversarial trial arrangements must conform to that requirement.  Similarly, in </w:t>
      </w:r>
      <w:r w:rsidRPr="00785E1A">
        <w:rPr>
          <w:rFonts w:ascii="Arial" w:hAnsi="Arial" w:cs="Arial"/>
          <w:bCs/>
          <w:i/>
          <w:color w:val="000000"/>
          <w:sz w:val="20"/>
        </w:rPr>
        <w:t>Re Timothy</w:t>
      </w:r>
      <w:r w:rsidRPr="00785E1A">
        <w:rPr>
          <w:rFonts w:ascii="Arial" w:hAnsi="Arial" w:cs="Arial"/>
          <w:bCs/>
          <w:color w:val="000000"/>
          <w:sz w:val="20"/>
        </w:rPr>
        <w:t xml:space="preserve"> (2010) 43 Fam LR 234 at [32], a magistrate of the Children’s Court of New South Wales was held to have breached the rules of natural justice by not disqualifying herself from making orders when she had followed a procedure, in the best interests of the child, which created a reasonable apprehension of bias.</w:t>
      </w:r>
    </w:p>
    <w:p w14:paraId="5E340F3C" w14:textId="77777777" w:rsidR="00192251" w:rsidRPr="00785E1A" w:rsidRDefault="00192251" w:rsidP="00192251">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 xml:space="preserve">[147] The principle of the best interests of the child cannot override a legislative prohibition.  For example, the principle cannot be employed to make admissible in evidence admissions made in a counselling session which is confidential under a specific legislative provision: </w:t>
      </w:r>
      <w:r w:rsidRPr="00785E1A">
        <w:rPr>
          <w:rFonts w:ascii="Arial" w:hAnsi="Arial" w:cs="Arial"/>
          <w:bCs/>
          <w:i/>
          <w:color w:val="000000"/>
          <w:sz w:val="20"/>
        </w:rPr>
        <w:t>Centacare Central Queensland v G</w:t>
      </w:r>
      <w:r w:rsidRPr="00785E1A">
        <w:rPr>
          <w:rFonts w:ascii="Arial" w:hAnsi="Arial" w:cs="Arial"/>
          <w:bCs/>
          <w:color w:val="000000"/>
          <w:sz w:val="20"/>
        </w:rPr>
        <w:t xml:space="preserve"> (1998) 146 FLR 252, 264; approved </w:t>
      </w:r>
      <w:r w:rsidRPr="00785E1A">
        <w:rPr>
          <w:rFonts w:ascii="Arial" w:hAnsi="Arial" w:cs="Arial"/>
          <w:bCs/>
          <w:i/>
          <w:color w:val="000000"/>
          <w:sz w:val="20"/>
        </w:rPr>
        <w:t>Northern Territory v GPAO</w:t>
      </w:r>
      <w:r w:rsidRPr="00785E1A">
        <w:rPr>
          <w:rFonts w:ascii="Arial" w:hAnsi="Arial" w:cs="Arial"/>
          <w:bCs/>
          <w:color w:val="000000"/>
          <w:sz w:val="20"/>
        </w:rPr>
        <w:t xml:space="preserve"> (1999) 196 CLR 553, 585 per Gleeson CJ and Gummow J.”</w:t>
      </w:r>
    </w:p>
    <w:p w14:paraId="0E395D72" w14:textId="77777777" w:rsidR="00046C07" w:rsidRPr="00785E1A" w:rsidRDefault="00046C07" w:rsidP="00046C07">
      <w:pPr>
        <w:jc w:val="both"/>
        <w:rPr>
          <w:rFonts w:ascii="Arial" w:hAnsi="Arial" w:cs="Arial"/>
          <w:bCs/>
          <w:color w:val="000000"/>
          <w:sz w:val="20"/>
        </w:rPr>
      </w:pPr>
    </w:p>
    <w:p w14:paraId="49C2A06D" w14:textId="77777777" w:rsidR="00563451" w:rsidRPr="00785E1A" w:rsidRDefault="00562644" w:rsidP="00046C07">
      <w:pPr>
        <w:jc w:val="both"/>
        <w:rPr>
          <w:rFonts w:ascii="Arial" w:hAnsi="Arial" w:cs="Arial"/>
          <w:bCs/>
          <w:color w:val="000000"/>
          <w:sz w:val="20"/>
        </w:rPr>
      </w:pPr>
      <w:r w:rsidRPr="00785E1A">
        <w:rPr>
          <w:rFonts w:ascii="Arial" w:hAnsi="Arial" w:cs="Arial"/>
          <w:bCs/>
          <w:color w:val="000000"/>
          <w:sz w:val="20"/>
        </w:rPr>
        <w:t xml:space="preserve">In </w:t>
      </w:r>
      <w:r w:rsidRPr="00785E1A">
        <w:rPr>
          <w:rFonts w:ascii="Arial" w:hAnsi="Arial" w:cs="Arial"/>
          <w:color w:val="000000"/>
          <w:sz w:val="20"/>
        </w:rPr>
        <w:t>endorsing the decision of the Children’s Court Magistrate to revoke the custody to Secretary orders without hearing evidence in the traditional way</w:t>
      </w:r>
      <w:r w:rsidRPr="00785E1A">
        <w:rPr>
          <w:rFonts w:ascii="Arial" w:hAnsi="Arial" w:cs="Arial"/>
          <w:bCs/>
          <w:color w:val="000000"/>
          <w:sz w:val="20"/>
        </w:rPr>
        <w:t xml:space="preserve">, </w:t>
      </w:r>
      <w:r w:rsidR="00563451" w:rsidRPr="00785E1A">
        <w:rPr>
          <w:rFonts w:ascii="Arial" w:hAnsi="Arial" w:cs="Arial"/>
          <w:bCs/>
          <w:color w:val="000000"/>
          <w:sz w:val="20"/>
        </w:rPr>
        <w:t>his Honour concluded</w:t>
      </w:r>
      <w:r w:rsidRPr="00785E1A">
        <w:rPr>
          <w:rFonts w:ascii="Arial" w:hAnsi="Arial" w:cs="Arial"/>
          <w:bCs/>
          <w:color w:val="000000"/>
          <w:sz w:val="20"/>
        </w:rPr>
        <w:t xml:space="preserve"> at [280]-[283]</w:t>
      </w:r>
      <w:r w:rsidR="00563451" w:rsidRPr="00785E1A">
        <w:rPr>
          <w:rFonts w:ascii="Arial" w:hAnsi="Arial" w:cs="Arial"/>
          <w:bCs/>
          <w:color w:val="000000"/>
          <w:sz w:val="20"/>
        </w:rPr>
        <w:t>:</w:t>
      </w:r>
    </w:p>
    <w:p w14:paraId="4A915069" w14:textId="77777777" w:rsidR="00562644" w:rsidRPr="00785E1A" w:rsidRDefault="00562644" w:rsidP="00563451">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[280] “</w:t>
      </w:r>
      <w:r w:rsidR="00CF2B7F" w:rsidRPr="00785E1A">
        <w:rPr>
          <w:rFonts w:ascii="Arial" w:hAnsi="Arial" w:cs="Arial"/>
          <w:bCs/>
          <w:color w:val="000000"/>
          <w:sz w:val="20"/>
        </w:rPr>
        <w:t>[T]he information [before the magistrate] was sufficiently reliable and probative to form a proper basis for the magistrate’s decision.</w:t>
      </w:r>
    </w:p>
    <w:p w14:paraId="43C6ABAE" w14:textId="77777777" w:rsidR="00563451" w:rsidRPr="00785E1A" w:rsidRDefault="00EE02FD" w:rsidP="00563451">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 xml:space="preserve">[281] </w:t>
      </w:r>
      <w:r w:rsidR="00563451" w:rsidRPr="00785E1A">
        <w:rPr>
          <w:rFonts w:ascii="Arial" w:hAnsi="Arial" w:cs="Arial"/>
          <w:bCs/>
          <w:color w:val="000000"/>
          <w:sz w:val="20"/>
        </w:rPr>
        <w:t xml:space="preserve">The </w:t>
      </w:r>
      <w:r w:rsidR="00563451" w:rsidRPr="00785E1A">
        <w:rPr>
          <w:rFonts w:ascii="Arial" w:hAnsi="Arial" w:cs="Arial"/>
          <w:bCs/>
          <w:i/>
          <w:color w:val="000000"/>
          <w:sz w:val="20"/>
        </w:rPr>
        <w:t>Children, Youth and Families Act 2005</w:t>
      </w:r>
      <w:r w:rsidR="00563451" w:rsidRPr="00785E1A">
        <w:rPr>
          <w:rFonts w:ascii="Arial" w:hAnsi="Arial" w:cs="Arial"/>
          <w:bCs/>
          <w:color w:val="000000"/>
          <w:sz w:val="20"/>
        </w:rPr>
        <w:t xml:space="preserve"> requires the court to have regard to the best interests of the child as the paramount consideration.  In my view, that consideration not only governs the orders which the court can make in the Family Division.  It also governs the procedures which should be followed in protection proceedings in that division, which must also be fair to all of the parties.”</w:t>
      </w:r>
    </w:p>
    <w:p w14:paraId="37B4FC64" w14:textId="77777777" w:rsidR="00EE02FD" w:rsidRPr="00785E1A" w:rsidRDefault="00EE02FD" w:rsidP="00563451">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 xml:space="preserve">[282] </w:t>
      </w:r>
      <w:r w:rsidR="00397F16" w:rsidRPr="00785E1A">
        <w:rPr>
          <w:rFonts w:ascii="Arial" w:hAnsi="Arial" w:cs="Arial"/>
          <w:bCs/>
          <w:color w:val="000000"/>
          <w:sz w:val="20"/>
        </w:rPr>
        <w:t xml:space="preserve">The legislation gives the court a wide discretion as to the procedure which can be adopted in protection proceedings.  </w:t>
      </w:r>
      <w:r w:rsidR="00562644" w:rsidRPr="00785E1A">
        <w:rPr>
          <w:rFonts w:ascii="Arial" w:hAnsi="Arial" w:cs="Arial"/>
          <w:bCs/>
          <w:color w:val="000000"/>
          <w:sz w:val="20"/>
        </w:rPr>
        <w:t xml:space="preserve">The court is required to conduct </w:t>
      </w:r>
      <w:r w:rsidR="00CF2B7F" w:rsidRPr="00785E1A">
        <w:rPr>
          <w:rFonts w:ascii="Arial" w:hAnsi="Arial" w:cs="Arial"/>
          <w:bCs/>
          <w:color w:val="000000"/>
          <w:sz w:val="20"/>
        </w:rPr>
        <w:t xml:space="preserve">such proceedings in an informal manner and is permitted to inform itself as it sees fit, despite any rules of evidence to the contrary.  These procedural powers enable the court, in its discretion, to conduct protection proceedings in a flexible manner, without legal forms and in the best interest of the child.  In appropriate cases, </w:t>
      </w:r>
      <w:r w:rsidR="00CF2B7F" w:rsidRPr="00785E1A">
        <w:rPr>
          <w:rFonts w:ascii="Arial" w:hAnsi="Arial" w:cs="Arial"/>
          <w:bCs/>
          <w:color w:val="000000"/>
          <w:sz w:val="20"/>
        </w:rPr>
        <w:lastRenderedPageBreak/>
        <w:t>including in revocation proceedings, conducting a submissions contest hearing which is fair to all of the parties falls within the zone of that discretion.</w:t>
      </w:r>
    </w:p>
    <w:p w14:paraId="35435B6D" w14:textId="77777777" w:rsidR="00CF2B7F" w:rsidRPr="00785E1A" w:rsidRDefault="00CF2B7F" w:rsidP="00563451">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 xml:space="preserve">[283] The procedural powers of the court are not absolute.  The court must observe the rules of natural justice and act compatibly with the human right of children, parents and potentially others to a fair hearing </w:t>
      </w:r>
      <w:r w:rsidR="003D6604" w:rsidRPr="00785E1A">
        <w:rPr>
          <w:rFonts w:ascii="Arial" w:hAnsi="Arial" w:cs="Arial"/>
          <w:bCs/>
          <w:color w:val="000000"/>
          <w:sz w:val="20"/>
        </w:rPr>
        <w:t xml:space="preserve">under s.24(1) of the </w:t>
      </w:r>
      <w:r w:rsidR="003D6604" w:rsidRPr="00785E1A">
        <w:rPr>
          <w:rFonts w:ascii="Arial" w:hAnsi="Arial" w:cs="Arial"/>
          <w:bCs/>
          <w:i/>
          <w:color w:val="000000"/>
          <w:sz w:val="20"/>
        </w:rPr>
        <w:t>Charter of Human Rights and Responsibilities Act 2006</w:t>
      </w:r>
      <w:r w:rsidR="003D6604" w:rsidRPr="00785E1A">
        <w:rPr>
          <w:rFonts w:ascii="Arial" w:hAnsi="Arial" w:cs="Arial"/>
          <w:bCs/>
          <w:color w:val="000000"/>
          <w:sz w:val="20"/>
        </w:rPr>
        <w:t xml:space="preserve">.  It must respect the </w:t>
      </w:r>
      <w:r w:rsidR="005D33AE" w:rsidRPr="00785E1A">
        <w:rPr>
          <w:rFonts w:ascii="Arial" w:hAnsi="Arial" w:cs="Arial"/>
          <w:bCs/>
          <w:color w:val="000000"/>
          <w:sz w:val="20"/>
        </w:rPr>
        <w:t>important function of the Secretary under the Children, Youth and Families Act, including her role as a protective intervener, and her position as a statutory party.  In the present case, adopting the submissions contest procedure was open to the court in the best interests of the children and did not breach the procedural rights of the Secretary or any other party.”</w:t>
      </w:r>
    </w:p>
    <w:p w14:paraId="741728EE" w14:textId="77777777" w:rsidR="00D6007D" w:rsidRPr="00D00CAA" w:rsidRDefault="00D6007D" w:rsidP="00C75CA9">
      <w:pPr>
        <w:jc w:val="both"/>
        <w:rPr>
          <w:rFonts w:ascii="Arial" w:hAnsi="Arial" w:cs="Arial"/>
          <w:bCs/>
          <w:color w:val="000000"/>
          <w:sz w:val="20"/>
        </w:rPr>
      </w:pPr>
    </w:p>
    <w:p w14:paraId="378A257A" w14:textId="77777777" w:rsidR="00C46E65" w:rsidRPr="009E171F" w:rsidRDefault="00E53F32" w:rsidP="00C75CA9">
      <w:pPr>
        <w:jc w:val="both"/>
        <w:rPr>
          <w:rFonts w:ascii="Arial" w:hAnsi="Arial" w:cs="Arial"/>
          <w:bCs/>
          <w:color w:val="000000"/>
          <w:sz w:val="20"/>
        </w:rPr>
      </w:pPr>
      <w:r w:rsidRPr="009E171F">
        <w:rPr>
          <w:rFonts w:ascii="Arial" w:hAnsi="Arial" w:cs="Arial"/>
          <w:bCs/>
          <w:color w:val="000000"/>
          <w:sz w:val="20"/>
        </w:rPr>
        <w:t>However, i</w:t>
      </w:r>
      <w:r w:rsidR="00C46E65" w:rsidRPr="009E171F">
        <w:rPr>
          <w:rFonts w:ascii="Arial" w:hAnsi="Arial" w:cs="Arial"/>
          <w:bCs/>
          <w:color w:val="000000"/>
          <w:sz w:val="20"/>
        </w:rPr>
        <w:t xml:space="preserve">n </w:t>
      </w:r>
      <w:r w:rsidR="00C46E65" w:rsidRPr="009E171F">
        <w:rPr>
          <w:rFonts w:ascii="Arial" w:hAnsi="Arial" w:cs="Arial"/>
          <w:bCs/>
          <w:i/>
          <w:color w:val="000000"/>
          <w:sz w:val="20"/>
        </w:rPr>
        <w:t>DOHS v Children’s Court</w:t>
      </w:r>
      <w:r w:rsidR="009E171F" w:rsidRPr="009E171F">
        <w:rPr>
          <w:rFonts w:ascii="Arial" w:hAnsi="Arial" w:cs="Arial"/>
          <w:bCs/>
          <w:i/>
          <w:color w:val="000000"/>
          <w:sz w:val="20"/>
        </w:rPr>
        <w:t xml:space="preserve"> of Victoria</w:t>
      </w:r>
      <w:r w:rsidR="00C46E65" w:rsidRPr="009E171F">
        <w:rPr>
          <w:rFonts w:ascii="Arial" w:hAnsi="Arial" w:cs="Arial"/>
          <w:bCs/>
          <w:i/>
          <w:color w:val="000000"/>
          <w:sz w:val="20"/>
        </w:rPr>
        <w:t xml:space="preserve"> &amp; Ors</w:t>
      </w:r>
      <w:r w:rsidR="00C46E65" w:rsidRPr="009E171F">
        <w:rPr>
          <w:rFonts w:ascii="Arial" w:hAnsi="Arial" w:cs="Arial"/>
          <w:bCs/>
          <w:color w:val="000000"/>
          <w:sz w:val="20"/>
        </w:rPr>
        <w:t xml:space="preserve"> [2012] VSC </w:t>
      </w:r>
      <w:r w:rsidR="00F81051" w:rsidRPr="009E171F">
        <w:rPr>
          <w:rFonts w:ascii="Arial" w:hAnsi="Arial" w:cs="Arial"/>
          <w:bCs/>
          <w:color w:val="000000"/>
          <w:sz w:val="20"/>
        </w:rPr>
        <w:t xml:space="preserve">422 </w:t>
      </w:r>
      <w:r w:rsidR="0051174D" w:rsidRPr="009E171F">
        <w:rPr>
          <w:rFonts w:ascii="Arial" w:hAnsi="Arial" w:cs="Arial"/>
          <w:bCs/>
          <w:color w:val="000000"/>
          <w:sz w:val="20"/>
        </w:rPr>
        <w:t xml:space="preserve">a magistrate </w:t>
      </w:r>
      <w:r w:rsidRPr="009E171F">
        <w:rPr>
          <w:rFonts w:ascii="Arial" w:hAnsi="Arial" w:cs="Arial"/>
          <w:bCs/>
          <w:color w:val="000000"/>
          <w:sz w:val="20"/>
        </w:rPr>
        <w:t xml:space="preserve">had </w:t>
      </w:r>
      <w:r w:rsidR="0051174D" w:rsidRPr="009E171F">
        <w:rPr>
          <w:rFonts w:ascii="Arial" w:hAnsi="Arial" w:cs="Arial"/>
          <w:bCs/>
          <w:color w:val="000000"/>
          <w:sz w:val="20"/>
        </w:rPr>
        <w:t>varied a custody to Secretary orde</w:t>
      </w:r>
      <w:r w:rsidR="000E7A31" w:rsidRPr="009E171F">
        <w:rPr>
          <w:rFonts w:ascii="Arial" w:hAnsi="Arial" w:cs="Arial"/>
          <w:bCs/>
          <w:color w:val="000000"/>
          <w:sz w:val="20"/>
        </w:rPr>
        <w:t xml:space="preserve">r by adding conditions for </w:t>
      </w:r>
      <w:r w:rsidR="00502296" w:rsidRPr="001E38BA">
        <w:rPr>
          <w:rFonts w:ascii="Arial" w:hAnsi="Arial" w:cs="Arial"/>
          <w:bCs/>
          <w:color w:val="000000"/>
          <w:sz w:val="20"/>
        </w:rPr>
        <w:t>contact</w:t>
      </w:r>
      <w:r w:rsidR="0051174D" w:rsidRPr="001E38BA">
        <w:rPr>
          <w:rFonts w:ascii="Arial" w:hAnsi="Arial" w:cs="Arial"/>
          <w:bCs/>
          <w:color w:val="000000"/>
          <w:sz w:val="20"/>
        </w:rPr>
        <w:t xml:space="preserve"> by a cousin and a grandmother after </w:t>
      </w:r>
      <w:r w:rsidR="001B168F" w:rsidRPr="001E38BA">
        <w:rPr>
          <w:rFonts w:ascii="Arial" w:hAnsi="Arial" w:cs="Arial"/>
          <w:bCs/>
          <w:color w:val="000000"/>
          <w:sz w:val="20"/>
        </w:rPr>
        <w:t xml:space="preserve">a submissions </w:t>
      </w:r>
      <w:r w:rsidR="0051174D" w:rsidRPr="001E38BA">
        <w:rPr>
          <w:rFonts w:ascii="Arial" w:hAnsi="Arial" w:cs="Arial"/>
          <w:bCs/>
          <w:color w:val="000000"/>
          <w:sz w:val="20"/>
        </w:rPr>
        <w:t xml:space="preserve">hearing.  Counsel for </w:t>
      </w:r>
      <w:r w:rsidR="001B168F" w:rsidRPr="001E38BA">
        <w:rPr>
          <w:rFonts w:ascii="Arial" w:hAnsi="Arial" w:cs="Arial"/>
          <w:bCs/>
          <w:color w:val="000000"/>
          <w:sz w:val="20"/>
        </w:rPr>
        <w:t xml:space="preserve">DOHS </w:t>
      </w:r>
      <w:r w:rsidR="0051174D" w:rsidRPr="001E38BA">
        <w:rPr>
          <w:rFonts w:ascii="Arial" w:hAnsi="Arial" w:cs="Arial"/>
          <w:bCs/>
          <w:color w:val="000000"/>
          <w:sz w:val="20"/>
        </w:rPr>
        <w:t xml:space="preserve">had </w:t>
      </w:r>
      <w:r w:rsidR="001B168F" w:rsidRPr="001E38BA">
        <w:rPr>
          <w:rFonts w:ascii="Arial" w:hAnsi="Arial" w:cs="Arial"/>
          <w:bCs/>
          <w:color w:val="000000"/>
          <w:sz w:val="20"/>
        </w:rPr>
        <w:t>forcefully</w:t>
      </w:r>
      <w:r w:rsidR="0051174D" w:rsidRPr="001E38BA">
        <w:rPr>
          <w:rFonts w:ascii="Arial" w:hAnsi="Arial" w:cs="Arial"/>
          <w:bCs/>
          <w:color w:val="000000"/>
          <w:sz w:val="20"/>
        </w:rPr>
        <w:t xml:space="preserve"> opposed this course, noting that she had two witnesses in court who could give relevant evidence.  The pressure of other court business did not permit this case to be heard by evidence that day or indeed for some months.  In</w:t>
      </w:r>
      <w:r w:rsidR="00A976E1" w:rsidRPr="001E38BA">
        <w:rPr>
          <w:rFonts w:ascii="Arial" w:hAnsi="Arial" w:cs="Arial"/>
          <w:bCs/>
          <w:color w:val="000000"/>
          <w:sz w:val="20"/>
        </w:rPr>
        <w:t> </w:t>
      </w:r>
      <w:r w:rsidR="0051174D" w:rsidRPr="001E38BA">
        <w:rPr>
          <w:rFonts w:ascii="Arial" w:hAnsi="Arial" w:cs="Arial"/>
          <w:bCs/>
          <w:color w:val="000000"/>
          <w:sz w:val="20"/>
        </w:rPr>
        <w:t xml:space="preserve">allowing the Department’s application for judicial review, </w:t>
      </w:r>
      <w:r w:rsidR="00F81051" w:rsidRPr="001E38BA">
        <w:rPr>
          <w:rFonts w:ascii="Arial" w:hAnsi="Arial" w:cs="Arial"/>
          <w:bCs/>
          <w:color w:val="000000"/>
          <w:sz w:val="20"/>
        </w:rPr>
        <w:t xml:space="preserve">Dixon J distinguished </w:t>
      </w:r>
      <w:r w:rsidR="00F81051" w:rsidRPr="001E38BA">
        <w:rPr>
          <w:rFonts w:ascii="Arial" w:hAnsi="Arial" w:cs="Arial"/>
          <w:bCs/>
          <w:i/>
          <w:color w:val="000000"/>
          <w:sz w:val="20"/>
        </w:rPr>
        <w:t>Sanding’s Case</w:t>
      </w:r>
      <w:r w:rsidR="00F81051" w:rsidRPr="001E38BA">
        <w:rPr>
          <w:rFonts w:ascii="Arial" w:hAnsi="Arial" w:cs="Arial"/>
          <w:bCs/>
          <w:color w:val="000000"/>
          <w:sz w:val="20"/>
        </w:rPr>
        <w:t xml:space="preserve">, holding that </w:t>
      </w:r>
      <w:r w:rsidR="001B168F" w:rsidRPr="001E38BA">
        <w:rPr>
          <w:rFonts w:ascii="Arial" w:hAnsi="Arial" w:cs="Arial"/>
          <w:bCs/>
          <w:color w:val="000000"/>
          <w:sz w:val="20"/>
        </w:rPr>
        <w:t xml:space="preserve">the Department had been denied procedural fairness and adding that there </w:t>
      </w:r>
      <w:r w:rsidR="000E7A31" w:rsidRPr="001E38BA">
        <w:rPr>
          <w:rFonts w:ascii="Arial" w:hAnsi="Arial" w:cs="Arial"/>
          <w:bCs/>
          <w:color w:val="000000"/>
          <w:sz w:val="20"/>
        </w:rPr>
        <w:t>“</w:t>
      </w:r>
      <w:r w:rsidR="001B168F" w:rsidRPr="001E38BA">
        <w:rPr>
          <w:rFonts w:ascii="Arial" w:hAnsi="Arial" w:cs="Arial"/>
          <w:bCs/>
          <w:color w:val="000000"/>
          <w:sz w:val="20"/>
        </w:rPr>
        <w:t>was clearly a significant risk for the child’s welfare through destabilization of his pla</w:t>
      </w:r>
      <w:r w:rsidR="000E7A31" w:rsidRPr="001E38BA">
        <w:rPr>
          <w:rFonts w:ascii="Arial" w:hAnsi="Arial" w:cs="Arial"/>
          <w:bCs/>
          <w:color w:val="000000"/>
          <w:sz w:val="20"/>
        </w:rPr>
        <w:t>c</w:t>
      </w:r>
      <w:r w:rsidR="001B168F" w:rsidRPr="001E38BA">
        <w:rPr>
          <w:rFonts w:ascii="Arial" w:hAnsi="Arial" w:cs="Arial"/>
          <w:bCs/>
          <w:color w:val="000000"/>
          <w:sz w:val="20"/>
        </w:rPr>
        <w:t xml:space="preserve">ement </w:t>
      </w:r>
      <w:r w:rsidR="000E7A31" w:rsidRPr="001E38BA">
        <w:rPr>
          <w:rFonts w:ascii="Arial" w:hAnsi="Arial" w:cs="Arial"/>
          <w:bCs/>
          <w:color w:val="000000"/>
          <w:sz w:val="20"/>
        </w:rPr>
        <w:t xml:space="preserve">with a long term carer through extended </w:t>
      </w:r>
      <w:r w:rsidR="00502296" w:rsidRPr="001E38BA">
        <w:rPr>
          <w:rFonts w:ascii="Arial" w:hAnsi="Arial" w:cs="Arial"/>
          <w:bCs/>
          <w:color w:val="000000"/>
          <w:sz w:val="20"/>
        </w:rPr>
        <w:t>[contact with]</w:t>
      </w:r>
      <w:r w:rsidR="000E7A31" w:rsidRPr="009E171F">
        <w:rPr>
          <w:rFonts w:ascii="Arial" w:hAnsi="Arial" w:cs="Arial"/>
          <w:bCs/>
          <w:color w:val="000000"/>
          <w:sz w:val="20"/>
        </w:rPr>
        <w:t xml:space="preserve"> different family members other than in accordance with a properly considered approach”.</w:t>
      </w:r>
    </w:p>
    <w:p w14:paraId="49CC8C44" w14:textId="77777777" w:rsidR="00C46E65" w:rsidRPr="009E171F" w:rsidRDefault="00C46E65" w:rsidP="00C75CA9">
      <w:pPr>
        <w:jc w:val="both"/>
        <w:rPr>
          <w:rFonts w:ascii="Arial" w:hAnsi="Arial" w:cs="Arial"/>
          <w:bCs/>
          <w:color w:val="000000"/>
          <w:sz w:val="20"/>
        </w:rPr>
      </w:pPr>
    </w:p>
    <w:p w14:paraId="472DE977" w14:textId="08C68AE2" w:rsidR="00693223" w:rsidRPr="00785E1A" w:rsidRDefault="00693223">
      <w:pPr>
        <w:pStyle w:val="Heading3"/>
        <w:keepNext/>
        <w:keepLines/>
        <w:spacing w:after="120" w:line="240" w:lineRule="auto"/>
        <w:rPr>
          <w:rFonts w:ascii="Arial" w:hAnsi="Arial" w:cs="Arial"/>
          <w:color w:val="000000"/>
          <w:sz w:val="20"/>
        </w:rPr>
      </w:pPr>
      <w:bookmarkStart w:id="1210" w:name="_4.8.4_Findings_on"/>
      <w:bookmarkStart w:id="1211" w:name="B484"/>
      <w:bookmarkEnd w:id="1210"/>
      <w:bookmarkEnd w:id="1211"/>
      <w:r w:rsidRPr="00785E1A">
        <w:rPr>
          <w:rFonts w:ascii="Arial" w:hAnsi="Arial" w:cs="Arial"/>
          <w:b/>
          <w:bCs/>
          <w:color w:val="000000"/>
          <w:sz w:val="20"/>
        </w:rPr>
        <w:t>4.8.</w:t>
      </w:r>
      <w:r w:rsidR="0026104F">
        <w:rPr>
          <w:rFonts w:ascii="Arial" w:hAnsi="Arial" w:cs="Arial"/>
          <w:b/>
          <w:bCs/>
          <w:color w:val="000000"/>
          <w:sz w:val="20"/>
        </w:rPr>
        <w:t>5</w:t>
      </w:r>
      <w:r w:rsidRPr="00785E1A">
        <w:rPr>
          <w:rFonts w:ascii="Arial" w:hAnsi="Arial" w:cs="Arial"/>
          <w:b/>
          <w:bCs/>
          <w:color w:val="000000"/>
          <w:sz w:val="20"/>
        </w:rPr>
        <w:tab/>
        <w:t>Findings on balance of probabilities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14:paraId="6B8253D4" w14:textId="54F5BD47" w:rsidR="00135B61" w:rsidRPr="00135B61" w:rsidRDefault="00771977" w:rsidP="00135B61">
      <w:pPr>
        <w:spacing w:before="20" w:after="20"/>
        <w:jc w:val="both"/>
        <w:rPr>
          <w:rFonts w:ascii="Arial" w:hAnsi="Arial" w:cs="Arial"/>
        </w:rPr>
      </w:pPr>
      <w:r>
        <w:rPr>
          <w:rFonts w:ascii="Arial" w:hAnsi="Arial" w:cs="Arial"/>
          <w:sz w:val="20"/>
        </w:rPr>
        <w:t xml:space="preserve">Section </w:t>
      </w:r>
      <w:r w:rsidR="001E38BA">
        <w:rPr>
          <w:rFonts w:ascii="Arial" w:hAnsi="Arial" w:cs="Arial"/>
          <w:sz w:val="20"/>
        </w:rPr>
        <w:t>215A of the CYFA – which replace</w:t>
      </w:r>
      <w:r>
        <w:rPr>
          <w:rFonts w:ascii="Arial" w:hAnsi="Arial" w:cs="Arial"/>
          <w:sz w:val="20"/>
        </w:rPr>
        <w:t>d</w:t>
      </w:r>
      <w:r w:rsidR="001E38BA">
        <w:rPr>
          <w:rFonts w:ascii="Arial" w:hAnsi="Arial" w:cs="Arial"/>
          <w:sz w:val="20"/>
        </w:rPr>
        <w:t xml:space="preserve"> s.215(1)(c)</w:t>
      </w:r>
      <w:r>
        <w:rPr>
          <w:rFonts w:ascii="Arial" w:hAnsi="Arial" w:cs="Arial"/>
          <w:sz w:val="20"/>
        </w:rPr>
        <w:t xml:space="preserve"> in 2013</w:t>
      </w:r>
      <w:r w:rsidR="001E38BA">
        <w:rPr>
          <w:rFonts w:ascii="Arial" w:hAnsi="Arial" w:cs="Arial"/>
          <w:sz w:val="20"/>
        </w:rPr>
        <w:t xml:space="preserve"> – provides that the </w:t>
      </w:r>
      <w:r w:rsidR="003C09B3">
        <w:rPr>
          <w:rFonts w:ascii="Arial" w:hAnsi="Arial" w:cs="Arial"/>
          <w:sz w:val="20"/>
        </w:rPr>
        <w:t>“</w:t>
      </w:r>
      <w:r w:rsidR="001E38BA">
        <w:rPr>
          <w:rFonts w:ascii="Arial" w:hAnsi="Arial" w:cs="Arial"/>
          <w:sz w:val="20"/>
        </w:rPr>
        <w:t xml:space="preserve">standard of proof of any fact in an application under </w:t>
      </w:r>
      <w:r w:rsidR="003C09B3">
        <w:rPr>
          <w:rFonts w:ascii="Arial" w:hAnsi="Arial" w:cs="Arial"/>
          <w:sz w:val="20"/>
        </w:rPr>
        <w:t>[</w:t>
      </w:r>
      <w:r w:rsidR="001E38BA">
        <w:rPr>
          <w:rFonts w:ascii="Arial" w:hAnsi="Arial" w:cs="Arial"/>
          <w:sz w:val="20"/>
        </w:rPr>
        <w:t>the CYFA</w:t>
      </w:r>
      <w:r w:rsidR="003C09B3">
        <w:rPr>
          <w:rFonts w:ascii="Arial" w:hAnsi="Arial" w:cs="Arial"/>
          <w:sz w:val="20"/>
        </w:rPr>
        <w:t>]</w:t>
      </w:r>
      <w:r w:rsidR="001E38BA">
        <w:rPr>
          <w:rFonts w:ascii="Arial" w:hAnsi="Arial" w:cs="Arial"/>
          <w:sz w:val="20"/>
        </w:rPr>
        <w:t xml:space="preserve"> in the Family Division i</w:t>
      </w:r>
      <w:r w:rsidR="003C09B3">
        <w:rPr>
          <w:rFonts w:ascii="Arial" w:hAnsi="Arial" w:cs="Arial"/>
          <w:sz w:val="20"/>
          <w:szCs w:val="20"/>
        </w:rPr>
        <w:t>s the balance of probabilities.”</w:t>
      </w:r>
      <w:r>
        <w:rPr>
          <w:rFonts w:ascii="Arial" w:hAnsi="Arial" w:cs="Arial"/>
          <w:sz w:val="20"/>
          <w:szCs w:val="20"/>
        </w:rPr>
        <w:t xml:space="preserve">  For </w:t>
      </w:r>
      <w:r w:rsidR="00135B61">
        <w:rPr>
          <w:rFonts w:ascii="Arial" w:hAnsi="Arial" w:cs="Arial"/>
          <w:sz w:val="20"/>
          <w:szCs w:val="20"/>
        </w:rPr>
        <w:t xml:space="preserve">a </w:t>
      </w:r>
      <w:r>
        <w:rPr>
          <w:rFonts w:ascii="Arial" w:hAnsi="Arial" w:cs="Arial"/>
          <w:sz w:val="20"/>
          <w:szCs w:val="20"/>
        </w:rPr>
        <w:t xml:space="preserve">discussion of </w:t>
      </w:r>
      <w:r w:rsidR="00135B61">
        <w:rPr>
          <w:rFonts w:ascii="Arial" w:hAnsi="Arial" w:cs="Arial"/>
          <w:sz w:val="20"/>
          <w:szCs w:val="20"/>
        </w:rPr>
        <w:t xml:space="preserve">some of the caselaw on “balance of probabilities” see </w:t>
      </w:r>
      <w:r w:rsidR="00135B61" w:rsidRPr="003B600E">
        <w:rPr>
          <w:rFonts w:ascii="Arial" w:hAnsi="Arial" w:cs="Arial"/>
          <w:b/>
          <w:bCs/>
          <w:sz w:val="20"/>
          <w:shd w:val="clear" w:color="auto" w:fill="C5E0B3"/>
        </w:rPr>
        <w:t>subsections 3.5.3.</w:t>
      </w:r>
      <w:r w:rsidR="0061127C" w:rsidRPr="003B600E">
        <w:rPr>
          <w:rFonts w:ascii="Arial" w:hAnsi="Arial" w:cs="Arial"/>
          <w:b/>
          <w:bCs/>
          <w:sz w:val="20"/>
          <w:shd w:val="clear" w:color="auto" w:fill="C5E0B3"/>
        </w:rPr>
        <w:t>8</w:t>
      </w:r>
      <w:r w:rsidR="00135B61" w:rsidRPr="003B600E">
        <w:rPr>
          <w:rFonts w:ascii="Arial" w:hAnsi="Arial" w:cs="Arial"/>
          <w:b/>
          <w:bCs/>
          <w:sz w:val="20"/>
          <w:shd w:val="clear" w:color="auto" w:fill="C5E0B3"/>
        </w:rPr>
        <w:t xml:space="preserve"> &amp; 3.5.6.1</w:t>
      </w:r>
      <w:r w:rsidR="00135B61">
        <w:rPr>
          <w:rFonts w:ascii="Arial" w:hAnsi="Arial" w:cs="Arial"/>
          <w:sz w:val="20"/>
        </w:rPr>
        <w:t>.</w:t>
      </w:r>
    </w:p>
    <w:p w14:paraId="218250C0" w14:textId="77777777" w:rsidR="003C09B3" w:rsidRDefault="003C09B3">
      <w:pPr>
        <w:jc w:val="both"/>
        <w:rPr>
          <w:rFonts w:ascii="Arial" w:hAnsi="Arial" w:cs="Arial"/>
          <w:sz w:val="20"/>
          <w:szCs w:val="20"/>
        </w:rPr>
      </w:pPr>
    </w:p>
    <w:p w14:paraId="1F608C3A" w14:textId="77777777" w:rsidR="003C09B3" w:rsidRDefault="003C09B3">
      <w:pPr>
        <w:jc w:val="both"/>
        <w:rPr>
          <w:rFonts w:ascii="Arial" w:hAnsi="Arial" w:cs="Arial"/>
          <w:sz w:val="20"/>
          <w:szCs w:val="20"/>
        </w:rPr>
      </w:pPr>
      <w:r w:rsidRPr="003C09B3">
        <w:rPr>
          <w:rFonts w:ascii="Arial" w:hAnsi="Arial" w:cs="Arial"/>
          <w:color w:val="000000"/>
          <w:sz w:val="20"/>
          <w:szCs w:val="20"/>
        </w:rPr>
        <w:t>Applications under the</w:t>
      </w:r>
      <w:r>
        <w:rPr>
          <w:rFonts w:ascii="Arial" w:hAnsi="Arial" w:cs="Arial"/>
          <w:color w:val="000000"/>
          <w:sz w:val="20"/>
          <w:szCs w:val="20"/>
        </w:rPr>
        <w:t xml:space="preserve"> </w:t>
      </w:r>
      <w:r w:rsidRPr="006C72B1">
        <w:rPr>
          <w:rFonts w:ascii="Arial" w:hAnsi="Arial" w:cs="Arial"/>
          <w:color w:val="000000"/>
          <w:sz w:val="20"/>
          <w:szCs w:val="20"/>
          <w:u w:val="single"/>
        </w:rPr>
        <w:t>Family Violence Protection Act 2008 (Vic)</w:t>
      </w:r>
      <w:r>
        <w:rPr>
          <w:rFonts w:ascii="Arial" w:hAnsi="Arial" w:cs="Arial"/>
          <w:color w:val="000000"/>
          <w:sz w:val="20"/>
          <w:szCs w:val="20"/>
        </w:rPr>
        <w:t xml:space="preserve"> and the </w:t>
      </w:r>
      <w:r w:rsidRPr="006C72B1">
        <w:rPr>
          <w:rFonts w:ascii="Arial" w:hAnsi="Arial" w:cs="Arial"/>
          <w:color w:val="000000"/>
          <w:sz w:val="20"/>
          <w:szCs w:val="20"/>
          <w:u w:val="single"/>
        </w:rPr>
        <w:t>Personal Safety Intervention Orders Act 2010 (Vic)</w:t>
      </w:r>
      <w:r>
        <w:rPr>
          <w:rFonts w:ascii="Arial" w:hAnsi="Arial" w:cs="Arial"/>
          <w:color w:val="000000"/>
          <w:sz w:val="20"/>
          <w:szCs w:val="20"/>
        </w:rPr>
        <w:t xml:space="preserve"> [excluding contravention applications] are also heard in the Family Division.  </w:t>
      </w:r>
      <w:r w:rsidR="006C72B1">
        <w:rPr>
          <w:rFonts w:ascii="Arial" w:hAnsi="Arial" w:cs="Arial"/>
          <w:color w:val="000000"/>
          <w:sz w:val="20"/>
          <w:szCs w:val="20"/>
        </w:rPr>
        <w:t xml:space="preserve">Although s.215A of the CYFA does not in its terms apply to them, the balance of probabilities test </w:t>
      </w:r>
      <w:r w:rsidRPr="003C09B3">
        <w:rPr>
          <w:rFonts w:ascii="Arial" w:hAnsi="Arial" w:cs="Arial"/>
          <w:color w:val="000000"/>
          <w:sz w:val="20"/>
          <w:szCs w:val="20"/>
        </w:rPr>
        <w:t xml:space="preserve">is enshrined in all of the substantive provisions relating to the making or extension of intervention orders: see, for example, </w:t>
      </w:r>
      <w:r w:rsidR="006C72B1">
        <w:rPr>
          <w:rFonts w:ascii="Arial" w:hAnsi="Arial" w:cs="Arial"/>
          <w:color w:val="000000"/>
          <w:sz w:val="20"/>
          <w:szCs w:val="20"/>
        </w:rPr>
        <w:t>ss.53(1)(a), 74(1), 76(1)(b), 77(2) &amp; 106(2) of the FVPA and ss.35(1)(a), 61(1) &amp; 83(2) of the PSIA.</w:t>
      </w:r>
    </w:p>
    <w:p w14:paraId="55F04291" w14:textId="77777777" w:rsidR="003C09B3" w:rsidRDefault="003C09B3">
      <w:pPr>
        <w:jc w:val="both"/>
        <w:rPr>
          <w:rFonts w:ascii="Arial" w:hAnsi="Arial" w:cs="Arial"/>
          <w:sz w:val="20"/>
          <w:szCs w:val="20"/>
        </w:rPr>
      </w:pPr>
    </w:p>
    <w:p w14:paraId="7D36A909" w14:textId="77777777" w:rsidR="00315D52" w:rsidRDefault="003C09B3">
      <w:pPr>
        <w:jc w:val="both"/>
        <w:rPr>
          <w:rFonts w:ascii="Arial" w:hAnsi="Arial" w:cs="Arial"/>
          <w:sz w:val="20"/>
        </w:rPr>
      </w:pPr>
      <w:r>
        <w:rPr>
          <w:rFonts w:ascii="Arial" w:hAnsi="Arial" w:cs="Arial"/>
          <w:sz w:val="20"/>
          <w:szCs w:val="20"/>
        </w:rPr>
        <w:t>It is said that t</w:t>
      </w:r>
      <w:r w:rsidR="001E38BA" w:rsidRPr="001E38BA">
        <w:rPr>
          <w:rFonts w:ascii="Arial" w:hAnsi="Arial" w:cs="Arial"/>
          <w:sz w:val="20"/>
          <w:szCs w:val="20"/>
        </w:rPr>
        <w:t xml:space="preserve">he </w:t>
      </w:r>
      <w:r w:rsidR="001E38BA" w:rsidRPr="001E38BA">
        <w:rPr>
          <w:rFonts w:ascii="Arial" w:hAnsi="Arial" w:cs="Arial"/>
          <w:color w:val="000000"/>
          <w:sz w:val="20"/>
          <w:szCs w:val="20"/>
        </w:rPr>
        <w:t xml:space="preserve">purpose of the </w:t>
      </w:r>
      <w:r>
        <w:rPr>
          <w:rFonts w:ascii="Arial" w:hAnsi="Arial" w:cs="Arial"/>
          <w:color w:val="000000"/>
          <w:sz w:val="20"/>
          <w:szCs w:val="20"/>
        </w:rPr>
        <w:t xml:space="preserve">introduction of s.215A </w:t>
      </w:r>
      <w:r w:rsidR="001E38BA" w:rsidRPr="001E38BA">
        <w:rPr>
          <w:rFonts w:ascii="Arial" w:hAnsi="Arial" w:cs="Arial"/>
          <w:color w:val="000000"/>
          <w:sz w:val="20"/>
          <w:szCs w:val="20"/>
        </w:rPr>
        <w:t xml:space="preserve">is to remove any suggestion that dicta from </w:t>
      </w:r>
      <w:proofErr w:type="spellStart"/>
      <w:r w:rsidR="001E38BA" w:rsidRPr="001E38BA">
        <w:rPr>
          <w:rFonts w:ascii="Arial" w:hAnsi="Arial" w:cs="Arial"/>
          <w:i/>
          <w:color w:val="000000"/>
          <w:sz w:val="20"/>
          <w:szCs w:val="20"/>
        </w:rPr>
        <w:t>Briginshaw</w:t>
      </w:r>
      <w:proofErr w:type="spellEnd"/>
      <w:r w:rsidR="001E38BA" w:rsidRPr="001E38BA">
        <w:rPr>
          <w:rFonts w:ascii="Arial" w:hAnsi="Arial" w:cs="Arial"/>
          <w:i/>
          <w:color w:val="000000"/>
          <w:sz w:val="20"/>
          <w:szCs w:val="20"/>
        </w:rPr>
        <w:t xml:space="preserve"> v </w:t>
      </w:r>
      <w:proofErr w:type="spellStart"/>
      <w:r w:rsidR="001E38BA" w:rsidRPr="001E38BA">
        <w:rPr>
          <w:rFonts w:ascii="Arial" w:hAnsi="Arial" w:cs="Arial"/>
          <w:i/>
          <w:color w:val="000000"/>
          <w:sz w:val="20"/>
          <w:szCs w:val="20"/>
        </w:rPr>
        <w:t>Briginshaw</w:t>
      </w:r>
      <w:proofErr w:type="spellEnd"/>
      <w:r w:rsidR="001E38BA" w:rsidRPr="001E38BA">
        <w:rPr>
          <w:rFonts w:ascii="Arial" w:hAnsi="Arial" w:cs="Arial"/>
          <w:color w:val="000000"/>
          <w:sz w:val="20"/>
          <w:szCs w:val="20"/>
        </w:rPr>
        <w:t xml:space="preserve"> (1938) 60 CLR 336 requires a higher standard of proof to be applied in certain child protection cases</w:t>
      </w:r>
      <w:r w:rsidR="006C72B1">
        <w:rPr>
          <w:rFonts w:ascii="Arial" w:hAnsi="Arial" w:cs="Arial"/>
          <w:color w:val="000000"/>
          <w:sz w:val="20"/>
          <w:szCs w:val="20"/>
        </w:rPr>
        <w:t xml:space="preserve">, especially cases in which it is alleged that </w:t>
      </w:r>
      <w:r w:rsidR="006C72B1">
        <w:rPr>
          <w:rFonts w:ascii="Arial" w:hAnsi="Arial" w:cs="Arial"/>
          <w:sz w:val="20"/>
        </w:rPr>
        <w:t xml:space="preserve">a child has suffered actual physical and/or sexual harm at the hands of some person.  </w:t>
      </w:r>
      <w:r w:rsidR="001E38BA">
        <w:rPr>
          <w:rFonts w:ascii="Arial" w:hAnsi="Arial" w:cs="Arial"/>
          <w:sz w:val="20"/>
        </w:rPr>
        <w:t>At p.362 Dixon J (as he then was) said-</w:t>
      </w:r>
    </w:p>
    <w:p w14:paraId="34FFC1D8" w14:textId="77777777" w:rsidR="001E38BA" w:rsidRDefault="001E38BA" w:rsidP="001E38BA">
      <w:pPr>
        <w:spacing w:before="60"/>
        <w:ind w:left="567" w:right="567"/>
        <w:jc w:val="both"/>
        <w:rPr>
          <w:rFonts w:ascii="Arial" w:hAnsi="Arial" w:cs="Arial"/>
          <w:bCs/>
          <w:sz w:val="20"/>
        </w:rPr>
      </w:pPr>
      <w:r>
        <w:rPr>
          <w:rFonts w:ascii="Arial" w:hAnsi="Arial" w:cs="Arial"/>
          <w:bCs/>
          <w:sz w:val="20"/>
        </w:rPr>
        <w:t>"</w:t>
      </w:r>
      <w:r>
        <w:rPr>
          <w:rFonts w:ascii="Arial" w:hAnsi="Arial" w:cs="Arial"/>
          <w:iCs/>
          <w:sz w:val="20"/>
        </w:rPr>
        <w:t>The seriousness of an allegation made, the inherent unlikeliness of an occurrence of a given description, or the gravity of the consequences flowing from a particular finding are considerations which must affect the answer to the question whether the issue has been proved to the reasonable satisfaction of the tribunal.  In such matters ‘reasonable satisfaction’ should not be produced by inexact proofs, indefinite testimony, or indirect references."</w:t>
      </w:r>
    </w:p>
    <w:p w14:paraId="52BC53CF" w14:textId="77777777" w:rsidR="001E38BA" w:rsidRDefault="001E38BA" w:rsidP="001E38BA">
      <w:pPr>
        <w:spacing w:before="120"/>
        <w:jc w:val="both"/>
        <w:rPr>
          <w:rFonts w:ascii="Arial" w:hAnsi="Arial" w:cs="Arial"/>
          <w:bCs/>
          <w:sz w:val="20"/>
        </w:rPr>
      </w:pPr>
      <w:r>
        <w:rPr>
          <w:rFonts w:ascii="Arial" w:hAnsi="Arial" w:cs="Arial"/>
          <w:sz w:val="20"/>
        </w:rPr>
        <w:t>And at p.343 Latham CJ said-</w:t>
      </w:r>
    </w:p>
    <w:p w14:paraId="1DE80BF6" w14:textId="77777777" w:rsidR="001E38BA" w:rsidRDefault="001E38BA" w:rsidP="001E38BA">
      <w:pPr>
        <w:spacing w:before="60"/>
        <w:ind w:left="567" w:right="567"/>
        <w:jc w:val="both"/>
        <w:rPr>
          <w:rFonts w:ascii="Arial" w:hAnsi="Arial" w:cs="Arial"/>
          <w:bCs/>
          <w:sz w:val="20"/>
        </w:rPr>
      </w:pPr>
      <w:r>
        <w:rPr>
          <w:rFonts w:ascii="Arial" w:hAnsi="Arial" w:cs="Arial"/>
          <w:bCs/>
          <w:sz w:val="20"/>
        </w:rPr>
        <w:t>"</w:t>
      </w:r>
      <w:smartTag w:uri="urn:schemas-microsoft-com:office:smarttags" w:element="Street">
        <w:smartTag w:uri="urn:schemas-microsoft-com:office:smarttags" w:element="address">
          <w:r>
            <w:rPr>
              <w:rFonts w:ascii="Arial" w:hAnsi="Arial" w:cs="Arial"/>
              <w:sz w:val="20"/>
            </w:rPr>
            <w:t>No Court</w:t>
          </w:r>
        </w:smartTag>
      </w:smartTag>
      <w:r>
        <w:rPr>
          <w:rFonts w:ascii="Arial" w:hAnsi="Arial" w:cs="Arial"/>
          <w:sz w:val="20"/>
        </w:rPr>
        <w:t xml:space="preserve"> should act upon mere suspicion, surmise or guesswork in any case.  In a civil case fair inference may justify a finding upon the basis of preponderance of probability.  The standard of proof required by a cautious and responsible tribunal will naturally vary in accordance with the seriousness or importance of the issue.”</w:t>
      </w:r>
    </w:p>
    <w:p w14:paraId="6A1F9516" w14:textId="77777777" w:rsidR="001E38BA" w:rsidRDefault="001E38BA" w:rsidP="001E38BA">
      <w:pPr>
        <w:jc w:val="both"/>
        <w:rPr>
          <w:rFonts w:ascii="Arial" w:hAnsi="Arial" w:cs="Arial"/>
          <w:sz w:val="20"/>
        </w:rPr>
      </w:pPr>
    </w:p>
    <w:p w14:paraId="58A75A16" w14:textId="77777777" w:rsidR="004872EE" w:rsidRDefault="003C09B3">
      <w:pPr>
        <w:jc w:val="both"/>
        <w:rPr>
          <w:rFonts w:ascii="Arial" w:hAnsi="Arial" w:cs="Arial"/>
          <w:sz w:val="20"/>
        </w:rPr>
      </w:pPr>
      <w:r>
        <w:rPr>
          <w:rFonts w:ascii="Arial" w:hAnsi="Arial" w:cs="Arial"/>
          <w:sz w:val="20"/>
        </w:rPr>
        <w:t>But the writer firmly believes that</w:t>
      </w:r>
      <w:r w:rsidR="006421A8">
        <w:rPr>
          <w:rFonts w:ascii="Arial" w:hAnsi="Arial" w:cs="Arial"/>
          <w:sz w:val="20"/>
        </w:rPr>
        <w:t xml:space="preserve"> the</w:t>
      </w:r>
      <w:r>
        <w:rPr>
          <w:rFonts w:ascii="Arial" w:hAnsi="Arial" w:cs="Arial"/>
          <w:sz w:val="20"/>
        </w:rPr>
        <w:t xml:space="preserve"> </w:t>
      </w:r>
      <w:proofErr w:type="spellStart"/>
      <w:r w:rsidRPr="003C09B3">
        <w:rPr>
          <w:rFonts w:ascii="Arial" w:hAnsi="Arial" w:cs="Arial"/>
          <w:i/>
          <w:sz w:val="20"/>
        </w:rPr>
        <w:t>Briginshaw</w:t>
      </w:r>
      <w:proofErr w:type="spellEnd"/>
      <w:r w:rsidR="006421A8">
        <w:rPr>
          <w:rFonts w:ascii="Arial" w:hAnsi="Arial" w:cs="Arial"/>
          <w:sz w:val="20"/>
        </w:rPr>
        <w:t xml:space="preserve"> dicta </w:t>
      </w:r>
      <w:r>
        <w:rPr>
          <w:rFonts w:ascii="Arial" w:hAnsi="Arial" w:cs="Arial"/>
          <w:sz w:val="20"/>
        </w:rPr>
        <w:t xml:space="preserve">is not and never has been authority for the proposition that there is some intermediate standard of proof between the civil standard of “balance of probabilities” and the criminal standard of “beyond reasonable doubt”.  </w:t>
      </w:r>
      <w:r w:rsidR="006C72B1">
        <w:rPr>
          <w:rFonts w:ascii="Arial" w:hAnsi="Arial" w:cs="Arial"/>
          <w:sz w:val="20"/>
        </w:rPr>
        <w:t xml:space="preserve">A number of superior courts have made it abundantly clear that in civil litigation </w:t>
      </w:r>
      <w:bookmarkStart w:id="1212" w:name="_Ref30606325"/>
      <w:bookmarkStart w:id="1213" w:name="_Toc30607533"/>
      <w:bookmarkStart w:id="1214" w:name="_Toc30607662"/>
      <w:bookmarkStart w:id="1215" w:name="_Toc30607987"/>
      <w:bookmarkStart w:id="1216" w:name="_Toc30608820"/>
      <w:bookmarkStart w:id="1217" w:name="_Toc30610034"/>
      <w:bookmarkStart w:id="1218" w:name="_Toc30610278"/>
      <w:bookmarkStart w:id="1219" w:name="_Toc30638432"/>
      <w:bookmarkStart w:id="1220" w:name="_Toc30644245"/>
      <w:bookmarkStart w:id="1221" w:name="_Toc30644652"/>
      <w:bookmarkStart w:id="1222" w:name="_Toc30645202"/>
      <w:bookmarkStart w:id="1223" w:name="_Toc30646414"/>
      <w:bookmarkStart w:id="1224" w:name="_Toc30646709"/>
      <w:bookmarkStart w:id="1225" w:name="_Toc30646820"/>
      <w:bookmarkStart w:id="1226" w:name="_Toc30648182"/>
      <w:bookmarkStart w:id="1227" w:name="_Toc30649083"/>
      <w:bookmarkStart w:id="1228" w:name="_Toc30649159"/>
      <w:bookmarkStart w:id="1229" w:name="_Toc30649420"/>
      <w:bookmarkStart w:id="1230" w:name="_Toc30649745"/>
      <w:bookmarkStart w:id="1231" w:name="_Toc30651685"/>
      <w:bookmarkStart w:id="1232" w:name="_Toc30652675"/>
      <w:bookmarkStart w:id="1233" w:name="_Toc30652771"/>
      <w:bookmarkStart w:id="1234" w:name="_Toc30654121"/>
      <w:bookmarkStart w:id="1235" w:name="_Toc30654472"/>
      <w:bookmarkStart w:id="1236" w:name="_Toc30655091"/>
      <w:bookmarkStart w:id="1237" w:name="_Toc30655348"/>
      <w:bookmarkStart w:id="1238" w:name="_Toc30657026"/>
      <w:bookmarkStart w:id="1239" w:name="_Toc30661775"/>
      <w:bookmarkStart w:id="1240" w:name="_Toc30666463"/>
      <w:bookmarkStart w:id="1241" w:name="_Toc30666693"/>
      <w:bookmarkStart w:id="1242" w:name="_Toc30667868"/>
      <w:bookmarkStart w:id="1243" w:name="_Toc30669246"/>
      <w:bookmarkStart w:id="1244" w:name="_Toc30671462"/>
      <w:bookmarkStart w:id="1245" w:name="_Toc30673989"/>
      <w:bookmarkStart w:id="1246" w:name="_Toc30691211"/>
      <w:bookmarkStart w:id="1247" w:name="_Toc30691584"/>
      <w:bookmarkStart w:id="1248" w:name="_Toc30691964"/>
      <w:bookmarkStart w:id="1249" w:name="_Toc30692723"/>
      <w:bookmarkStart w:id="1250" w:name="_Toc30693102"/>
      <w:bookmarkStart w:id="1251" w:name="_Toc30693480"/>
      <w:bookmarkStart w:id="1252" w:name="_Toc30693858"/>
      <w:bookmarkStart w:id="1253" w:name="_Toc30694239"/>
      <w:bookmarkStart w:id="1254" w:name="_Toc30698828"/>
      <w:bookmarkStart w:id="1255" w:name="_Toc30699206"/>
      <w:bookmarkStart w:id="1256" w:name="_Toc30699591"/>
      <w:bookmarkStart w:id="1257" w:name="_Toc30700746"/>
      <w:bookmarkStart w:id="1258" w:name="_Toc30701133"/>
      <w:bookmarkStart w:id="1259" w:name="_Toc30743742"/>
      <w:bookmarkStart w:id="1260" w:name="_Toc30754565"/>
      <w:bookmarkStart w:id="1261" w:name="_Toc30757005"/>
      <w:bookmarkStart w:id="1262" w:name="_Toc30757554"/>
      <w:bookmarkStart w:id="1263" w:name="_Toc30757954"/>
      <w:bookmarkStart w:id="1264" w:name="_Toc30762715"/>
      <w:bookmarkStart w:id="1265" w:name="_Toc30767369"/>
      <w:bookmarkStart w:id="1266" w:name="_Toc34823384"/>
      <w:r w:rsidR="004872EE">
        <w:rPr>
          <w:rFonts w:ascii="Arial" w:hAnsi="Arial" w:cs="Arial"/>
          <w:sz w:val="20"/>
        </w:rPr>
        <w:t>the balance of probabilities remains the standard of proof even where serious or criminal allegations are made: see the judgement of the Court of Appeal in</w:t>
      </w:r>
      <w:r w:rsidR="004872EE" w:rsidRPr="004872EE">
        <w:rPr>
          <w:rFonts w:ascii="Arial" w:hAnsi="Arial" w:cs="Arial"/>
          <w:i/>
          <w:sz w:val="20"/>
        </w:rPr>
        <w:t xml:space="preserve"> Dr Selwyn Leeks v XY</w:t>
      </w:r>
      <w:r w:rsidR="004872EE">
        <w:rPr>
          <w:rFonts w:ascii="Arial" w:hAnsi="Arial" w:cs="Arial"/>
          <w:sz w:val="20"/>
        </w:rPr>
        <w:t xml:space="preserve"> [2008] VSCA 21 at [</w:t>
      </w:r>
      <w:r w:rsidR="00D613EE">
        <w:rPr>
          <w:rFonts w:ascii="Arial" w:hAnsi="Arial" w:cs="Arial"/>
          <w:sz w:val="20"/>
        </w:rPr>
        <w:t>9</w:t>
      </w:r>
      <w:r w:rsidR="004872EE">
        <w:rPr>
          <w:rFonts w:ascii="Arial" w:hAnsi="Arial" w:cs="Arial"/>
          <w:sz w:val="20"/>
        </w:rPr>
        <w:t xml:space="preserve">] citing </w:t>
      </w:r>
      <w:r w:rsidR="004872EE" w:rsidRPr="004872EE">
        <w:rPr>
          <w:rFonts w:ascii="Arial" w:hAnsi="Arial" w:cs="Arial"/>
          <w:i/>
          <w:sz w:val="20"/>
        </w:rPr>
        <w:t xml:space="preserve">Jones </w:t>
      </w:r>
      <w:r w:rsidR="004872EE" w:rsidRPr="004872EE">
        <w:rPr>
          <w:rFonts w:ascii="Arial" w:hAnsi="Arial" w:cs="Arial"/>
          <w:i/>
          <w:sz w:val="20"/>
        </w:rPr>
        <w:lastRenderedPageBreak/>
        <w:t xml:space="preserve">v Dunkel </w:t>
      </w:r>
      <w:r w:rsidR="004872EE">
        <w:rPr>
          <w:rFonts w:ascii="Arial" w:hAnsi="Arial" w:cs="Arial"/>
          <w:sz w:val="20"/>
        </w:rPr>
        <w:t xml:space="preserve">(1959) 101 CLR 298, 304-5; </w:t>
      </w:r>
      <w:r w:rsidR="004872EE" w:rsidRPr="004872EE">
        <w:rPr>
          <w:rFonts w:ascii="Arial" w:hAnsi="Arial" w:cs="Arial"/>
          <w:i/>
          <w:sz w:val="20"/>
        </w:rPr>
        <w:t>G v H</w:t>
      </w:r>
      <w:r w:rsidR="004872EE">
        <w:rPr>
          <w:rFonts w:ascii="Arial" w:hAnsi="Arial" w:cs="Arial"/>
          <w:sz w:val="20"/>
        </w:rPr>
        <w:t xml:space="preserve"> (1994) 181 CLR 387 &amp; </w:t>
      </w:r>
      <w:r w:rsidR="004872EE" w:rsidRPr="004872EE">
        <w:rPr>
          <w:rFonts w:ascii="Arial" w:hAnsi="Arial" w:cs="Arial"/>
          <w:i/>
          <w:sz w:val="20"/>
        </w:rPr>
        <w:t>Neat Holdings Pty Ltd v Karajan Holdings Pty Ltd</w:t>
      </w:r>
      <w:r w:rsidR="004872EE">
        <w:rPr>
          <w:rFonts w:ascii="Arial" w:hAnsi="Arial" w:cs="Arial"/>
          <w:sz w:val="20"/>
        </w:rPr>
        <w:t xml:space="preserve"> (1992) 67 ALJR 170.</w:t>
      </w:r>
      <w:r w:rsidR="00D613EE">
        <w:rPr>
          <w:rFonts w:ascii="Arial" w:hAnsi="Arial" w:cs="Arial"/>
          <w:sz w:val="20"/>
        </w:rPr>
        <w:t xml:space="preserve">  In the last mentioned case </w:t>
      </w:r>
      <w:r w:rsidR="004872EE">
        <w:rPr>
          <w:rFonts w:ascii="Arial" w:hAnsi="Arial" w:cs="Arial"/>
          <w:sz w:val="20"/>
        </w:rPr>
        <w:t xml:space="preserve">Mason CJ, Brennan, Deane &amp; </w:t>
      </w:r>
      <w:proofErr w:type="spellStart"/>
      <w:r w:rsidR="004872EE">
        <w:rPr>
          <w:rFonts w:ascii="Arial" w:hAnsi="Arial" w:cs="Arial"/>
          <w:sz w:val="20"/>
        </w:rPr>
        <w:t>Gaudron</w:t>
      </w:r>
      <w:proofErr w:type="spellEnd"/>
      <w:r w:rsidR="004872EE">
        <w:rPr>
          <w:rFonts w:ascii="Arial" w:hAnsi="Arial" w:cs="Arial"/>
          <w:sz w:val="20"/>
        </w:rPr>
        <w:t xml:space="preserve"> JJ said</w:t>
      </w:r>
      <w:r w:rsidR="00221FA6">
        <w:rPr>
          <w:rFonts w:ascii="Arial" w:hAnsi="Arial" w:cs="Arial"/>
          <w:sz w:val="20"/>
        </w:rPr>
        <w:t xml:space="preserve"> at 170-171</w:t>
      </w:r>
      <w:r w:rsidR="004872EE">
        <w:rPr>
          <w:rFonts w:ascii="Arial" w:hAnsi="Arial" w:cs="Arial"/>
          <w:sz w:val="20"/>
        </w:rPr>
        <w:t>:</w:t>
      </w:r>
    </w:p>
    <w:p w14:paraId="2737E9D1" w14:textId="77777777" w:rsidR="004872EE" w:rsidRDefault="004872EE" w:rsidP="00156362">
      <w:pPr>
        <w:spacing w:before="60"/>
        <w:ind w:left="567" w:right="567"/>
        <w:jc w:val="both"/>
        <w:rPr>
          <w:rFonts w:ascii="Arial" w:hAnsi="Arial" w:cs="Arial"/>
          <w:bCs/>
          <w:sz w:val="20"/>
        </w:rPr>
      </w:pPr>
      <w:r>
        <w:rPr>
          <w:rFonts w:ascii="Arial" w:hAnsi="Arial" w:cs="Arial"/>
          <w:bCs/>
          <w:sz w:val="20"/>
        </w:rPr>
        <w:t>“</w:t>
      </w:r>
      <w:r w:rsidRPr="004872EE">
        <w:rPr>
          <w:rFonts w:ascii="Arial" w:hAnsi="Arial" w:cs="Arial"/>
          <w:sz w:val="20"/>
          <w:szCs w:val="20"/>
        </w:rPr>
        <w:t xml:space="preserve">The ordinary standard of proof required of a party who bears the onus in civil litigation in this country is on the balance of probabilities.  That remains so even where the matter to be proved involves criminal conduct or fraud.  The strength of evidence necessary to establish a fact or facts on the balance of probabilities may vary according to the nature of what it is sought to be proved.  Thus authoritative statements have often been made to the effect that </w:t>
      </w:r>
      <w:r w:rsidRPr="004872EE">
        <w:rPr>
          <w:rFonts w:ascii="Arial" w:hAnsi="Arial" w:cs="Arial"/>
          <w:b/>
          <w:sz w:val="20"/>
          <w:szCs w:val="20"/>
          <w:u w:val="single"/>
        </w:rPr>
        <w:t xml:space="preserve">clear </w:t>
      </w:r>
      <w:r w:rsidRPr="004872EE">
        <w:rPr>
          <w:rFonts w:ascii="Arial" w:hAnsi="Arial" w:cs="Arial"/>
          <w:sz w:val="20"/>
          <w:szCs w:val="20"/>
        </w:rPr>
        <w:t>[</w:t>
      </w:r>
      <w:proofErr w:type="spellStart"/>
      <w:r w:rsidRPr="004872EE">
        <w:rPr>
          <w:rFonts w:ascii="Arial" w:hAnsi="Arial" w:cs="Arial"/>
          <w:i/>
          <w:sz w:val="20"/>
          <w:szCs w:val="20"/>
        </w:rPr>
        <w:t>Briginshaw</w:t>
      </w:r>
      <w:proofErr w:type="spellEnd"/>
      <w:r w:rsidRPr="004872EE">
        <w:rPr>
          <w:rFonts w:ascii="Arial" w:hAnsi="Arial" w:cs="Arial"/>
          <w:i/>
          <w:sz w:val="20"/>
          <w:szCs w:val="20"/>
        </w:rPr>
        <w:t xml:space="preserve"> v </w:t>
      </w:r>
      <w:proofErr w:type="spellStart"/>
      <w:r w:rsidRPr="004872EE">
        <w:rPr>
          <w:rFonts w:ascii="Arial" w:hAnsi="Arial" w:cs="Arial"/>
          <w:i/>
          <w:sz w:val="20"/>
          <w:szCs w:val="20"/>
        </w:rPr>
        <w:t>Briginshaw</w:t>
      </w:r>
      <w:proofErr w:type="spellEnd"/>
      <w:r w:rsidRPr="004872EE">
        <w:rPr>
          <w:rFonts w:ascii="Arial" w:hAnsi="Arial" w:cs="Arial"/>
          <w:sz w:val="20"/>
          <w:szCs w:val="20"/>
        </w:rPr>
        <w:t xml:space="preserve"> (1938) 60 CLR 336, 362; </w:t>
      </w:r>
      <w:r w:rsidRPr="004872EE">
        <w:rPr>
          <w:rFonts w:ascii="Arial" w:hAnsi="Arial" w:cs="Arial"/>
          <w:i/>
          <w:sz w:val="20"/>
          <w:szCs w:val="20"/>
        </w:rPr>
        <w:t>Helton v Allen</w:t>
      </w:r>
      <w:r w:rsidRPr="004872EE">
        <w:rPr>
          <w:rFonts w:ascii="Arial" w:hAnsi="Arial" w:cs="Arial"/>
          <w:sz w:val="20"/>
          <w:szCs w:val="20"/>
        </w:rPr>
        <w:t xml:space="preserve"> (1940) 63 CLR 691, 701; </w:t>
      </w:r>
      <w:r w:rsidRPr="004872EE">
        <w:rPr>
          <w:rFonts w:ascii="Arial" w:hAnsi="Arial" w:cs="Arial"/>
          <w:i/>
          <w:sz w:val="20"/>
          <w:szCs w:val="20"/>
        </w:rPr>
        <w:t>Hocking v Bell</w:t>
      </w:r>
      <w:r w:rsidRPr="004872EE">
        <w:rPr>
          <w:rFonts w:ascii="Arial" w:hAnsi="Arial" w:cs="Arial"/>
          <w:sz w:val="20"/>
          <w:szCs w:val="20"/>
        </w:rPr>
        <w:t xml:space="preserve"> (1944) 44 SR (NSW) 468, 477 </w:t>
      </w:r>
      <w:r>
        <w:rPr>
          <w:rFonts w:ascii="Arial" w:hAnsi="Arial" w:cs="Arial"/>
          <w:sz w:val="20"/>
          <w:szCs w:val="20"/>
        </w:rPr>
        <w:t>{</w:t>
      </w:r>
      <w:r w:rsidRPr="004872EE">
        <w:rPr>
          <w:rFonts w:ascii="Arial" w:hAnsi="Arial" w:cs="Arial"/>
          <w:sz w:val="20"/>
          <w:szCs w:val="20"/>
        </w:rPr>
        <w:t>affirmed in (1945) 71 CLR 430, 464, 500</w:t>
      </w:r>
      <w:r>
        <w:rPr>
          <w:rFonts w:ascii="Arial" w:hAnsi="Arial" w:cs="Arial"/>
          <w:sz w:val="20"/>
          <w:szCs w:val="20"/>
        </w:rPr>
        <w:t>}</w:t>
      </w:r>
      <w:r w:rsidRPr="004872EE">
        <w:rPr>
          <w:rFonts w:ascii="Arial" w:hAnsi="Arial" w:cs="Arial"/>
          <w:sz w:val="20"/>
          <w:szCs w:val="20"/>
        </w:rPr>
        <w:t xml:space="preserve">; </w:t>
      </w:r>
      <w:r w:rsidRPr="004872EE">
        <w:rPr>
          <w:rFonts w:ascii="Arial" w:hAnsi="Arial" w:cs="Arial"/>
          <w:i/>
          <w:sz w:val="20"/>
          <w:szCs w:val="20"/>
        </w:rPr>
        <w:t xml:space="preserve"> </w:t>
      </w:r>
      <w:proofErr w:type="spellStart"/>
      <w:r w:rsidRPr="004872EE">
        <w:rPr>
          <w:rFonts w:ascii="Arial" w:hAnsi="Arial" w:cs="Arial"/>
          <w:i/>
          <w:sz w:val="20"/>
          <w:szCs w:val="20"/>
        </w:rPr>
        <w:t>Rejfek</w:t>
      </w:r>
      <w:proofErr w:type="spellEnd"/>
      <w:r w:rsidRPr="004872EE">
        <w:rPr>
          <w:rFonts w:ascii="Arial" w:hAnsi="Arial" w:cs="Arial"/>
          <w:i/>
          <w:sz w:val="20"/>
          <w:szCs w:val="20"/>
        </w:rPr>
        <w:t xml:space="preserve"> v McElroy</w:t>
      </w:r>
      <w:r w:rsidRPr="004872EE">
        <w:rPr>
          <w:rFonts w:ascii="Arial" w:hAnsi="Arial" w:cs="Arial"/>
          <w:sz w:val="20"/>
          <w:szCs w:val="20"/>
        </w:rPr>
        <w:t xml:space="preserve"> (1965) 112 CLR 517, 521; </w:t>
      </w:r>
      <w:r w:rsidRPr="004872EE">
        <w:rPr>
          <w:rFonts w:ascii="Arial" w:hAnsi="Arial" w:cs="Arial"/>
          <w:i/>
          <w:sz w:val="20"/>
          <w:szCs w:val="20"/>
        </w:rPr>
        <w:t>Wentworth v Rogers (No.5)</w:t>
      </w:r>
      <w:r>
        <w:rPr>
          <w:rFonts w:ascii="Arial" w:hAnsi="Arial" w:cs="Arial"/>
          <w:sz w:val="20"/>
          <w:szCs w:val="20"/>
        </w:rPr>
        <w:t xml:space="preserve"> (1986) 6 NSWLR 534, 539] </w:t>
      </w:r>
      <w:r w:rsidRPr="004872EE">
        <w:rPr>
          <w:rFonts w:ascii="Arial" w:hAnsi="Arial" w:cs="Arial"/>
          <w:b/>
          <w:sz w:val="20"/>
          <w:szCs w:val="20"/>
          <w:u w:val="single"/>
        </w:rPr>
        <w:t>or cogent</w:t>
      </w:r>
      <w:r>
        <w:rPr>
          <w:rFonts w:ascii="Arial" w:hAnsi="Arial" w:cs="Arial"/>
          <w:sz w:val="20"/>
          <w:szCs w:val="20"/>
        </w:rPr>
        <w:t xml:space="preserve"> [</w:t>
      </w:r>
      <w:proofErr w:type="spellStart"/>
      <w:r w:rsidRPr="004872EE">
        <w:rPr>
          <w:rFonts w:ascii="Arial" w:hAnsi="Arial" w:cs="Arial"/>
          <w:i/>
          <w:sz w:val="20"/>
        </w:rPr>
        <w:t>Rejfek</w:t>
      </w:r>
      <w:proofErr w:type="spellEnd"/>
      <w:r w:rsidRPr="004872EE">
        <w:rPr>
          <w:rFonts w:ascii="Arial" w:hAnsi="Arial" w:cs="Arial"/>
          <w:i/>
          <w:sz w:val="20"/>
        </w:rPr>
        <w:t xml:space="preserve"> v McElroy</w:t>
      </w:r>
      <w:r w:rsidRPr="004872EE">
        <w:rPr>
          <w:rFonts w:ascii="Arial" w:hAnsi="Arial" w:cs="Arial"/>
          <w:sz w:val="20"/>
        </w:rPr>
        <w:t xml:space="preserve"> (1965) 112 CLR 517, 521</w:t>
      </w:r>
      <w:r>
        <w:rPr>
          <w:rFonts w:ascii="Arial" w:hAnsi="Arial" w:cs="Arial"/>
          <w:sz w:val="20"/>
        </w:rPr>
        <w:t xml:space="preserve">] </w:t>
      </w:r>
      <w:r w:rsidRPr="004872EE">
        <w:rPr>
          <w:rFonts w:ascii="Arial" w:hAnsi="Arial" w:cs="Arial"/>
          <w:b/>
          <w:sz w:val="20"/>
          <w:u w:val="single"/>
        </w:rPr>
        <w:t>or strict</w:t>
      </w:r>
      <w:r>
        <w:rPr>
          <w:rFonts w:ascii="Arial" w:hAnsi="Arial" w:cs="Arial"/>
          <w:sz w:val="20"/>
        </w:rPr>
        <w:t xml:space="preserve"> [</w:t>
      </w:r>
      <w:proofErr w:type="spellStart"/>
      <w:r w:rsidRPr="004872EE">
        <w:rPr>
          <w:rFonts w:ascii="Arial" w:hAnsi="Arial" w:cs="Arial"/>
          <w:i/>
          <w:sz w:val="20"/>
        </w:rPr>
        <w:t>Jonesco</w:t>
      </w:r>
      <w:proofErr w:type="spellEnd"/>
      <w:r w:rsidRPr="004872EE">
        <w:rPr>
          <w:rFonts w:ascii="Arial" w:hAnsi="Arial" w:cs="Arial"/>
          <w:i/>
          <w:sz w:val="20"/>
        </w:rPr>
        <w:t xml:space="preserve"> v Beard</w:t>
      </w:r>
      <w:r w:rsidRPr="004872EE">
        <w:rPr>
          <w:rFonts w:ascii="Arial" w:hAnsi="Arial" w:cs="Arial"/>
          <w:sz w:val="20"/>
        </w:rPr>
        <w:t xml:space="preserve"> (1930) AC 298, 300; </w:t>
      </w:r>
      <w:proofErr w:type="spellStart"/>
      <w:r w:rsidRPr="004872EE">
        <w:rPr>
          <w:rFonts w:ascii="Arial" w:hAnsi="Arial" w:cs="Arial"/>
          <w:i/>
          <w:sz w:val="20"/>
        </w:rPr>
        <w:t>Briginshaw</w:t>
      </w:r>
      <w:proofErr w:type="spellEnd"/>
      <w:r w:rsidRPr="004872EE">
        <w:rPr>
          <w:rFonts w:ascii="Arial" w:hAnsi="Arial" w:cs="Arial"/>
          <w:i/>
          <w:sz w:val="20"/>
        </w:rPr>
        <w:t xml:space="preserve"> v </w:t>
      </w:r>
      <w:proofErr w:type="spellStart"/>
      <w:r w:rsidRPr="004872EE">
        <w:rPr>
          <w:rFonts w:ascii="Arial" w:hAnsi="Arial" w:cs="Arial"/>
          <w:i/>
          <w:sz w:val="20"/>
        </w:rPr>
        <w:t>Briginshaw</w:t>
      </w:r>
      <w:proofErr w:type="spellEnd"/>
      <w:r w:rsidRPr="004872EE">
        <w:rPr>
          <w:rFonts w:ascii="Arial" w:hAnsi="Arial" w:cs="Arial"/>
          <w:sz w:val="20"/>
        </w:rPr>
        <w:t xml:space="preserve"> (1938) 60 CLR 336, 362; </w:t>
      </w:r>
      <w:r w:rsidRPr="004872EE">
        <w:rPr>
          <w:rFonts w:ascii="Arial" w:hAnsi="Arial" w:cs="Arial"/>
          <w:i/>
          <w:sz w:val="20"/>
        </w:rPr>
        <w:t>Helton v Allen</w:t>
      </w:r>
      <w:r w:rsidRPr="004872EE">
        <w:rPr>
          <w:rFonts w:ascii="Arial" w:hAnsi="Arial" w:cs="Arial"/>
          <w:sz w:val="20"/>
        </w:rPr>
        <w:t xml:space="preserve"> (1940) 63 CLR 691, 711;  </w:t>
      </w:r>
      <w:r w:rsidRPr="004872EE">
        <w:rPr>
          <w:rFonts w:ascii="Arial" w:hAnsi="Arial" w:cs="Arial"/>
          <w:i/>
          <w:sz w:val="20"/>
        </w:rPr>
        <w:t>Hocking v Bell</w:t>
      </w:r>
      <w:r w:rsidRPr="004872EE">
        <w:rPr>
          <w:rFonts w:ascii="Arial" w:hAnsi="Arial" w:cs="Arial"/>
          <w:sz w:val="20"/>
        </w:rPr>
        <w:t xml:space="preserve"> (1944) 44 SR (NSW) 468, 478 </w:t>
      </w:r>
      <w:r>
        <w:rPr>
          <w:rFonts w:ascii="Arial" w:hAnsi="Arial" w:cs="Arial"/>
          <w:sz w:val="20"/>
        </w:rPr>
        <w:t>{</w:t>
      </w:r>
      <w:r w:rsidRPr="004872EE">
        <w:rPr>
          <w:rFonts w:ascii="Arial" w:hAnsi="Arial" w:cs="Arial"/>
          <w:sz w:val="20"/>
        </w:rPr>
        <w:t>affirmed in (1945) 71 CLR 430, 464, 500</w:t>
      </w:r>
      <w:r>
        <w:rPr>
          <w:rFonts w:ascii="Arial" w:hAnsi="Arial" w:cs="Arial"/>
          <w:sz w:val="20"/>
        </w:rPr>
        <w:t>}</w:t>
      </w:r>
      <w:r w:rsidRPr="004872EE">
        <w:rPr>
          <w:rFonts w:ascii="Arial" w:hAnsi="Arial" w:cs="Arial"/>
          <w:sz w:val="20"/>
        </w:rPr>
        <w:t xml:space="preserve">; </w:t>
      </w:r>
      <w:r w:rsidRPr="004872EE">
        <w:rPr>
          <w:rFonts w:ascii="Arial" w:hAnsi="Arial" w:cs="Arial"/>
          <w:i/>
          <w:sz w:val="20"/>
        </w:rPr>
        <w:t>Wentworth v Rogers</w:t>
      </w:r>
      <w:r w:rsidRPr="004872EE">
        <w:rPr>
          <w:rFonts w:ascii="Arial" w:hAnsi="Arial" w:cs="Arial"/>
          <w:sz w:val="20"/>
        </w:rPr>
        <w:t xml:space="preserve"> </w:t>
      </w:r>
      <w:r w:rsidRPr="004872EE">
        <w:rPr>
          <w:rFonts w:ascii="Arial" w:hAnsi="Arial" w:cs="Arial"/>
          <w:i/>
          <w:sz w:val="20"/>
        </w:rPr>
        <w:t>(No.5)</w:t>
      </w:r>
      <w:r w:rsidRPr="004872EE">
        <w:rPr>
          <w:rFonts w:ascii="Arial" w:hAnsi="Arial" w:cs="Arial"/>
          <w:sz w:val="20"/>
        </w:rPr>
        <w:t xml:space="preserve"> (1986) 6 NSWLR 534, 538</w:t>
      </w:r>
      <w:r>
        <w:rPr>
          <w:rFonts w:ascii="Arial" w:hAnsi="Arial" w:cs="Arial"/>
          <w:sz w:val="20"/>
        </w:rPr>
        <w:t xml:space="preserve">] proof is necessary </w:t>
      </w:r>
      <w:r>
        <w:rPr>
          <w:rFonts w:ascii="Arial" w:hAnsi="Arial" w:cs="Arial"/>
          <w:sz w:val="20"/>
          <w:szCs w:val="20"/>
        </w:rPr>
        <w:t>‘</w:t>
      </w:r>
      <w:r w:rsidRPr="004872EE">
        <w:rPr>
          <w:rFonts w:ascii="Arial" w:hAnsi="Arial" w:cs="Arial"/>
          <w:sz w:val="20"/>
          <w:szCs w:val="20"/>
        </w:rPr>
        <w:t>where so serious a</w:t>
      </w:r>
      <w:r>
        <w:rPr>
          <w:rFonts w:ascii="Arial" w:hAnsi="Arial" w:cs="Arial"/>
          <w:sz w:val="20"/>
          <w:szCs w:val="20"/>
        </w:rPr>
        <w:t xml:space="preserve"> matter as fraud is to be found’ [</w:t>
      </w:r>
      <w:proofErr w:type="spellStart"/>
      <w:r w:rsidRPr="004872EE">
        <w:rPr>
          <w:rFonts w:ascii="Arial" w:hAnsi="Arial" w:cs="Arial"/>
          <w:i/>
          <w:sz w:val="20"/>
        </w:rPr>
        <w:t>Rejfek</w:t>
      </w:r>
      <w:proofErr w:type="spellEnd"/>
      <w:r w:rsidRPr="004872EE">
        <w:rPr>
          <w:rFonts w:ascii="Arial" w:hAnsi="Arial" w:cs="Arial"/>
          <w:i/>
          <w:sz w:val="20"/>
        </w:rPr>
        <w:t xml:space="preserve"> v McElroy</w:t>
      </w:r>
      <w:r w:rsidRPr="004872EE">
        <w:rPr>
          <w:rFonts w:ascii="Arial" w:hAnsi="Arial" w:cs="Arial"/>
          <w:sz w:val="20"/>
        </w:rPr>
        <w:t xml:space="preserve"> (1965) 112 CLR 517, 521</w:t>
      </w:r>
      <w:r>
        <w:rPr>
          <w:rFonts w:ascii="Arial" w:hAnsi="Arial" w:cs="Arial"/>
          <w:sz w:val="20"/>
        </w:rPr>
        <w:t>]</w:t>
      </w:r>
      <w:r w:rsidRPr="004872EE">
        <w:rPr>
          <w:rFonts w:ascii="Arial" w:hAnsi="Arial" w:cs="Arial"/>
          <w:sz w:val="20"/>
          <w:szCs w:val="20"/>
        </w:rPr>
        <w:t>.</w:t>
      </w:r>
      <w:r>
        <w:rPr>
          <w:rFonts w:ascii="Arial" w:hAnsi="Arial" w:cs="Arial"/>
          <w:sz w:val="20"/>
          <w:szCs w:val="20"/>
        </w:rPr>
        <w:t xml:space="preserve">  </w:t>
      </w:r>
      <w:r w:rsidRPr="004872EE">
        <w:rPr>
          <w:rFonts w:ascii="Arial" w:hAnsi="Arial" w:cs="Arial"/>
          <w:sz w:val="20"/>
          <w:szCs w:val="20"/>
        </w:rPr>
        <w:t>Statements to that effect should not, however, be understood as directed to the standard of proof.  Rather, they should be understood as merely reflecting a conventional perception that members of our society do not ordinarily engage in fraudulent or criminal conduct</w:t>
      </w:r>
      <w:r w:rsidR="00D613EE">
        <w:rPr>
          <w:rFonts w:ascii="Arial" w:hAnsi="Arial" w:cs="Arial"/>
          <w:sz w:val="20"/>
          <w:szCs w:val="20"/>
        </w:rPr>
        <w:t xml:space="preserve"> [see e.g. </w:t>
      </w:r>
      <w:proofErr w:type="spellStart"/>
      <w:r w:rsidR="00D613EE" w:rsidRPr="005A494E">
        <w:rPr>
          <w:rFonts w:ascii="Arial" w:hAnsi="Arial" w:cs="Arial"/>
          <w:i/>
          <w:sz w:val="20"/>
          <w:szCs w:val="20"/>
        </w:rPr>
        <w:t>Motchall</w:t>
      </w:r>
      <w:proofErr w:type="spellEnd"/>
      <w:r w:rsidR="00D613EE" w:rsidRPr="005A494E">
        <w:rPr>
          <w:rFonts w:ascii="Arial" w:hAnsi="Arial" w:cs="Arial"/>
          <w:i/>
          <w:sz w:val="20"/>
          <w:szCs w:val="20"/>
        </w:rPr>
        <w:t xml:space="preserve"> v Massoud</w:t>
      </w:r>
      <w:r w:rsidR="00D613EE">
        <w:rPr>
          <w:rFonts w:ascii="Arial" w:hAnsi="Arial" w:cs="Arial"/>
          <w:sz w:val="20"/>
          <w:szCs w:val="20"/>
        </w:rPr>
        <w:t xml:space="preserve"> (1926) VLR 273, 276]</w:t>
      </w:r>
      <w:r w:rsidRPr="004872EE">
        <w:rPr>
          <w:rFonts w:ascii="Arial" w:hAnsi="Arial" w:cs="Arial"/>
          <w:sz w:val="20"/>
          <w:szCs w:val="20"/>
        </w:rPr>
        <w:t xml:space="preserve"> and a judicial approach that a court should not lightly make a finding that, on the balance of probabilities, a party to civil litigation has been guilty of such conduct.</w:t>
      </w:r>
      <w:r>
        <w:rPr>
          <w:rFonts w:ascii="Arial" w:hAnsi="Arial" w:cs="Arial"/>
          <w:sz w:val="20"/>
          <w:szCs w:val="20"/>
        </w:rPr>
        <w:t>”</w:t>
      </w:r>
    </w:p>
    <w:p w14:paraId="2711B904" w14:textId="77777777" w:rsidR="004872EE" w:rsidRPr="00D631C5" w:rsidRDefault="004872EE">
      <w:pPr>
        <w:jc w:val="both"/>
        <w:rPr>
          <w:rFonts w:ascii="Arial" w:hAnsi="Arial" w:cs="Arial"/>
          <w:sz w:val="18"/>
          <w:szCs w:val="22"/>
        </w:rPr>
      </w:pPr>
    </w:p>
    <w:p w14:paraId="6DF389DE" w14:textId="77777777" w:rsidR="00221FA6" w:rsidRDefault="008B696F">
      <w:pPr>
        <w:jc w:val="both"/>
        <w:rPr>
          <w:rFonts w:ascii="Arial" w:hAnsi="Arial" w:cs="Arial"/>
          <w:sz w:val="20"/>
        </w:rPr>
      </w:pPr>
      <w:r>
        <w:rPr>
          <w:rFonts w:ascii="Arial" w:hAnsi="Arial" w:cs="Arial"/>
          <w:sz w:val="20"/>
        </w:rPr>
        <w:t xml:space="preserve">There is nothing in </w:t>
      </w:r>
      <w:r w:rsidR="003D6315">
        <w:rPr>
          <w:rFonts w:ascii="Arial" w:hAnsi="Arial" w:cs="Arial"/>
          <w:sz w:val="20"/>
        </w:rPr>
        <w:t>Part 4.1</w:t>
      </w:r>
      <w:r>
        <w:rPr>
          <w:rFonts w:ascii="Arial" w:hAnsi="Arial" w:cs="Arial"/>
          <w:sz w:val="20"/>
        </w:rPr>
        <w:t xml:space="preserve"> of the </w:t>
      </w:r>
      <w:r w:rsidRPr="006421A8">
        <w:rPr>
          <w:rFonts w:ascii="Arial" w:hAnsi="Arial" w:cs="Arial"/>
          <w:sz w:val="20"/>
          <w:u w:val="single"/>
        </w:rPr>
        <w:t>Evidence Act 2008 (Vic)</w:t>
      </w:r>
      <w:r>
        <w:rPr>
          <w:rFonts w:ascii="Arial" w:hAnsi="Arial" w:cs="Arial"/>
          <w:sz w:val="20"/>
        </w:rPr>
        <w:t xml:space="preserve"> which leads to a different view.  Section 140(1) </w:t>
      </w:r>
      <w:r w:rsidR="00FD6029">
        <w:rPr>
          <w:rFonts w:ascii="Arial" w:hAnsi="Arial" w:cs="Arial"/>
          <w:sz w:val="20"/>
        </w:rPr>
        <w:t xml:space="preserve">unambiguously </w:t>
      </w:r>
      <w:r>
        <w:rPr>
          <w:rFonts w:ascii="Arial" w:hAnsi="Arial" w:cs="Arial"/>
          <w:sz w:val="20"/>
        </w:rPr>
        <w:t xml:space="preserve">defines the standard of proof in civil proceedings as “the balance of probabilities”.  Section 140(2) might be seen as reflecting the </w:t>
      </w:r>
      <w:proofErr w:type="spellStart"/>
      <w:r w:rsidRPr="008B696F">
        <w:rPr>
          <w:rFonts w:ascii="Arial" w:hAnsi="Arial" w:cs="Arial"/>
          <w:i/>
          <w:sz w:val="20"/>
        </w:rPr>
        <w:t>Briginshaw</w:t>
      </w:r>
      <w:proofErr w:type="spellEnd"/>
      <w:r>
        <w:rPr>
          <w:rFonts w:ascii="Arial" w:hAnsi="Arial" w:cs="Arial"/>
          <w:sz w:val="20"/>
        </w:rPr>
        <w:t xml:space="preserve"> dicta but it does not alter the standard defined in s.140(1).  </w:t>
      </w:r>
      <w:r w:rsidR="00221FA6">
        <w:rPr>
          <w:rFonts w:ascii="Arial" w:hAnsi="Arial" w:cs="Arial"/>
          <w:sz w:val="20"/>
        </w:rPr>
        <w:t xml:space="preserve">It follows that the </w:t>
      </w:r>
      <w:proofErr w:type="spellStart"/>
      <w:r w:rsidR="00221FA6" w:rsidRPr="00221FA6">
        <w:rPr>
          <w:rFonts w:ascii="Arial" w:hAnsi="Arial" w:cs="Arial"/>
          <w:i/>
          <w:sz w:val="20"/>
        </w:rPr>
        <w:t>Briginshaw</w:t>
      </w:r>
      <w:proofErr w:type="spellEnd"/>
      <w:r w:rsidR="00221FA6">
        <w:rPr>
          <w:rFonts w:ascii="Arial" w:hAnsi="Arial" w:cs="Arial"/>
          <w:sz w:val="20"/>
        </w:rPr>
        <w:t xml:space="preserve"> </w:t>
      </w:r>
      <w:r>
        <w:rPr>
          <w:rFonts w:ascii="Arial" w:hAnsi="Arial" w:cs="Arial"/>
          <w:sz w:val="20"/>
        </w:rPr>
        <w:t>dicta</w:t>
      </w:r>
      <w:r w:rsidR="00221FA6">
        <w:rPr>
          <w:rFonts w:ascii="Arial" w:hAnsi="Arial" w:cs="Arial"/>
          <w:sz w:val="20"/>
        </w:rPr>
        <w:t xml:space="preserve"> </w:t>
      </w:r>
      <w:r w:rsidR="001604BA">
        <w:rPr>
          <w:rFonts w:ascii="Arial" w:hAnsi="Arial" w:cs="Arial"/>
          <w:sz w:val="20"/>
        </w:rPr>
        <w:t>does not give rise to a third standard of proof.  It</w:t>
      </w:r>
      <w:r w:rsidR="0067232D">
        <w:rPr>
          <w:rFonts w:ascii="Arial" w:hAnsi="Arial" w:cs="Arial"/>
          <w:sz w:val="20"/>
        </w:rPr>
        <w:t> </w:t>
      </w:r>
      <w:r w:rsidR="001604BA">
        <w:rPr>
          <w:rFonts w:ascii="Arial" w:hAnsi="Arial" w:cs="Arial"/>
          <w:sz w:val="20"/>
        </w:rPr>
        <w:t xml:space="preserve">simply stands for the proposition that where a civil case involves allegations of criminal conduct, fraud or moral wrongdoing which may lead to grave consequences for the impugned party, the judicial approach should be a closer scrutiny of the evidence.  McHugh J put it pithily in an exchange with the NSW Solicitor-General during argument in </w:t>
      </w:r>
      <w:r w:rsidR="001604BA" w:rsidRPr="001604BA">
        <w:rPr>
          <w:rFonts w:ascii="Arial" w:hAnsi="Arial" w:cs="Arial"/>
          <w:i/>
          <w:sz w:val="20"/>
        </w:rPr>
        <w:t>Witham v Holloway</w:t>
      </w:r>
      <w:r w:rsidR="001604BA">
        <w:rPr>
          <w:rFonts w:ascii="Arial" w:hAnsi="Arial" w:cs="Arial"/>
          <w:sz w:val="20"/>
        </w:rPr>
        <w:t xml:space="preserve"> (1995) 183 CLR </w:t>
      </w:r>
      <w:r w:rsidR="00C32207">
        <w:rPr>
          <w:rFonts w:ascii="Arial" w:hAnsi="Arial" w:cs="Arial"/>
          <w:sz w:val="20"/>
        </w:rPr>
        <w:t xml:space="preserve">525 [Transcript of proceedings </w:t>
      </w:r>
      <w:smartTag w:uri="urn:schemas-microsoft-com:office:smarttags" w:element="date">
        <w:smartTagPr>
          <w:attr w:name="Month" w:val="2"/>
          <w:attr w:name="Day" w:val="10"/>
          <w:attr w:name="Year" w:val="1995"/>
        </w:smartTagPr>
        <w:r w:rsidR="00C32207">
          <w:rPr>
            <w:rFonts w:ascii="Arial" w:hAnsi="Arial" w:cs="Arial"/>
            <w:sz w:val="20"/>
          </w:rPr>
          <w:t>10/02/1995</w:t>
        </w:r>
      </w:smartTag>
      <w:r w:rsidR="00C32207">
        <w:rPr>
          <w:rFonts w:ascii="Arial" w:hAnsi="Arial" w:cs="Arial"/>
          <w:sz w:val="20"/>
        </w:rPr>
        <w:t>]:</w:t>
      </w:r>
    </w:p>
    <w:p w14:paraId="32FD0B6D" w14:textId="77777777" w:rsidR="001604BA" w:rsidRDefault="001604BA" w:rsidP="008A1184">
      <w:pPr>
        <w:spacing w:before="60"/>
        <w:ind w:left="567" w:right="567"/>
        <w:jc w:val="both"/>
        <w:rPr>
          <w:rFonts w:ascii="Arial" w:hAnsi="Arial" w:cs="Arial"/>
          <w:bCs/>
          <w:sz w:val="20"/>
        </w:rPr>
      </w:pPr>
      <w:r>
        <w:rPr>
          <w:rFonts w:ascii="Arial" w:hAnsi="Arial" w:cs="Arial"/>
          <w:bCs/>
          <w:sz w:val="20"/>
        </w:rPr>
        <w:t xml:space="preserve">“There are only two standards of proof: balance of probabilities and proof beyond reasonable doubt.  I know </w:t>
      </w:r>
      <w:proofErr w:type="spellStart"/>
      <w:r w:rsidRPr="001604BA">
        <w:rPr>
          <w:rFonts w:ascii="Arial" w:hAnsi="Arial" w:cs="Arial"/>
          <w:bCs/>
          <w:i/>
          <w:sz w:val="20"/>
        </w:rPr>
        <w:t>Briginshaw</w:t>
      </w:r>
      <w:proofErr w:type="spellEnd"/>
      <w:r>
        <w:rPr>
          <w:rFonts w:ascii="Arial" w:hAnsi="Arial" w:cs="Arial"/>
          <w:bCs/>
          <w:sz w:val="20"/>
        </w:rPr>
        <w:t xml:space="preserve"> is cited like it was some sort of ritual incantation</w:t>
      </w:r>
      <w:r w:rsidR="00C32207">
        <w:rPr>
          <w:rFonts w:ascii="Arial" w:hAnsi="Arial" w:cs="Arial"/>
          <w:bCs/>
          <w:sz w:val="20"/>
        </w:rPr>
        <w:t xml:space="preserve">.  It has never impressed me too much.  I mean, </w:t>
      </w:r>
      <w:r>
        <w:rPr>
          <w:rFonts w:ascii="Arial" w:hAnsi="Arial" w:cs="Arial"/>
          <w:bCs/>
          <w:sz w:val="20"/>
        </w:rPr>
        <w:t>it really means no more than ‘Oh, we had better look at this a bit more closely than we might otherwise’, but it is still a balance of probabilities in the end.”</w:t>
      </w:r>
    </w:p>
    <w:p w14:paraId="30AC1F27" w14:textId="77777777" w:rsidR="006421A8" w:rsidRPr="00D631C5" w:rsidRDefault="006421A8" w:rsidP="00BE78BC">
      <w:pPr>
        <w:jc w:val="both"/>
        <w:rPr>
          <w:rFonts w:ascii="Arial" w:hAnsi="Arial" w:cs="Arial"/>
          <w:sz w:val="18"/>
          <w:szCs w:val="22"/>
        </w:rPr>
      </w:pPr>
    </w:p>
    <w:p w14:paraId="49E0A1C3" w14:textId="2BE3106C" w:rsidR="00A86407" w:rsidRDefault="00A86407" w:rsidP="00BE78BC">
      <w:pPr>
        <w:jc w:val="both"/>
        <w:rPr>
          <w:rFonts w:ascii="Arial" w:hAnsi="Arial" w:cs="Arial"/>
          <w:sz w:val="20"/>
        </w:rPr>
      </w:pPr>
      <w:r>
        <w:rPr>
          <w:rFonts w:ascii="Arial" w:hAnsi="Arial" w:cs="Arial"/>
          <w:sz w:val="20"/>
        </w:rPr>
        <w:t xml:space="preserve">In </w:t>
      </w:r>
      <w:r w:rsidRPr="00A86407">
        <w:rPr>
          <w:rFonts w:ascii="Arial" w:hAnsi="Arial" w:cs="Arial"/>
          <w:i/>
          <w:iCs/>
          <w:sz w:val="20"/>
        </w:rPr>
        <w:t>Country Club Villages Pty Ltd &amp; Ors v Burke &amp; Ors</w:t>
      </w:r>
      <w:r w:rsidRPr="00A86407">
        <w:rPr>
          <w:rFonts w:ascii="Arial" w:hAnsi="Arial" w:cs="Arial"/>
          <w:sz w:val="20"/>
        </w:rPr>
        <w:t xml:space="preserve"> [2026] VSC 171</w:t>
      </w:r>
      <w:r>
        <w:rPr>
          <w:rFonts w:ascii="Arial" w:hAnsi="Arial" w:cs="Arial"/>
          <w:sz w:val="20"/>
        </w:rPr>
        <w:t xml:space="preserve"> – after a 10-day trial – Craig J dismissed the plaintiffs’ </w:t>
      </w:r>
      <w:r w:rsidR="00D631C5" w:rsidRPr="00D631C5">
        <w:rPr>
          <w:rFonts w:ascii="Arial" w:hAnsi="Arial" w:cs="Arial"/>
          <w:sz w:val="20"/>
        </w:rPr>
        <w:t>claims for relief in equity and statutory compensation</w:t>
      </w:r>
      <w:r w:rsidR="00D631C5">
        <w:rPr>
          <w:rFonts w:ascii="Arial" w:hAnsi="Arial" w:cs="Arial"/>
          <w:sz w:val="20"/>
        </w:rPr>
        <w:t xml:space="preserve"> </w:t>
      </w:r>
      <w:r>
        <w:rPr>
          <w:rFonts w:ascii="Arial" w:hAnsi="Arial" w:cs="Arial"/>
          <w:sz w:val="20"/>
        </w:rPr>
        <w:t>which w</w:t>
      </w:r>
      <w:r w:rsidR="00D631C5">
        <w:rPr>
          <w:rFonts w:ascii="Arial" w:hAnsi="Arial" w:cs="Arial"/>
          <w:sz w:val="20"/>
        </w:rPr>
        <w:t>ere</w:t>
      </w:r>
      <w:r>
        <w:rPr>
          <w:rFonts w:ascii="Arial" w:hAnsi="Arial" w:cs="Arial"/>
          <w:sz w:val="20"/>
        </w:rPr>
        <w:t xml:space="preserve"> essentially for breach of </w:t>
      </w:r>
      <w:r w:rsidRPr="00A86407">
        <w:rPr>
          <w:rFonts w:ascii="Arial" w:hAnsi="Arial" w:cs="Arial"/>
          <w:sz w:val="20"/>
        </w:rPr>
        <w:t>fiduciary and statutory duties</w:t>
      </w:r>
      <w:r>
        <w:rPr>
          <w:rFonts w:ascii="Arial" w:hAnsi="Arial" w:cs="Arial"/>
          <w:sz w:val="20"/>
        </w:rPr>
        <w:t>.</w:t>
      </w:r>
      <w:r w:rsidR="00D631C5">
        <w:rPr>
          <w:rFonts w:ascii="Arial" w:hAnsi="Arial" w:cs="Arial"/>
          <w:sz w:val="20"/>
        </w:rPr>
        <w:t xml:space="preserve"> At [41]-[42] his Honour said:</w:t>
      </w:r>
    </w:p>
    <w:p w14:paraId="0B4CCD76" w14:textId="0A5DC4CC" w:rsidR="00D631C5" w:rsidRDefault="00D631C5" w:rsidP="00D631C5">
      <w:pPr>
        <w:spacing w:before="60"/>
        <w:ind w:left="567" w:right="567"/>
        <w:jc w:val="both"/>
        <w:rPr>
          <w:rFonts w:ascii="Arial" w:hAnsi="Arial" w:cs="Arial"/>
          <w:sz w:val="20"/>
        </w:rPr>
      </w:pPr>
      <w:r>
        <w:rPr>
          <w:rFonts w:ascii="Arial" w:hAnsi="Arial" w:cs="Arial"/>
          <w:bCs/>
          <w:sz w:val="20"/>
        </w:rPr>
        <w:t>[41] “</w:t>
      </w:r>
      <w:r w:rsidRPr="00D631C5">
        <w:rPr>
          <w:rFonts w:ascii="Arial" w:hAnsi="Arial" w:cs="Arial"/>
          <w:sz w:val="20"/>
        </w:rPr>
        <w:t xml:space="preserve">As Lee J explained in </w:t>
      </w:r>
      <w:r w:rsidRPr="00D631C5">
        <w:rPr>
          <w:rFonts w:ascii="Arial" w:hAnsi="Arial" w:cs="Arial"/>
          <w:i/>
          <w:iCs/>
          <w:sz w:val="20"/>
        </w:rPr>
        <w:t>Lehrma</w:t>
      </w:r>
      <w:r w:rsidR="00DA0130">
        <w:rPr>
          <w:rFonts w:ascii="Arial" w:hAnsi="Arial" w:cs="Arial"/>
          <w:i/>
          <w:iCs/>
          <w:sz w:val="20"/>
        </w:rPr>
        <w:t>n</w:t>
      </w:r>
      <w:r w:rsidRPr="00D631C5">
        <w:rPr>
          <w:rFonts w:ascii="Arial" w:hAnsi="Arial" w:cs="Arial"/>
          <w:i/>
          <w:iCs/>
          <w:sz w:val="20"/>
        </w:rPr>
        <w:t>n v Network Ten Pty Ltd</w:t>
      </w:r>
      <w:r w:rsidRPr="00D631C5">
        <w:rPr>
          <w:rFonts w:ascii="Arial" w:hAnsi="Arial" w:cs="Arial"/>
          <w:sz w:val="20"/>
        </w:rPr>
        <w:t xml:space="preserve"> (2024) 422 ALR 507; [2024] FCA 369</w:t>
      </w:r>
      <w:r>
        <w:rPr>
          <w:rFonts w:ascii="Arial" w:hAnsi="Arial" w:cs="Arial"/>
          <w:sz w:val="20"/>
        </w:rPr>
        <w:t>,</w:t>
      </w:r>
      <w:r w:rsidRPr="00D631C5">
        <w:rPr>
          <w:rFonts w:ascii="Arial" w:hAnsi="Arial" w:cs="Arial"/>
          <w:sz w:val="20"/>
        </w:rPr>
        <w:t xml:space="preserve"> one need look no further than three separate judgments of Sir Owen Dixon to understand and confirm, the meaning to be given to the phrase ‘balance of probabilities’:</w:t>
      </w:r>
      <w:r>
        <w:rPr>
          <w:rFonts w:ascii="Arial" w:hAnsi="Arial" w:cs="Arial"/>
          <w:sz w:val="20"/>
        </w:rPr>
        <w:t xml:space="preserve"> Ibid 526 [98] (emphasis in original):</w:t>
      </w:r>
    </w:p>
    <w:p w14:paraId="33C58A6D" w14:textId="2053AA78" w:rsidR="00D631C5" w:rsidRDefault="00D631C5" w:rsidP="00D631C5">
      <w:pPr>
        <w:spacing w:before="60"/>
        <w:ind w:left="1021" w:right="1021"/>
        <w:jc w:val="both"/>
        <w:rPr>
          <w:rFonts w:ascii="Arial" w:hAnsi="Arial" w:cs="Arial"/>
          <w:sz w:val="20"/>
        </w:rPr>
      </w:pPr>
      <w:r w:rsidRPr="00D631C5">
        <w:rPr>
          <w:rFonts w:ascii="Arial" w:hAnsi="Arial" w:cs="Arial"/>
          <w:sz w:val="18"/>
          <w:szCs w:val="22"/>
        </w:rPr>
        <w:t xml:space="preserve">The concept </w:t>
      </w:r>
      <w:r w:rsidR="00093501">
        <w:rPr>
          <w:rFonts w:ascii="Arial" w:hAnsi="Arial" w:cs="Arial"/>
          <w:sz w:val="18"/>
          <w:szCs w:val="22"/>
        </w:rPr>
        <w:t>[of]</w:t>
      </w:r>
      <w:r w:rsidRPr="00D631C5">
        <w:rPr>
          <w:rFonts w:ascii="Arial" w:hAnsi="Arial" w:cs="Arial"/>
          <w:sz w:val="18"/>
          <w:szCs w:val="22"/>
        </w:rPr>
        <w:t xml:space="preserve"> </w:t>
      </w:r>
      <w:r w:rsidR="0033214F">
        <w:rPr>
          <w:rFonts w:ascii="Arial" w:hAnsi="Arial" w:cs="Arial"/>
          <w:sz w:val="18"/>
          <w:szCs w:val="22"/>
        </w:rPr>
        <w:t>‘</w:t>
      </w:r>
      <w:r w:rsidRPr="00D631C5">
        <w:rPr>
          <w:rFonts w:ascii="Arial" w:hAnsi="Arial" w:cs="Arial"/>
          <w:sz w:val="18"/>
          <w:szCs w:val="22"/>
        </w:rPr>
        <w:t>balance of probabilities</w:t>
      </w:r>
      <w:r w:rsidR="0033214F">
        <w:rPr>
          <w:rFonts w:ascii="Arial" w:hAnsi="Arial" w:cs="Arial"/>
          <w:sz w:val="18"/>
          <w:szCs w:val="22"/>
        </w:rPr>
        <w:t>’</w:t>
      </w:r>
      <w:r w:rsidRPr="00D631C5">
        <w:rPr>
          <w:rFonts w:ascii="Arial" w:hAnsi="Arial" w:cs="Arial"/>
          <w:sz w:val="18"/>
          <w:szCs w:val="22"/>
        </w:rPr>
        <w:t xml:space="preserve"> is often misunderstood. It does not mean a simple estimate of probabilities; it requires a subjective belief in a state of facts on the part of the tribunal of fact. A party bearing the onus will not succeed unless the whole of the evidence establishes a </w:t>
      </w:r>
      <w:r w:rsidR="0033214F">
        <w:rPr>
          <w:rFonts w:ascii="Arial" w:hAnsi="Arial" w:cs="Arial"/>
          <w:sz w:val="18"/>
          <w:szCs w:val="22"/>
        </w:rPr>
        <w:t>‘</w:t>
      </w:r>
      <w:r w:rsidRPr="00D631C5">
        <w:rPr>
          <w:rFonts w:ascii="Arial" w:hAnsi="Arial" w:cs="Arial"/>
          <w:sz w:val="18"/>
          <w:szCs w:val="22"/>
        </w:rPr>
        <w:t>reasonable satisfaction</w:t>
      </w:r>
      <w:r w:rsidR="0033214F">
        <w:rPr>
          <w:rFonts w:ascii="Arial" w:hAnsi="Arial" w:cs="Arial"/>
          <w:sz w:val="18"/>
          <w:szCs w:val="22"/>
        </w:rPr>
        <w:t>’</w:t>
      </w:r>
      <w:r w:rsidRPr="00D631C5">
        <w:rPr>
          <w:rFonts w:ascii="Arial" w:hAnsi="Arial" w:cs="Arial"/>
          <w:sz w:val="18"/>
          <w:szCs w:val="22"/>
        </w:rPr>
        <w:t xml:space="preserve"> on the preponderance of probabilities such as to sustain the relevant issue: </w:t>
      </w:r>
      <w:r w:rsidRPr="00D631C5">
        <w:rPr>
          <w:rFonts w:ascii="Arial" w:hAnsi="Arial" w:cs="Arial"/>
          <w:i/>
          <w:iCs/>
          <w:sz w:val="18"/>
          <w:szCs w:val="22"/>
        </w:rPr>
        <w:t>Axon v Axon</w:t>
      </w:r>
      <w:r w:rsidRPr="00D631C5">
        <w:rPr>
          <w:rFonts w:ascii="Arial" w:hAnsi="Arial" w:cs="Arial"/>
          <w:sz w:val="18"/>
          <w:szCs w:val="22"/>
        </w:rPr>
        <w:t xml:space="preserve"> (1937) 59 CLR 395 (at 403 per Dixon</w:t>
      </w:r>
      <w:r>
        <w:rPr>
          <w:rFonts w:ascii="Arial" w:hAnsi="Arial" w:cs="Arial"/>
          <w:sz w:val="18"/>
          <w:szCs w:val="22"/>
        </w:rPr>
        <w:t> </w:t>
      </w:r>
      <w:r w:rsidRPr="00D631C5">
        <w:rPr>
          <w:rFonts w:ascii="Arial" w:hAnsi="Arial" w:cs="Arial"/>
          <w:sz w:val="18"/>
          <w:szCs w:val="22"/>
        </w:rPr>
        <w:t xml:space="preserve">J). The </w:t>
      </w:r>
      <w:r w:rsidR="0033214F">
        <w:rPr>
          <w:rFonts w:ascii="Arial" w:hAnsi="Arial" w:cs="Arial"/>
          <w:sz w:val="18"/>
          <w:szCs w:val="22"/>
        </w:rPr>
        <w:t>‘</w:t>
      </w:r>
      <w:r w:rsidRPr="00D631C5">
        <w:rPr>
          <w:rFonts w:ascii="Arial" w:hAnsi="Arial" w:cs="Arial"/>
          <w:sz w:val="18"/>
          <w:szCs w:val="22"/>
        </w:rPr>
        <w:t>facts proved must form a reasonable basis for a definite conclusion affirmatively drawn of the truth of which the tribunal of fact may reasonably be satisfied</w:t>
      </w:r>
      <w:r w:rsidR="0033214F">
        <w:rPr>
          <w:rFonts w:ascii="Arial" w:hAnsi="Arial" w:cs="Arial"/>
          <w:sz w:val="18"/>
          <w:szCs w:val="22"/>
        </w:rPr>
        <w:t>’</w:t>
      </w:r>
      <w:r w:rsidRPr="00D631C5">
        <w:rPr>
          <w:rFonts w:ascii="Arial" w:hAnsi="Arial" w:cs="Arial"/>
          <w:sz w:val="18"/>
          <w:szCs w:val="22"/>
        </w:rPr>
        <w:t xml:space="preserve">: </w:t>
      </w:r>
      <w:r w:rsidRPr="00D631C5">
        <w:rPr>
          <w:rFonts w:ascii="Arial" w:hAnsi="Arial" w:cs="Arial"/>
          <w:i/>
          <w:iCs/>
          <w:sz w:val="18"/>
          <w:szCs w:val="22"/>
        </w:rPr>
        <w:t>Jones v Dunkel</w:t>
      </w:r>
      <w:r w:rsidRPr="00D631C5">
        <w:rPr>
          <w:rFonts w:ascii="Arial" w:hAnsi="Arial" w:cs="Arial"/>
          <w:sz w:val="18"/>
          <w:szCs w:val="22"/>
        </w:rPr>
        <w:t xml:space="preserve"> (1959) 101 CLR 298 (at 305 per Dixon CJ). Put</w:t>
      </w:r>
      <w:r>
        <w:rPr>
          <w:rFonts w:ascii="Arial" w:hAnsi="Arial" w:cs="Arial"/>
          <w:sz w:val="18"/>
          <w:szCs w:val="22"/>
        </w:rPr>
        <w:t> </w:t>
      </w:r>
      <w:r w:rsidRPr="00D631C5">
        <w:rPr>
          <w:rFonts w:ascii="Arial" w:hAnsi="Arial" w:cs="Arial"/>
          <w:sz w:val="18"/>
          <w:szCs w:val="22"/>
        </w:rPr>
        <w:t xml:space="preserve">another way, as Sir Owen Dixon explained in </w:t>
      </w:r>
      <w:proofErr w:type="spellStart"/>
      <w:r w:rsidRPr="00D631C5">
        <w:rPr>
          <w:rFonts w:ascii="Arial" w:hAnsi="Arial" w:cs="Arial"/>
          <w:i/>
          <w:iCs/>
          <w:sz w:val="18"/>
          <w:szCs w:val="22"/>
        </w:rPr>
        <w:t>Briginshaw</w:t>
      </w:r>
      <w:proofErr w:type="spellEnd"/>
      <w:r w:rsidRPr="00D631C5">
        <w:rPr>
          <w:rFonts w:ascii="Arial" w:hAnsi="Arial" w:cs="Arial"/>
          <w:i/>
          <w:iCs/>
          <w:sz w:val="18"/>
          <w:szCs w:val="22"/>
        </w:rPr>
        <w:t xml:space="preserve"> v </w:t>
      </w:r>
      <w:proofErr w:type="spellStart"/>
      <w:r w:rsidRPr="00D631C5">
        <w:rPr>
          <w:rFonts w:ascii="Arial" w:hAnsi="Arial" w:cs="Arial"/>
          <w:i/>
          <w:iCs/>
          <w:sz w:val="18"/>
          <w:szCs w:val="22"/>
        </w:rPr>
        <w:t>Briginshaw</w:t>
      </w:r>
      <w:proofErr w:type="spellEnd"/>
      <w:r w:rsidRPr="00D631C5">
        <w:rPr>
          <w:rFonts w:ascii="Arial" w:hAnsi="Arial" w:cs="Arial"/>
          <w:sz w:val="18"/>
          <w:szCs w:val="22"/>
        </w:rPr>
        <w:t xml:space="preserve"> (1938) 60 CLR 336 (at 361), when the law requires proof of any fact, the tribunal of fact must feel an actual persuasion of its occurrence or existence before it can be found.</w:t>
      </w:r>
    </w:p>
    <w:p w14:paraId="0D7CD841" w14:textId="411F5CC3" w:rsidR="00D631C5" w:rsidRPr="00D631C5" w:rsidRDefault="00D631C5" w:rsidP="00D631C5">
      <w:pPr>
        <w:spacing w:before="60"/>
        <w:ind w:left="567" w:right="567"/>
        <w:jc w:val="both"/>
        <w:rPr>
          <w:rFonts w:ascii="Arial" w:hAnsi="Arial" w:cs="Arial"/>
          <w:bCs/>
          <w:sz w:val="20"/>
        </w:rPr>
      </w:pPr>
      <w:r>
        <w:rPr>
          <w:rFonts w:ascii="Arial" w:hAnsi="Arial" w:cs="Arial"/>
          <w:sz w:val="20"/>
        </w:rPr>
        <w:t>[</w:t>
      </w:r>
      <w:r w:rsidRPr="00D631C5">
        <w:rPr>
          <w:rFonts w:ascii="Arial" w:hAnsi="Arial" w:cs="Arial"/>
          <w:sz w:val="20"/>
        </w:rPr>
        <w:t>42</w:t>
      </w:r>
      <w:r>
        <w:rPr>
          <w:rFonts w:ascii="Arial" w:hAnsi="Arial" w:cs="Arial"/>
          <w:sz w:val="20"/>
        </w:rPr>
        <w:t>]</w:t>
      </w:r>
      <w:r w:rsidRPr="00D631C5">
        <w:rPr>
          <w:rFonts w:ascii="Arial" w:hAnsi="Arial" w:cs="Arial"/>
          <w:sz w:val="20"/>
        </w:rPr>
        <w:t xml:space="preserve"> I have kept the need for ‘actual persuasion’ in the sense explained above, firmly in mind when resolving contested issues of fact.</w:t>
      </w:r>
      <w:r>
        <w:rPr>
          <w:rFonts w:ascii="Arial" w:hAnsi="Arial" w:cs="Arial"/>
          <w:sz w:val="20"/>
        </w:rPr>
        <w:t>”</w:t>
      </w:r>
    </w:p>
    <w:p w14:paraId="1ED7B4BC" w14:textId="66FB56F4" w:rsidR="00A86407" w:rsidRPr="00BE78BC" w:rsidRDefault="00A86407" w:rsidP="00BE78BC">
      <w:pPr>
        <w:jc w:val="both"/>
        <w:rPr>
          <w:rFonts w:ascii="Arial" w:hAnsi="Arial" w:cs="Arial"/>
          <w:sz w:val="20"/>
        </w:rPr>
      </w:pPr>
    </w:p>
    <w:p w14:paraId="5633EABE" w14:textId="77777777" w:rsidR="00BE78BC" w:rsidRPr="001C5268" w:rsidRDefault="00BE78BC" w:rsidP="00BE78BC">
      <w:pPr>
        <w:jc w:val="both"/>
        <w:rPr>
          <w:rFonts w:ascii="Arial" w:hAnsi="Arial" w:cs="Arial"/>
          <w:color w:val="000000"/>
          <w:sz w:val="20"/>
        </w:rPr>
      </w:pPr>
      <w:r>
        <w:rPr>
          <w:rFonts w:ascii="Arial" w:hAnsi="Arial" w:cs="Arial"/>
          <w:color w:val="000000"/>
          <w:sz w:val="20"/>
        </w:rPr>
        <w:lastRenderedPageBreak/>
        <w:t>I</w:t>
      </w:r>
      <w:r w:rsidRPr="001C5268">
        <w:rPr>
          <w:rFonts w:ascii="Arial" w:hAnsi="Arial" w:cs="Arial"/>
          <w:color w:val="000000"/>
          <w:sz w:val="20"/>
        </w:rPr>
        <w:t xml:space="preserve">n </w:t>
      </w:r>
      <w:r w:rsidRPr="00BE78BC">
        <w:rPr>
          <w:rFonts w:ascii="Arial" w:hAnsi="Arial" w:cs="Arial"/>
          <w:i/>
          <w:color w:val="000000"/>
          <w:sz w:val="20"/>
        </w:rPr>
        <w:t>Douglass v The Queen</w:t>
      </w:r>
      <w:r w:rsidRPr="001C5268">
        <w:rPr>
          <w:rFonts w:ascii="Arial" w:hAnsi="Arial" w:cs="Arial"/>
          <w:color w:val="000000"/>
          <w:sz w:val="20"/>
        </w:rPr>
        <w:t xml:space="preserve"> [2012] HCA 34 </w:t>
      </w:r>
      <w:r>
        <w:rPr>
          <w:rFonts w:ascii="Arial" w:hAnsi="Arial" w:cs="Arial"/>
          <w:color w:val="000000"/>
          <w:sz w:val="20"/>
        </w:rPr>
        <w:t>t</w:t>
      </w:r>
      <w:r w:rsidRPr="001C5268">
        <w:rPr>
          <w:rFonts w:ascii="Arial" w:hAnsi="Arial" w:cs="Arial"/>
          <w:color w:val="000000"/>
          <w:sz w:val="20"/>
        </w:rPr>
        <w:t>he High Court of Australia highlighted the great difference between making a finding on the balance of probabilities and making a finding beyond reasonable doubt.  In that case</w:t>
      </w:r>
      <w:r>
        <w:rPr>
          <w:rFonts w:ascii="Arial" w:hAnsi="Arial" w:cs="Arial"/>
          <w:color w:val="000000"/>
          <w:sz w:val="20"/>
        </w:rPr>
        <w:t>,</w:t>
      </w:r>
      <w:r w:rsidRPr="001C5268">
        <w:rPr>
          <w:rFonts w:ascii="Arial" w:hAnsi="Arial" w:cs="Arial"/>
          <w:color w:val="000000"/>
          <w:sz w:val="20"/>
        </w:rPr>
        <w:t xml:space="preserve"> the accused was convicted of the aggravated indecent assault of his 3 year old granddaughter CD.  The only evidence of the offence came from CD and was to the effect that her grandfather had persuaded her to hold his penis while he was urinating on an occasion when the two were alone in a shed.  She had given inconsistent accounts as to the shed in which she said the offence occurred.  The accused gave evidence of his contact with CD on the day of the alleged offence.  He denied that they had been inside a shed or that she had touched his penis.  The trial was before a judge alone.  He found the offence proved and sentenced the accused to 3 years’ imprisonment with a non-parole period of 18 months.  The Court of Criminal Appeal of South Australia dismissed the accused’s appeal against his conviction.  The High Court allowed the appeal, quashed the conviction and sentence and ordered a verdict of acquittal.  At [48] of their joint judgment French CJ, Hayne, Crennan, Kiefel &amp; Bell JJ said:</w:t>
      </w:r>
    </w:p>
    <w:p w14:paraId="20C1511E" w14:textId="77777777" w:rsidR="00BE78BC" w:rsidRPr="001C5268" w:rsidRDefault="00BE78BC" w:rsidP="00D75C1B">
      <w:pPr>
        <w:spacing w:before="60"/>
        <w:ind w:left="567" w:right="567"/>
        <w:jc w:val="both"/>
        <w:rPr>
          <w:rFonts w:ascii="Arial" w:hAnsi="Arial" w:cs="Arial"/>
          <w:color w:val="000000"/>
          <w:sz w:val="20"/>
        </w:rPr>
      </w:pPr>
      <w:r w:rsidRPr="001C5268">
        <w:rPr>
          <w:rFonts w:ascii="Arial" w:hAnsi="Arial" w:cs="Arial"/>
          <w:color w:val="000000"/>
          <w:sz w:val="20"/>
        </w:rPr>
        <w:t>“</w:t>
      </w:r>
      <w:r w:rsidRPr="001C5268">
        <w:rPr>
          <w:rFonts w:ascii="Arial" w:hAnsi="Arial" w:cs="Arial"/>
          <w:color w:val="000000"/>
          <w:sz w:val="20"/>
          <w:szCs w:val="20"/>
        </w:rPr>
        <w:t xml:space="preserve">The criminal standard of proof is a designedly exacting standard.  A different, lesser, standard is applied by courts dealing with contested issues involving the care and protection of children.  The civil standard of proof on the balance of probabilities applies to proceedings under Pt VII Div 13A of the </w:t>
      </w:r>
      <w:r w:rsidRPr="001C5268">
        <w:rPr>
          <w:rFonts w:ascii="Arial" w:hAnsi="Arial" w:cs="Arial"/>
          <w:i/>
          <w:color w:val="000000"/>
          <w:sz w:val="20"/>
          <w:szCs w:val="20"/>
        </w:rPr>
        <w:t xml:space="preserve">Family Law Act </w:t>
      </w:r>
      <w:r w:rsidRPr="001C5268">
        <w:rPr>
          <w:rFonts w:ascii="Arial" w:hAnsi="Arial" w:cs="Arial"/>
          <w:color w:val="000000"/>
          <w:sz w:val="20"/>
          <w:szCs w:val="20"/>
        </w:rPr>
        <w:t>1975 (</w:t>
      </w:r>
      <w:proofErr w:type="spellStart"/>
      <w:r w:rsidRPr="001C5268">
        <w:rPr>
          <w:rFonts w:ascii="Arial" w:hAnsi="Arial" w:cs="Arial"/>
          <w:color w:val="000000"/>
          <w:sz w:val="20"/>
          <w:szCs w:val="20"/>
        </w:rPr>
        <w:t>Cth</w:t>
      </w:r>
      <w:proofErr w:type="spellEnd"/>
      <w:r w:rsidRPr="001C5268">
        <w:rPr>
          <w:rFonts w:ascii="Arial" w:hAnsi="Arial" w:cs="Arial"/>
          <w:color w:val="000000"/>
          <w:sz w:val="20"/>
          <w:szCs w:val="20"/>
        </w:rPr>
        <w:t xml:space="preserve">) [and the] </w:t>
      </w:r>
      <w:r w:rsidRPr="001C5268">
        <w:rPr>
          <w:rFonts w:ascii="Arial" w:hAnsi="Arial" w:cs="Arial"/>
          <w:i/>
          <w:iCs/>
          <w:color w:val="000000"/>
          <w:sz w:val="20"/>
          <w:szCs w:val="20"/>
        </w:rPr>
        <w:t xml:space="preserve">Children, Youth and Families Act </w:t>
      </w:r>
      <w:r>
        <w:rPr>
          <w:rFonts w:ascii="Arial" w:hAnsi="Arial" w:cs="Arial"/>
          <w:color w:val="000000"/>
          <w:sz w:val="20"/>
          <w:szCs w:val="20"/>
        </w:rPr>
        <w:t>2005 (Vic), ss.</w:t>
      </w:r>
      <w:r w:rsidRPr="001C5268">
        <w:rPr>
          <w:rFonts w:ascii="Arial" w:hAnsi="Arial" w:cs="Arial"/>
          <w:color w:val="000000"/>
          <w:sz w:val="20"/>
          <w:szCs w:val="20"/>
        </w:rPr>
        <w:t xml:space="preserve">215, 551….  And see discussion in </w:t>
      </w:r>
      <w:r w:rsidRPr="001C5268">
        <w:rPr>
          <w:rFonts w:ascii="Arial" w:hAnsi="Arial" w:cs="Arial"/>
          <w:i/>
          <w:color w:val="000000"/>
          <w:sz w:val="20"/>
          <w:szCs w:val="20"/>
        </w:rPr>
        <w:t xml:space="preserve">M v M </w:t>
      </w:r>
      <w:r w:rsidRPr="001C5268">
        <w:rPr>
          <w:rFonts w:ascii="Arial" w:hAnsi="Arial" w:cs="Arial"/>
          <w:color w:val="000000"/>
          <w:sz w:val="20"/>
          <w:szCs w:val="20"/>
        </w:rPr>
        <w:t xml:space="preserve">(1988) 166 CLR 69 at 77; [1988] HCA 68; </w:t>
      </w:r>
      <w:r w:rsidRPr="001C5268">
        <w:rPr>
          <w:rFonts w:ascii="Arial" w:hAnsi="Arial" w:cs="Arial"/>
          <w:i/>
          <w:color w:val="000000"/>
          <w:sz w:val="20"/>
          <w:szCs w:val="20"/>
        </w:rPr>
        <w:t>Re W (Sex Abuse: Standard of Proof)</w:t>
      </w:r>
      <w:r w:rsidRPr="001C5268">
        <w:rPr>
          <w:rFonts w:ascii="Arial" w:hAnsi="Arial" w:cs="Arial"/>
          <w:color w:val="000000"/>
          <w:sz w:val="20"/>
          <w:szCs w:val="20"/>
        </w:rPr>
        <w:t xml:space="preserve"> (2004) FLC ¶93-192.  This was not such a proceeding.  In the circumstances of this trial, it was an error for the Court of Criminal Appeal to hold that it had been open to the trial judge to be satisfied of the </w:t>
      </w:r>
      <w:r w:rsidRPr="001C5268">
        <w:rPr>
          <w:rFonts w:ascii="Arial" w:hAnsi="Arial" w:cs="Arial"/>
          <w:i/>
          <w:color w:val="000000"/>
          <w:sz w:val="20"/>
          <w:szCs w:val="20"/>
        </w:rPr>
        <w:t>reliability</w:t>
      </w:r>
      <w:r w:rsidRPr="001C5268">
        <w:rPr>
          <w:rFonts w:ascii="Arial" w:hAnsi="Arial" w:cs="Arial"/>
          <w:color w:val="000000"/>
          <w:sz w:val="20"/>
          <w:szCs w:val="20"/>
        </w:rPr>
        <w:t xml:space="preserve"> of CD's statements in the interview and to reason from that, despite the appellant's denials, to a conclusion that his guilt had been proved beyond reasonable doubt.</w:t>
      </w:r>
      <w:r w:rsidRPr="001C5268">
        <w:rPr>
          <w:rFonts w:ascii="Arial" w:hAnsi="Arial" w:cs="Arial"/>
          <w:color w:val="000000"/>
          <w:sz w:val="20"/>
        </w:rPr>
        <w:t>”</w:t>
      </w:r>
    </w:p>
    <w:p w14:paraId="3351BA6D" w14:textId="77777777" w:rsidR="00BE78BC" w:rsidRDefault="00BE78BC">
      <w:pPr>
        <w:jc w:val="both"/>
        <w:rPr>
          <w:rFonts w:ascii="Arial" w:hAnsi="Arial" w:cs="Arial"/>
          <w:sz w:val="20"/>
        </w:rPr>
      </w:pPr>
    </w:p>
    <w:p w14:paraId="6169A8DC" w14:textId="77777777" w:rsidR="00693223" w:rsidRDefault="00693223">
      <w:pPr>
        <w:jc w:val="both"/>
        <w:rPr>
          <w:rFonts w:ascii="Arial" w:hAnsi="Arial" w:cs="Arial"/>
          <w:sz w:val="20"/>
        </w:rPr>
      </w:pPr>
      <w:r>
        <w:rPr>
          <w:rFonts w:ascii="Arial" w:hAnsi="Arial" w:cs="Arial"/>
          <w:sz w:val="20"/>
        </w:rPr>
        <w:t xml:space="preserve">In </w:t>
      </w:r>
      <w:r>
        <w:rPr>
          <w:rFonts w:ascii="Arial" w:hAnsi="Arial" w:cs="Arial"/>
          <w:i/>
          <w:iCs/>
          <w:sz w:val="20"/>
        </w:rPr>
        <w:t>Re W (Sex Abuse: Standard of Proof)</w:t>
      </w:r>
      <w:r>
        <w:rPr>
          <w:rFonts w:ascii="Arial" w:hAnsi="Arial" w:cs="Arial"/>
          <w:sz w:val="20"/>
        </w:rPr>
        <w:t xml:space="preserve"> [2004] </w:t>
      </w:r>
      <w:proofErr w:type="spellStart"/>
      <w:r>
        <w:rPr>
          <w:rFonts w:ascii="Arial" w:hAnsi="Arial" w:cs="Arial"/>
          <w:sz w:val="20"/>
        </w:rPr>
        <w:t>FamCA</w:t>
      </w:r>
      <w:proofErr w:type="spellEnd"/>
      <w:r>
        <w:rPr>
          <w:rFonts w:ascii="Arial" w:hAnsi="Arial" w:cs="Arial"/>
          <w:sz w:val="20"/>
        </w:rPr>
        <w:t xml:space="preserve"> 768 a Full Court of the Family Court of Australia, comprising Kay, Holden &amp; O'Ryan JJ, set out in detail some principles applicable to sex</w:t>
      </w:r>
      <w:r w:rsidR="005A494E">
        <w:rPr>
          <w:rFonts w:ascii="Arial" w:hAnsi="Arial" w:cs="Arial"/>
          <w:sz w:val="20"/>
        </w:rPr>
        <w:t>ual</w:t>
      </w:r>
      <w:r>
        <w:rPr>
          <w:rFonts w:ascii="Arial" w:hAnsi="Arial" w:cs="Arial"/>
          <w:sz w:val="20"/>
        </w:rPr>
        <w:t xml:space="preserve"> abuse allegations</w:t>
      </w:r>
      <w:r w:rsidR="00BE78BC">
        <w:rPr>
          <w:rFonts w:ascii="Arial" w:hAnsi="Arial" w:cs="Arial"/>
          <w:sz w:val="20"/>
        </w:rPr>
        <w:t xml:space="preserve"> in civil proceedings</w:t>
      </w:r>
      <w:r w:rsidR="004952D3">
        <w:rPr>
          <w:rFonts w:ascii="Arial" w:hAnsi="Arial" w:cs="Arial"/>
          <w:sz w:val="20"/>
        </w:rPr>
        <w:t xml:space="preserve">.  </w:t>
      </w:r>
      <w:r>
        <w:rPr>
          <w:rFonts w:ascii="Arial" w:hAnsi="Arial" w:cs="Arial"/>
          <w:sz w:val="20"/>
        </w:rPr>
        <w:t xml:space="preserve">At [13]-[16] the </w:t>
      </w:r>
      <w:smartTag w:uri="urn:schemas-microsoft-com:office:smarttags" w:element="Street">
        <w:smartTag w:uri="urn:schemas-microsoft-com:office:smarttags" w:element="address">
          <w:r>
            <w:rPr>
              <w:rFonts w:ascii="Arial" w:hAnsi="Arial" w:cs="Arial"/>
              <w:sz w:val="20"/>
            </w:rPr>
            <w:t>Full Court</w:t>
          </w:r>
        </w:smartTag>
      </w:smartTag>
      <w:r>
        <w:rPr>
          <w:rFonts w:ascii="Arial" w:hAnsi="Arial" w:cs="Arial"/>
          <w:sz w:val="20"/>
        </w:rPr>
        <w:t xml:space="preserve"> said:</w:t>
      </w:r>
    </w:p>
    <w:p w14:paraId="2D7FE1C8" w14:textId="77777777" w:rsidR="00693223" w:rsidRDefault="00693223" w:rsidP="008A1184">
      <w:pPr>
        <w:spacing w:before="60"/>
        <w:ind w:left="567" w:right="567"/>
        <w:jc w:val="both"/>
        <w:rPr>
          <w:rFonts w:ascii="Arial" w:hAnsi="Arial" w:cs="Arial"/>
          <w:bCs/>
          <w:sz w:val="20"/>
        </w:rPr>
      </w:pPr>
      <w:r>
        <w:rPr>
          <w:rFonts w:ascii="Arial" w:hAnsi="Arial" w:cs="Arial"/>
          <w:bCs/>
          <w:sz w:val="20"/>
        </w:rPr>
        <w:t>"[13]  [W]e believe it helpful to now briefly examine the principles applicable in cases involving difficult questions of sexual abuse where the only witnesses to the alleged abuse are the alleged perpetrator and the alleged victim.  This is particularly difficult where the victim is of tender years and does not give any direct testimony that can be the subject of forensic testing.</w:t>
      </w:r>
    </w:p>
    <w:p w14:paraId="1E0571AD" w14:textId="77777777" w:rsidR="00693223" w:rsidRDefault="00693223" w:rsidP="008A1184">
      <w:pPr>
        <w:spacing w:before="120"/>
        <w:ind w:left="567" w:right="567"/>
        <w:jc w:val="both"/>
        <w:rPr>
          <w:rFonts w:ascii="Arial" w:hAnsi="Arial" w:cs="Arial"/>
          <w:bCs/>
          <w:sz w:val="20"/>
        </w:rPr>
      </w:pPr>
      <w:r>
        <w:rPr>
          <w:rFonts w:ascii="Arial" w:hAnsi="Arial" w:cs="Arial"/>
          <w:bCs/>
          <w:sz w:val="20"/>
        </w:rPr>
        <w:t xml:space="preserve">[14]  In </w:t>
      </w:r>
      <w:r>
        <w:rPr>
          <w:rFonts w:ascii="Arial" w:hAnsi="Arial" w:cs="Arial"/>
          <w:bCs/>
          <w:i/>
          <w:iCs/>
          <w:sz w:val="20"/>
        </w:rPr>
        <w:t>M and M</w:t>
      </w:r>
      <w:r>
        <w:rPr>
          <w:rFonts w:ascii="Arial" w:hAnsi="Arial" w:cs="Arial"/>
          <w:bCs/>
          <w:sz w:val="20"/>
        </w:rPr>
        <w:t xml:space="preserve"> (1988) FLC 91-979; (1988) 12 Fam LR 606; </w:t>
      </w:r>
      <w:r>
        <w:rPr>
          <w:rFonts w:ascii="Arial" w:hAnsi="Arial" w:cs="Arial"/>
          <w:sz w:val="20"/>
        </w:rPr>
        <w:t xml:space="preserve">(1988) 166 CLR 69 </w:t>
      </w:r>
      <w:r>
        <w:rPr>
          <w:rFonts w:ascii="Arial" w:hAnsi="Arial" w:cs="Arial"/>
          <w:bCs/>
          <w:sz w:val="20"/>
        </w:rPr>
        <w:t xml:space="preserve">and </w:t>
      </w:r>
      <w:r>
        <w:rPr>
          <w:rFonts w:ascii="Arial" w:hAnsi="Arial" w:cs="Arial"/>
          <w:bCs/>
          <w:i/>
          <w:iCs/>
          <w:sz w:val="20"/>
        </w:rPr>
        <w:t>B and B</w:t>
      </w:r>
      <w:r>
        <w:rPr>
          <w:rFonts w:ascii="Arial" w:hAnsi="Arial" w:cs="Arial"/>
          <w:bCs/>
          <w:sz w:val="20"/>
        </w:rPr>
        <w:t xml:space="preserve"> (1988) </w:t>
      </w:r>
      <w:r w:rsidR="009E68B6">
        <w:rPr>
          <w:rFonts w:ascii="Arial" w:hAnsi="Arial" w:cs="Arial"/>
          <w:bCs/>
          <w:sz w:val="20"/>
        </w:rPr>
        <w:t>FLC 91-978; (1988) 12 Fam LR 61</w:t>
      </w:r>
      <w:r>
        <w:rPr>
          <w:rFonts w:ascii="Arial" w:hAnsi="Arial" w:cs="Arial"/>
          <w:sz w:val="20"/>
        </w:rPr>
        <w:t xml:space="preserve"> </w:t>
      </w:r>
      <w:r>
        <w:rPr>
          <w:rFonts w:ascii="Arial" w:hAnsi="Arial" w:cs="Arial"/>
          <w:bCs/>
          <w:sz w:val="20"/>
        </w:rPr>
        <w:t>the High Court considered the circumstances in which a trial judge should make a finding of sexual abuse when considering children's issues under Part VII of the Family Law Act.  The Court at FLC p.77,080-1, Fam LR p.610-1 said (citations omitted):</w:t>
      </w:r>
    </w:p>
    <w:p w14:paraId="51E6C048" w14:textId="77777777" w:rsidR="00693223" w:rsidRDefault="00693223" w:rsidP="003A279C">
      <w:pPr>
        <w:spacing w:before="60"/>
        <w:ind w:left="907" w:right="907"/>
        <w:jc w:val="both"/>
        <w:rPr>
          <w:rFonts w:ascii="Arial" w:hAnsi="Arial" w:cs="Arial"/>
          <w:bCs/>
          <w:sz w:val="20"/>
        </w:rPr>
      </w:pPr>
      <w:r>
        <w:rPr>
          <w:rFonts w:ascii="Arial" w:hAnsi="Arial" w:cs="Arial"/>
          <w:bCs/>
          <w:sz w:val="20"/>
        </w:rPr>
        <w:t xml:space="preserve">'But it is a mistake to think that the Family Court is under the same duty to resolve in a definitive way the disputed allegation of sexual abuse as a court exercising criminal jurisdiction would be if it were trying the party for the criminal offence.   Proceedings for custody or </w:t>
      </w:r>
      <w:r w:rsidR="007C5527" w:rsidRPr="007C5527">
        <w:rPr>
          <w:rFonts w:ascii="Arial" w:hAnsi="Arial" w:cs="Arial"/>
          <w:bCs/>
          <w:color w:val="000000"/>
          <w:sz w:val="20"/>
        </w:rPr>
        <w:t>access</w:t>
      </w:r>
      <w:r>
        <w:rPr>
          <w:rFonts w:ascii="Arial" w:hAnsi="Arial" w:cs="Arial"/>
          <w:bCs/>
          <w:sz w:val="20"/>
        </w:rPr>
        <w:t xml:space="preserve"> are not disputes </w:t>
      </w:r>
      <w:r>
        <w:rPr>
          <w:rFonts w:ascii="Arial" w:hAnsi="Arial" w:cs="Arial"/>
          <w:bCs/>
          <w:i/>
          <w:iCs/>
          <w:sz w:val="20"/>
        </w:rPr>
        <w:t>inter partes</w:t>
      </w:r>
      <w:r>
        <w:rPr>
          <w:rFonts w:ascii="Arial" w:hAnsi="Arial" w:cs="Arial"/>
          <w:bCs/>
          <w:sz w:val="20"/>
        </w:rPr>
        <w:t xml:space="preserve"> in the ordinary sense of that expression: </w:t>
      </w:r>
      <w:r>
        <w:rPr>
          <w:rFonts w:ascii="Arial" w:hAnsi="Arial" w:cs="Arial"/>
          <w:bCs/>
          <w:i/>
          <w:iCs/>
          <w:sz w:val="20"/>
        </w:rPr>
        <w:t>Reynolds v Reynolds</w:t>
      </w:r>
      <w:r>
        <w:rPr>
          <w:rFonts w:ascii="Arial" w:hAnsi="Arial" w:cs="Arial"/>
          <w:bCs/>
          <w:sz w:val="20"/>
        </w:rPr>
        <w:t xml:space="preserve">; </w:t>
      </w:r>
      <w:r>
        <w:rPr>
          <w:rFonts w:ascii="Arial" w:hAnsi="Arial" w:cs="Arial"/>
          <w:bCs/>
          <w:i/>
          <w:iCs/>
          <w:sz w:val="20"/>
        </w:rPr>
        <w:t>Mc Kee v McKee</w:t>
      </w:r>
      <w:r>
        <w:rPr>
          <w:rFonts w:ascii="Arial" w:hAnsi="Arial" w:cs="Arial"/>
          <w:bCs/>
          <w:sz w:val="20"/>
        </w:rPr>
        <w:t xml:space="preserve">.  In proceedings of that kind the court is not enforcing a parental right of custody or right to </w:t>
      </w:r>
      <w:r w:rsidR="007C5527" w:rsidRPr="007C5527">
        <w:rPr>
          <w:rFonts w:ascii="Arial" w:hAnsi="Arial" w:cs="Arial"/>
          <w:bCs/>
          <w:color w:val="000000"/>
          <w:sz w:val="20"/>
        </w:rPr>
        <w:t>access</w:t>
      </w:r>
      <w:r>
        <w:rPr>
          <w:rFonts w:ascii="Arial" w:hAnsi="Arial" w:cs="Arial"/>
          <w:bCs/>
          <w:sz w:val="20"/>
        </w:rPr>
        <w:t xml:space="preserve">.  The court is concerned to make such an order for custody or </w:t>
      </w:r>
      <w:r w:rsidR="007C5527" w:rsidRPr="007C5527">
        <w:rPr>
          <w:rFonts w:ascii="Arial" w:hAnsi="Arial" w:cs="Arial"/>
          <w:bCs/>
          <w:color w:val="000000"/>
          <w:sz w:val="20"/>
        </w:rPr>
        <w:t>access</w:t>
      </w:r>
      <w:r>
        <w:rPr>
          <w:rFonts w:ascii="Arial" w:hAnsi="Arial" w:cs="Arial"/>
          <w:bCs/>
          <w:sz w:val="20"/>
        </w:rPr>
        <w:t xml:space="preserve"> which will in the opinion of the court best promote and protect the best interests of the child.  In deciding what order it should make the court will give very great weight to the importance of maintaining parental ties, not so much because parents have a right to custody or </w:t>
      </w:r>
      <w:r w:rsidR="007C5527" w:rsidRPr="007C5527">
        <w:rPr>
          <w:rFonts w:ascii="Arial" w:hAnsi="Arial" w:cs="Arial"/>
          <w:bCs/>
          <w:color w:val="000000"/>
          <w:sz w:val="20"/>
        </w:rPr>
        <w:t>access</w:t>
      </w:r>
      <w:r>
        <w:rPr>
          <w:rFonts w:ascii="Arial" w:hAnsi="Arial" w:cs="Arial"/>
          <w:bCs/>
          <w:sz w:val="20"/>
        </w:rPr>
        <w:t xml:space="preserve">, but because it is </w:t>
      </w:r>
      <w:r>
        <w:rPr>
          <w:rFonts w:ascii="Arial" w:hAnsi="Arial" w:cs="Arial"/>
          <w:bCs/>
          <w:i/>
          <w:iCs/>
          <w:sz w:val="20"/>
        </w:rPr>
        <w:t>prima facie</w:t>
      </w:r>
      <w:r>
        <w:rPr>
          <w:rFonts w:ascii="Arial" w:hAnsi="Arial" w:cs="Arial"/>
          <w:bCs/>
          <w:sz w:val="20"/>
        </w:rPr>
        <w:t xml:space="preserve"> in a child's interests to maintain the filial relationship with both parents: cf. </w:t>
      </w:r>
      <w:r>
        <w:rPr>
          <w:rFonts w:ascii="Arial" w:hAnsi="Arial" w:cs="Arial"/>
          <w:bCs/>
          <w:i/>
          <w:iCs/>
          <w:sz w:val="20"/>
        </w:rPr>
        <w:t>J v Lieschke</w:t>
      </w:r>
      <w:r>
        <w:rPr>
          <w:rFonts w:ascii="Arial" w:hAnsi="Arial" w:cs="Arial"/>
          <w:bCs/>
          <w:sz w:val="20"/>
        </w:rPr>
        <w:t>.</w:t>
      </w:r>
    </w:p>
    <w:p w14:paraId="1C6B5A1B" w14:textId="77777777" w:rsidR="00693223" w:rsidRDefault="00693223" w:rsidP="003A279C">
      <w:pPr>
        <w:spacing w:before="60"/>
        <w:ind w:left="907" w:right="907"/>
        <w:jc w:val="both"/>
        <w:rPr>
          <w:rFonts w:ascii="Arial" w:hAnsi="Arial" w:cs="Arial"/>
          <w:bCs/>
          <w:sz w:val="20"/>
        </w:rPr>
      </w:pPr>
      <w:r>
        <w:rPr>
          <w:rFonts w:ascii="Arial" w:hAnsi="Arial" w:cs="Arial"/>
          <w:bCs/>
          <w:sz w:val="20"/>
        </w:rPr>
        <w:t xml:space="preserve">Viewed in this setting, the resolution of an allegation of sexual abuse against a parent is subservient and ancillary to the court's determination of what is in the best interests of the child.  The Family Court's consideration of the paramount issue which it is enjoined to decide cannot be diverted by the supposed need to arrive at a definitive conclusion on the allegation of sexual abuse.  The Family Court's wide ranging-discretion to decide what is in the child's best interests cannot be qualified by requiring the court to try the case as if it were no more than a contest between the </w:t>
      </w:r>
      <w:r>
        <w:rPr>
          <w:rFonts w:ascii="Arial" w:hAnsi="Arial" w:cs="Arial"/>
          <w:bCs/>
          <w:sz w:val="20"/>
        </w:rPr>
        <w:lastRenderedPageBreak/>
        <w:t xml:space="preserve">parents to be decided solely by reference to the acceptance or rejection of the allegation of sexual abuse on the balance of probabilities. </w:t>
      </w:r>
    </w:p>
    <w:p w14:paraId="5D6C9061" w14:textId="77777777" w:rsidR="00693223" w:rsidRDefault="00693223" w:rsidP="003A279C">
      <w:pPr>
        <w:spacing w:before="60"/>
        <w:ind w:left="907" w:right="907"/>
        <w:jc w:val="both"/>
        <w:rPr>
          <w:rFonts w:ascii="Arial" w:hAnsi="Arial" w:cs="Arial"/>
          <w:bCs/>
          <w:sz w:val="20"/>
        </w:rPr>
      </w:pPr>
      <w:r>
        <w:rPr>
          <w:rFonts w:ascii="Arial" w:hAnsi="Arial" w:cs="Arial"/>
          <w:bCs/>
          <w:sz w:val="20"/>
        </w:rPr>
        <w:t xml:space="preserve">In considering an allegation of sexual abuse, the court should not make a positive finding that the allegation is true unless the court is so satisfied according to the civil standard of proof, with due regard to the factors mentioned in </w:t>
      </w:r>
      <w:proofErr w:type="spellStart"/>
      <w:r>
        <w:rPr>
          <w:rFonts w:ascii="Arial" w:hAnsi="Arial" w:cs="Arial"/>
          <w:bCs/>
          <w:i/>
          <w:iCs/>
          <w:sz w:val="20"/>
        </w:rPr>
        <w:t>Briginshaw</w:t>
      </w:r>
      <w:proofErr w:type="spellEnd"/>
      <w:r>
        <w:rPr>
          <w:rFonts w:ascii="Arial" w:hAnsi="Arial" w:cs="Arial"/>
          <w:bCs/>
          <w:i/>
          <w:iCs/>
          <w:sz w:val="20"/>
        </w:rPr>
        <w:t xml:space="preserve"> v </w:t>
      </w:r>
      <w:proofErr w:type="spellStart"/>
      <w:r>
        <w:rPr>
          <w:rFonts w:ascii="Arial" w:hAnsi="Arial" w:cs="Arial"/>
          <w:bCs/>
          <w:i/>
          <w:iCs/>
          <w:sz w:val="20"/>
        </w:rPr>
        <w:t>Briginshaw</w:t>
      </w:r>
      <w:proofErr w:type="spellEnd"/>
      <w:r>
        <w:rPr>
          <w:rFonts w:ascii="Arial" w:hAnsi="Arial" w:cs="Arial"/>
          <w:bCs/>
          <w:i/>
          <w:iCs/>
          <w:sz w:val="20"/>
        </w:rPr>
        <w:t>.</w:t>
      </w:r>
      <w:r>
        <w:rPr>
          <w:rFonts w:ascii="Arial" w:hAnsi="Arial" w:cs="Arial"/>
          <w:bCs/>
          <w:sz w:val="20"/>
        </w:rPr>
        <w:t xml:space="preserve">  There Dixon J said: </w:t>
      </w:r>
    </w:p>
    <w:p w14:paraId="28EBB986" w14:textId="77777777" w:rsidR="00693223" w:rsidRPr="00D75C1B" w:rsidRDefault="00693223" w:rsidP="003A279C">
      <w:pPr>
        <w:spacing w:before="60"/>
        <w:ind w:left="1474" w:right="1474"/>
        <w:jc w:val="both"/>
        <w:rPr>
          <w:rFonts w:ascii="Arial" w:hAnsi="Arial" w:cs="Arial"/>
          <w:bCs/>
          <w:sz w:val="18"/>
          <w:szCs w:val="22"/>
        </w:rPr>
      </w:pPr>
      <w:r w:rsidRPr="00D75C1B">
        <w:rPr>
          <w:rFonts w:ascii="Arial" w:hAnsi="Arial" w:cs="Arial"/>
          <w:iCs/>
          <w:sz w:val="18"/>
          <w:szCs w:val="22"/>
        </w:rPr>
        <w:t>'The seriousness of an allegation made, the inherent unlikeliness of an occurrence of a given description, or the gravity of the consequences flowing from a particular finding are considerations which must affect the answer to the question whether the issue has been proved to the reasonable satisfaction of the tribunal.  In such matters "reasonable satisfaction" should not be produced by inexact proofs, indefinite testimony, or indirect references.'</w:t>
      </w:r>
    </w:p>
    <w:p w14:paraId="76390CD0" w14:textId="77777777" w:rsidR="00693223" w:rsidRDefault="00693223" w:rsidP="003A279C">
      <w:pPr>
        <w:spacing w:before="60"/>
        <w:ind w:left="907" w:right="907"/>
        <w:jc w:val="both"/>
        <w:rPr>
          <w:rFonts w:ascii="Arial" w:hAnsi="Arial" w:cs="Arial"/>
          <w:bCs/>
          <w:sz w:val="20"/>
        </w:rPr>
      </w:pPr>
      <w:r>
        <w:rPr>
          <w:rFonts w:ascii="Arial" w:hAnsi="Arial" w:cs="Arial"/>
          <w:bCs/>
          <w:sz w:val="20"/>
        </w:rPr>
        <w:t xml:space="preserve">His Honour's comments have a direct application to an allegation that a parent has sexually abused a child, an allegation which is often easy to make, but difficult to refute.  It does not follow that if an allegation of sexual abuse has not been made out, according to the civil onus as stated in </w:t>
      </w:r>
      <w:proofErr w:type="spellStart"/>
      <w:r>
        <w:rPr>
          <w:rFonts w:ascii="Arial" w:hAnsi="Arial" w:cs="Arial"/>
          <w:bCs/>
          <w:i/>
          <w:iCs/>
          <w:sz w:val="20"/>
        </w:rPr>
        <w:t>Briginshaw</w:t>
      </w:r>
      <w:proofErr w:type="spellEnd"/>
      <w:r>
        <w:rPr>
          <w:rFonts w:ascii="Arial" w:hAnsi="Arial" w:cs="Arial"/>
          <w:bCs/>
          <w:sz w:val="20"/>
        </w:rPr>
        <w:t xml:space="preserve">, that conclusion determines the wider issue which confronts the court when it is called upon to decide what is in the best interests of the child. </w:t>
      </w:r>
    </w:p>
    <w:p w14:paraId="05AD7E2E" w14:textId="77777777" w:rsidR="00693223" w:rsidRDefault="00693223" w:rsidP="003A279C">
      <w:pPr>
        <w:spacing w:before="60"/>
        <w:ind w:left="907" w:right="907"/>
        <w:jc w:val="both"/>
        <w:rPr>
          <w:rFonts w:ascii="Arial" w:hAnsi="Arial" w:cs="Arial"/>
          <w:bCs/>
          <w:sz w:val="20"/>
        </w:rPr>
      </w:pPr>
      <w:r>
        <w:rPr>
          <w:rFonts w:ascii="Arial" w:hAnsi="Arial" w:cs="Arial"/>
          <w:bCs/>
          <w:sz w:val="20"/>
        </w:rPr>
        <w:t xml:space="preserve">No doubt there will be some cases in which the Court is able to come to a positive finding that the allegation is well-founded.  In all but the most extraordinary cases, that finding will have a decisive impact on the order to be made respecting custody and </w:t>
      </w:r>
      <w:r w:rsidR="007C5527" w:rsidRPr="007C5527">
        <w:rPr>
          <w:rFonts w:ascii="Arial" w:hAnsi="Arial" w:cs="Arial"/>
          <w:bCs/>
          <w:color w:val="000000"/>
          <w:sz w:val="20"/>
        </w:rPr>
        <w:t>access</w:t>
      </w:r>
      <w:r>
        <w:rPr>
          <w:rFonts w:ascii="Arial" w:hAnsi="Arial" w:cs="Arial"/>
          <w:bCs/>
          <w:sz w:val="20"/>
        </w:rPr>
        <w:t>.  There will be cases also in which the Court has no hesitation in rejecting the allegation as groundless.  Again, in the nature of things there will be very many cases, such as the present case, in which the Court cannot confidently make a finding that sexual abuse has taken place.  And there are strong practical family reasons why the Court should refrain from making a positive finding that sexual abuse has actually taken place unless it is impelled by the particular circumstances of the case to do so.'</w:t>
      </w:r>
    </w:p>
    <w:p w14:paraId="6BCE4C80" w14:textId="77777777" w:rsidR="003A279C" w:rsidRDefault="00693223" w:rsidP="003A279C">
      <w:pPr>
        <w:spacing w:before="120"/>
        <w:ind w:left="567" w:right="567"/>
        <w:jc w:val="both"/>
        <w:rPr>
          <w:rFonts w:ascii="Arial" w:hAnsi="Arial" w:cs="Arial"/>
          <w:bCs/>
          <w:sz w:val="20"/>
        </w:rPr>
      </w:pPr>
      <w:r>
        <w:rPr>
          <w:rFonts w:ascii="Arial" w:hAnsi="Arial" w:cs="Arial"/>
          <w:bCs/>
          <w:sz w:val="20"/>
        </w:rPr>
        <w:t xml:space="preserve">[15]  In </w:t>
      </w:r>
      <w:r>
        <w:rPr>
          <w:rFonts w:ascii="Arial" w:hAnsi="Arial" w:cs="Arial"/>
          <w:bCs/>
          <w:i/>
          <w:iCs/>
          <w:sz w:val="20"/>
        </w:rPr>
        <w:t>WK v SR</w:t>
      </w:r>
      <w:r>
        <w:rPr>
          <w:rFonts w:ascii="Arial" w:hAnsi="Arial" w:cs="Arial"/>
          <w:bCs/>
          <w:sz w:val="20"/>
        </w:rPr>
        <w:t xml:space="preserve"> (1997) FLC 92-787; 22 Fam LR 592 the Full Court (Baker, Kay and Morgan JJ) examined the application of the principles set out in </w:t>
      </w:r>
      <w:r>
        <w:rPr>
          <w:rFonts w:ascii="Arial" w:hAnsi="Arial" w:cs="Arial"/>
          <w:bCs/>
          <w:i/>
          <w:iCs/>
          <w:sz w:val="20"/>
        </w:rPr>
        <w:t>M and M</w:t>
      </w:r>
      <w:r>
        <w:rPr>
          <w:rFonts w:ascii="Arial" w:hAnsi="Arial" w:cs="Arial"/>
          <w:bCs/>
          <w:sz w:val="20"/>
        </w:rPr>
        <w:t xml:space="preserve"> to a situation where the trial judge had found that the father had sexually molested both his step-daughter and his own daughter</w:t>
      </w:r>
      <w:r w:rsidR="003A279C">
        <w:rPr>
          <w:rFonts w:ascii="Arial" w:hAnsi="Arial" w:cs="Arial"/>
          <w:bCs/>
          <w:sz w:val="20"/>
        </w:rPr>
        <w:t>…</w:t>
      </w:r>
    </w:p>
    <w:p w14:paraId="6459C7A1" w14:textId="77777777" w:rsidR="00693223" w:rsidRDefault="00693223" w:rsidP="008A1184">
      <w:pPr>
        <w:spacing w:before="120"/>
        <w:ind w:left="567" w:right="567"/>
        <w:jc w:val="both"/>
        <w:rPr>
          <w:rFonts w:ascii="Arial" w:hAnsi="Arial" w:cs="Arial"/>
          <w:bCs/>
          <w:sz w:val="20"/>
        </w:rPr>
      </w:pPr>
      <w:r>
        <w:rPr>
          <w:rFonts w:ascii="Arial" w:hAnsi="Arial" w:cs="Arial"/>
          <w:bCs/>
          <w:sz w:val="20"/>
        </w:rPr>
        <w:t>[16]  Although this case was argued that irrespective of the finding of sexual abuse there should have been supervised contact, given his Honour's refusal to allow any supervised contact was clearly dependent upon his positive finding of sexual abuse, if that finding is unsafe then in our view we have no other option but to remit the question of supervised contact back to a Judge at first instance."</w:t>
      </w:r>
    </w:p>
    <w:p w14:paraId="634C5283" w14:textId="77777777" w:rsidR="00693223" w:rsidRDefault="00693223">
      <w:pPr>
        <w:jc w:val="both"/>
        <w:rPr>
          <w:rFonts w:ascii="Arial" w:hAnsi="Arial" w:cs="Arial"/>
          <w:sz w:val="20"/>
        </w:rPr>
      </w:pPr>
    </w:p>
    <w:p w14:paraId="0206626E" w14:textId="3203E63A" w:rsidR="004C65F0" w:rsidRDefault="003A279C" w:rsidP="00882C6A">
      <w:pPr>
        <w:jc w:val="both"/>
        <w:rPr>
          <w:rFonts w:ascii="Arial" w:hAnsi="Arial" w:cs="Arial"/>
          <w:sz w:val="20"/>
        </w:rPr>
      </w:pPr>
      <w:r>
        <w:rPr>
          <w:rFonts w:ascii="Arial" w:hAnsi="Arial" w:cs="Arial"/>
          <w:sz w:val="20"/>
        </w:rPr>
        <w:t xml:space="preserve">Section 215A </w:t>
      </w:r>
      <w:r w:rsidR="00882C6A">
        <w:rPr>
          <w:rFonts w:ascii="Arial" w:hAnsi="Arial" w:cs="Arial"/>
          <w:sz w:val="20"/>
        </w:rPr>
        <w:t xml:space="preserve">of the CYFA provides that the standard of proof </w:t>
      </w:r>
      <w:r w:rsidR="00882C6A" w:rsidRPr="00882C6A">
        <w:rPr>
          <w:rFonts w:ascii="Arial" w:hAnsi="Arial" w:cs="Arial"/>
          <w:b/>
          <w:sz w:val="20"/>
        </w:rPr>
        <w:t>“</w:t>
      </w:r>
      <w:r w:rsidR="00882C6A" w:rsidRPr="00882C6A">
        <w:rPr>
          <w:rFonts w:ascii="Arial" w:hAnsi="Arial" w:cs="Arial"/>
          <w:b/>
          <w:sz w:val="20"/>
          <w:u w:val="single"/>
        </w:rPr>
        <w:t>of any fact</w:t>
      </w:r>
      <w:r w:rsidR="00882C6A" w:rsidRPr="00882C6A">
        <w:rPr>
          <w:rFonts w:ascii="Arial" w:hAnsi="Arial" w:cs="Arial"/>
          <w:b/>
          <w:sz w:val="20"/>
        </w:rPr>
        <w:t>”</w:t>
      </w:r>
      <w:r w:rsidR="00882C6A">
        <w:rPr>
          <w:rFonts w:ascii="Arial" w:hAnsi="Arial" w:cs="Arial"/>
          <w:sz w:val="20"/>
        </w:rPr>
        <w:t xml:space="preserve"> in an application under the CYFA in the Family Division is the balance of probabilities.  By this is meant any </w:t>
      </w:r>
      <w:r w:rsidR="00882C6A" w:rsidRPr="00882C6A">
        <w:rPr>
          <w:rFonts w:ascii="Arial" w:hAnsi="Arial" w:cs="Arial"/>
          <w:b/>
          <w:sz w:val="20"/>
          <w:u w:val="single"/>
        </w:rPr>
        <w:t>past</w:t>
      </w:r>
      <w:r w:rsidR="00882C6A">
        <w:rPr>
          <w:rFonts w:ascii="Arial" w:hAnsi="Arial" w:cs="Arial"/>
          <w:sz w:val="20"/>
        </w:rPr>
        <w:t xml:space="preserve"> fact.  It</w:t>
      </w:r>
      <w:r w:rsidR="008404D3">
        <w:rPr>
          <w:rFonts w:ascii="Arial" w:hAnsi="Arial" w:cs="Arial"/>
          <w:sz w:val="20"/>
        </w:rPr>
        <w:t xml:space="preserve"> </w:t>
      </w:r>
      <w:r w:rsidR="00882C6A">
        <w:rPr>
          <w:rFonts w:ascii="Arial" w:hAnsi="Arial" w:cs="Arial"/>
          <w:sz w:val="20"/>
        </w:rPr>
        <w:t xml:space="preserve">is clear from the above extract from </w:t>
      </w:r>
      <w:r w:rsidR="00882C6A">
        <w:rPr>
          <w:rFonts w:ascii="Arial" w:hAnsi="Arial" w:cs="Arial"/>
          <w:i/>
          <w:iCs/>
          <w:sz w:val="20"/>
        </w:rPr>
        <w:t>Re W (Sex Abuse: Standard of Proof)</w:t>
      </w:r>
      <w:r w:rsidR="003D6315">
        <w:rPr>
          <w:rFonts w:ascii="Arial" w:hAnsi="Arial" w:cs="Arial"/>
          <w:sz w:val="20"/>
        </w:rPr>
        <w:t xml:space="preserve"> </w:t>
      </w:r>
      <w:r w:rsidR="001533B1">
        <w:rPr>
          <w:rFonts w:ascii="Arial" w:hAnsi="Arial" w:cs="Arial"/>
          <w:sz w:val="20"/>
        </w:rPr>
        <w:t xml:space="preserve">and from the cases discussed in </w:t>
      </w:r>
      <w:r w:rsidR="001533B1" w:rsidRPr="00A40A28">
        <w:rPr>
          <w:rFonts w:ascii="Arial" w:hAnsi="Arial" w:cs="Arial"/>
          <w:b/>
          <w:bCs/>
          <w:sz w:val="20"/>
          <w:shd w:val="clear" w:color="auto" w:fill="C5E0B3"/>
        </w:rPr>
        <w:t>section 5.10.4</w:t>
      </w:r>
      <w:r w:rsidR="001533B1">
        <w:rPr>
          <w:rFonts w:ascii="Arial" w:hAnsi="Arial" w:cs="Arial"/>
          <w:sz w:val="20"/>
        </w:rPr>
        <w:t xml:space="preserve"> </w:t>
      </w:r>
      <w:r w:rsidR="003D6315">
        <w:rPr>
          <w:rFonts w:ascii="Arial" w:hAnsi="Arial" w:cs="Arial"/>
          <w:sz w:val="20"/>
        </w:rPr>
        <w:t xml:space="preserve">that there is a strong </w:t>
      </w:r>
      <w:r w:rsidR="00882C6A">
        <w:rPr>
          <w:rFonts w:ascii="Arial" w:hAnsi="Arial" w:cs="Arial"/>
          <w:sz w:val="20"/>
        </w:rPr>
        <w:t xml:space="preserve">distinction to be drawn between a finding that abuse has occurred in the </w:t>
      </w:r>
      <w:r w:rsidR="00882C6A" w:rsidRPr="004C65F0">
        <w:rPr>
          <w:rFonts w:ascii="Arial" w:hAnsi="Arial" w:cs="Arial"/>
          <w:b/>
          <w:sz w:val="20"/>
          <w:u w:val="single"/>
        </w:rPr>
        <w:t>past</w:t>
      </w:r>
      <w:r w:rsidR="00882C6A">
        <w:rPr>
          <w:rFonts w:ascii="Arial" w:hAnsi="Arial" w:cs="Arial"/>
          <w:sz w:val="20"/>
        </w:rPr>
        <w:t xml:space="preserve"> and a finding that there is an unacceptable risk of it occurring in the </w:t>
      </w:r>
      <w:r w:rsidR="00882C6A" w:rsidRPr="004C65F0">
        <w:rPr>
          <w:rFonts w:ascii="Arial" w:hAnsi="Arial" w:cs="Arial"/>
          <w:b/>
          <w:sz w:val="20"/>
          <w:u w:val="single"/>
        </w:rPr>
        <w:t>future</w:t>
      </w:r>
      <w:r w:rsidR="00882C6A">
        <w:rPr>
          <w:rFonts w:ascii="Arial" w:hAnsi="Arial" w:cs="Arial"/>
          <w:sz w:val="20"/>
        </w:rPr>
        <w:t xml:space="preserve">.  That is </w:t>
      </w:r>
      <w:r w:rsidR="004C65F0">
        <w:rPr>
          <w:rFonts w:ascii="Arial" w:hAnsi="Arial" w:cs="Arial"/>
          <w:sz w:val="20"/>
        </w:rPr>
        <w:t xml:space="preserve">also </w:t>
      </w:r>
      <w:r w:rsidR="00882C6A">
        <w:rPr>
          <w:rFonts w:ascii="Arial" w:hAnsi="Arial" w:cs="Arial"/>
          <w:sz w:val="20"/>
        </w:rPr>
        <w:t xml:space="preserve">clear from s.162(3) of the CYFA which </w:t>
      </w:r>
      <w:r w:rsidR="004C65F0">
        <w:rPr>
          <w:rFonts w:ascii="Arial" w:hAnsi="Arial" w:cs="Arial"/>
          <w:sz w:val="20"/>
        </w:rPr>
        <w:t>provides:</w:t>
      </w:r>
    </w:p>
    <w:p w14:paraId="49FACC95" w14:textId="77777777" w:rsidR="004C65F0" w:rsidRPr="006C72B1" w:rsidRDefault="004C65F0" w:rsidP="004C65F0">
      <w:pPr>
        <w:tabs>
          <w:tab w:val="left" w:pos="363"/>
        </w:tabs>
        <w:spacing w:before="60" w:line="240" w:lineRule="exact"/>
        <w:ind w:left="567" w:right="567"/>
        <w:jc w:val="both"/>
        <w:rPr>
          <w:rFonts w:ascii="Arial" w:hAnsi="Arial" w:cs="Arial"/>
          <w:color w:val="000000"/>
          <w:sz w:val="20"/>
        </w:rPr>
      </w:pPr>
      <w:r w:rsidRPr="006C72B1">
        <w:rPr>
          <w:rFonts w:ascii="Arial" w:hAnsi="Arial" w:cs="Arial"/>
          <w:color w:val="000000"/>
          <w:sz w:val="20"/>
        </w:rPr>
        <w:t>“(3) For the purposes of ss.(1)(c), (d), (e) and (f)-</w:t>
      </w:r>
    </w:p>
    <w:p w14:paraId="358759EE" w14:textId="77777777" w:rsidR="004C65F0" w:rsidRPr="006C72B1" w:rsidRDefault="004C65F0">
      <w:pPr>
        <w:numPr>
          <w:ilvl w:val="0"/>
          <w:numId w:val="31"/>
        </w:numPr>
        <w:tabs>
          <w:tab w:val="left" w:pos="363"/>
        </w:tabs>
        <w:spacing w:line="240" w:lineRule="exact"/>
        <w:ind w:left="1264" w:right="567" w:hanging="357"/>
        <w:jc w:val="both"/>
        <w:rPr>
          <w:rFonts w:ascii="Arial" w:hAnsi="Arial" w:cs="Arial"/>
          <w:color w:val="000000"/>
          <w:sz w:val="20"/>
        </w:rPr>
      </w:pPr>
      <w:r w:rsidRPr="006C72B1">
        <w:rPr>
          <w:rFonts w:ascii="Arial" w:hAnsi="Arial" w:cs="Arial"/>
          <w:color w:val="000000"/>
          <w:sz w:val="20"/>
        </w:rPr>
        <w:t>the Court may find that a future state of affairs is likely even if the Court is not satisfied that the future state of affairs is more likely than not to happen;</w:t>
      </w:r>
    </w:p>
    <w:p w14:paraId="2491DC39" w14:textId="77777777" w:rsidR="004C65F0" w:rsidRPr="006C72B1" w:rsidRDefault="004C65F0">
      <w:pPr>
        <w:numPr>
          <w:ilvl w:val="0"/>
          <w:numId w:val="31"/>
        </w:numPr>
        <w:tabs>
          <w:tab w:val="left" w:pos="363"/>
        </w:tabs>
        <w:spacing w:line="240" w:lineRule="exact"/>
        <w:ind w:left="1264" w:right="567" w:hanging="357"/>
        <w:jc w:val="both"/>
        <w:rPr>
          <w:rFonts w:ascii="Arial" w:hAnsi="Arial" w:cs="Arial"/>
          <w:color w:val="000000"/>
          <w:sz w:val="20"/>
        </w:rPr>
      </w:pPr>
      <w:r w:rsidRPr="006C72B1">
        <w:rPr>
          <w:rFonts w:ascii="Arial" w:hAnsi="Arial" w:cs="Arial"/>
          <w:color w:val="000000"/>
          <w:sz w:val="20"/>
        </w:rPr>
        <w:t>the Court may find that a future state of affairs is unlikely even if the Court is not satisfied that the future state of affairs is more unlikely than not to happen.”</w:t>
      </w:r>
    </w:p>
    <w:p w14:paraId="0ABA4B9B" w14:textId="77777777" w:rsidR="004C65F0" w:rsidRDefault="004C65F0" w:rsidP="00882C6A">
      <w:pPr>
        <w:jc w:val="both"/>
        <w:rPr>
          <w:rFonts w:ascii="Arial" w:hAnsi="Arial" w:cs="Arial"/>
          <w:sz w:val="20"/>
        </w:rPr>
      </w:pPr>
    </w:p>
    <w:p w14:paraId="27F32512" w14:textId="77777777" w:rsidR="00882C6A" w:rsidRDefault="004C65F0" w:rsidP="00882C6A">
      <w:pPr>
        <w:jc w:val="both"/>
        <w:rPr>
          <w:rFonts w:ascii="Arial" w:hAnsi="Arial" w:cs="Arial"/>
          <w:sz w:val="20"/>
        </w:rPr>
      </w:pPr>
      <w:r>
        <w:rPr>
          <w:rFonts w:ascii="Arial" w:hAnsi="Arial" w:cs="Arial"/>
          <w:sz w:val="20"/>
        </w:rPr>
        <w:t xml:space="preserve">So the balance of probabilities test in s.215A does </w:t>
      </w:r>
      <w:r w:rsidRPr="00AB2E0B">
        <w:rPr>
          <w:rFonts w:ascii="Arial" w:hAnsi="Arial" w:cs="Arial"/>
          <w:b/>
          <w:sz w:val="20"/>
          <w:u w:val="single"/>
        </w:rPr>
        <w:t>not</w:t>
      </w:r>
      <w:r>
        <w:rPr>
          <w:rFonts w:ascii="Arial" w:hAnsi="Arial" w:cs="Arial"/>
          <w:sz w:val="20"/>
        </w:rPr>
        <w:t xml:space="preserve"> apply to the </w:t>
      </w:r>
      <w:r w:rsidRPr="006C72B1">
        <w:rPr>
          <w:rFonts w:ascii="Arial" w:hAnsi="Arial" w:cs="Arial"/>
          <w:color w:val="000000"/>
          <w:sz w:val="20"/>
        </w:rPr>
        <w:t xml:space="preserve">determination of the likelihood or unlikelihood of the occurrence of a </w:t>
      </w:r>
      <w:r w:rsidRPr="00AB2E0B">
        <w:rPr>
          <w:rFonts w:ascii="Arial" w:hAnsi="Arial" w:cs="Arial"/>
          <w:b/>
          <w:color w:val="000000"/>
          <w:sz w:val="20"/>
          <w:u w:val="single"/>
        </w:rPr>
        <w:t>future</w:t>
      </w:r>
      <w:r w:rsidRPr="006C72B1">
        <w:rPr>
          <w:rFonts w:ascii="Arial" w:hAnsi="Arial" w:cs="Arial"/>
          <w:color w:val="000000"/>
          <w:sz w:val="20"/>
        </w:rPr>
        <w:t xml:space="preserve"> event for the purposes of proof of a protection application.</w:t>
      </w:r>
      <w:r>
        <w:rPr>
          <w:rFonts w:ascii="Arial" w:hAnsi="Arial" w:cs="Arial"/>
          <w:sz w:val="20"/>
        </w:rPr>
        <w:t xml:space="preserve">  For its part, s.162(3) leaves alive the less stringent </w:t>
      </w:r>
      <w:r w:rsidR="00882C6A" w:rsidRPr="006C72B1">
        <w:rPr>
          <w:rFonts w:ascii="Arial" w:hAnsi="Arial" w:cs="Arial"/>
          <w:color w:val="000000"/>
          <w:sz w:val="20"/>
        </w:rPr>
        <w:t xml:space="preserve">common law test </w:t>
      </w:r>
      <w:r>
        <w:rPr>
          <w:rFonts w:ascii="Arial" w:hAnsi="Arial" w:cs="Arial"/>
          <w:color w:val="000000"/>
          <w:sz w:val="20"/>
        </w:rPr>
        <w:t xml:space="preserve">of whether or not a child is </w:t>
      </w:r>
      <w:r w:rsidRPr="004C65F0">
        <w:rPr>
          <w:rFonts w:ascii="Arial" w:hAnsi="Arial" w:cs="Arial"/>
          <w:b/>
          <w:color w:val="000000"/>
          <w:sz w:val="20"/>
        </w:rPr>
        <w:t>likely</w:t>
      </w:r>
      <w:r>
        <w:rPr>
          <w:rFonts w:ascii="Arial" w:hAnsi="Arial" w:cs="Arial"/>
          <w:color w:val="000000"/>
          <w:sz w:val="20"/>
        </w:rPr>
        <w:t xml:space="preserve"> to suffer harm in the future, a test </w:t>
      </w:r>
      <w:r w:rsidR="00882C6A" w:rsidRPr="006C72B1">
        <w:rPr>
          <w:rFonts w:ascii="Arial" w:hAnsi="Arial" w:cs="Arial"/>
          <w:color w:val="000000"/>
          <w:sz w:val="20"/>
        </w:rPr>
        <w:t xml:space="preserve">enunciated by Lord Nicholls of Birkenhead </w:t>
      </w:r>
      <w:r>
        <w:rPr>
          <w:rFonts w:ascii="Arial" w:hAnsi="Arial" w:cs="Arial"/>
          <w:sz w:val="20"/>
        </w:rPr>
        <w:t xml:space="preserve">(with whom Lord Goff of Chiefly &amp; Lord Mustill agreed) </w:t>
      </w:r>
      <w:r w:rsidR="00882C6A" w:rsidRPr="006C72B1">
        <w:rPr>
          <w:rFonts w:ascii="Arial" w:hAnsi="Arial" w:cs="Arial"/>
          <w:color w:val="000000"/>
          <w:sz w:val="20"/>
        </w:rPr>
        <w:t xml:space="preserve">in </w:t>
      </w:r>
      <w:r w:rsidR="00882C6A" w:rsidRPr="006C72B1">
        <w:rPr>
          <w:rFonts w:ascii="Arial" w:hAnsi="Arial" w:cs="Arial"/>
          <w:i/>
          <w:iCs/>
          <w:sz w:val="20"/>
        </w:rPr>
        <w:t xml:space="preserve">In re H. &amp; Others </w:t>
      </w:r>
      <w:r w:rsidR="00882C6A" w:rsidRPr="006C72B1">
        <w:rPr>
          <w:rFonts w:ascii="Arial" w:hAnsi="Arial" w:cs="Arial"/>
          <w:i/>
          <w:iCs/>
          <w:sz w:val="20"/>
        </w:rPr>
        <w:lastRenderedPageBreak/>
        <w:t>(Minors)(Sexual Abuse: Standard of Proof)</w:t>
      </w:r>
      <w:r w:rsidR="00882C6A" w:rsidRPr="006C72B1">
        <w:rPr>
          <w:rFonts w:ascii="Arial" w:hAnsi="Arial" w:cs="Arial"/>
          <w:sz w:val="20"/>
        </w:rPr>
        <w:t xml:space="preserve"> [1996] AC 563 at 585</w:t>
      </w:r>
      <w:r>
        <w:rPr>
          <w:rFonts w:ascii="Arial" w:hAnsi="Arial" w:cs="Arial"/>
          <w:sz w:val="20"/>
        </w:rPr>
        <w:t xml:space="preserve"> in relation to English legislation </w:t>
      </w:r>
      <w:r w:rsidR="00AB2E0B">
        <w:rPr>
          <w:rFonts w:ascii="Arial" w:hAnsi="Arial" w:cs="Arial"/>
          <w:sz w:val="20"/>
        </w:rPr>
        <w:t>in</w:t>
      </w:r>
      <w:r>
        <w:rPr>
          <w:rFonts w:ascii="Arial" w:hAnsi="Arial" w:cs="Arial"/>
          <w:sz w:val="20"/>
        </w:rPr>
        <w:t xml:space="preserve"> similar </w:t>
      </w:r>
      <w:r w:rsidR="00AB2E0B">
        <w:rPr>
          <w:rFonts w:ascii="Arial" w:hAnsi="Arial" w:cs="Arial"/>
          <w:sz w:val="20"/>
        </w:rPr>
        <w:t xml:space="preserve">terms </w:t>
      </w:r>
      <w:r>
        <w:rPr>
          <w:rFonts w:ascii="Arial" w:hAnsi="Arial" w:cs="Arial"/>
          <w:sz w:val="20"/>
        </w:rPr>
        <w:t>to s.162</w:t>
      </w:r>
      <w:r w:rsidR="006421A8">
        <w:rPr>
          <w:rFonts w:ascii="Arial" w:hAnsi="Arial" w:cs="Arial"/>
          <w:sz w:val="20"/>
        </w:rPr>
        <w:t>(1)</w:t>
      </w:r>
      <w:r>
        <w:rPr>
          <w:rFonts w:ascii="Arial" w:hAnsi="Arial" w:cs="Arial"/>
          <w:sz w:val="20"/>
        </w:rPr>
        <w:t xml:space="preserve"> of the CYFA:</w:t>
      </w:r>
    </w:p>
    <w:p w14:paraId="35E1DA03" w14:textId="77777777" w:rsidR="00882C6A" w:rsidRDefault="00882C6A" w:rsidP="001F6EA3">
      <w:pPr>
        <w:spacing w:before="60"/>
        <w:ind w:left="567" w:right="567"/>
        <w:jc w:val="both"/>
        <w:rPr>
          <w:rFonts w:ascii="Arial" w:hAnsi="Arial" w:cs="Arial"/>
          <w:bCs/>
          <w:sz w:val="16"/>
        </w:rPr>
      </w:pPr>
      <w:bookmarkStart w:id="1267" w:name="_Toc34823415"/>
      <w:bookmarkStart w:id="1268" w:name="_Toc73499132"/>
      <w:r>
        <w:rPr>
          <w:rFonts w:ascii="Arial" w:hAnsi="Arial" w:cs="Arial"/>
          <w:sz w:val="20"/>
        </w:rPr>
        <w:t>"Parliament cannot have been using likely in the sense of more likely than not.  If the word likely were given this meaning, it would have the effect of leaving outside the scope of care and supervision orders cases where the court is satisfied there is a real possibility of significant harm to the child in the future but that possibility falls short of being more likely than not…[L]</w:t>
      </w:r>
      <w:proofErr w:type="spellStart"/>
      <w:r>
        <w:rPr>
          <w:rFonts w:ascii="Arial" w:hAnsi="Arial" w:cs="Arial"/>
          <w:sz w:val="20"/>
        </w:rPr>
        <w:t>ikely</w:t>
      </w:r>
      <w:proofErr w:type="spellEnd"/>
      <w:r>
        <w:rPr>
          <w:rFonts w:ascii="Arial" w:hAnsi="Arial" w:cs="Arial"/>
          <w:sz w:val="20"/>
        </w:rPr>
        <w:t xml:space="preserve"> is being used in the sense of a real possibility, a possibility that cannot sensibly be ignored having regard to the nature and gravity of the feared harm in the particular case."</w:t>
      </w:r>
    </w:p>
    <w:bookmarkEnd w:id="1267"/>
    <w:bookmarkEnd w:id="1268"/>
    <w:p w14:paraId="347580F4" w14:textId="77777777" w:rsidR="00882C6A" w:rsidRDefault="00882C6A" w:rsidP="00882C6A">
      <w:pPr>
        <w:jc w:val="both"/>
        <w:rPr>
          <w:rFonts w:ascii="Arial" w:hAnsi="Arial" w:cs="Arial"/>
          <w:sz w:val="20"/>
        </w:rPr>
      </w:pPr>
    </w:p>
    <w:p w14:paraId="1AE0DEA5" w14:textId="77777777" w:rsidR="00AB2E0B" w:rsidRDefault="00AB2E0B" w:rsidP="00882C6A">
      <w:pPr>
        <w:jc w:val="both"/>
        <w:rPr>
          <w:rFonts w:ascii="Arial" w:hAnsi="Arial" w:cs="Arial"/>
          <w:sz w:val="20"/>
        </w:rPr>
      </w:pPr>
      <w:r>
        <w:rPr>
          <w:rFonts w:ascii="Arial" w:hAnsi="Arial" w:cs="Arial"/>
          <w:sz w:val="20"/>
        </w:rPr>
        <w:t>However, it is also important to note that Lord Nicholls stressed at p.590:</w:t>
      </w:r>
    </w:p>
    <w:p w14:paraId="3FCA16CA" w14:textId="77777777" w:rsidR="00AB2E0B" w:rsidRDefault="00AB2E0B" w:rsidP="00033D59">
      <w:pPr>
        <w:spacing w:before="60"/>
        <w:ind w:left="567" w:right="567"/>
        <w:jc w:val="both"/>
        <w:rPr>
          <w:rFonts w:ascii="Arial" w:hAnsi="Arial" w:cs="Arial"/>
          <w:bCs/>
          <w:sz w:val="16"/>
        </w:rPr>
      </w:pPr>
      <w:r>
        <w:rPr>
          <w:rFonts w:ascii="Arial" w:hAnsi="Arial" w:cs="Arial"/>
          <w:bCs/>
          <w:sz w:val="16"/>
        </w:rPr>
        <w:t>“</w:t>
      </w:r>
      <w:r>
        <w:rPr>
          <w:rFonts w:ascii="Arial" w:hAnsi="Arial" w:cs="Arial"/>
          <w:sz w:val="20"/>
        </w:rPr>
        <w:t>A decision by the Court on the likelihood of a future happening must be founded on a basis of present facts and the inferences fairly to be drawn therefrom….[A] court's conclusion that the threshold conditions are satisfied must have a factual base, and…an alleged but unproved fact, serious or trivial, is not a fact for this purpose.  Nor is judicial suspicion, because that is no more than a judicial state of uncertainty about whether or not an event happened."</w:t>
      </w:r>
    </w:p>
    <w:p w14:paraId="46D91BB9" w14:textId="77777777" w:rsidR="00BE78BC" w:rsidRPr="00BE78BC" w:rsidRDefault="00BE78BC">
      <w:pPr>
        <w:jc w:val="both"/>
        <w:rPr>
          <w:rFonts w:ascii="Arial" w:hAnsi="Arial" w:cs="Arial"/>
          <w:color w:val="000000"/>
          <w:sz w:val="20"/>
        </w:rPr>
      </w:pPr>
    </w:p>
    <w:p w14:paraId="120967F8" w14:textId="77777777" w:rsidR="00A40D16" w:rsidRPr="00BE78BC" w:rsidRDefault="00BE78BC" w:rsidP="00D75C1B">
      <w:pPr>
        <w:keepNext/>
        <w:keepLines/>
        <w:jc w:val="both"/>
        <w:rPr>
          <w:rFonts w:ascii="Arial" w:hAnsi="Arial" w:cs="Arial"/>
          <w:color w:val="000000"/>
          <w:sz w:val="20"/>
        </w:rPr>
      </w:pPr>
      <w:r>
        <w:rPr>
          <w:rFonts w:ascii="Arial" w:hAnsi="Arial" w:cs="Arial"/>
          <w:color w:val="000000"/>
          <w:sz w:val="20"/>
        </w:rPr>
        <w:t>It is also important to note that</w:t>
      </w:r>
      <w:r w:rsidRPr="00BE78BC">
        <w:rPr>
          <w:rFonts w:ascii="Arial" w:hAnsi="Arial" w:cs="Arial"/>
          <w:color w:val="000000"/>
          <w:sz w:val="20"/>
        </w:rPr>
        <w:t xml:space="preserve"> i</w:t>
      </w:r>
      <w:r w:rsidR="00A40D16" w:rsidRPr="00BE78BC">
        <w:rPr>
          <w:rFonts w:ascii="Arial" w:hAnsi="Arial" w:cs="Arial"/>
          <w:color w:val="000000"/>
          <w:sz w:val="20"/>
        </w:rPr>
        <w:t xml:space="preserve">n weighing the evidence of witnesses, a judicial officer is not required to accept a witness’ evidence </w:t>
      </w:r>
      <w:r w:rsidR="00A40D16" w:rsidRPr="00BE78BC">
        <w:rPr>
          <w:rFonts w:ascii="Arial" w:hAnsi="Arial" w:cs="Arial"/>
          <w:i/>
          <w:color w:val="000000"/>
          <w:sz w:val="20"/>
        </w:rPr>
        <w:t>in toto</w:t>
      </w:r>
      <w:r w:rsidR="00A40D16" w:rsidRPr="00BE78BC">
        <w:rPr>
          <w:rFonts w:ascii="Arial" w:hAnsi="Arial" w:cs="Arial"/>
          <w:color w:val="000000"/>
          <w:sz w:val="20"/>
        </w:rPr>
        <w:t xml:space="preserve"> or reject it </w:t>
      </w:r>
      <w:r w:rsidR="00A40D16" w:rsidRPr="00BE78BC">
        <w:rPr>
          <w:rFonts w:ascii="Arial" w:hAnsi="Arial" w:cs="Arial"/>
          <w:i/>
          <w:color w:val="000000"/>
          <w:sz w:val="20"/>
        </w:rPr>
        <w:t>in toto</w:t>
      </w:r>
      <w:r w:rsidR="00A40D16" w:rsidRPr="00BE78BC">
        <w:rPr>
          <w:rFonts w:ascii="Arial" w:hAnsi="Arial" w:cs="Arial"/>
          <w:color w:val="000000"/>
          <w:sz w:val="20"/>
        </w:rPr>
        <w:t xml:space="preserve">.  It is open to a judicial officer in an appropriate case to accept part of a witness’ evidence and reject another part as Beach J noted in </w:t>
      </w:r>
      <w:r w:rsidR="00A40D16" w:rsidRPr="00BE78BC">
        <w:rPr>
          <w:rFonts w:ascii="Arial" w:hAnsi="Arial" w:cs="Arial"/>
          <w:i/>
          <w:color w:val="000000"/>
          <w:sz w:val="20"/>
        </w:rPr>
        <w:t>Helou v Shaya</w:t>
      </w:r>
      <w:r w:rsidR="00A40D16" w:rsidRPr="00BE78BC">
        <w:rPr>
          <w:rFonts w:ascii="Arial" w:hAnsi="Arial" w:cs="Arial"/>
          <w:color w:val="000000"/>
          <w:sz w:val="20"/>
        </w:rPr>
        <w:t xml:space="preserve"> [2013] VSC 297 at [22]:</w:t>
      </w:r>
    </w:p>
    <w:p w14:paraId="0DE64DD1" w14:textId="77777777" w:rsidR="00A40D16" w:rsidRPr="00BE78BC" w:rsidRDefault="00A40D16" w:rsidP="00A40D16">
      <w:pPr>
        <w:spacing w:before="60"/>
        <w:ind w:left="567" w:right="567"/>
        <w:jc w:val="both"/>
        <w:rPr>
          <w:rFonts w:ascii="Arial" w:hAnsi="Arial" w:cs="Arial"/>
          <w:color w:val="000000"/>
          <w:sz w:val="20"/>
          <w:szCs w:val="20"/>
        </w:rPr>
      </w:pPr>
      <w:r w:rsidRPr="00BE78BC">
        <w:rPr>
          <w:rFonts w:ascii="Arial" w:hAnsi="Arial" w:cs="Arial"/>
          <w:color w:val="000000"/>
          <w:sz w:val="20"/>
        </w:rPr>
        <w:t xml:space="preserve">“A magistrate (like any other trier of fact) is entitled to accept the evidence of a witness on one point and not accept the evidence of the same witness on another point.  Further, to the extent that the appellant’s arguments in this appeal was premised on the proposition that the non-acceptance of the respondent’s evidence on a particular topic, or actual evidence given by the respondent inconsistent with the Court’s findings, mandated as a matter of law, a conclusion </w:t>
      </w:r>
      <w:r w:rsidRPr="00BE78BC">
        <w:rPr>
          <w:rFonts w:ascii="Arial" w:hAnsi="Arial" w:cs="Arial"/>
          <w:color w:val="000000"/>
          <w:sz w:val="20"/>
          <w:szCs w:val="20"/>
        </w:rPr>
        <w:t xml:space="preserve">in favour of the defendant, those arguments must be rejected: See generally, </w:t>
      </w:r>
      <w:r w:rsidRPr="00BE78BC">
        <w:rPr>
          <w:rFonts w:ascii="Arial" w:hAnsi="Arial" w:cs="Arial"/>
          <w:i/>
          <w:color w:val="000000"/>
          <w:sz w:val="20"/>
          <w:szCs w:val="20"/>
        </w:rPr>
        <w:t xml:space="preserve">Krum v Malaysian Airline Systems Berhad </w:t>
      </w:r>
      <w:r w:rsidRPr="00BE78BC">
        <w:rPr>
          <w:rFonts w:ascii="Arial" w:hAnsi="Arial" w:cs="Arial"/>
          <w:color w:val="000000"/>
          <w:sz w:val="20"/>
          <w:szCs w:val="20"/>
        </w:rPr>
        <w:t xml:space="preserve">[2004] VSC 185; </w:t>
      </w:r>
      <w:r w:rsidRPr="00BE78BC">
        <w:rPr>
          <w:rFonts w:ascii="Arial" w:hAnsi="Arial" w:cs="Arial"/>
          <w:i/>
          <w:color w:val="000000"/>
          <w:sz w:val="20"/>
          <w:szCs w:val="20"/>
        </w:rPr>
        <w:t>Malaysian Airline Systems Berhad v Krum</w:t>
      </w:r>
      <w:r w:rsidRPr="00BE78BC">
        <w:rPr>
          <w:rFonts w:ascii="Arial" w:hAnsi="Arial" w:cs="Arial"/>
          <w:color w:val="000000"/>
          <w:sz w:val="20"/>
          <w:szCs w:val="20"/>
        </w:rPr>
        <w:t xml:space="preserve"> [2005] VSCA 232; </w:t>
      </w:r>
      <w:r w:rsidRPr="00BE78BC">
        <w:rPr>
          <w:rFonts w:ascii="Arial" w:hAnsi="Arial" w:cs="Arial"/>
          <w:i/>
          <w:color w:val="000000"/>
          <w:sz w:val="20"/>
          <w:szCs w:val="20"/>
        </w:rPr>
        <w:t>Husson v Keppel Prince Engineering Pty Ltd</w:t>
      </w:r>
      <w:r w:rsidRPr="00BE78BC">
        <w:rPr>
          <w:rFonts w:ascii="Arial" w:hAnsi="Arial" w:cs="Arial"/>
          <w:color w:val="000000"/>
          <w:sz w:val="20"/>
          <w:szCs w:val="20"/>
        </w:rPr>
        <w:t xml:space="preserve"> [2006] VSC 412;  </w:t>
      </w:r>
      <w:r w:rsidRPr="00BE78BC">
        <w:rPr>
          <w:rFonts w:ascii="Arial" w:hAnsi="Arial" w:cs="Arial"/>
          <w:i/>
          <w:color w:val="000000"/>
          <w:sz w:val="20"/>
          <w:szCs w:val="20"/>
        </w:rPr>
        <w:t>Alcoa Portland Aluminium Pty Ltd v Husson &amp; Anor</w:t>
      </w:r>
      <w:r w:rsidRPr="00BE78BC">
        <w:rPr>
          <w:rFonts w:ascii="Arial" w:hAnsi="Arial" w:cs="Arial"/>
          <w:color w:val="000000"/>
          <w:sz w:val="20"/>
          <w:szCs w:val="20"/>
        </w:rPr>
        <w:t xml:space="preserve"> (2007) 18 VR 112.  See further, </w:t>
      </w:r>
      <w:r w:rsidRPr="00BE78BC">
        <w:rPr>
          <w:rFonts w:ascii="Arial" w:hAnsi="Arial" w:cs="Arial"/>
          <w:i/>
          <w:color w:val="000000"/>
          <w:sz w:val="20"/>
          <w:szCs w:val="20"/>
        </w:rPr>
        <w:t xml:space="preserve">Transport Accident Commission v O’Reilly </w:t>
      </w:r>
      <w:r w:rsidRPr="00BE78BC">
        <w:rPr>
          <w:rFonts w:ascii="Arial" w:hAnsi="Arial" w:cs="Arial"/>
          <w:color w:val="000000"/>
          <w:sz w:val="20"/>
          <w:szCs w:val="20"/>
        </w:rPr>
        <w:t xml:space="preserve">[1999] 2 VR 436, 460 [58] (Callaway JA); </w:t>
      </w:r>
      <w:r w:rsidRPr="00BE78BC">
        <w:rPr>
          <w:rFonts w:ascii="Arial" w:hAnsi="Arial" w:cs="Arial"/>
          <w:i/>
          <w:color w:val="000000"/>
          <w:sz w:val="20"/>
          <w:szCs w:val="20"/>
        </w:rPr>
        <w:t xml:space="preserve">Thales Australia Ltd v The Coroners Court &amp; </w:t>
      </w:r>
      <w:r w:rsidR="0000786E" w:rsidRPr="00BE78BC">
        <w:rPr>
          <w:rFonts w:ascii="Arial" w:hAnsi="Arial" w:cs="Arial"/>
          <w:i/>
          <w:color w:val="000000"/>
          <w:sz w:val="20"/>
          <w:szCs w:val="20"/>
        </w:rPr>
        <w:t>O</w:t>
      </w:r>
      <w:r w:rsidRPr="00BE78BC">
        <w:rPr>
          <w:rFonts w:ascii="Arial" w:hAnsi="Arial" w:cs="Arial"/>
          <w:i/>
          <w:color w:val="000000"/>
          <w:sz w:val="20"/>
          <w:szCs w:val="20"/>
        </w:rPr>
        <w:t xml:space="preserve">rs </w:t>
      </w:r>
      <w:r w:rsidRPr="00BE78BC">
        <w:rPr>
          <w:rFonts w:ascii="Arial" w:hAnsi="Arial" w:cs="Arial"/>
          <w:color w:val="000000"/>
          <w:sz w:val="20"/>
          <w:szCs w:val="20"/>
        </w:rPr>
        <w:t>[2011] VSC 133 [60].”</w:t>
      </w:r>
    </w:p>
    <w:p w14:paraId="574411A8" w14:textId="77777777" w:rsidR="00A40D16" w:rsidRPr="00A40D16" w:rsidRDefault="00A40D16">
      <w:pPr>
        <w:jc w:val="both"/>
        <w:rPr>
          <w:rFonts w:ascii="Arial" w:hAnsi="Arial" w:cs="Arial"/>
          <w:color w:val="000000"/>
          <w:sz w:val="20"/>
          <w:szCs w:val="20"/>
        </w:rPr>
      </w:pPr>
    </w:p>
    <w:p w14:paraId="4B3B9AB9" w14:textId="5A7815FB" w:rsidR="007D7E39" w:rsidRPr="00785E1A" w:rsidRDefault="00775DC6" w:rsidP="007D7E39">
      <w:pPr>
        <w:pStyle w:val="Heading3"/>
        <w:keepNext/>
        <w:keepLines/>
        <w:spacing w:after="120" w:line="240" w:lineRule="auto"/>
        <w:rPr>
          <w:rFonts w:ascii="Arial" w:hAnsi="Arial" w:cs="Arial"/>
          <w:color w:val="000000"/>
          <w:sz w:val="20"/>
        </w:rPr>
      </w:pPr>
      <w:bookmarkStart w:id="1269" w:name="_4.8.5_Expert_evidence"/>
      <w:bookmarkStart w:id="1270" w:name="B485"/>
      <w:bookmarkEnd w:id="1269"/>
      <w:bookmarkEnd w:id="1270"/>
      <w:r w:rsidRPr="00801CD5">
        <w:rPr>
          <w:rFonts w:ascii="Arial" w:hAnsi="Arial" w:cs="Arial"/>
          <w:b/>
          <w:bCs/>
          <w:color w:val="000000"/>
          <w:sz w:val="20"/>
        </w:rPr>
        <w:t>4.8.</w:t>
      </w:r>
      <w:r w:rsidR="00030EFF">
        <w:rPr>
          <w:rFonts w:ascii="Arial" w:hAnsi="Arial" w:cs="Arial"/>
          <w:b/>
          <w:bCs/>
          <w:color w:val="000000"/>
          <w:sz w:val="20"/>
        </w:rPr>
        <w:t>6</w:t>
      </w:r>
      <w:r w:rsidRPr="00801CD5">
        <w:rPr>
          <w:rFonts w:ascii="Arial" w:hAnsi="Arial" w:cs="Arial"/>
          <w:b/>
          <w:bCs/>
          <w:color w:val="000000"/>
          <w:sz w:val="20"/>
        </w:rPr>
        <w:tab/>
        <w:t>Attendance of child at Court</w:t>
      </w:r>
    </w:p>
    <w:p w14:paraId="48AB7862" w14:textId="77777777" w:rsidR="00775DC6" w:rsidRDefault="00775DC6" w:rsidP="00775DC6">
      <w:pPr>
        <w:jc w:val="both"/>
        <w:rPr>
          <w:rFonts w:ascii="Arial" w:hAnsi="Arial" w:cs="Arial"/>
          <w:sz w:val="20"/>
        </w:rPr>
      </w:pPr>
      <w:r>
        <w:rPr>
          <w:rFonts w:ascii="Arial" w:hAnsi="Arial" w:cs="Arial"/>
          <w:color w:val="000000"/>
          <w:sz w:val="20"/>
        </w:rPr>
        <w:t>Prior to 01/12/2013 t</w:t>
      </w:r>
      <w:r w:rsidRPr="00BF4C4A">
        <w:rPr>
          <w:rFonts w:ascii="Arial" w:hAnsi="Arial" w:cs="Arial"/>
          <w:color w:val="000000"/>
          <w:sz w:val="20"/>
        </w:rPr>
        <w:t>he CYFA had required children to attend or be brought to Court for the majority of child protection proceedings, although they were rarely actually present in the courtroom.  The attendance of children at Court was commented on adversely in the Cummins report.  New</w:t>
      </w:r>
      <w:r>
        <w:rPr>
          <w:rFonts w:ascii="Arial" w:hAnsi="Arial" w:cs="Arial"/>
          <w:color w:val="000000"/>
          <w:sz w:val="20"/>
        </w:rPr>
        <w:t xml:space="preserve"> s.216A of the CYFA provides that </w:t>
      </w:r>
      <w:r w:rsidRPr="00BF4C4A">
        <w:rPr>
          <w:rFonts w:ascii="Arial" w:hAnsi="Arial" w:cs="Arial"/>
          <w:color w:val="000000"/>
          <w:sz w:val="20"/>
        </w:rPr>
        <w:t>in any proceeding before the Family Division under the</w:t>
      </w:r>
      <w:r w:rsidR="00D5405F">
        <w:rPr>
          <w:rFonts w:ascii="Arial" w:hAnsi="Arial" w:cs="Arial"/>
          <w:color w:val="000000"/>
          <w:sz w:val="20"/>
        </w:rPr>
        <w:t xml:space="preserve"> CYFA </w:t>
      </w:r>
      <w:r w:rsidRPr="00BF4C4A">
        <w:rPr>
          <w:rFonts w:ascii="Arial" w:hAnsi="Arial" w:cs="Arial"/>
          <w:color w:val="000000"/>
          <w:sz w:val="20"/>
        </w:rPr>
        <w:t>a</w:t>
      </w:r>
      <w:r w:rsidR="00D5405F">
        <w:rPr>
          <w:rFonts w:ascii="Arial" w:hAnsi="Arial" w:cs="Arial"/>
          <w:color w:val="000000"/>
          <w:sz w:val="20"/>
        </w:rPr>
        <w:t> </w:t>
      </w:r>
      <w:r w:rsidRPr="00BF4C4A">
        <w:rPr>
          <w:rFonts w:ascii="Arial" w:hAnsi="Arial" w:cs="Arial"/>
          <w:color w:val="000000"/>
          <w:sz w:val="20"/>
        </w:rPr>
        <w:t xml:space="preserve">child is not required to attend </w:t>
      </w:r>
      <w:r>
        <w:rPr>
          <w:rFonts w:ascii="Arial" w:hAnsi="Arial" w:cs="Arial"/>
          <w:color w:val="000000"/>
          <w:sz w:val="20"/>
        </w:rPr>
        <w:t xml:space="preserve">or be brought </w:t>
      </w:r>
      <w:r w:rsidR="00D5405F">
        <w:rPr>
          <w:rFonts w:ascii="Arial" w:hAnsi="Arial" w:cs="Arial"/>
          <w:color w:val="000000"/>
          <w:sz w:val="20"/>
        </w:rPr>
        <w:t>to</w:t>
      </w:r>
      <w:r w:rsidRPr="00BF4C4A">
        <w:rPr>
          <w:rFonts w:ascii="Arial" w:hAnsi="Arial" w:cs="Arial"/>
          <w:color w:val="000000"/>
          <w:sz w:val="20"/>
        </w:rPr>
        <w:t xml:space="preserve"> Court unless-</w:t>
      </w:r>
    </w:p>
    <w:p w14:paraId="753624E2" w14:textId="77777777" w:rsidR="00775DC6" w:rsidRDefault="00775DC6">
      <w:pPr>
        <w:numPr>
          <w:ilvl w:val="0"/>
          <w:numId w:val="32"/>
        </w:numPr>
        <w:tabs>
          <w:tab w:val="left" w:pos="454"/>
        </w:tabs>
        <w:spacing w:line="240" w:lineRule="exact"/>
        <w:ind w:left="357" w:hanging="357"/>
        <w:jc w:val="both"/>
        <w:rPr>
          <w:rFonts w:ascii="Arial" w:hAnsi="Arial" w:cs="Arial"/>
          <w:color w:val="000000"/>
          <w:sz w:val="20"/>
        </w:rPr>
      </w:pPr>
      <w:r w:rsidRPr="00BF4C4A">
        <w:rPr>
          <w:rFonts w:ascii="Arial" w:hAnsi="Arial" w:cs="Arial"/>
          <w:color w:val="000000"/>
          <w:sz w:val="20"/>
        </w:rPr>
        <w:t>the child expresses a wish to attend; or</w:t>
      </w:r>
    </w:p>
    <w:p w14:paraId="3931F7C6" w14:textId="77777777" w:rsidR="00775DC6" w:rsidRDefault="00775DC6">
      <w:pPr>
        <w:numPr>
          <w:ilvl w:val="0"/>
          <w:numId w:val="32"/>
        </w:numPr>
        <w:tabs>
          <w:tab w:val="left" w:pos="454"/>
        </w:tabs>
        <w:spacing w:line="240" w:lineRule="exact"/>
        <w:ind w:left="357" w:hanging="357"/>
        <w:jc w:val="both"/>
        <w:rPr>
          <w:rFonts w:ascii="Arial" w:hAnsi="Arial" w:cs="Arial"/>
          <w:color w:val="000000"/>
          <w:sz w:val="20"/>
        </w:rPr>
      </w:pPr>
      <w:r w:rsidRPr="00BF4C4A">
        <w:rPr>
          <w:rFonts w:ascii="Arial" w:hAnsi="Arial" w:cs="Arial"/>
          <w:color w:val="000000"/>
          <w:sz w:val="20"/>
        </w:rPr>
        <w:t>the Court orders that the child attend; or</w:t>
      </w:r>
    </w:p>
    <w:p w14:paraId="4CFB4291" w14:textId="77777777" w:rsidR="00775DC6" w:rsidRPr="00BF4C4A" w:rsidRDefault="00775DC6">
      <w:pPr>
        <w:numPr>
          <w:ilvl w:val="0"/>
          <w:numId w:val="32"/>
        </w:numPr>
        <w:tabs>
          <w:tab w:val="left" w:pos="454"/>
        </w:tabs>
        <w:spacing w:line="240" w:lineRule="exact"/>
        <w:ind w:left="357" w:hanging="357"/>
        <w:jc w:val="both"/>
        <w:rPr>
          <w:rFonts w:ascii="Arial" w:hAnsi="Arial" w:cs="Arial"/>
          <w:color w:val="000000"/>
          <w:sz w:val="20"/>
        </w:rPr>
      </w:pPr>
      <w:r w:rsidRPr="00BF4C4A">
        <w:rPr>
          <w:rFonts w:ascii="Arial" w:hAnsi="Arial" w:cs="Arial"/>
          <w:color w:val="000000"/>
          <w:sz w:val="20"/>
        </w:rPr>
        <w:t xml:space="preserve">the </w:t>
      </w:r>
      <w:r>
        <w:rPr>
          <w:rFonts w:ascii="Arial" w:hAnsi="Arial" w:cs="Arial"/>
          <w:color w:val="000000"/>
          <w:sz w:val="20"/>
        </w:rPr>
        <w:t xml:space="preserve">CYFA </w:t>
      </w:r>
      <w:r w:rsidRPr="00BF4C4A">
        <w:rPr>
          <w:rFonts w:ascii="Arial" w:hAnsi="Arial" w:cs="Arial"/>
          <w:color w:val="000000"/>
          <w:sz w:val="20"/>
        </w:rPr>
        <w:t>requires that the child attend.</w:t>
      </w:r>
    </w:p>
    <w:p w14:paraId="5E359422" w14:textId="77777777" w:rsidR="00775DC6" w:rsidRDefault="00D5405F" w:rsidP="003F74A9">
      <w:pPr>
        <w:jc w:val="both"/>
        <w:rPr>
          <w:rFonts w:ascii="Arial" w:hAnsi="Arial" w:cs="Arial"/>
          <w:sz w:val="20"/>
        </w:rPr>
      </w:pPr>
      <w:r>
        <w:rPr>
          <w:rFonts w:ascii="Arial" w:hAnsi="Arial" w:cs="Arial"/>
          <w:sz w:val="20"/>
        </w:rPr>
        <w:t xml:space="preserve">Section 216A is broad enough to include intervention order proceedings.  This new section and the large number of </w:t>
      </w:r>
      <w:r w:rsidR="00775DC6">
        <w:rPr>
          <w:rFonts w:ascii="Arial" w:hAnsi="Arial" w:cs="Arial"/>
          <w:sz w:val="20"/>
        </w:rPr>
        <w:t xml:space="preserve">associated amendments </w:t>
      </w:r>
      <w:r w:rsidR="00775DC6" w:rsidRPr="00BF4C4A">
        <w:rPr>
          <w:rFonts w:ascii="Arial" w:hAnsi="Arial" w:cs="Arial"/>
          <w:color w:val="000000"/>
          <w:sz w:val="20"/>
        </w:rPr>
        <w:t xml:space="preserve">have resulted in changes to many prescribed forms: see </w:t>
      </w:r>
      <w:r w:rsidR="00775DC6" w:rsidRPr="00BF4C4A">
        <w:rPr>
          <w:rFonts w:ascii="Arial" w:hAnsi="Arial" w:cs="Arial"/>
          <w:b/>
          <w:i/>
          <w:color w:val="000000"/>
          <w:sz w:val="20"/>
        </w:rPr>
        <w:t>Children, Youth and Families (Children’s Court Family Division) Rules 201</w:t>
      </w:r>
      <w:r w:rsidR="004C770E">
        <w:rPr>
          <w:rFonts w:ascii="Arial" w:hAnsi="Arial" w:cs="Arial"/>
          <w:b/>
          <w:i/>
          <w:color w:val="000000"/>
          <w:sz w:val="20"/>
        </w:rPr>
        <w:t>7</w:t>
      </w:r>
      <w:r w:rsidR="004C770E" w:rsidRPr="004C770E">
        <w:rPr>
          <w:rFonts w:ascii="Arial" w:hAnsi="Arial" w:cs="Arial"/>
          <w:color w:val="000000"/>
          <w:sz w:val="20"/>
        </w:rPr>
        <w:t xml:space="preserve"> [S.R. No.20/2017]</w:t>
      </w:r>
      <w:r w:rsidR="00775DC6" w:rsidRPr="00BF4C4A">
        <w:rPr>
          <w:rFonts w:ascii="Arial" w:hAnsi="Arial" w:cs="Arial"/>
          <w:color w:val="000000"/>
          <w:sz w:val="20"/>
        </w:rPr>
        <w:t>.</w:t>
      </w:r>
    </w:p>
    <w:p w14:paraId="4880C5ED" w14:textId="77777777" w:rsidR="00775DC6" w:rsidRDefault="00775DC6" w:rsidP="00775DC6">
      <w:pPr>
        <w:jc w:val="both"/>
        <w:rPr>
          <w:rFonts w:ascii="Arial" w:hAnsi="Arial" w:cs="Arial"/>
          <w:sz w:val="20"/>
        </w:rPr>
      </w:pPr>
    </w:p>
    <w:p w14:paraId="0F35EC51" w14:textId="77777777" w:rsidR="00775DC6" w:rsidRDefault="00775DC6" w:rsidP="00775DC6">
      <w:pPr>
        <w:jc w:val="both"/>
        <w:rPr>
          <w:rFonts w:ascii="Arial" w:hAnsi="Arial" w:cs="Arial"/>
          <w:sz w:val="20"/>
        </w:rPr>
      </w:pPr>
      <w:r w:rsidRPr="00BF4C4A">
        <w:rPr>
          <w:rFonts w:ascii="Arial" w:hAnsi="Arial" w:cs="Arial"/>
          <w:color w:val="000000"/>
          <w:sz w:val="20"/>
        </w:rPr>
        <w:t xml:space="preserve">The only applications for which the amended </w:t>
      </w:r>
      <w:r w:rsidR="00D5405F" w:rsidRPr="00D5405F">
        <w:rPr>
          <w:rFonts w:ascii="Arial" w:hAnsi="Arial" w:cs="Arial"/>
          <w:color w:val="000000"/>
          <w:sz w:val="20"/>
        </w:rPr>
        <w:t>CYFA</w:t>
      </w:r>
      <w:r w:rsidRPr="00BF4C4A">
        <w:rPr>
          <w:rFonts w:ascii="Arial" w:hAnsi="Arial" w:cs="Arial"/>
          <w:color w:val="000000"/>
          <w:sz w:val="20"/>
        </w:rPr>
        <w:t xml:space="preserve"> requires that the child attend Court are-</w:t>
      </w:r>
    </w:p>
    <w:p w14:paraId="22B7A363" w14:textId="77777777" w:rsidR="00775DC6" w:rsidRPr="00BF4C4A" w:rsidRDefault="00775DC6">
      <w:pPr>
        <w:numPr>
          <w:ilvl w:val="0"/>
          <w:numId w:val="33"/>
        </w:numPr>
        <w:tabs>
          <w:tab w:val="left" w:pos="363"/>
        </w:tabs>
        <w:spacing w:line="240" w:lineRule="exact"/>
        <w:ind w:left="284" w:hanging="284"/>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-s.228</w:t>
      </w:r>
      <w:r w:rsidRPr="00BF4C4A">
        <w:rPr>
          <w:rFonts w:ascii="Arial" w:hAnsi="Arial" w:cs="Arial"/>
          <w:color w:val="000000"/>
          <w:sz w:val="20"/>
        </w:rPr>
        <w:t>: Application for Temporary Assessment Order by notice;</w:t>
      </w:r>
    </w:p>
    <w:p w14:paraId="7A03DD23" w14:textId="77777777" w:rsidR="00775DC6" w:rsidRPr="00BF4C4A" w:rsidRDefault="00775DC6">
      <w:pPr>
        <w:numPr>
          <w:ilvl w:val="0"/>
          <w:numId w:val="33"/>
        </w:numPr>
        <w:tabs>
          <w:tab w:val="left" w:pos="363"/>
        </w:tabs>
        <w:spacing w:line="240" w:lineRule="exact"/>
        <w:ind w:left="284" w:hanging="284"/>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-s.246</w:t>
      </w:r>
      <w:r w:rsidRPr="00BF4C4A">
        <w:rPr>
          <w:rFonts w:ascii="Arial" w:hAnsi="Arial" w:cs="Arial"/>
          <w:color w:val="000000"/>
          <w:sz w:val="20"/>
        </w:rPr>
        <w:t>: Application for Therapeutic Treatment Order;</w:t>
      </w:r>
    </w:p>
    <w:p w14:paraId="01476F32"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-ss.268, 270</w:t>
      </w:r>
      <w:r w:rsidRPr="00BF4C4A">
        <w:rPr>
          <w:rFonts w:ascii="Arial" w:hAnsi="Arial" w:cs="Arial"/>
          <w:color w:val="000000"/>
          <w:sz w:val="20"/>
        </w:rPr>
        <w:t xml:space="preserve">: Application to Vary an Interim Accommodation Order or for a New Order where the IAO was made under </w:t>
      </w:r>
      <w:r w:rsidRPr="00BF4C4A">
        <w:rPr>
          <w:rFonts w:ascii="Arial" w:hAnsi="Arial" w:cs="Arial"/>
          <w:b/>
          <w:i/>
          <w:color w:val="000000"/>
          <w:sz w:val="20"/>
        </w:rPr>
        <w:t>CYFA</w:t>
      </w:r>
      <w:r w:rsidRPr="00BF4C4A">
        <w:rPr>
          <w:rFonts w:ascii="Arial" w:hAnsi="Arial" w:cs="Arial"/>
          <w:b/>
          <w:color w:val="000000"/>
          <w:sz w:val="20"/>
        </w:rPr>
        <w:t>-s.262(1)(c)</w:t>
      </w:r>
      <w:r w:rsidRPr="00BF4C4A">
        <w:rPr>
          <w:rFonts w:ascii="Arial" w:hAnsi="Arial" w:cs="Arial"/>
          <w:color w:val="000000"/>
          <w:sz w:val="20"/>
        </w:rPr>
        <w:t xml:space="preserve"> on a Therapeutic Treatment Order application.</w:t>
      </w:r>
    </w:p>
    <w:p w14:paraId="2C817ECC"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-s.269</w:t>
      </w:r>
      <w:r w:rsidRPr="00BF4C4A">
        <w:rPr>
          <w:rFonts w:ascii="Arial" w:hAnsi="Arial" w:cs="Arial"/>
          <w:color w:val="000000"/>
          <w:sz w:val="20"/>
        </w:rPr>
        <w:t xml:space="preserve">: Application for Breach of an Interim Accommodation Order where the IAO was made under </w:t>
      </w:r>
      <w:r w:rsidRPr="00BF4C4A">
        <w:rPr>
          <w:rFonts w:ascii="Arial" w:hAnsi="Arial" w:cs="Arial"/>
          <w:b/>
          <w:i/>
          <w:color w:val="000000"/>
          <w:sz w:val="20"/>
        </w:rPr>
        <w:t>CYFA</w:t>
      </w:r>
      <w:r w:rsidRPr="00BF4C4A">
        <w:rPr>
          <w:rFonts w:ascii="Arial" w:hAnsi="Arial" w:cs="Arial"/>
          <w:b/>
          <w:color w:val="000000"/>
          <w:sz w:val="20"/>
        </w:rPr>
        <w:t>-s.262(1)(c)</w:t>
      </w:r>
      <w:r w:rsidRPr="00BF4C4A">
        <w:rPr>
          <w:rFonts w:ascii="Arial" w:hAnsi="Arial" w:cs="Arial"/>
          <w:color w:val="000000"/>
          <w:sz w:val="20"/>
        </w:rPr>
        <w:t xml:space="preserve"> on a Therapeutic Treatment Order application.</w:t>
      </w:r>
    </w:p>
    <w:p w14:paraId="7EEA2356" w14:textId="77777777" w:rsidR="00775DC6" w:rsidRDefault="00775DC6" w:rsidP="00775DC6">
      <w:pPr>
        <w:jc w:val="both"/>
        <w:rPr>
          <w:rFonts w:ascii="Arial" w:hAnsi="Arial" w:cs="Arial"/>
          <w:sz w:val="20"/>
        </w:rPr>
      </w:pPr>
    </w:p>
    <w:p w14:paraId="775A8DAB" w14:textId="77777777" w:rsidR="00775DC6" w:rsidRPr="00BF4C4A" w:rsidRDefault="00775DC6" w:rsidP="00775DC6">
      <w:pPr>
        <w:tabs>
          <w:tab w:val="left" w:pos="363"/>
        </w:tabs>
        <w:spacing w:line="240" w:lineRule="exact"/>
        <w:jc w:val="both"/>
        <w:rPr>
          <w:rFonts w:ascii="Arial" w:hAnsi="Arial" w:cs="Arial"/>
          <w:color w:val="000000"/>
          <w:sz w:val="20"/>
        </w:rPr>
      </w:pPr>
      <w:r w:rsidRPr="00BF4C4A">
        <w:rPr>
          <w:rFonts w:ascii="Arial" w:hAnsi="Arial" w:cs="Arial"/>
          <w:color w:val="000000"/>
          <w:sz w:val="20"/>
        </w:rPr>
        <w:lastRenderedPageBreak/>
        <w:t>Unless a child wishes to attend or the Court orders that a child attend Court, the child is no longer required to attend or be brought before the Court for the hearing of any other child protection applications.  These include-</w:t>
      </w:r>
    </w:p>
    <w:p w14:paraId="67F9BF3F"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-s.235</w:t>
      </w:r>
      <w:r w:rsidRPr="00BF4C4A">
        <w:rPr>
          <w:rFonts w:ascii="Arial" w:hAnsi="Arial" w:cs="Arial"/>
          <w:color w:val="000000"/>
          <w:sz w:val="20"/>
        </w:rPr>
        <w:t>: Application to Vary or Revoke a Temporary Assessment Order;</w:t>
      </w:r>
    </w:p>
    <w:p w14:paraId="732AC3E7"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-ss.240(1), 240(3), 243</w:t>
      </w:r>
      <w:r w:rsidRPr="00BF4C4A">
        <w:rPr>
          <w:rFonts w:ascii="Arial" w:hAnsi="Arial" w:cs="Arial"/>
          <w:color w:val="000000"/>
          <w:sz w:val="20"/>
        </w:rPr>
        <w:t>: Protection Application;</w:t>
      </w:r>
    </w:p>
    <w:p w14:paraId="4AAA63F6"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-s.252</w:t>
      </w:r>
      <w:r w:rsidRPr="00BF4C4A">
        <w:rPr>
          <w:rFonts w:ascii="Arial" w:hAnsi="Arial" w:cs="Arial"/>
          <w:color w:val="000000"/>
          <w:sz w:val="20"/>
        </w:rPr>
        <w:t>: Application for a Therapeutic Treatment (Placement) Order;</w:t>
      </w:r>
    </w:p>
    <w:p w14:paraId="05C9B5B4"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-s.255</w:t>
      </w:r>
      <w:r w:rsidRPr="00BF4C4A">
        <w:rPr>
          <w:rFonts w:ascii="Arial" w:hAnsi="Arial" w:cs="Arial"/>
          <w:color w:val="000000"/>
          <w:sz w:val="20"/>
        </w:rPr>
        <w:t>: Application for Extension of Therapeutic Treatment Order or Therapeutic Treatment (Placement) Order;</w:t>
      </w:r>
    </w:p>
    <w:p w14:paraId="264C6BFF"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-ss.257-258</w:t>
      </w:r>
      <w:r w:rsidRPr="00BF4C4A">
        <w:rPr>
          <w:rFonts w:ascii="Arial" w:hAnsi="Arial" w:cs="Arial"/>
          <w:color w:val="000000"/>
          <w:sz w:val="20"/>
        </w:rPr>
        <w:t>: Application to Vary or Revoke a Therapeutic Treatment Order or Therapeutic Treatment (Placement) Order;</w:t>
      </w:r>
    </w:p>
    <w:p w14:paraId="5CD7D28D"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-ss.259-260</w:t>
      </w:r>
      <w:r w:rsidRPr="00BF4C4A">
        <w:rPr>
          <w:rFonts w:ascii="Arial" w:hAnsi="Arial" w:cs="Arial"/>
          <w:color w:val="000000"/>
          <w:sz w:val="20"/>
        </w:rPr>
        <w:t>: Irreconcilable Differences Application;</w:t>
      </w:r>
    </w:p>
    <w:p w14:paraId="5EB55EE9"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-ss.268, 270</w:t>
      </w:r>
      <w:r w:rsidRPr="00BF4C4A">
        <w:rPr>
          <w:rFonts w:ascii="Arial" w:hAnsi="Arial" w:cs="Arial"/>
          <w:color w:val="000000"/>
          <w:sz w:val="20"/>
        </w:rPr>
        <w:t xml:space="preserve">: Application to Vary an Interim Accommodation Order or for a New Order [except where the IAO was made under </w:t>
      </w:r>
      <w:r w:rsidRPr="00BF4C4A">
        <w:rPr>
          <w:rFonts w:ascii="Arial" w:hAnsi="Arial" w:cs="Arial"/>
          <w:b/>
          <w:i/>
          <w:color w:val="000000"/>
          <w:sz w:val="20"/>
        </w:rPr>
        <w:t>CYFA</w:t>
      </w:r>
      <w:r w:rsidRPr="00BF4C4A">
        <w:rPr>
          <w:rFonts w:ascii="Arial" w:hAnsi="Arial" w:cs="Arial"/>
          <w:b/>
          <w:color w:val="000000"/>
          <w:sz w:val="20"/>
        </w:rPr>
        <w:t>-s.262(1)(c)</w:t>
      </w:r>
      <w:r w:rsidRPr="00BF4C4A">
        <w:rPr>
          <w:rFonts w:ascii="Arial" w:hAnsi="Arial" w:cs="Arial"/>
          <w:color w:val="000000"/>
          <w:sz w:val="20"/>
        </w:rPr>
        <w:t xml:space="preserve"> on a Therapeutic Treatment Order application].</w:t>
      </w:r>
    </w:p>
    <w:p w14:paraId="6F06FBDD"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-s.269</w:t>
      </w:r>
      <w:r w:rsidRPr="00BF4C4A">
        <w:rPr>
          <w:rFonts w:ascii="Arial" w:hAnsi="Arial" w:cs="Arial"/>
          <w:color w:val="000000"/>
          <w:sz w:val="20"/>
        </w:rPr>
        <w:t xml:space="preserve">: Application for Breach of an Interim Accommodation Order [except where the IAO was made under </w:t>
      </w:r>
      <w:r w:rsidRPr="00BF4C4A">
        <w:rPr>
          <w:rFonts w:ascii="Arial" w:hAnsi="Arial" w:cs="Arial"/>
          <w:b/>
          <w:i/>
          <w:color w:val="000000"/>
          <w:sz w:val="20"/>
        </w:rPr>
        <w:t>CYFA</w:t>
      </w:r>
      <w:r w:rsidRPr="00BF4C4A">
        <w:rPr>
          <w:rFonts w:ascii="Arial" w:hAnsi="Arial" w:cs="Arial"/>
          <w:b/>
          <w:color w:val="000000"/>
          <w:sz w:val="20"/>
        </w:rPr>
        <w:t>-s.262(1)(c)</w:t>
      </w:r>
      <w:r w:rsidRPr="00BF4C4A">
        <w:rPr>
          <w:rFonts w:ascii="Arial" w:hAnsi="Arial" w:cs="Arial"/>
          <w:color w:val="000000"/>
          <w:sz w:val="20"/>
        </w:rPr>
        <w:t xml:space="preserve"> on a Therapeutic Treatment Order application].</w:t>
      </w:r>
    </w:p>
    <w:p w14:paraId="79F94AB6"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-ss.273, 279</w:t>
      </w:r>
      <w:r w:rsidRPr="00BF4C4A">
        <w:rPr>
          <w:rFonts w:ascii="Arial" w:hAnsi="Arial" w:cs="Arial"/>
          <w:color w:val="000000"/>
          <w:sz w:val="20"/>
        </w:rPr>
        <w:t>: Application to Vary or Revoke an Undertaking;</w:t>
      </w:r>
    </w:p>
    <w:p w14:paraId="6BB42B04" w14:textId="77777777" w:rsidR="004C770E" w:rsidRPr="004C770E" w:rsidRDefault="004C770E">
      <w:pPr>
        <w:numPr>
          <w:ilvl w:val="0"/>
          <w:numId w:val="33"/>
        </w:numPr>
        <w:tabs>
          <w:tab w:val="left" w:pos="363"/>
        </w:tabs>
        <w:spacing w:line="240" w:lineRule="exact"/>
        <w:ind w:left="357" w:hanging="357"/>
        <w:jc w:val="both"/>
        <w:rPr>
          <w:rFonts w:ascii="Arial" w:hAnsi="Arial" w:cs="Arial"/>
          <w:color w:val="000000"/>
          <w:sz w:val="20"/>
        </w:rPr>
      </w:pPr>
      <w:r w:rsidRPr="004C770E">
        <w:rPr>
          <w:rFonts w:ascii="Arial" w:hAnsi="Arial" w:cs="Arial"/>
          <w:b/>
          <w:color w:val="000000"/>
          <w:sz w:val="20"/>
          <w:u w:val="single"/>
        </w:rPr>
        <w:t>CYFA-ss.289(1A), 290(1A)</w:t>
      </w:r>
      <w:r>
        <w:rPr>
          <w:rFonts w:ascii="Arial" w:hAnsi="Arial" w:cs="Arial"/>
          <w:color w:val="000000"/>
          <w:sz w:val="20"/>
        </w:rPr>
        <w:t>: Applications for care by Sec Order/Long-term care Order</w:t>
      </w:r>
    </w:p>
    <w:p w14:paraId="79E31EE0"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-ss.293, 294</w:t>
      </w:r>
      <w:r w:rsidRPr="00BF4C4A">
        <w:rPr>
          <w:rFonts w:ascii="Arial" w:hAnsi="Arial" w:cs="Arial"/>
          <w:color w:val="000000"/>
          <w:sz w:val="20"/>
        </w:rPr>
        <w:t>: Application for Extension of a Protection Order;</w:t>
      </w:r>
    </w:p>
    <w:p w14:paraId="19248345"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-ss.300, 304</w:t>
      </w:r>
      <w:r w:rsidRPr="00BF4C4A">
        <w:rPr>
          <w:rFonts w:ascii="Arial" w:hAnsi="Arial" w:cs="Arial"/>
          <w:color w:val="000000"/>
          <w:sz w:val="20"/>
        </w:rPr>
        <w:t>: Application to Vary or Revoke a Protection Order;</w:t>
      </w:r>
    </w:p>
    <w:p w14:paraId="28CCA657"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-s.305</w:t>
      </w:r>
      <w:r w:rsidRPr="00BF4C4A">
        <w:rPr>
          <w:rFonts w:ascii="Arial" w:hAnsi="Arial" w:cs="Arial"/>
          <w:color w:val="000000"/>
          <w:sz w:val="20"/>
        </w:rPr>
        <w:t xml:space="preserve">: Application to Revoke a </w:t>
      </w:r>
      <w:r w:rsidR="004C770E">
        <w:rPr>
          <w:rFonts w:ascii="Arial" w:hAnsi="Arial" w:cs="Arial"/>
          <w:color w:val="000000"/>
          <w:sz w:val="20"/>
        </w:rPr>
        <w:t>c</w:t>
      </w:r>
      <w:r w:rsidR="004E1436">
        <w:rPr>
          <w:rFonts w:ascii="Arial" w:hAnsi="Arial" w:cs="Arial"/>
          <w:color w:val="000000"/>
          <w:sz w:val="20"/>
        </w:rPr>
        <w:t>are by</w:t>
      </w:r>
      <w:r w:rsidRPr="00BF4C4A">
        <w:rPr>
          <w:rFonts w:ascii="Arial" w:hAnsi="Arial" w:cs="Arial"/>
          <w:color w:val="000000"/>
          <w:sz w:val="20"/>
        </w:rPr>
        <w:t xml:space="preserve"> Secretary Order;</w:t>
      </w:r>
    </w:p>
    <w:p w14:paraId="4E161AE4"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-s.306</w:t>
      </w:r>
      <w:r w:rsidRPr="00BF4C4A">
        <w:rPr>
          <w:rFonts w:ascii="Arial" w:hAnsi="Arial" w:cs="Arial"/>
          <w:color w:val="000000"/>
          <w:sz w:val="20"/>
        </w:rPr>
        <w:t>: Application to Revoke a</w:t>
      </w:r>
      <w:r w:rsidR="004C770E">
        <w:rPr>
          <w:rFonts w:ascii="Arial" w:hAnsi="Arial" w:cs="Arial"/>
          <w:color w:val="000000"/>
          <w:sz w:val="20"/>
        </w:rPr>
        <w:t xml:space="preserve"> l</w:t>
      </w:r>
      <w:r w:rsidRPr="00BF4C4A">
        <w:rPr>
          <w:rFonts w:ascii="Arial" w:hAnsi="Arial" w:cs="Arial"/>
          <w:color w:val="000000"/>
          <w:sz w:val="20"/>
        </w:rPr>
        <w:t>ong-</w:t>
      </w:r>
      <w:r w:rsidR="004E1436">
        <w:rPr>
          <w:rFonts w:ascii="Arial" w:hAnsi="Arial" w:cs="Arial"/>
          <w:color w:val="000000"/>
          <w:sz w:val="20"/>
        </w:rPr>
        <w:t>t</w:t>
      </w:r>
      <w:r w:rsidRPr="00BF4C4A">
        <w:rPr>
          <w:rFonts w:ascii="Arial" w:hAnsi="Arial" w:cs="Arial"/>
          <w:color w:val="000000"/>
          <w:sz w:val="20"/>
        </w:rPr>
        <w:t xml:space="preserve">erm </w:t>
      </w:r>
      <w:r w:rsidR="004E1436">
        <w:rPr>
          <w:rFonts w:ascii="Arial" w:hAnsi="Arial" w:cs="Arial"/>
          <w:color w:val="000000"/>
          <w:sz w:val="20"/>
        </w:rPr>
        <w:t>Care</w:t>
      </w:r>
      <w:r w:rsidRPr="00BF4C4A">
        <w:rPr>
          <w:rFonts w:ascii="Arial" w:hAnsi="Arial" w:cs="Arial"/>
          <w:color w:val="000000"/>
          <w:sz w:val="20"/>
        </w:rPr>
        <w:t xml:space="preserve"> Order;</w:t>
      </w:r>
    </w:p>
    <w:p w14:paraId="41127B03"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-s.312</w:t>
      </w:r>
      <w:r w:rsidRPr="00BF4C4A">
        <w:rPr>
          <w:rFonts w:ascii="Arial" w:hAnsi="Arial" w:cs="Arial"/>
          <w:color w:val="000000"/>
          <w:sz w:val="20"/>
        </w:rPr>
        <w:t>: Application for Breach of Protection Order;</w:t>
      </w:r>
    </w:p>
    <w:p w14:paraId="7D06084A"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-s.320</w:t>
      </w:r>
      <w:r w:rsidRPr="00BF4C4A">
        <w:rPr>
          <w:rFonts w:ascii="Arial" w:hAnsi="Arial" w:cs="Arial"/>
          <w:color w:val="000000"/>
          <w:sz w:val="20"/>
        </w:rPr>
        <w:t>: Application for a Permanent Care Order;</w:t>
      </w:r>
    </w:p>
    <w:p w14:paraId="6B78F5CB" w14:textId="77777777" w:rsidR="00775DC6" w:rsidRPr="00BF4C4A" w:rsidRDefault="00775DC6">
      <w:pPr>
        <w:numPr>
          <w:ilvl w:val="0"/>
          <w:numId w:val="33"/>
        </w:numPr>
        <w:tabs>
          <w:tab w:val="left" w:pos="363"/>
        </w:tabs>
        <w:spacing w:line="240" w:lineRule="exact"/>
        <w:ind w:left="357" w:hanging="357"/>
        <w:jc w:val="both"/>
        <w:rPr>
          <w:rFonts w:ascii="Arial" w:hAnsi="Arial" w:cs="Arial"/>
          <w:color w:val="000000"/>
          <w:sz w:val="20"/>
        </w:rPr>
      </w:pPr>
      <w:r w:rsidRPr="00BF4C4A">
        <w:rPr>
          <w:rFonts w:ascii="Arial" w:hAnsi="Arial" w:cs="Arial"/>
          <w:b/>
          <w:i/>
          <w:color w:val="000000"/>
          <w:sz w:val="20"/>
          <w:u w:val="single"/>
        </w:rPr>
        <w:t>CYFA</w:t>
      </w:r>
      <w:r w:rsidRPr="00BF4C4A">
        <w:rPr>
          <w:rFonts w:ascii="Arial" w:hAnsi="Arial" w:cs="Arial"/>
          <w:b/>
          <w:color w:val="000000"/>
          <w:sz w:val="20"/>
          <w:u w:val="single"/>
        </w:rPr>
        <w:t>-s.326</w:t>
      </w:r>
      <w:r w:rsidRPr="00BF4C4A">
        <w:rPr>
          <w:rFonts w:ascii="Arial" w:hAnsi="Arial" w:cs="Arial"/>
          <w:color w:val="000000"/>
          <w:sz w:val="20"/>
        </w:rPr>
        <w:t>: Application to Vary or Revoke a Permanent Care Order;</w:t>
      </w:r>
    </w:p>
    <w:p w14:paraId="1A7A50C7" w14:textId="77777777" w:rsidR="00775DC6" w:rsidRDefault="00775DC6">
      <w:pPr>
        <w:jc w:val="both"/>
        <w:rPr>
          <w:rFonts w:ascii="Arial" w:hAnsi="Arial" w:cs="Arial"/>
          <w:sz w:val="20"/>
        </w:rPr>
      </w:pPr>
    </w:p>
    <w:p w14:paraId="6179A8A6" w14:textId="77777777" w:rsidR="003D6315" w:rsidRDefault="003D6315">
      <w:pPr>
        <w:jc w:val="both"/>
        <w:rPr>
          <w:rFonts w:ascii="Arial" w:hAnsi="Arial" w:cs="Arial"/>
          <w:sz w:val="20"/>
        </w:rPr>
      </w:pPr>
      <w:r>
        <w:rPr>
          <w:rFonts w:ascii="Arial" w:hAnsi="Arial" w:cs="Arial"/>
          <w:sz w:val="20"/>
        </w:rPr>
        <w:t>However, ss.243(3)</w:t>
      </w:r>
      <w:r w:rsidR="00A662CF">
        <w:rPr>
          <w:rFonts w:ascii="Arial" w:hAnsi="Arial" w:cs="Arial"/>
          <w:sz w:val="20"/>
        </w:rPr>
        <w:t>, 261(1),</w:t>
      </w:r>
      <w:r>
        <w:rPr>
          <w:rFonts w:ascii="Arial" w:hAnsi="Arial" w:cs="Arial"/>
          <w:sz w:val="20"/>
        </w:rPr>
        <w:t xml:space="preserve"> </w:t>
      </w:r>
      <w:r w:rsidR="00A662CF">
        <w:rPr>
          <w:rFonts w:ascii="Arial" w:hAnsi="Arial" w:cs="Arial"/>
          <w:sz w:val="20"/>
        </w:rPr>
        <w:t xml:space="preserve">268(5), 269(3), 270(5), </w:t>
      </w:r>
      <w:r w:rsidR="00DA02C6">
        <w:rPr>
          <w:rFonts w:ascii="Arial" w:hAnsi="Arial" w:cs="Arial"/>
          <w:sz w:val="20"/>
        </w:rPr>
        <w:t xml:space="preserve">291(4) &amp; 313 </w:t>
      </w:r>
      <w:r>
        <w:rPr>
          <w:rFonts w:ascii="Arial" w:hAnsi="Arial" w:cs="Arial"/>
          <w:sz w:val="20"/>
        </w:rPr>
        <w:t xml:space="preserve">empower the Court to issue a search warrant for the purpose of having a child </w:t>
      </w:r>
      <w:r w:rsidR="00A662CF">
        <w:rPr>
          <w:rFonts w:ascii="Arial" w:hAnsi="Arial" w:cs="Arial"/>
          <w:sz w:val="20"/>
        </w:rPr>
        <w:t xml:space="preserve">apprehended and </w:t>
      </w:r>
      <w:r>
        <w:rPr>
          <w:rFonts w:ascii="Arial" w:hAnsi="Arial" w:cs="Arial"/>
          <w:sz w:val="20"/>
        </w:rPr>
        <w:t xml:space="preserve">placed in emergency care </w:t>
      </w:r>
      <w:r w:rsidR="00A662CF">
        <w:rPr>
          <w:rFonts w:ascii="Arial" w:hAnsi="Arial" w:cs="Arial"/>
          <w:sz w:val="20"/>
        </w:rPr>
        <w:t xml:space="preserve">in certain circumstances </w:t>
      </w:r>
      <w:r>
        <w:rPr>
          <w:rFonts w:ascii="Arial" w:hAnsi="Arial" w:cs="Arial"/>
          <w:sz w:val="20"/>
        </w:rPr>
        <w:t xml:space="preserve">if the Court </w:t>
      </w:r>
      <w:r w:rsidR="00A662CF">
        <w:rPr>
          <w:rFonts w:ascii="Arial" w:hAnsi="Arial" w:cs="Arial"/>
          <w:sz w:val="20"/>
        </w:rPr>
        <w:t xml:space="preserve">has </w:t>
      </w:r>
      <w:r>
        <w:rPr>
          <w:rFonts w:ascii="Arial" w:hAnsi="Arial" w:cs="Arial"/>
          <w:sz w:val="20"/>
        </w:rPr>
        <w:t>order</w:t>
      </w:r>
      <w:r w:rsidR="00A662CF">
        <w:rPr>
          <w:rFonts w:ascii="Arial" w:hAnsi="Arial" w:cs="Arial"/>
          <w:sz w:val="20"/>
        </w:rPr>
        <w:t>ed</w:t>
      </w:r>
      <w:r>
        <w:rPr>
          <w:rFonts w:ascii="Arial" w:hAnsi="Arial" w:cs="Arial"/>
          <w:sz w:val="20"/>
        </w:rPr>
        <w:t xml:space="preserve"> that the child appear before the Court </w:t>
      </w:r>
      <w:r w:rsidR="00A662CF">
        <w:rPr>
          <w:rFonts w:ascii="Arial" w:hAnsi="Arial" w:cs="Arial"/>
          <w:sz w:val="20"/>
        </w:rPr>
        <w:t xml:space="preserve">for the hearing of the relevant </w:t>
      </w:r>
      <w:r>
        <w:rPr>
          <w:rFonts w:ascii="Arial" w:hAnsi="Arial" w:cs="Arial"/>
          <w:sz w:val="20"/>
        </w:rPr>
        <w:t>application and the child does not appear.</w:t>
      </w:r>
    </w:p>
    <w:p w14:paraId="692494EA" w14:textId="77777777" w:rsidR="006D01FA" w:rsidRPr="008E4C7E" w:rsidRDefault="006D01FA" w:rsidP="006D01FA">
      <w:pPr>
        <w:ind w:left="363" w:hanging="363"/>
        <w:jc w:val="both"/>
        <w:rPr>
          <w:rFonts w:ascii="Arial" w:hAnsi="Arial" w:cs="Arial"/>
          <w:sz w:val="20"/>
        </w:rPr>
      </w:pPr>
      <w:bookmarkStart w:id="1271" w:name="_4.9_Family_Division"/>
      <w:bookmarkEnd w:id="1271"/>
    </w:p>
    <w:p w14:paraId="3B71B152" w14:textId="77777777" w:rsidR="006D01FA" w:rsidRPr="005836D1" w:rsidRDefault="006D01FA" w:rsidP="006D01FA">
      <w:pPr>
        <w:jc w:val="center"/>
        <w:rPr>
          <w:rFonts w:ascii="Arial" w:hAnsi="Arial" w:cs="Arial"/>
          <w:b/>
          <w:bCs/>
          <w:szCs w:val="32"/>
        </w:rPr>
      </w:pPr>
      <w:r w:rsidRPr="005836D1">
        <w:rPr>
          <w:rFonts w:ascii="Arial" w:hAnsi="Arial" w:cs="Arial"/>
          <w:b/>
          <w:bCs/>
          <w:szCs w:val="32"/>
        </w:rPr>
        <w:t>THE REST OF THIS PAGE IS BLANK</w:t>
      </w:r>
    </w:p>
    <w:p w14:paraId="13AC683D" w14:textId="77777777" w:rsidR="006D01FA" w:rsidRDefault="006D01FA" w:rsidP="006D01FA">
      <w:pPr>
        <w:jc w:val="both"/>
        <w:rPr>
          <w:rFonts w:ascii="Arial" w:hAnsi="Arial" w:cs="Arial"/>
          <w:sz w:val="20"/>
        </w:rPr>
      </w:pPr>
    </w:p>
    <w:p w14:paraId="5827B0A5" w14:textId="77777777" w:rsidR="006D01FA" w:rsidRDefault="006D01FA" w:rsidP="006D01FA">
      <w:pPr>
        <w:rPr>
          <w:rFonts w:ascii="Arial" w:hAnsi="Arial" w:cs="Arial"/>
          <w:b/>
          <w:bCs/>
          <w:kern w:val="28"/>
          <w:sz w:val="20"/>
          <w:szCs w:val="20"/>
          <w:lang w:val="en-GB"/>
        </w:rPr>
      </w:pPr>
      <w:r>
        <w:rPr>
          <w:rFonts w:ascii="Arial" w:hAnsi="Arial" w:cs="Arial"/>
          <w:b/>
          <w:bCs/>
          <w:sz w:val="20"/>
        </w:rPr>
        <w:br w:type="page"/>
      </w:r>
    </w:p>
    <w:p w14:paraId="4628D1FF" w14:textId="77777777" w:rsidR="00693223" w:rsidRDefault="00693223" w:rsidP="00CB1877">
      <w:pPr>
        <w:pStyle w:val="Heading2"/>
        <w:keepNext/>
        <w:keepLines/>
        <w:tabs>
          <w:tab w:val="left" w:pos="567"/>
        </w:tabs>
        <w:spacing w:line="240" w:lineRule="auto"/>
        <w:rPr>
          <w:rFonts w:ascii="Arial" w:hAnsi="Arial" w:cs="Arial"/>
          <w:b/>
          <w:bCs/>
        </w:rPr>
      </w:pPr>
      <w:r>
        <w:rPr>
          <w:rFonts w:ascii="Arial" w:hAnsi="Arial" w:cs="Arial"/>
          <w:b/>
          <w:bCs/>
        </w:rPr>
        <w:lastRenderedPageBreak/>
        <w:t>4.9</w:t>
      </w:r>
      <w:r>
        <w:rPr>
          <w:rFonts w:ascii="Arial" w:hAnsi="Arial" w:cs="Arial"/>
          <w:b/>
          <w:bCs/>
        </w:rPr>
        <w:tab/>
        <w:t>Family Division Court hearings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14:paraId="270D038C" w14:textId="77777777" w:rsidR="00693223" w:rsidRDefault="00693223" w:rsidP="00CB1877">
      <w:pPr>
        <w:keepNext/>
        <w:keepLines/>
        <w:jc w:val="both"/>
        <w:rPr>
          <w:rFonts w:ascii="Arial" w:hAnsi="Arial" w:cs="Arial"/>
          <w:sz w:val="20"/>
        </w:rPr>
      </w:pPr>
    </w:p>
    <w:p w14:paraId="394DD884" w14:textId="636FCCE3" w:rsidR="00693223" w:rsidRDefault="00693223">
      <w:pPr>
        <w:jc w:val="both"/>
        <w:rPr>
          <w:rFonts w:ascii="Arial" w:hAnsi="Arial" w:cs="Arial"/>
          <w:sz w:val="20"/>
        </w:rPr>
      </w:pPr>
      <w:r>
        <w:rPr>
          <w:rFonts w:ascii="Arial" w:hAnsi="Arial" w:cs="Arial"/>
          <w:sz w:val="20"/>
        </w:rPr>
        <w:t>The pr</w:t>
      </w:r>
      <w:r w:rsidR="00C32207">
        <w:rPr>
          <w:rFonts w:ascii="Arial" w:hAnsi="Arial" w:cs="Arial"/>
          <w:sz w:val="20"/>
        </w:rPr>
        <w:t xml:space="preserve">ocessing of each of the </w:t>
      </w:r>
      <w:r>
        <w:rPr>
          <w:rFonts w:ascii="Arial" w:hAnsi="Arial" w:cs="Arial"/>
          <w:sz w:val="20"/>
        </w:rPr>
        <w:t xml:space="preserve">Family Division applications </w:t>
      </w:r>
      <w:r w:rsidR="00C652C6">
        <w:rPr>
          <w:rFonts w:ascii="Arial" w:hAnsi="Arial" w:cs="Arial"/>
          <w:sz w:val="20"/>
        </w:rPr>
        <w:t>{</w:t>
      </w:r>
      <w:r>
        <w:rPr>
          <w:rFonts w:ascii="Arial" w:hAnsi="Arial" w:cs="Arial"/>
          <w:sz w:val="20"/>
        </w:rPr>
        <w:t>other than applications for intervention orders</w:t>
      </w:r>
      <w:r w:rsidR="002F113C">
        <w:rPr>
          <w:rFonts w:ascii="Arial" w:hAnsi="Arial" w:cs="Arial"/>
          <w:sz w:val="20"/>
        </w:rPr>
        <w:t xml:space="preserve">, </w:t>
      </w:r>
      <w:r w:rsidR="00C652C6">
        <w:rPr>
          <w:rFonts w:ascii="Arial" w:hAnsi="Arial" w:cs="Arial"/>
          <w:sz w:val="20"/>
        </w:rPr>
        <w:t>temporary assessment orders</w:t>
      </w:r>
      <w:r w:rsidR="002F113C">
        <w:rPr>
          <w:rFonts w:ascii="Arial" w:hAnsi="Arial" w:cs="Arial"/>
          <w:sz w:val="20"/>
        </w:rPr>
        <w:t>, therapeutic treatment orders &amp; therapeutic treatment (placement) orders</w:t>
      </w:r>
      <w:r w:rsidR="00C652C6">
        <w:rPr>
          <w:rFonts w:ascii="Arial" w:hAnsi="Arial" w:cs="Arial"/>
          <w:sz w:val="20"/>
        </w:rPr>
        <w:t>}</w:t>
      </w:r>
      <w:r>
        <w:rPr>
          <w:rFonts w:ascii="Arial" w:hAnsi="Arial" w:cs="Arial"/>
          <w:sz w:val="20"/>
        </w:rPr>
        <w:t xml:space="preserve"> involves one or more court hearings as this chart </w:t>
      </w:r>
      <w:r w:rsidR="00C32207">
        <w:rPr>
          <w:rFonts w:ascii="Arial" w:hAnsi="Arial" w:cs="Arial"/>
          <w:sz w:val="20"/>
        </w:rPr>
        <w:t>shows</w:t>
      </w:r>
      <w:r w:rsidR="00061DAE">
        <w:rPr>
          <w:rFonts w:ascii="Arial" w:hAnsi="Arial" w:cs="Arial"/>
          <w:sz w:val="20"/>
        </w:rPr>
        <w:t>.</w:t>
      </w:r>
      <w:r w:rsidR="009C7A05">
        <w:rPr>
          <w:rFonts w:ascii="Arial" w:hAnsi="Arial" w:cs="Arial"/>
          <w:sz w:val="20"/>
        </w:rPr>
        <w:t xml:space="preserve"> The</w:t>
      </w:r>
      <w:r w:rsidR="00C16588">
        <w:rPr>
          <w:rFonts w:ascii="Arial" w:hAnsi="Arial" w:cs="Arial"/>
          <w:sz w:val="20"/>
        </w:rPr>
        <w:t> </w:t>
      </w:r>
      <w:r w:rsidR="009C7A05">
        <w:rPr>
          <w:rFonts w:ascii="Arial" w:hAnsi="Arial" w:cs="Arial"/>
          <w:sz w:val="20"/>
        </w:rPr>
        <w:t xml:space="preserve">Management of Child Protection proceedings is governed by Practice Direction </w:t>
      </w:r>
      <w:r w:rsidR="00D15D17">
        <w:rPr>
          <w:rFonts w:ascii="Arial" w:hAnsi="Arial" w:cs="Arial"/>
          <w:sz w:val="20"/>
        </w:rPr>
        <w:t>1 of 202</w:t>
      </w:r>
      <w:r w:rsidR="00522630">
        <w:rPr>
          <w:rFonts w:ascii="Arial" w:hAnsi="Arial" w:cs="Arial"/>
          <w:sz w:val="20"/>
        </w:rPr>
        <w:t>5</w:t>
      </w:r>
      <w:r w:rsidR="00D15D17">
        <w:rPr>
          <w:rFonts w:ascii="Arial" w:hAnsi="Arial" w:cs="Arial"/>
          <w:sz w:val="20"/>
        </w:rPr>
        <w:t>.</w:t>
      </w:r>
    </w:p>
    <w:p w14:paraId="68EB46C9" w14:textId="77777777" w:rsidR="00B816AC" w:rsidRDefault="00B816AC">
      <w:pPr>
        <w:jc w:val="both"/>
        <w:rPr>
          <w:rFonts w:ascii="Arial" w:hAnsi="Arial" w:cs="Arial"/>
          <w:sz w:val="20"/>
        </w:rPr>
      </w:pPr>
    </w:p>
    <w:p w14:paraId="6E28DF68" w14:textId="52053698" w:rsidR="00BB5CD0" w:rsidRDefault="003178FE">
      <w:pPr>
        <w:jc w:val="both"/>
        <w:rPr>
          <w:rFonts w:ascii="Arial" w:hAnsi="Arial" w:cs="Arial"/>
          <w:lang w:val="en-US"/>
        </w:rPr>
      </w:pPr>
      <w:r>
        <w:rPr>
          <w:noProof/>
        </w:rPr>
        <mc:AlternateContent>
          <mc:Choice Requires="wps">
            <w:drawing>
              <wp:anchor distT="0" distB="0" distL="114300" distR="114300" simplePos="0" relativeHeight="251656704" behindDoc="0" locked="0" layoutInCell="1" allowOverlap="1" wp14:anchorId="7294F666" wp14:editId="439F5178">
                <wp:simplePos x="0" y="0"/>
                <wp:positionH relativeFrom="column">
                  <wp:posOffset>2341245</wp:posOffset>
                </wp:positionH>
                <wp:positionV relativeFrom="paragraph">
                  <wp:posOffset>4180840</wp:posOffset>
                </wp:positionV>
                <wp:extent cx="635" cy="158750"/>
                <wp:effectExtent l="76200" t="0" r="56515" b="31750"/>
                <wp:wrapNone/>
                <wp:docPr id="8080463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8750"/>
                        </a:xfrm>
                        <a:prstGeom prst="line">
                          <a:avLst/>
                        </a:prstGeom>
                        <a:noFill/>
                        <a:ln w="19050">
                          <a:solidFill>
                            <a:srgbClr val="00808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6861032"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35pt,329.2pt" to="184.4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" strokecolor="teal" strokeweight="1.5pt">
                <v:stroke endarrow="block"/>
              </v:line>
            </w:pict>
          </mc:Fallback>
        </mc:AlternateContent>
      </w:r>
      <w:r>
        <w:rPr>
          <w:noProof/>
        </w:rPr>
        <mc:AlternateContent>
          <mc:Choice Requires="wpc">
            <w:drawing>
              <wp:inline distT="0" distB="0" distL="0" distR="0" wp14:anchorId="44C95EF8" wp14:editId="53D4BF1F">
                <wp:extent cx="5278120" cy="4777105"/>
                <wp:effectExtent l="17145" t="27940" r="29210" b="0"/>
                <wp:docPr id="28" name="Canvas 1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71918153" name="Line 74"/>
                        <wps:cNvCnPr>
                          <a:cxnSpLocks noChangeShapeType="1"/>
                        </wps:cNvCnPr>
                        <wps:spPr bwMode="auto">
                          <a:xfrm flipH="1">
                            <a:off x="3168650" y="4030980"/>
                            <a:ext cx="757555" cy="460375"/>
                          </a:xfrm>
                          <a:prstGeom prst="line">
                            <a:avLst/>
                          </a:prstGeom>
                          <a:noFill/>
                          <a:ln w="19050">
                            <a:solidFill>
                              <a:srgbClr val="000080"/>
                            </a:solidFill>
                            <a:round/>
                            <a:headEnd type="triangle" w="med" len="med"/>
                            <a:tailEnd/>
                          </a:ln>
                          <a:extLst>
                            <a:ext uri="{909E8E84-426E-40DD-AFC4-6F175D3DCCD1}">
                              <a14:hiddenFill xmlns:a14="http://schemas.microsoft.com/office/drawing/2010/main">
                                <a:noFill/>
                              </a14:hiddenFill>
                            </a:ext>
                          </a:extLst>
                        </wps:spPr>
                        <wps:bodyPr/>
                      </wps:wsp>
                      <wps:wsp>
                        <wps:cNvPr id="719689430" name="Line 75"/>
                        <wps:cNvCnPr>
                          <a:cxnSpLocks noChangeShapeType="1"/>
                        </wps:cNvCnPr>
                        <wps:spPr bwMode="auto">
                          <a:xfrm>
                            <a:off x="2321560" y="3420110"/>
                            <a:ext cx="0" cy="745490"/>
                          </a:xfrm>
                          <a:prstGeom prst="line">
                            <a:avLst/>
                          </a:prstGeom>
                          <a:noFill/>
                          <a:ln w="19050">
                            <a:solidFill>
                              <a:srgbClr val="008080"/>
                            </a:solidFill>
                            <a:round/>
                            <a:headEnd/>
                            <a:tailEnd/>
                          </a:ln>
                          <a:extLst>
                            <a:ext uri="{909E8E84-426E-40DD-AFC4-6F175D3DCCD1}">
                              <a14:hiddenFill xmlns:a14="http://schemas.microsoft.com/office/drawing/2010/main">
                                <a:noFill/>
                              </a14:hiddenFill>
                            </a:ext>
                          </a:extLst>
                        </wps:spPr>
                        <wps:bodyPr/>
                      </wps:wsp>
                      <wps:wsp>
                        <wps:cNvPr id="1742330188" name="Line 76"/>
                        <wps:cNvCnPr>
                          <a:cxnSpLocks noChangeShapeType="1"/>
                        </wps:cNvCnPr>
                        <wps:spPr bwMode="auto">
                          <a:xfrm>
                            <a:off x="2066290" y="1019175"/>
                            <a:ext cx="0" cy="866775"/>
                          </a:xfrm>
                          <a:prstGeom prst="line">
                            <a:avLst/>
                          </a:prstGeom>
                          <a:noFill/>
                          <a:ln w="1905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A0A0A0"/>
                                  </a:outerShdw>
                                </a:effectLst>
                              </a14:hiddenEffects>
                            </a:ext>
                          </a:extLst>
                        </wps:spPr>
                        <wps:bodyPr/>
                      </wps:wsp>
                      <wps:wsp>
                        <wps:cNvPr id="1773221052" name="Line 90"/>
                        <wps:cNvCnPr>
                          <a:cxnSpLocks noChangeShapeType="1"/>
                        </wps:cNvCnPr>
                        <wps:spPr bwMode="auto">
                          <a:xfrm>
                            <a:off x="4709795" y="1209040"/>
                            <a:ext cx="0" cy="18986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g:wgp>
                        <wpg:cNvPr id="2046095768" name="Group 92"/>
                        <wpg:cNvGrpSpPr>
                          <a:grpSpLocks/>
                        </wpg:cNvGrpSpPr>
                        <wpg:grpSpPr bwMode="auto">
                          <a:xfrm>
                            <a:off x="1659890" y="560705"/>
                            <a:ext cx="3049905" cy="701040"/>
                            <a:chOff x="2064" y="527"/>
                            <a:chExt cx="2714" cy="624"/>
                          </a:xfrm>
                        </wpg:grpSpPr>
                        <wps:wsp>
                          <wps:cNvPr id="2138296694" name="Line 93"/>
                          <wps:cNvCnPr>
                            <a:cxnSpLocks noChangeShapeType="1"/>
                          </wps:cNvCnPr>
                          <wps:spPr bwMode="auto">
                            <a:xfrm>
                              <a:off x="4778" y="674"/>
                              <a:ext cx="0" cy="226"/>
                            </a:xfrm>
                            <a:prstGeom prst="line">
                              <a:avLst/>
                            </a:prstGeom>
                            <a:noFill/>
                            <a:ln w="19050">
                              <a:solidFill>
                                <a:srgbClr val="00FF00"/>
                              </a:solidFill>
                              <a:round/>
                              <a:headEnd type="triangle" w="med" len="med"/>
                              <a:tailEnd/>
                            </a:ln>
                            <a:extLst>
                              <a:ext uri="{909E8E84-426E-40DD-AFC4-6F175D3DCCD1}">
                                <a14:hiddenFill xmlns:a14="http://schemas.microsoft.com/office/drawing/2010/main">
                                  <a:noFill/>
                                </a14:hiddenFill>
                              </a:ext>
                            </a:extLst>
                          </wps:spPr>
                          <wps:bodyPr/>
                        </wps:wsp>
                        <wps:wsp>
                          <wps:cNvPr id="1771796591" name="Line 94"/>
                          <wps:cNvCnPr>
                            <a:cxnSpLocks noChangeShapeType="1"/>
                          </wps:cNvCnPr>
                          <wps:spPr bwMode="auto">
                            <a:xfrm>
                              <a:off x="2594" y="925"/>
                              <a:ext cx="0" cy="226"/>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43740238" name="Line 95"/>
                          <wps:cNvCnPr>
                            <a:cxnSpLocks noChangeShapeType="1"/>
                          </wps:cNvCnPr>
                          <wps:spPr bwMode="auto">
                            <a:xfrm>
                              <a:off x="3393" y="899"/>
                              <a:ext cx="943" cy="0"/>
                            </a:xfrm>
                            <a:prstGeom prst="line">
                              <a:avLst/>
                            </a:prstGeom>
                            <a:noFill/>
                            <a:ln w="19050">
                              <a:solidFill>
                                <a:srgbClr val="FF0000"/>
                              </a:solidFill>
                              <a:round/>
                              <a:headEnd type="triangle" w="med" len="med"/>
                              <a:tailEnd/>
                            </a:ln>
                            <a:extLst>
                              <a:ext uri="{909E8E84-426E-40DD-AFC4-6F175D3DCCD1}">
                                <a14:hiddenFill xmlns:a14="http://schemas.microsoft.com/office/drawing/2010/main">
                                  <a:noFill/>
                                </a14:hiddenFill>
                              </a:ext>
                            </a:extLst>
                          </wps:spPr>
                          <wps:bodyPr/>
                        </wps:wsp>
                        <wps:wsp>
                          <wps:cNvPr id="1186345415" name="Line 96"/>
                          <wps:cNvCnPr>
                            <a:cxnSpLocks noChangeShapeType="1"/>
                          </wps:cNvCnPr>
                          <wps:spPr bwMode="auto">
                            <a:xfrm>
                              <a:off x="3405" y="646"/>
                              <a:ext cx="325" cy="0"/>
                            </a:xfrm>
                            <a:prstGeom prst="line">
                              <a:avLst/>
                            </a:prstGeom>
                            <a:noFill/>
                            <a:ln w="19050">
                              <a:solidFill>
                                <a:srgbClr val="00FF00"/>
                              </a:solidFill>
                              <a:round/>
                              <a:headEnd type="triangle" w="med" len="med"/>
                              <a:tailEnd/>
                            </a:ln>
                            <a:extLst>
                              <a:ext uri="{909E8E84-426E-40DD-AFC4-6F175D3DCCD1}">
                                <a14:hiddenFill xmlns:a14="http://schemas.microsoft.com/office/drawing/2010/main">
                                  <a:noFill/>
                                </a14:hiddenFill>
                              </a:ext>
                            </a:extLst>
                          </wps:spPr>
                          <wps:bodyPr/>
                        </wps:wsp>
                        <wps:wsp>
                          <wps:cNvPr id="424392850" name="Line 97"/>
                          <wps:cNvCnPr>
                            <a:cxnSpLocks noChangeShapeType="1"/>
                          </wps:cNvCnPr>
                          <wps:spPr bwMode="auto">
                            <a:xfrm>
                              <a:off x="2064" y="527"/>
                              <a:ext cx="0" cy="91"/>
                            </a:xfrm>
                            <a:prstGeom prst="line">
                              <a:avLst/>
                            </a:prstGeom>
                            <a:noFill/>
                            <a:ln w="19050">
                              <a:solidFill>
                                <a:srgbClr val="000066"/>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A0A0A0"/>
                                    </a:outerShdw>
                                  </a:effectLst>
                                </a14:hiddenEffects>
                              </a:ext>
                            </a:extLst>
                          </wps:spPr>
                          <wps:bodyPr/>
                        </wps:wsp>
                      </wpg:wgp>
                      <wps:wsp>
                        <wps:cNvPr id="1753374725" name="Line 99"/>
                        <wps:cNvCnPr>
                          <a:cxnSpLocks noChangeShapeType="1"/>
                        </wps:cNvCnPr>
                        <wps:spPr bwMode="auto">
                          <a:xfrm>
                            <a:off x="2626360" y="1631315"/>
                            <a:ext cx="635" cy="2672715"/>
                          </a:xfrm>
                          <a:prstGeom prst="line">
                            <a:avLst/>
                          </a:prstGeom>
                          <a:noFill/>
                          <a:ln w="19050">
                            <a:solidFill>
                              <a:srgbClr val="008080"/>
                            </a:solidFill>
                            <a:round/>
                            <a:headEnd/>
                            <a:tailEnd type="triangle" w="med" len="med"/>
                          </a:ln>
                          <a:extLst>
                            <a:ext uri="{909E8E84-426E-40DD-AFC4-6F175D3DCCD1}">
                              <a14:hiddenFill xmlns:a14="http://schemas.microsoft.com/office/drawing/2010/main">
                                <a:noFill/>
                              </a14:hiddenFill>
                            </a:ext>
                          </a:extLst>
                        </wps:spPr>
                        <wps:bodyPr/>
                      </wps:wsp>
                      <wps:wsp>
                        <wps:cNvPr id="543636322" name="Line 100"/>
                        <wps:cNvCnPr>
                          <a:cxnSpLocks noChangeShapeType="1"/>
                        </wps:cNvCnPr>
                        <wps:spPr bwMode="auto">
                          <a:xfrm>
                            <a:off x="3166745" y="1612265"/>
                            <a:ext cx="1059815" cy="0"/>
                          </a:xfrm>
                          <a:prstGeom prst="line">
                            <a:avLst/>
                          </a:prstGeom>
                          <a:noFill/>
                          <a:ln w="19050">
                            <a:solidFill>
                              <a:srgbClr val="FF00FF"/>
                            </a:solidFill>
                            <a:round/>
                            <a:headEnd/>
                            <a:tailEnd type="triangle" w="med" len="med"/>
                          </a:ln>
                          <a:extLst>
                            <a:ext uri="{909E8E84-426E-40DD-AFC4-6F175D3DCCD1}">
                              <a14:hiddenFill xmlns:a14="http://schemas.microsoft.com/office/drawing/2010/main">
                                <a:noFill/>
                              </a14:hiddenFill>
                            </a:ext>
                          </a:extLst>
                        </wps:spPr>
                        <wps:bodyPr/>
                      </wps:wsp>
                      <wps:wsp>
                        <wps:cNvPr id="664596033" name="Line 101"/>
                        <wps:cNvCnPr>
                          <a:cxnSpLocks noChangeShapeType="1"/>
                        </wps:cNvCnPr>
                        <wps:spPr bwMode="auto">
                          <a:xfrm>
                            <a:off x="3168015" y="2686685"/>
                            <a:ext cx="1423670" cy="0"/>
                          </a:xfrm>
                          <a:prstGeom prst="line">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s:wsp>
                        <wps:cNvPr id="88050147" name="Line 102"/>
                        <wps:cNvCnPr>
                          <a:cxnSpLocks noChangeShapeType="1"/>
                        </wps:cNvCnPr>
                        <wps:spPr bwMode="auto">
                          <a:xfrm>
                            <a:off x="3166745" y="2082165"/>
                            <a:ext cx="1424940" cy="0"/>
                          </a:xfrm>
                          <a:prstGeom prst="line">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s:wsp>
                        <wps:cNvPr id="1033964978" name="Line 103"/>
                        <wps:cNvCnPr>
                          <a:cxnSpLocks noChangeShapeType="1"/>
                        </wps:cNvCnPr>
                        <wps:spPr bwMode="auto">
                          <a:xfrm>
                            <a:off x="4587875" y="1880870"/>
                            <a:ext cx="0" cy="1618615"/>
                          </a:xfrm>
                          <a:prstGeom prst="line">
                            <a:avLst/>
                          </a:prstGeom>
                          <a:noFill/>
                          <a:ln w="19050">
                            <a:solidFill>
                              <a:srgbClr val="FF00FF"/>
                            </a:solidFill>
                            <a:round/>
                            <a:headEnd type="triangle" w="med" len="med"/>
                            <a:tailEnd/>
                          </a:ln>
                          <a:extLst>
                            <a:ext uri="{909E8E84-426E-40DD-AFC4-6F175D3DCCD1}">
                              <a14:hiddenFill xmlns:a14="http://schemas.microsoft.com/office/drawing/2010/main">
                                <a:noFill/>
                              </a14:hiddenFill>
                            </a:ext>
                          </a:extLst>
                        </wps:spPr>
                        <wps:bodyPr/>
                      </wps:wsp>
                      <wps:wsp>
                        <wps:cNvPr id="957344680" name="Line 104"/>
                        <wps:cNvCnPr>
                          <a:cxnSpLocks noChangeShapeType="1"/>
                        </wps:cNvCnPr>
                        <wps:spPr bwMode="auto">
                          <a:xfrm>
                            <a:off x="3168015" y="3225165"/>
                            <a:ext cx="1423670" cy="0"/>
                          </a:xfrm>
                          <a:prstGeom prst="line">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s:wsp>
                        <wps:cNvPr id="524966437" name="Line 105"/>
                        <wps:cNvCnPr>
                          <a:cxnSpLocks noChangeShapeType="1"/>
                        </wps:cNvCnPr>
                        <wps:spPr bwMode="auto">
                          <a:xfrm>
                            <a:off x="2526030" y="2217420"/>
                            <a:ext cx="635" cy="2088515"/>
                          </a:xfrm>
                          <a:prstGeom prst="line">
                            <a:avLst/>
                          </a:prstGeom>
                          <a:noFill/>
                          <a:ln w="19050">
                            <a:solidFill>
                              <a:srgbClr val="008080"/>
                            </a:solidFill>
                            <a:round/>
                            <a:headEnd/>
                            <a:tailEnd type="triangle" w="med" len="med"/>
                          </a:ln>
                          <a:extLst>
                            <a:ext uri="{909E8E84-426E-40DD-AFC4-6F175D3DCCD1}">
                              <a14:hiddenFill xmlns:a14="http://schemas.microsoft.com/office/drawing/2010/main">
                                <a:noFill/>
                              </a14:hiddenFill>
                            </a:ext>
                          </a:extLst>
                        </wps:spPr>
                        <wps:bodyPr/>
                      </wps:wsp>
                      <wps:wsp>
                        <wps:cNvPr id="1983884931" name="Line 106"/>
                        <wps:cNvCnPr>
                          <a:cxnSpLocks noChangeShapeType="1"/>
                        </wps:cNvCnPr>
                        <wps:spPr bwMode="auto">
                          <a:xfrm>
                            <a:off x="2423160" y="2849880"/>
                            <a:ext cx="635" cy="1468120"/>
                          </a:xfrm>
                          <a:prstGeom prst="line">
                            <a:avLst/>
                          </a:prstGeom>
                          <a:noFill/>
                          <a:ln w="19050">
                            <a:solidFill>
                              <a:srgbClr val="008080"/>
                            </a:solidFill>
                            <a:round/>
                            <a:headEnd/>
                            <a:tailEnd type="triangle" w="med" len="med"/>
                          </a:ln>
                          <a:extLst>
                            <a:ext uri="{909E8E84-426E-40DD-AFC4-6F175D3DCCD1}">
                              <a14:hiddenFill xmlns:a14="http://schemas.microsoft.com/office/drawing/2010/main">
                                <a:noFill/>
                              </a14:hiddenFill>
                            </a:ext>
                          </a:extLst>
                        </wps:spPr>
                        <wps:bodyPr/>
                      </wps:wsp>
                      <wpg:wgp>
                        <wpg:cNvPr id="925253487" name="Group 150"/>
                        <wpg:cNvGrpSpPr>
                          <a:grpSpLocks/>
                        </wpg:cNvGrpSpPr>
                        <wpg:grpSpPr bwMode="auto">
                          <a:xfrm>
                            <a:off x="0" y="0"/>
                            <a:ext cx="5278120" cy="4648835"/>
                            <a:chOff x="1827" y="7928"/>
                            <a:chExt cx="8312" cy="7321"/>
                          </a:xfrm>
                        </wpg:grpSpPr>
                        <wps:wsp>
                          <wps:cNvPr id="763933227" name="Rectangle 108"/>
                          <wps:cNvSpPr>
                            <a:spLocks noChangeArrowheads="1"/>
                          </wps:cNvSpPr>
                          <wps:spPr bwMode="auto">
                            <a:xfrm>
                              <a:off x="2772" y="10429"/>
                              <a:ext cx="883" cy="573"/>
                            </a:xfrm>
                            <a:prstGeom prst="rect">
                              <a:avLst/>
                            </a:prstGeom>
                            <a:solidFill>
                              <a:srgbClr val="FF0000"/>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A0A0A0"/>
                                    </a:outerShdw>
                                  </a:effectLst>
                                </a14:hiddenEffects>
                              </a:ext>
                            </a:extLst>
                          </wps:spPr>
                          <wps:txbx>
                            <w:txbxContent>
                              <w:p w14:paraId="038A052F" w14:textId="77777777" w:rsidR="00BB5CD0" w:rsidRPr="00E55AB0" w:rsidRDefault="00BB5CD0" w:rsidP="00BB5CD0">
                                <w:pPr>
                                  <w:autoSpaceDE w:val="0"/>
                                  <w:autoSpaceDN w:val="0"/>
                                  <w:adjustRightInd w:val="0"/>
                                  <w:jc w:val="center"/>
                                  <w:rPr>
                                    <w:rFonts w:ascii="Arial Rounded MT Bold" w:hAnsi="Arial Rounded MT Bold" w:cs="Arial Rounded MT Bold"/>
                                    <w:b/>
                                    <w:bCs/>
                                    <w:color w:val="FFFFFF"/>
                                    <w:sz w:val="14"/>
                                  </w:rPr>
                                </w:pPr>
                                <w:r w:rsidRPr="00E55AB0">
                                  <w:rPr>
                                    <w:rFonts w:ascii="Arial Rounded MT Bold" w:hAnsi="Arial Rounded MT Bold" w:cs="Arial Rounded MT Bold"/>
                                    <w:b/>
                                    <w:bCs/>
                                    <w:color w:val="FFFFFF"/>
                                    <w:sz w:val="14"/>
                                  </w:rPr>
                                  <w:t>IAO</w:t>
                                </w:r>
                              </w:p>
                              <w:p w14:paraId="60F581B0" w14:textId="77777777" w:rsidR="00BB5CD0" w:rsidRPr="00E55AB0" w:rsidRDefault="00BB5CD0" w:rsidP="00BB5CD0">
                                <w:pPr>
                                  <w:autoSpaceDE w:val="0"/>
                                  <w:autoSpaceDN w:val="0"/>
                                  <w:adjustRightInd w:val="0"/>
                                  <w:jc w:val="center"/>
                                  <w:rPr>
                                    <w:rFonts w:ascii="Arial Rounded MT Bold" w:hAnsi="Arial Rounded MT Bold" w:cs="Arial Rounded MT Bold"/>
                                    <w:b/>
                                    <w:bCs/>
                                    <w:color w:val="FFFFFF"/>
                                    <w:sz w:val="14"/>
                                  </w:rPr>
                                </w:pPr>
                                <w:r w:rsidRPr="00E55AB0">
                                  <w:rPr>
                                    <w:rFonts w:ascii="Arial Rounded MT Bold" w:hAnsi="Arial Rounded MT Bold" w:cs="Arial Rounded MT Bold"/>
                                    <w:b/>
                                    <w:bCs/>
                                    <w:color w:val="FFFFFF"/>
                                    <w:sz w:val="14"/>
                                  </w:rPr>
                                  <w:t>CONTEST</w:t>
                                </w:r>
                              </w:p>
                              <w:p w14:paraId="457D1DD2" w14:textId="77777777" w:rsidR="00BB5CD0" w:rsidRPr="00153EF7" w:rsidRDefault="00BB5CD0" w:rsidP="00BB5CD0">
                                <w:pPr>
                                  <w:autoSpaceDE w:val="0"/>
                                  <w:autoSpaceDN w:val="0"/>
                                  <w:adjustRightInd w:val="0"/>
                                  <w:jc w:val="center"/>
                                  <w:rPr>
                                    <w:rFonts w:ascii="Arial Rounded MT Bold" w:hAnsi="Arial Rounded MT Bold" w:cs="Arial Rounded MT Bold"/>
                                    <w:color w:val="000000"/>
                                    <w:sz w:val="17"/>
                                    <w:u w:val="single"/>
                                  </w:rPr>
                                </w:pPr>
                                <w:r w:rsidRPr="00E55AB0">
                                  <w:rPr>
                                    <w:rFonts w:ascii="Arial Rounded MT Bold" w:hAnsi="Arial Rounded MT Bold" w:cs="Arial Rounded MT Bold"/>
                                    <w:b/>
                                    <w:bCs/>
                                    <w:color w:val="FFFFFF"/>
                                    <w:sz w:val="14"/>
                                  </w:rPr>
                                  <w:t>EVIDENCE</w:t>
                                </w:r>
                              </w:p>
                            </w:txbxContent>
                          </wps:txbx>
                          <wps:bodyPr rot="0" vert="horz" wrap="square" lIns="33814" tIns="18034" rIns="33814" bIns="18034" anchor="t" anchorCtr="0" upright="1">
                            <a:noAutofit/>
                          </wps:bodyPr>
                        </wps:wsp>
                        <wps:wsp>
                          <wps:cNvPr id="670974263" name="Line 109"/>
                          <wps:cNvCnPr>
                            <a:cxnSpLocks noChangeShapeType="1"/>
                          </wps:cNvCnPr>
                          <wps:spPr bwMode="auto">
                            <a:xfrm>
                              <a:off x="2662" y="9701"/>
                              <a:ext cx="1" cy="4362"/>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3467287" name="Line 110"/>
                          <wps:cNvCnPr>
                            <a:cxnSpLocks noChangeShapeType="1"/>
                          </wps:cNvCnPr>
                          <wps:spPr bwMode="auto">
                            <a:xfrm>
                              <a:off x="7971" y="9832"/>
                              <a:ext cx="0" cy="3639"/>
                            </a:xfrm>
                            <a:prstGeom prst="line">
                              <a:avLst/>
                            </a:prstGeom>
                            <a:noFill/>
                            <a:ln w="19050">
                              <a:solidFill>
                                <a:srgbClr val="000080"/>
                              </a:solidFill>
                              <a:round/>
                              <a:headEnd type="triangle" w="med" len="med"/>
                              <a:tailEnd/>
                            </a:ln>
                            <a:extLst>
                              <a:ext uri="{909E8E84-426E-40DD-AFC4-6F175D3DCCD1}">
                                <a14:hiddenFill xmlns:a14="http://schemas.microsoft.com/office/drawing/2010/main">
                                  <a:noFill/>
                                </a14:hiddenFill>
                              </a:ext>
                            </a:extLst>
                          </wps:spPr>
                          <wps:bodyPr/>
                        </wps:wsp>
                        <wps:wsp>
                          <wps:cNvPr id="55611411" name="Text Box 111"/>
                          <wps:cNvSpPr txBox="1">
                            <a:spLocks noChangeArrowheads="1"/>
                          </wps:cNvSpPr>
                          <wps:spPr bwMode="auto">
                            <a:xfrm>
                              <a:off x="3699" y="14698"/>
                              <a:ext cx="3115" cy="551"/>
                            </a:xfrm>
                            <a:prstGeom prst="rect">
                              <a:avLst/>
                            </a:prstGeom>
                            <a:solidFill>
                              <a:srgbClr val="C0C0C0">
                                <a:alpha val="50195"/>
                              </a:srgbClr>
                            </a:solidFill>
                            <a:ln w="9525">
                              <a:solidFill>
                                <a:srgbClr val="000000"/>
                              </a:solidFill>
                              <a:miter lim="800000"/>
                              <a:headEnd/>
                              <a:tailEnd/>
                            </a:ln>
                          </wps:spPr>
                          <wps:txbx>
                            <w:txbxContent>
                              <w:p w14:paraId="1E303BD8" w14:textId="431BE6EA" w:rsidR="00BB5CD0" w:rsidRPr="00BB5CD0" w:rsidRDefault="00BB5CD0" w:rsidP="00B647F6">
                                <w:pPr>
                                  <w:autoSpaceDE w:val="0"/>
                                  <w:autoSpaceDN w:val="0"/>
                                  <w:adjustRightInd w:val="0"/>
                                  <w:spacing w:before="40"/>
                                  <w:jc w:val="center"/>
                                  <w:rPr>
                                    <w:b/>
                                    <w:bCs/>
                                    <w:color w:val="000000"/>
                                    <w:sz w:val="18"/>
                                    <w:szCs w:val="22"/>
                                  </w:rPr>
                                </w:pPr>
                                <w:r w:rsidRPr="00BB5CD0">
                                  <w:rPr>
                                    <w:b/>
                                    <w:bCs/>
                                    <w:color w:val="000000"/>
                                    <w:sz w:val="18"/>
                                    <w:szCs w:val="22"/>
                                  </w:rPr>
                                  <w:t xml:space="preserve">APPLICATION PROVED </w:t>
                                </w:r>
                                <w:r w:rsidR="00527793">
                                  <w:rPr>
                                    <w:b/>
                                    <w:bCs/>
                                    <w:color w:val="000000"/>
                                    <w:sz w:val="18"/>
                                    <w:szCs w:val="22"/>
                                  </w:rPr>
                                  <w:t>–</w:t>
                                </w:r>
                                <w:r w:rsidRPr="00BB5CD0">
                                  <w:rPr>
                                    <w:b/>
                                    <w:bCs/>
                                    <w:color w:val="000000"/>
                                    <w:sz w:val="18"/>
                                    <w:szCs w:val="22"/>
                                  </w:rPr>
                                  <w:t xml:space="preserve"> </w:t>
                                </w:r>
                              </w:p>
                              <w:p w14:paraId="3B74989F" w14:textId="77777777" w:rsidR="00BB5CD0" w:rsidRPr="00BB5CD0" w:rsidRDefault="00BB5CD0" w:rsidP="00BB5CD0">
                                <w:pPr>
                                  <w:autoSpaceDE w:val="0"/>
                                  <w:autoSpaceDN w:val="0"/>
                                  <w:adjustRightInd w:val="0"/>
                                  <w:jc w:val="center"/>
                                  <w:rPr>
                                    <w:rFonts w:ascii="Arial Rounded MT Bold" w:hAnsi="Arial Rounded MT Bold" w:cs="Arial Rounded MT Bold"/>
                                    <w:color w:val="000000"/>
                                    <w:sz w:val="32"/>
                                    <w:szCs w:val="44"/>
                                    <w:u w:val="single"/>
                                  </w:rPr>
                                </w:pPr>
                                <w:r w:rsidRPr="00BB5CD0">
                                  <w:rPr>
                                    <w:b/>
                                    <w:bCs/>
                                    <w:color w:val="000000"/>
                                    <w:sz w:val="18"/>
                                    <w:szCs w:val="22"/>
                                  </w:rPr>
                                  <w:t>PROTECTION ORDER</w:t>
                                </w:r>
                              </w:p>
                            </w:txbxContent>
                          </wps:txbx>
                          <wps:bodyPr rot="0" vert="horz" wrap="square" lIns="64922" tIns="12780" rIns="64922" bIns="25560" anchor="t" anchorCtr="0" upright="1">
                            <a:noAutofit/>
                          </wps:bodyPr>
                        </wps:wsp>
                        <wps:wsp>
                          <wps:cNvPr id="466344619" name="Line 112"/>
                          <wps:cNvCnPr>
                            <a:cxnSpLocks noChangeShapeType="1"/>
                          </wps:cNvCnPr>
                          <wps:spPr bwMode="auto">
                            <a:xfrm>
                              <a:off x="2641" y="10255"/>
                              <a:ext cx="108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8992858" name="Rectangle 113"/>
                          <wps:cNvSpPr>
                            <a:spLocks noChangeArrowheads="1"/>
                          </wps:cNvSpPr>
                          <wps:spPr bwMode="auto">
                            <a:xfrm>
                              <a:off x="1846" y="7928"/>
                              <a:ext cx="8293" cy="501"/>
                            </a:xfrm>
                            <a:prstGeom prst="rect">
                              <a:avLst/>
                            </a:prstGeom>
                            <a:solidFill>
                              <a:srgbClr val="000000"/>
                            </a:solidFill>
                            <a:ln w="508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A0A0A0"/>
                                    </a:outerShdw>
                                  </a:effectLst>
                                </a14:hiddenEffects>
                              </a:ext>
                            </a:extLst>
                          </wps:spPr>
                          <wps:txbx>
                            <w:txbxContent>
                              <w:p w14:paraId="14F92A56" w14:textId="77777777" w:rsidR="00BB5CD0" w:rsidRPr="00153EF7" w:rsidRDefault="00BB5CD0" w:rsidP="00BB5CD0">
                                <w:pPr>
                                  <w:autoSpaceDE w:val="0"/>
                                  <w:autoSpaceDN w:val="0"/>
                                  <w:adjustRightInd w:val="0"/>
                                  <w:jc w:val="center"/>
                                  <w:rPr>
                                    <w:rFonts w:ascii="Arial Rounded MT Bold" w:hAnsi="Arial Rounded MT Bold" w:cs="Arial Rounded MT Bold"/>
                                    <w:color w:val="000000"/>
                                    <w:sz w:val="43"/>
                                    <w:szCs w:val="60"/>
                                    <w:u w:val="single"/>
                                  </w:rPr>
                                </w:pPr>
                                <w:r w:rsidRPr="00153EF7">
                                  <w:rPr>
                                    <w:rFonts w:ascii="Arial Rounded MT Bold" w:hAnsi="Arial Rounded MT Bold" w:cs="Arial Rounded MT Bold"/>
                                    <w:color w:val="FFFFFF"/>
                                    <w:sz w:val="27"/>
                                    <w:szCs w:val="38"/>
                                  </w:rPr>
                                  <w:t>THE FAMILY DIVISION - PROTECTION &amp; IRD HEARINGS</w:t>
                                </w:r>
                              </w:p>
                            </w:txbxContent>
                          </wps:txbx>
                          <wps:bodyPr rot="0" vert="horz" wrap="square" lIns="65373" tIns="32687" rIns="65373" bIns="32687" anchor="ctr" anchorCtr="0" upright="1">
                            <a:noAutofit/>
                          </wps:bodyPr>
                        </wps:wsp>
                        <wps:wsp>
                          <wps:cNvPr id="1311788659" name="Text Box 114"/>
                          <wps:cNvSpPr txBox="1">
                            <a:spLocks noChangeArrowheads="1"/>
                          </wps:cNvSpPr>
                          <wps:spPr bwMode="auto">
                            <a:xfrm>
                              <a:off x="7345" y="8563"/>
                              <a:ext cx="2782" cy="508"/>
                            </a:xfrm>
                            <a:prstGeom prst="rect">
                              <a:avLst/>
                            </a:prstGeom>
                            <a:solidFill>
                              <a:srgbClr val="00FF00"/>
                            </a:solidFill>
                            <a:ln w="9525">
                              <a:solidFill>
                                <a:srgbClr val="000000"/>
                              </a:solidFill>
                              <a:miter lim="800000"/>
                              <a:headEnd/>
                              <a:tailEnd/>
                            </a:ln>
                          </wps:spPr>
                          <wps:txbx>
                            <w:txbxContent>
                              <w:p w14:paraId="001CE1E1" w14:textId="77777777" w:rsidR="00BB5CD0" w:rsidRPr="00153EF7" w:rsidRDefault="00BB5CD0" w:rsidP="00BB5CD0">
                                <w:pPr>
                                  <w:autoSpaceDE w:val="0"/>
                                  <w:autoSpaceDN w:val="0"/>
                                  <w:adjustRightInd w:val="0"/>
                                  <w:spacing w:before="40"/>
                                  <w:jc w:val="center"/>
                                  <w:rPr>
                                    <w:rFonts w:ascii="Arial Rounded MT Bold" w:hAnsi="Arial Rounded MT Bold" w:cs="Arial Rounded MT Bold"/>
                                    <w:color w:val="000000"/>
                                    <w:sz w:val="31"/>
                                    <w:szCs w:val="44"/>
                                    <w:u w:val="single"/>
                                  </w:rPr>
                                </w:pPr>
                                <w:r w:rsidRPr="00153EF7">
                                  <w:rPr>
                                    <w:rFonts w:ascii="Arial Narrow" w:hAnsi="Arial Narrow" w:cs="Arial Narrow"/>
                                    <w:b/>
                                    <w:bCs/>
                                    <w:color w:val="000000"/>
                                    <w:szCs w:val="34"/>
                                  </w:rPr>
                                  <w:t>BAIL JUSTICE</w:t>
                                </w:r>
                              </w:p>
                            </w:txbxContent>
                          </wps:txbx>
                          <wps:bodyPr rot="0" vert="horz" wrap="square" lIns="64922" tIns="12780" rIns="64922" bIns="25560" anchor="t" anchorCtr="0" upright="1">
                            <a:noAutofit/>
                          </wps:bodyPr>
                        </wps:wsp>
                        <wps:wsp>
                          <wps:cNvPr id="2892567" name="Text Box 115"/>
                          <wps:cNvSpPr txBox="1">
                            <a:spLocks noChangeArrowheads="1"/>
                          </wps:cNvSpPr>
                          <wps:spPr bwMode="auto">
                            <a:xfrm>
                              <a:off x="7568" y="9430"/>
                              <a:ext cx="2472" cy="402"/>
                            </a:xfrm>
                            <a:prstGeom prst="rect">
                              <a:avLst/>
                            </a:prstGeom>
                            <a:solidFill>
                              <a:srgbClr val="FF0000"/>
                            </a:solidFill>
                            <a:ln w="9525">
                              <a:solidFill>
                                <a:srgbClr val="000000"/>
                              </a:solidFill>
                              <a:miter lim="800000"/>
                              <a:headEnd/>
                              <a:tailEnd/>
                            </a:ln>
                          </wps:spPr>
                          <wps:txbx>
                            <w:txbxContent>
                              <w:p w14:paraId="24C06D20" w14:textId="77777777" w:rsidR="00BB5CD0" w:rsidRPr="00153EF7" w:rsidRDefault="00BB5CD0" w:rsidP="00BB5CD0">
                                <w:pPr>
                                  <w:autoSpaceDE w:val="0"/>
                                  <w:autoSpaceDN w:val="0"/>
                                  <w:adjustRightInd w:val="0"/>
                                  <w:spacing w:before="40"/>
                                  <w:jc w:val="center"/>
                                  <w:rPr>
                                    <w:rFonts w:ascii="Arial Rounded MT Bold" w:hAnsi="Arial Rounded MT Bold" w:cs="Arial Rounded MT Bold"/>
                                    <w:color w:val="000000"/>
                                    <w:sz w:val="31"/>
                                    <w:szCs w:val="44"/>
                                    <w:u w:val="single"/>
                                  </w:rPr>
                                </w:pPr>
                                <w:r w:rsidRPr="00153EF7">
                                  <w:rPr>
                                    <w:b/>
                                    <w:bCs/>
                                    <w:color w:val="FFFFFF"/>
                                    <w:sz w:val="23"/>
                                    <w:szCs w:val="32"/>
                                  </w:rPr>
                                  <w:sym w:font="Wingdings" w:char="F04C"/>
                                </w:r>
                                <w:r w:rsidRPr="00153EF7">
                                  <w:rPr>
                                    <w:b/>
                                    <w:bCs/>
                                    <w:color w:val="FFFFFF"/>
                                    <w:sz w:val="17"/>
                                  </w:rPr>
                                  <w:t xml:space="preserve">  </w:t>
                                </w:r>
                                <w:r w:rsidR="002229EE">
                                  <w:rPr>
                                    <w:rFonts w:ascii="Arial Narrow" w:hAnsi="Arial Narrow" w:cs="Arial Narrow"/>
                                    <w:b/>
                                    <w:bCs/>
                                    <w:color w:val="FFFFFF"/>
                                    <w:sz w:val="21"/>
                                    <w:szCs w:val="30"/>
                                  </w:rPr>
                                  <w:t>EMERGENCY CARE</w:t>
                                </w:r>
                              </w:p>
                            </w:txbxContent>
                          </wps:txbx>
                          <wps:bodyPr rot="0" vert="horz" wrap="square" lIns="64922" tIns="12780" rIns="64922" bIns="25560" anchor="t" anchorCtr="0" upright="1">
                            <a:noAutofit/>
                          </wps:bodyPr>
                        </wps:wsp>
                        <wps:wsp>
                          <wps:cNvPr id="174909980" name="Text Box 116"/>
                          <wps:cNvSpPr txBox="1">
                            <a:spLocks noChangeArrowheads="1"/>
                          </wps:cNvSpPr>
                          <wps:spPr bwMode="auto">
                            <a:xfrm>
                              <a:off x="1846" y="8986"/>
                              <a:ext cx="1545" cy="740"/>
                            </a:xfrm>
                            <a:prstGeom prst="rect">
                              <a:avLst/>
                            </a:prstGeom>
                            <a:solidFill>
                              <a:srgbClr val="C0C0C0">
                                <a:alpha val="50195"/>
                              </a:srgbClr>
                            </a:solidFill>
                            <a:ln w="9525">
                              <a:solidFill>
                                <a:srgbClr val="000000"/>
                              </a:solidFill>
                              <a:miter lim="800000"/>
                              <a:headEnd/>
                              <a:tailEnd/>
                            </a:ln>
                          </wps:spPr>
                          <wps:txbx>
                            <w:txbxContent>
                              <w:p w14:paraId="48F3E22F" w14:textId="77777777" w:rsidR="00BB5CD0" w:rsidRPr="00153EF7" w:rsidRDefault="00BB5CD0" w:rsidP="00527793">
                                <w:pPr>
                                  <w:autoSpaceDE w:val="0"/>
                                  <w:autoSpaceDN w:val="0"/>
                                  <w:adjustRightInd w:val="0"/>
                                  <w:spacing w:before="40"/>
                                  <w:jc w:val="center"/>
                                  <w:rPr>
                                    <w:b/>
                                    <w:bCs/>
                                    <w:color w:val="000000"/>
                                    <w:sz w:val="17"/>
                                  </w:rPr>
                                </w:pPr>
                                <w:r w:rsidRPr="00153EF7">
                                  <w:rPr>
                                    <w:b/>
                                    <w:bCs/>
                                    <w:color w:val="000000"/>
                                    <w:sz w:val="17"/>
                                  </w:rPr>
                                  <w:t>STRUCK OUT</w:t>
                                </w:r>
                              </w:p>
                              <w:p w14:paraId="4F39085B" w14:textId="77777777" w:rsidR="00BB5CD0" w:rsidRPr="00153EF7" w:rsidRDefault="00BB5CD0" w:rsidP="00BB5CD0">
                                <w:pPr>
                                  <w:autoSpaceDE w:val="0"/>
                                  <w:autoSpaceDN w:val="0"/>
                                  <w:adjustRightInd w:val="0"/>
                                  <w:jc w:val="center"/>
                                  <w:rPr>
                                    <w:b/>
                                    <w:bCs/>
                                    <w:color w:val="000000"/>
                                    <w:sz w:val="16"/>
                                    <w:szCs w:val="22"/>
                                  </w:rPr>
                                </w:pPr>
                                <w:r w:rsidRPr="00153EF7">
                                  <w:rPr>
                                    <w:b/>
                                    <w:bCs/>
                                    <w:color w:val="000000"/>
                                    <w:sz w:val="17"/>
                                  </w:rPr>
                                  <w:t>or DISMISSED</w:t>
                                </w:r>
                              </w:p>
                              <w:p w14:paraId="5A025862" w14:textId="77777777" w:rsidR="00BB5CD0" w:rsidRPr="00153EF7" w:rsidRDefault="00BB5CD0" w:rsidP="00BB5CD0">
                                <w:pPr>
                                  <w:autoSpaceDE w:val="0"/>
                                  <w:autoSpaceDN w:val="0"/>
                                  <w:adjustRightInd w:val="0"/>
                                  <w:jc w:val="center"/>
                                  <w:rPr>
                                    <w:rFonts w:ascii="Arial Rounded MT Bold" w:hAnsi="Arial Rounded MT Bold" w:cs="Arial Rounded MT Bold"/>
                                    <w:color w:val="000000"/>
                                    <w:sz w:val="31"/>
                                    <w:szCs w:val="44"/>
                                    <w:u w:val="single"/>
                                  </w:rPr>
                                </w:pPr>
                                <w:r w:rsidRPr="00153EF7">
                                  <w:rPr>
                                    <w:b/>
                                    <w:bCs/>
                                    <w:color w:val="000000"/>
                                    <w:sz w:val="17"/>
                                  </w:rPr>
                                  <w:t>or NO ORDER</w:t>
                                </w:r>
                              </w:p>
                            </w:txbxContent>
                          </wps:txbx>
                          <wps:bodyPr rot="0" vert="horz" wrap="square" lIns="64922" tIns="12780" rIns="64922" bIns="25560" anchor="t" anchorCtr="0" upright="1">
                            <a:noAutofit/>
                          </wps:bodyPr>
                        </wps:wsp>
                        <wps:wsp>
                          <wps:cNvPr id="1551819533" name="Text Box 117"/>
                          <wps:cNvSpPr txBox="1">
                            <a:spLocks noChangeArrowheads="1"/>
                          </wps:cNvSpPr>
                          <wps:spPr bwMode="auto">
                            <a:xfrm>
                              <a:off x="8470" y="10105"/>
                              <a:ext cx="1568" cy="785"/>
                            </a:xfrm>
                            <a:prstGeom prst="rect">
                              <a:avLst/>
                            </a:prstGeom>
                            <a:solidFill>
                              <a:srgbClr val="FF00FF"/>
                            </a:solidFill>
                            <a:ln w="9525">
                              <a:solidFill>
                                <a:srgbClr val="000000"/>
                              </a:solidFill>
                              <a:miter lim="800000"/>
                              <a:headEnd/>
                              <a:tailEnd/>
                            </a:ln>
                          </wps:spPr>
                          <wps:txbx>
                            <w:txbxContent>
                              <w:p w14:paraId="1BDE7FB9" w14:textId="77777777" w:rsidR="00BB5CD0" w:rsidRPr="00153EF7" w:rsidRDefault="002229EE" w:rsidP="00BB5CD0">
                                <w:pPr>
                                  <w:autoSpaceDE w:val="0"/>
                                  <w:autoSpaceDN w:val="0"/>
                                  <w:adjustRightInd w:val="0"/>
                                  <w:spacing w:before="120"/>
                                  <w:jc w:val="center"/>
                                  <w:rPr>
                                    <w:rFonts w:ascii="Arial Narrow" w:hAnsi="Arial Narrow" w:cs="Arial Narrow"/>
                                    <w:b/>
                                    <w:bCs/>
                                    <w:color w:val="FFFFFF"/>
                                    <w:sz w:val="20"/>
                                    <w:szCs w:val="28"/>
                                  </w:rPr>
                                </w:pPr>
                                <w:r>
                                  <w:rPr>
                                    <w:rFonts w:ascii="Arial Narrow" w:hAnsi="Arial Narrow" w:cs="Arial Narrow"/>
                                    <w:b/>
                                    <w:bCs/>
                                    <w:color w:val="FFFFFF"/>
                                    <w:sz w:val="20"/>
                                    <w:szCs w:val="28"/>
                                  </w:rPr>
                                  <w:t>EMERG. CARE</w:t>
                                </w:r>
                              </w:p>
                              <w:p w14:paraId="41D6923B" w14:textId="77777777" w:rsidR="00BB5CD0" w:rsidRPr="00153EF7" w:rsidRDefault="00BB5CD0" w:rsidP="00BB5CD0">
                                <w:pPr>
                                  <w:autoSpaceDE w:val="0"/>
                                  <w:autoSpaceDN w:val="0"/>
                                  <w:adjustRightInd w:val="0"/>
                                  <w:spacing w:before="40"/>
                                  <w:jc w:val="center"/>
                                  <w:rPr>
                                    <w:rFonts w:ascii="Arial Rounded MT Bold" w:hAnsi="Arial Rounded MT Bold" w:cs="Arial Rounded MT Bold"/>
                                    <w:color w:val="000000"/>
                                    <w:sz w:val="20"/>
                                    <w:szCs w:val="28"/>
                                    <w:u w:val="single"/>
                                  </w:rPr>
                                </w:pPr>
                                <w:r w:rsidRPr="00153EF7">
                                  <w:rPr>
                                    <w:rFonts w:ascii="Arial Narrow" w:hAnsi="Arial Narrow" w:cs="Arial Narrow"/>
                                    <w:b/>
                                    <w:bCs/>
                                    <w:color w:val="FFFFFF"/>
                                    <w:sz w:val="20"/>
                                    <w:szCs w:val="28"/>
                                  </w:rPr>
                                  <w:t>WARRANT</w:t>
                                </w:r>
                              </w:p>
                            </w:txbxContent>
                          </wps:txbx>
                          <wps:bodyPr rot="0" vert="horz" wrap="square" lIns="64922" tIns="12780" rIns="64922" bIns="25560" anchor="t" anchorCtr="0" upright="1">
                            <a:noAutofit/>
                          </wps:bodyPr>
                        </wps:wsp>
                        <wps:wsp>
                          <wps:cNvPr id="737707437" name="Line 118"/>
                          <wps:cNvCnPr>
                            <a:cxnSpLocks noChangeShapeType="1"/>
                          </wps:cNvCnPr>
                          <wps:spPr bwMode="auto">
                            <a:xfrm>
                              <a:off x="2641" y="12159"/>
                              <a:ext cx="1081" cy="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27887408" name="Line 119"/>
                          <wps:cNvCnPr>
                            <a:cxnSpLocks noChangeShapeType="1"/>
                          </wps:cNvCnPr>
                          <wps:spPr bwMode="auto">
                            <a:xfrm>
                              <a:off x="2641" y="11207"/>
                              <a:ext cx="1081" cy="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98644208" name="Text Box 120"/>
                          <wps:cNvSpPr txBox="1">
                            <a:spLocks noChangeArrowheads="1"/>
                          </wps:cNvSpPr>
                          <wps:spPr bwMode="auto">
                            <a:xfrm>
                              <a:off x="7237" y="13430"/>
                              <a:ext cx="2780" cy="867"/>
                            </a:xfrm>
                            <a:prstGeom prst="rect">
                              <a:avLst/>
                            </a:prstGeom>
                            <a:solidFill>
                              <a:srgbClr val="000080"/>
                            </a:solidFill>
                            <a:ln w="9525">
                              <a:solidFill>
                                <a:srgbClr val="000000"/>
                              </a:solidFill>
                              <a:miter lim="800000"/>
                              <a:headEnd/>
                              <a:tailEnd/>
                            </a:ln>
                          </wps:spPr>
                          <wps:txbx>
                            <w:txbxContent>
                              <w:p w14:paraId="334AA08F" w14:textId="77777777" w:rsidR="00BB5CD0" w:rsidRPr="00BB5CD0" w:rsidRDefault="00BB5CD0" w:rsidP="0027441A">
                                <w:pPr>
                                  <w:autoSpaceDE w:val="0"/>
                                  <w:autoSpaceDN w:val="0"/>
                                  <w:adjustRightInd w:val="0"/>
                                  <w:spacing w:before="40"/>
                                  <w:jc w:val="center"/>
                                  <w:rPr>
                                    <w:rFonts w:ascii="Arial Rounded MT Bold" w:hAnsi="Arial Rounded MT Bold" w:cs="Arial Rounded MT Bold"/>
                                    <w:color w:val="000000"/>
                                    <w:sz w:val="40"/>
                                    <w:szCs w:val="44"/>
                                    <w:u w:val="single"/>
                                  </w:rPr>
                                </w:pPr>
                                <w:r w:rsidRPr="00BB5CD0">
                                  <w:rPr>
                                    <w:rFonts w:ascii="Arial Narrow" w:hAnsi="Arial Narrow" w:cs="Arial Narrow"/>
                                    <w:b/>
                                    <w:bCs/>
                                    <w:color w:val="FFFFFF"/>
                                    <w:sz w:val="22"/>
                                  </w:rPr>
                                  <w:t>BREACH, VARIATION, REVOCATION, EXTENSION OF ORDER</w:t>
                                </w:r>
                              </w:p>
                            </w:txbxContent>
                          </wps:txbx>
                          <wps:bodyPr rot="0" vert="horz" wrap="square" lIns="64922" tIns="12780" rIns="64922" bIns="25560" anchor="t" anchorCtr="0" upright="1">
                            <a:noAutofit/>
                          </wps:bodyPr>
                        </wps:wsp>
                        <wps:wsp>
                          <wps:cNvPr id="1289871182" name="Line 121"/>
                          <wps:cNvCnPr>
                            <a:cxnSpLocks noChangeShapeType="1"/>
                          </wps:cNvCnPr>
                          <wps:spPr bwMode="auto">
                            <a:xfrm>
                              <a:off x="9574" y="10844"/>
                              <a:ext cx="0" cy="2599"/>
                            </a:xfrm>
                            <a:prstGeom prst="line">
                              <a:avLst/>
                            </a:prstGeom>
                            <a:noFill/>
                            <a:ln w="19050">
                              <a:solidFill>
                                <a:srgbClr val="000080"/>
                              </a:solidFill>
                              <a:round/>
                              <a:headEnd type="triangle" w="med" len="med"/>
                              <a:tailEnd/>
                            </a:ln>
                            <a:extLst>
                              <a:ext uri="{909E8E84-426E-40DD-AFC4-6F175D3DCCD1}">
                                <a14:hiddenFill xmlns:a14="http://schemas.microsoft.com/office/drawing/2010/main">
                                  <a:noFill/>
                                </a14:hiddenFill>
                              </a:ext>
                            </a:extLst>
                          </wps:spPr>
                          <wps:bodyPr/>
                        </wps:wsp>
                        <wps:wsp>
                          <wps:cNvPr id="1249379524" name="Text Box 122"/>
                          <wps:cNvSpPr txBox="1">
                            <a:spLocks noChangeArrowheads="1"/>
                          </wps:cNvSpPr>
                          <wps:spPr bwMode="auto">
                            <a:xfrm>
                              <a:off x="1827" y="8367"/>
                              <a:ext cx="3863" cy="317"/>
                            </a:xfrm>
                            <a:prstGeom prst="rect">
                              <a:avLst/>
                            </a:prstGeom>
                            <a:solidFill>
                              <a:srgbClr val="000000"/>
                            </a:solidFill>
                            <a:ln w="9525">
                              <a:solidFill>
                                <a:srgbClr val="000000"/>
                              </a:solidFill>
                              <a:miter lim="800000"/>
                              <a:headEnd/>
                              <a:tailEnd/>
                            </a:ln>
                          </wps:spPr>
                          <wps:txbx>
                            <w:txbxContent>
                              <w:p w14:paraId="4B0BA01D" w14:textId="77777777" w:rsidR="00BB5CD0" w:rsidRPr="00153EF7" w:rsidRDefault="00BB5CD0" w:rsidP="00BB5CD0">
                                <w:pPr>
                                  <w:autoSpaceDE w:val="0"/>
                                  <w:autoSpaceDN w:val="0"/>
                                  <w:adjustRightInd w:val="0"/>
                                  <w:rPr>
                                    <w:rFonts w:ascii="Arial Rounded MT Bold" w:hAnsi="Arial Rounded MT Bold" w:cs="Arial Rounded MT Bold"/>
                                    <w:color w:val="000000"/>
                                    <w:sz w:val="31"/>
                                    <w:szCs w:val="44"/>
                                    <w:u w:val="single"/>
                                  </w:rPr>
                                </w:pPr>
                                <w:r w:rsidRPr="00153EF7">
                                  <w:rPr>
                                    <w:rFonts w:ascii="Arial" w:hAnsi="Arial" w:cs="Arial"/>
                                    <w:b/>
                                    <w:bCs/>
                                    <w:color w:val="FFFFFF"/>
                                    <w:sz w:val="17"/>
                                  </w:rPr>
                                  <w:t xml:space="preserve">STARTS AT EITHER POINT MARKED </w:t>
                                </w:r>
                                <w:r w:rsidRPr="00153EF7">
                                  <w:rPr>
                                    <w:rFonts w:ascii="Arial" w:hAnsi="Arial"/>
                                    <w:b/>
                                    <w:bCs/>
                                    <w:color w:val="FFFFFF"/>
                                    <w:sz w:val="17"/>
                                  </w:rPr>
                                  <w:sym w:font="Wingdings" w:char="F04C"/>
                                </w:r>
                              </w:p>
                            </w:txbxContent>
                          </wps:txbx>
                          <wps:bodyPr rot="0" vert="horz" wrap="square" lIns="64922" tIns="32461" rIns="64922" bIns="32461" anchor="t" anchorCtr="0" upright="1">
                            <a:noAutofit/>
                          </wps:bodyPr>
                        </wps:wsp>
                        <wps:wsp>
                          <wps:cNvPr id="1208818513" name="Line 125"/>
                          <wps:cNvCnPr>
                            <a:cxnSpLocks noChangeShapeType="1"/>
                          </wps:cNvCnPr>
                          <wps:spPr bwMode="auto">
                            <a:xfrm>
                              <a:off x="5484" y="14467"/>
                              <a:ext cx="1" cy="250"/>
                            </a:xfrm>
                            <a:prstGeom prst="line">
                              <a:avLst/>
                            </a:prstGeom>
                            <a:noFill/>
                            <a:ln w="19050">
                              <a:solidFill>
                                <a:srgbClr val="008080"/>
                              </a:solidFill>
                              <a:round/>
                              <a:headEnd/>
                              <a:tailEnd type="triangle" w="med" len="med"/>
                            </a:ln>
                            <a:extLst>
                              <a:ext uri="{909E8E84-426E-40DD-AFC4-6F175D3DCCD1}">
                                <a14:hiddenFill xmlns:a14="http://schemas.microsoft.com/office/drawing/2010/main">
                                  <a:noFill/>
                                </a14:hiddenFill>
                              </a:ext>
                            </a:extLst>
                          </wps:spPr>
                          <wps:bodyPr/>
                        </wps:wsp>
                        <wps:wsp>
                          <wps:cNvPr id="731553109" name="Line 126"/>
                          <wps:cNvCnPr>
                            <a:cxnSpLocks noChangeShapeType="1"/>
                          </wps:cNvCnPr>
                          <wps:spPr bwMode="auto">
                            <a:xfrm>
                              <a:off x="2643" y="13111"/>
                              <a:ext cx="1081" cy="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7479201" name="Line 127"/>
                          <wps:cNvCnPr>
                            <a:cxnSpLocks noChangeShapeType="1"/>
                          </wps:cNvCnPr>
                          <wps:spPr bwMode="auto">
                            <a:xfrm>
                              <a:off x="2643" y="14063"/>
                              <a:ext cx="1081" cy="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7539162" name="Line 128"/>
                          <wps:cNvCnPr>
                            <a:cxnSpLocks noChangeShapeType="1"/>
                          </wps:cNvCnPr>
                          <wps:spPr bwMode="auto">
                            <a:xfrm>
                              <a:off x="3262" y="10255"/>
                              <a:ext cx="0" cy="1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87727540" name="Line 129"/>
                          <wps:cNvCnPr>
                            <a:cxnSpLocks noChangeShapeType="1"/>
                          </wps:cNvCnPr>
                          <wps:spPr bwMode="auto">
                            <a:xfrm>
                              <a:off x="3262" y="11051"/>
                              <a:ext cx="0" cy="1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7647837" name="Text Box 131"/>
                          <wps:cNvSpPr txBox="1">
                            <a:spLocks noChangeArrowheads="1"/>
                          </wps:cNvSpPr>
                          <wps:spPr bwMode="auto">
                            <a:xfrm>
                              <a:off x="3699" y="11842"/>
                              <a:ext cx="3115" cy="551"/>
                            </a:xfrm>
                            <a:prstGeom prst="rect">
                              <a:avLst/>
                            </a:prstGeom>
                            <a:solidFill>
                              <a:srgbClr val="339966"/>
                            </a:solidFill>
                            <a:ln w="9525">
                              <a:solidFill>
                                <a:srgbClr val="000000"/>
                              </a:solidFill>
                              <a:miter lim="800000"/>
                              <a:headEnd/>
                              <a:tailEnd/>
                            </a:ln>
                          </wps:spPr>
                          <wps:txbx>
                            <w:txbxContent>
                              <w:p w14:paraId="6131C596" w14:textId="550993D0" w:rsidR="00BB5CD0" w:rsidRDefault="00BB5CD0" w:rsidP="00BB5CD0">
                                <w:pPr>
                                  <w:autoSpaceDE w:val="0"/>
                                  <w:autoSpaceDN w:val="0"/>
                                  <w:adjustRightInd w:val="0"/>
                                  <w:spacing w:before="60"/>
                                  <w:jc w:val="center"/>
                                  <w:rPr>
                                    <w:rFonts w:ascii="Arial Narrow" w:hAnsi="Arial Narrow" w:cs="Arial Narrow"/>
                                    <w:b/>
                                    <w:bCs/>
                                    <w:color w:val="FFFFFF"/>
                                    <w:sz w:val="16"/>
                                    <w:szCs w:val="10"/>
                                  </w:rPr>
                                </w:pPr>
                                <w:r w:rsidRPr="00522630">
                                  <w:rPr>
                                    <w:rFonts w:ascii="Arial Narrow" w:hAnsi="Arial Narrow"/>
                                    <w:color w:val="FFFFFF"/>
                                    <w:sz w:val="16"/>
                                    <w:szCs w:val="16"/>
                                  </w:rPr>
                                  <w:sym w:font="Wingdings" w:char="F08E"/>
                                </w:r>
                                <w:r w:rsidR="00522630" w:rsidRPr="00522630">
                                  <w:rPr>
                                    <w:rFonts w:ascii="Arial Narrow" w:hAnsi="Arial Narrow" w:cs="Arial Narrow"/>
                                    <w:b/>
                                    <w:bCs/>
                                    <w:color w:val="FFFFFF"/>
                                    <w:sz w:val="16"/>
                                    <w:szCs w:val="10"/>
                                  </w:rPr>
                                  <w:t>JUDICIAL RESOLUTION CONFERENCE</w:t>
                                </w:r>
                              </w:p>
                              <w:p w14:paraId="3D14D7FF" w14:textId="02E17EC9" w:rsidR="00522630" w:rsidRPr="00522630" w:rsidRDefault="00522630" w:rsidP="00522630">
                                <w:pPr>
                                  <w:autoSpaceDE w:val="0"/>
                                  <w:autoSpaceDN w:val="0"/>
                                  <w:adjustRightInd w:val="0"/>
                                  <w:jc w:val="center"/>
                                  <w:rPr>
                                    <w:rFonts w:ascii="Arial Narrow" w:hAnsi="Arial Narrow" w:cs="Arial Narrow"/>
                                    <w:b/>
                                    <w:bCs/>
                                    <w:color w:val="FFFFFF"/>
                                    <w:sz w:val="16"/>
                                    <w:szCs w:val="14"/>
                                  </w:rPr>
                                </w:pPr>
                                <w:r>
                                  <w:rPr>
                                    <w:rFonts w:ascii="Arial Narrow" w:hAnsi="Arial Narrow" w:cs="Arial Narrow"/>
                                    <w:b/>
                                    <w:bCs/>
                                    <w:color w:val="FFFFFF"/>
                                    <w:sz w:val="16"/>
                                    <w:szCs w:val="10"/>
                                  </w:rPr>
                                  <w:t>[if appropriate]</w:t>
                                </w:r>
                              </w:p>
                            </w:txbxContent>
                          </wps:txbx>
                          <wps:bodyPr rot="0" vert="horz" wrap="square" lIns="64922" tIns="12780" rIns="64922" bIns="25560" anchor="t" anchorCtr="0" upright="1">
                            <a:noAutofit/>
                          </wps:bodyPr>
                        </wps:wsp>
                        <wps:wsp>
                          <wps:cNvPr id="1987665959" name="Text Box 132"/>
                          <wps:cNvSpPr txBox="1">
                            <a:spLocks noChangeArrowheads="1"/>
                          </wps:cNvSpPr>
                          <wps:spPr bwMode="auto">
                            <a:xfrm>
                              <a:off x="3699" y="10890"/>
                              <a:ext cx="3115" cy="551"/>
                            </a:xfrm>
                            <a:prstGeom prst="rect">
                              <a:avLst/>
                            </a:prstGeom>
                            <a:solidFill>
                              <a:srgbClr val="339966"/>
                            </a:solidFill>
                            <a:ln w="9525">
                              <a:solidFill>
                                <a:srgbClr val="000000"/>
                              </a:solidFill>
                              <a:miter lim="800000"/>
                              <a:headEnd/>
                              <a:tailEnd/>
                            </a:ln>
                          </wps:spPr>
                          <wps:txbx>
                            <w:txbxContent>
                              <w:p w14:paraId="40644E9C" w14:textId="77777777" w:rsidR="00BB5CD0" w:rsidRPr="00BB5CD0" w:rsidRDefault="00BB5CD0" w:rsidP="00BB5CD0">
                                <w:pPr>
                                  <w:autoSpaceDE w:val="0"/>
                                  <w:autoSpaceDN w:val="0"/>
                                  <w:adjustRightInd w:val="0"/>
                                  <w:spacing w:before="60"/>
                                  <w:jc w:val="center"/>
                                  <w:rPr>
                                    <w:rFonts w:ascii="Arial Rounded MT Bold" w:hAnsi="Arial Rounded MT Bold" w:cs="Arial Rounded MT Bold"/>
                                    <w:color w:val="000000"/>
                                    <w:sz w:val="36"/>
                                    <w:szCs w:val="44"/>
                                    <w:u w:val="single"/>
                                  </w:rPr>
                                </w:pPr>
                                <w:r w:rsidRPr="00BB5CD0">
                                  <w:rPr>
                                    <w:rFonts w:ascii="Arial Narrow" w:hAnsi="Arial Narrow"/>
                                    <w:color w:val="FFFFFF"/>
                                    <w:sz w:val="28"/>
                                    <w:szCs w:val="28"/>
                                  </w:rPr>
                                  <w:sym w:font="Wingdings" w:char="F08D"/>
                                </w:r>
                                <w:r w:rsidRPr="00BB5CD0">
                                  <w:rPr>
                                    <w:rFonts w:ascii="Arial Narrow" w:hAnsi="Arial Narrow" w:cs="Arial Narrow"/>
                                    <w:b/>
                                    <w:bCs/>
                                    <w:color w:val="FFFFFF"/>
                                    <w:sz w:val="28"/>
                                    <w:szCs w:val="32"/>
                                  </w:rPr>
                                  <w:t xml:space="preserve"> MENTION HEARING</w:t>
                                </w:r>
                              </w:p>
                            </w:txbxContent>
                          </wps:txbx>
                          <wps:bodyPr rot="0" vert="horz" wrap="square" lIns="64922" tIns="12780" rIns="64922" bIns="25560" anchor="t" anchorCtr="0" upright="1">
                            <a:noAutofit/>
                          </wps:bodyPr>
                        </wps:wsp>
                        <wps:wsp>
                          <wps:cNvPr id="2034316694" name="Text Box 133"/>
                          <wps:cNvSpPr txBox="1">
                            <a:spLocks noChangeArrowheads="1"/>
                          </wps:cNvSpPr>
                          <wps:spPr bwMode="auto">
                            <a:xfrm>
                              <a:off x="3705" y="12795"/>
                              <a:ext cx="3112" cy="550"/>
                            </a:xfrm>
                            <a:prstGeom prst="rect">
                              <a:avLst/>
                            </a:prstGeom>
                            <a:solidFill>
                              <a:srgbClr val="339966"/>
                            </a:solidFill>
                            <a:ln w="9525">
                              <a:solidFill>
                                <a:srgbClr val="000000"/>
                              </a:solidFill>
                              <a:miter lim="800000"/>
                              <a:headEnd/>
                              <a:tailEnd/>
                            </a:ln>
                          </wps:spPr>
                          <wps:txbx>
                            <w:txbxContent>
                              <w:p w14:paraId="25C128D3" w14:textId="34111608" w:rsidR="00BB5CD0" w:rsidRPr="000C49FD" w:rsidRDefault="00BB5CD0" w:rsidP="00BB5CD0">
                                <w:pPr>
                                  <w:autoSpaceDE w:val="0"/>
                                  <w:autoSpaceDN w:val="0"/>
                                  <w:adjustRightInd w:val="0"/>
                                  <w:spacing w:before="60"/>
                                  <w:ind w:left="720" w:hanging="720"/>
                                  <w:jc w:val="center"/>
                                  <w:rPr>
                                    <w:rFonts w:ascii="Arial Narrow" w:hAnsi="Arial Narrow" w:cs="Arial Narrow"/>
                                    <w:b/>
                                    <w:bCs/>
                                    <w:color w:val="FFFFFF"/>
                                    <w:szCs w:val="28"/>
                                  </w:rPr>
                                </w:pPr>
                                <w:r w:rsidRPr="00CB70D3">
                                  <w:rPr>
                                    <w:rFonts w:ascii="Arial Rounded MT Bold" w:hAnsi="Arial Rounded MT Bold" w:cs="Arial Rounded MT Bold"/>
                                    <w:color w:val="FFFFFF"/>
                                    <w:sz w:val="28"/>
                                    <w:szCs w:val="28"/>
                                  </w:rPr>
                                  <w:sym w:font="Wingdings" w:char="F08F"/>
                                </w:r>
                                <w:r w:rsidRPr="00CB70D3">
                                  <w:rPr>
                                    <w:rFonts w:ascii="Arial Rounded MT Bold" w:hAnsi="Arial Rounded MT Bold" w:cs="Arial Rounded MT Bold"/>
                                    <w:color w:val="FFFFFF"/>
                                    <w:sz w:val="28"/>
                                    <w:szCs w:val="28"/>
                                  </w:rPr>
                                  <w:t xml:space="preserve"> </w:t>
                                </w:r>
                                <w:r w:rsidR="00527793">
                                  <w:rPr>
                                    <w:rFonts w:ascii="Arial Narrow" w:hAnsi="Arial Narrow" w:cs="Arial Narrow"/>
                                    <w:b/>
                                    <w:bCs/>
                                    <w:color w:val="FFFFFF"/>
                                    <w:szCs w:val="28"/>
                                  </w:rPr>
                                  <w:t>READINESS</w:t>
                                </w:r>
                                <w:r w:rsidRPr="000C49FD">
                                  <w:rPr>
                                    <w:rFonts w:ascii="Arial Narrow" w:hAnsi="Arial Narrow" w:cs="Arial Narrow"/>
                                    <w:b/>
                                    <w:bCs/>
                                    <w:color w:val="FFFFFF"/>
                                    <w:szCs w:val="28"/>
                                  </w:rPr>
                                  <w:t xml:space="preserve"> HEARING</w:t>
                                </w:r>
                              </w:p>
                            </w:txbxContent>
                          </wps:txbx>
                          <wps:bodyPr rot="0" vert="horz" wrap="square" lIns="64922" tIns="12780" rIns="64922" bIns="25560" anchor="t" anchorCtr="0" upright="1">
                            <a:noAutofit/>
                          </wps:bodyPr>
                        </wps:wsp>
                        <wps:wsp>
                          <wps:cNvPr id="254353773" name="Text Box 134"/>
                          <wps:cNvSpPr txBox="1">
                            <a:spLocks noChangeArrowheads="1"/>
                          </wps:cNvSpPr>
                          <wps:spPr bwMode="auto">
                            <a:xfrm>
                              <a:off x="3705" y="13747"/>
                              <a:ext cx="3112" cy="550"/>
                            </a:xfrm>
                            <a:prstGeom prst="rect">
                              <a:avLst/>
                            </a:prstGeom>
                            <a:solidFill>
                              <a:srgbClr val="339966"/>
                            </a:solidFill>
                            <a:ln w="9525">
                              <a:solidFill>
                                <a:srgbClr val="000000"/>
                              </a:solidFill>
                              <a:miter lim="800000"/>
                              <a:headEnd/>
                              <a:tailEnd/>
                            </a:ln>
                          </wps:spPr>
                          <wps:txbx>
                            <w:txbxContent>
                              <w:p w14:paraId="2905ED71" w14:textId="77777777" w:rsidR="00BB5CD0" w:rsidRPr="00153EF7" w:rsidRDefault="00BB5CD0" w:rsidP="00E31A12">
                                <w:pPr>
                                  <w:autoSpaceDE w:val="0"/>
                                  <w:autoSpaceDN w:val="0"/>
                                  <w:adjustRightInd w:val="0"/>
                                  <w:spacing w:before="20"/>
                                  <w:ind w:left="720" w:hanging="720"/>
                                  <w:jc w:val="center"/>
                                  <w:rPr>
                                    <w:rFonts w:ascii="Arial Narrow" w:hAnsi="Arial Narrow" w:cs="Arial Narrow"/>
                                    <w:b/>
                                    <w:bCs/>
                                    <w:color w:val="FFFFFF"/>
                                    <w:sz w:val="20"/>
                                    <w:szCs w:val="28"/>
                                  </w:rPr>
                                </w:pPr>
                                <w:r w:rsidRPr="00E55AB0">
                                  <w:rPr>
                                    <w:rFonts w:ascii="Arial Rounded MT Bold" w:hAnsi="Arial Rounded MT Bold" w:cs="Arial Rounded MT Bold"/>
                                    <w:color w:val="FFFFFF"/>
                                    <w:sz w:val="22"/>
                                    <w:szCs w:val="28"/>
                                  </w:rPr>
                                  <w:sym w:font="Wingdings" w:char="F090"/>
                                </w:r>
                                <w:r w:rsidRPr="00153EF7">
                                  <w:rPr>
                                    <w:rFonts w:ascii="Arial Rounded MT Bold" w:hAnsi="Arial Rounded MT Bold" w:cs="Arial Rounded MT Bold"/>
                                    <w:color w:val="FFFFFF"/>
                                    <w:sz w:val="20"/>
                                    <w:szCs w:val="28"/>
                                  </w:rPr>
                                  <w:t xml:space="preserve"> </w:t>
                                </w:r>
                                <w:r w:rsidRPr="00153EF7">
                                  <w:rPr>
                                    <w:rFonts w:ascii="Arial Narrow" w:hAnsi="Arial Narrow" w:cs="Arial Narrow"/>
                                    <w:b/>
                                    <w:bCs/>
                                    <w:color w:val="FFFFFF"/>
                                    <w:sz w:val="20"/>
                                    <w:szCs w:val="28"/>
                                  </w:rPr>
                                  <w:t>CONTESTED HEARING</w:t>
                                </w:r>
                              </w:p>
                              <w:p w14:paraId="6372D1DA" w14:textId="77777777" w:rsidR="00BB5CD0" w:rsidRPr="00B647F6" w:rsidRDefault="000C49FD" w:rsidP="00E55AB0">
                                <w:pPr>
                                  <w:autoSpaceDE w:val="0"/>
                                  <w:autoSpaceDN w:val="0"/>
                                  <w:adjustRightInd w:val="0"/>
                                  <w:ind w:left="720" w:hanging="720"/>
                                  <w:jc w:val="center"/>
                                  <w:rPr>
                                    <w:rFonts w:ascii="Arial Narrow" w:hAnsi="Arial Narrow" w:cs="Arial Narrow"/>
                                    <w:b/>
                                    <w:bCs/>
                                    <w:color w:val="FFFFFF"/>
                                    <w:sz w:val="17"/>
                                  </w:rPr>
                                </w:pPr>
                                <w:r>
                                  <w:rPr>
                                    <w:rFonts w:ascii="Arial Narrow" w:hAnsi="Arial Narrow" w:cs="Arial Narrow"/>
                                    <w:b/>
                                    <w:bCs/>
                                    <w:color w:val="FFFFFF"/>
                                    <w:sz w:val="17"/>
                                  </w:rPr>
                                  <w:t>Preceded by DIRECTIONS HEARING</w:t>
                                </w:r>
                              </w:p>
                            </w:txbxContent>
                          </wps:txbx>
                          <wps:bodyPr rot="0" vert="horz" wrap="square" lIns="64922" tIns="12780" rIns="64922" bIns="25560" anchor="t" anchorCtr="0" upright="1">
                            <a:noAutofit/>
                          </wps:bodyPr>
                        </wps:wsp>
                        <wps:wsp>
                          <wps:cNvPr id="1695574080" name="Text Box 135"/>
                          <wps:cNvSpPr txBox="1">
                            <a:spLocks noChangeArrowheads="1"/>
                          </wps:cNvSpPr>
                          <wps:spPr bwMode="auto">
                            <a:xfrm>
                              <a:off x="3696" y="8961"/>
                              <a:ext cx="1467" cy="538"/>
                            </a:xfrm>
                            <a:prstGeom prst="rect">
                              <a:avLst/>
                            </a:prstGeom>
                            <a:solidFill>
                              <a:srgbClr val="000000"/>
                            </a:solidFill>
                            <a:ln w="19050">
                              <a:solidFill>
                                <a:srgbClr val="FFFFFF"/>
                              </a:solidFill>
                              <a:miter lim="800000"/>
                              <a:headEnd type="none" w="sm" len="sm"/>
                              <a:tailEnd type="none" w="sm" len="sm"/>
                            </a:ln>
                            <a:effectLst/>
                            <a:extLst>
                              <a:ext uri="{AF507438-7753-43E0-B8FC-AC1667EBCBE1}">
                                <a14:hiddenEffects xmlns:a14="http://schemas.microsoft.com/office/drawing/2010/main">
                                  <a:effectLst>
                                    <a:outerShdw dist="35921" dir="2700000" algn="ctr" rotWithShape="0">
                                      <a:srgbClr val="A0A0A0"/>
                                    </a:outerShdw>
                                  </a:effectLst>
                                </a14:hiddenEffects>
                              </a:ext>
                            </a:extLst>
                          </wps:spPr>
                          <wps:txbx>
                            <w:txbxContent>
                              <w:p w14:paraId="0A0CB84B" w14:textId="77777777" w:rsidR="00BB5CD0" w:rsidRPr="00153EF7" w:rsidRDefault="00BB5CD0" w:rsidP="00BB5CD0">
                                <w:pPr>
                                  <w:autoSpaceDE w:val="0"/>
                                  <w:autoSpaceDN w:val="0"/>
                                  <w:adjustRightInd w:val="0"/>
                                  <w:jc w:val="center"/>
                                  <w:rPr>
                                    <w:rFonts w:ascii="Arial Narrow" w:hAnsi="Arial Narrow" w:cs="Arial Narrow"/>
                                    <w:b/>
                                    <w:bCs/>
                                    <w:color w:val="FFFFFF"/>
                                    <w:sz w:val="17"/>
                                  </w:rPr>
                                </w:pPr>
                                <w:r w:rsidRPr="00153EF7">
                                  <w:rPr>
                                    <w:rFonts w:ascii="Arial Rounded MT Bold" w:hAnsi="Arial Rounded MT Bold" w:cs="Arial Rounded MT Bold"/>
                                    <w:b/>
                                    <w:bCs/>
                                    <w:color w:val="FFFFFF"/>
                                    <w:sz w:val="17"/>
                                  </w:rPr>
                                  <w:sym w:font="Wingdings" w:char="F04C"/>
                                </w:r>
                                <w:r w:rsidRPr="00153EF7">
                                  <w:rPr>
                                    <w:rFonts w:ascii="Arial Rounded MT Bold" w:hAnsi="Arial Rounded MT Bold" w:cs="Arial Rounded MT Bold"/>
                                    <w:b/>
                                    <w:bCs/>
                                    <w:color w:val="FFFFFF"/>
                                    <w:sz w:val="17"/>
                                  </w:rPr>
                                  <w:t xml:space="preserve"> </w:t>
                                </w:r>
                                <w:r w:rsidRPr="00153EF7">
                                  <w:rPr>
                                    <w:rFonts w:ascii="Arial Narrow" w:hAnsi="Arial Narrow" w:cs="Arial Narrow"/>
                                    <w:b/>
                                    <w:bCs/>
                                    <w:color w:val="FFFFFF"/>
                                    <w:sz w:val="17"/>
                                  </w:rPr>
                                  <w:t>APPLICATION BY NOTICE</w:t>
                                </w:r>
                              </w:p>
                            </w:txbxContent>
                          </wps:txbx>
                          <wps:bodyPr rot="0" vert="horz" wrap="square" lIns="64922" tIns="32461" rIns="64922" bIns="32461" anchor="t" anchorCtr="0" upright="1">
                            <a:noAutofit/>
                          </wps:bodyPr>
                        </wps:wsp>
                        <wps:wsp>
                          <wps:cNvPr id="1450638190" name="Text Box 136"/>
                          <wps:cNvSpPr txBox="1">
                            <a:spLocks noChangeArrowheads="1"/>
                          </wps:cNvSpPr>
                          <wps:spPr bwMode="auto">
                            <a:xfrm>
                              <a:off x="5260" y="8961"/>
                              <a:ext cx="1549" cy="538"/>
                            </a:xfrm>
                            <a:prstGeom prst="rect">
                              <a:avLst/>
                            </a:prstGeom>
                            <a:solidFill>
                              <a:srgbClr val="FF0000"/>
                            </a:solidFill>
                            <a:ln w="19050">
                              <a:solidFill>
                                <a:srgbClr val="FFFFFF"/>
                              </a:solidFill>
                              <a:miter lim="800000"/>
                              <a:headEnd type="none" w="sm" len="sm"/>
                              <a:tailEnd type="none" w="sm" len="sm"/>
                            </a:ln>
                            <a:effectLst/>
                            <a:extLst>
                              <a:ext uri="{AF507438-7753-43E0-B8FC-AC1667EBCBE1}">
                                <a14:hiddenEffects xmlns:a14="http://schemas.microsoft.com/office/drawing/2010/main">
                                  <a:effectLst>
                                    <a:outerShdw dist="35921" dir="2700000" algn="ctr" rotWithShape="0">
                                      <a:srgbClr val="A0A0A0"/>
                                    </a:outerShdw>
                                  </a:effectLst>
                                </a14:hiddenEffects>
                              </a:ext>
                            </a:extLst>
                          </wps:spPr>
                          <wps:txbx>
                            <w:txbxContent>
                              <w:p w14:paraId="0E0D6CE0" w14:textId="77777777" w:rsidR="00BB5CD0" w:rsidRPr="00153EF7" w:rsidRDefault="00BB5CD0" w:rsidP="00BB5CD0">
                                <w:pPr>
                                  <w:autoSpaceDE w:val="0"/>
                                  <w:autoSpaceDN w:val="0"/>
                                  <w:adjustRightInd w:val="0"/>
                                  <w:jc w:val="center"/>
                                  <w:rPr>
                                    <w:rFonts w:ascii="Arial Narrow" w:hAnsi="Arial Narrow" w:cs="Arial Narrow"/>
                                    <w:b/>
                                    <w:bCs/>
                                    <w:color w:val="FFFFFF"/>
                                    <w:sz w:val="16"/>
                                    <w:szCs w:val="22"/>
                                  </w:rPr>
                                </w:pPr>
                                <w:r w:rsidRPr="00153EF7">
                                  <w:rPr>
                                    <w:rFonts w:ascii="Arial Narrow" w:hAnsi="Arial Narrow" w:cs="Arial Narrow"/>
                                    <w:b/>
                                    <w:bCs/>
                                    <w:color w:val="FFFFFF"/>
                                    <w:sz w:val="16"/>
                                    <w:szCs w:val="22"/>
                                  </w:rPr>
                                  <w:t xml:space="preserve">APPLICATION BY </w:t>
                                </w:r>
                                <w:r w:rsidR="00005E9C">
                                  <w:rPr>
                                    <w:rFonts w:ascii="Arial Narrow" w:hAnsi="Arial Narrow" w:cs="Arial Narrow"/>
                                    <w:b/>
                                    <w:bCs/>
                                    <w:color w:val="FFFFFF"/>
                                    <w:sz w:val="16"/>
                                    <w:szCs w:val="22"/>
                                  </w:rPr>
                                  <w:t>EMERGENCY CARE</w:t>
                                </w:r>
                              </w:p>
                            </w:txbxContent>
                          </wps:txbx>
                          <wps:bodyPr rot="0" vert="horz" wrap="square" lIns="64922" tIns="32461" rIns="64922" bIns="32461" anchor="t" anchorCtr="0" upright="1">
                            <a:noAutofit/>
                          </wps:bodyPr>
                        </wps:wsp>
                        <wps:wsp>
                          <wps:cNvPr id="231778857" name="Text Box 137"/>
                          <wps:cNvSpPr txBox="1">
                            <a:spLocks noChangeArrowheads="1"/>
                          </wps:cNvSpPr>
                          <wps:spPr bwMode="auto">
                            <a:xfrm>
                              <a:off x="3699" y="9938"/>
                              <a:ext cx="3115" cy="551"/>
                            </a:xfrm>
                            <a:prstGeom prst="rect">
                              <a:avLst/>
                            </a:prstGeom>
                            <a:solidFill>
                              <a:srgbClr val="339966"/>
                            </a:solidFill>
                            <a:ln w="9525">
                              <a:solidFill>
                                <a:srgbClr val="000000"/>
                              </a:solidFill>
                              <a:miter lim="800000"/>
                              <a:headEnd/>
                              <a:tailEnd/>
                            </a:ln>
                          </wps:spPr>
                          <wps:txbx>
                            <w:txbxContent>
                              <w:p w14:paraId="61AFB675" w14:textId="77777777" w:rsidR="00BB5CD0" w:rsidRPr="00153EF7" w:rsidRDefault="00BB5CD0" w:rsidP="00BB5CD0">
                                <w:pPr>
                                  <w:autoSpaceDE w:val="0"/>
                                  <w:autoSpaceDN w:val="0"/>
                                  <w:adjustRightInd w:val="0"/>
                                  <w:spacing w:before="60"/>
                                  <w:jc w:val="center"/>
                                  <w:rPr>
                                    <w:rFonts w:ascii="Arial Narrow" w:hAnsi="Arial Narrow" w:cs="Arial Narrow"/>
                                    <w:b/>
                                    <w:bCs/>
                                    <w:color w:val="FFFFFF"/>
                                    <w:sz w:val="18"/>
                                    <w:szCs w:val="26"/>
                                  </w:rPr>
                                </w:pPr>
                                <w:r w:rsidRPr="00BB5CD0">
                                  <w:rPr>
                                    <w:rFonts w:ascii="Arial Narrow" w:hAnsi="Arial Narrow"/>
                                    <w:color w:val="FFFFFF"/>
                                    <w:sz w:val="20"/>
                                    <w:szCs w:val="28"/>
                                  </w:rPr>
                                  <w:sym w:font="Wingdings" w:char="F08C"/>
                                </w:r>
                                <w:r w:rsidRPr="00153EF7">
                                  <w:rPr>
                                    <w:rFonts w:ascii="Arial Narrow" w:hAnsi="Arial Narrow" w:cs="Arial Narrow"/>
                                    <w:b/>
                                    <w:bCs/>
                                    <w:color w:val="FFFFFF"/>
                                    <w:sz w:val="17"/>
                                  </w:rPr>
                                  <w:t xml:space="preserve"> </w:t>
                                </w:r>
                                <w:r w:rsidRPr="00BB5CD0">
                                  <w:rPr>
                                    <w:rFonts w:ascii="Arial Narrow" w:hAnsi="Arial Narrow" w:cs="Arial Narrow"/>
                                    <w:b/>
                                    <w:bCs/>
                                    <w:color w:val="FFFFFF"/>
                                    <w:sz w:val="20"/>
                                    <w:szCs w:val="26"/>
                                  </w:rPr>
                                  <w:t>HEARING</w:t>
                                </w:r>
                                <w:r w:rsidR="00E31A12">
                                  <w:rPr>
                                    <w:rFonts w:ascii="Arial Narrow" w:hAnsi="Arial Narrow" w:cs="Arial Narrow"/>
                                    <w:b/>
                                    <w:bCs/>
                                    <w:color w:val="FFFFFF"/>
                                    <w:sz w:val="20"/>
                                    <w:szCs w:val="26"/>
                                  </w:rPr>
                                  <w:t xml:space="preserve"> AFTER EMERG. CARE</w:t>
                                </w:r>
                              </w:p>
                              <w:p w14:paraId="2CF78391" w14:textId="77777777" w:rsidR="00BB5CD0" w:rsidRPr="00B647F6" w:rsidRDefault="00BB5CD0" w:rsidP="00BB5CD0">
                                <w:pPr>
                                  <w:autoSpaceDE w:val="0"/>
                                  <w:autoSpaceDN w:val="0"/>
                                  <w:adjustRightInd w:val="0"/>
                                  <w:jc w:val="center"/>
                                  <w:rPr>
                                    <w:rFonts w:ascii="Arial Narrow" w:hAnsi="Arial Narrow" w:cs="Arial Narrow"/>
                                    <w:b/>
                                    <w:bCs/>
                                    <w:color w:val="FFFFFF"/>
                                    <w:sz w:val="17"/>
                                  </w:rPr>
                                </w:pPr>
                                <w:r w:rsidRPr="00B647F6">
                                  <w:rPr>
                                    <w:rFonts w:ascii="Arial Narrow" w:hAnsi="Arial Narrow" w:cs="Arial Narrow"/>
                                    <w:b/>
                                    <w:bCs/>
                                    <w:color w:val="FFFFFF"/>
                                    <w:sz w:val="17"/>
                                  </w:rPr>
                                  <w:t>[By submissions if applicable]</w:t>
                                </w:r>
                              </w:p>
                            </w:txbxContent>
                          </wps:txbx>
                          <wps:bodyPr rot="0" vert="horz" wrap="square" lIns="64922" tIns="12780" rIns="64922" bIns="25560" anchor="t" anchorCtr="0" upright="1">
                            <a:noAutofit/>
                          </wps:bodyPr>
                        </wps:wsp>
                      </wpg:wgp>
                      <wps:wsp>
                        <wps:cNvPr id="1474545851" name="TextBox 4"/>
                        <wps:cNvSpPr txBox="1">
                          <a:spLocks noChangeArrowheads="1"/>
                        </wps:cNvSpPr>
                        <wps:spPr bwMode="auto">
                          <a:xfrm>
                            <a:off x="2959100" y="3689985"/>
                            <a:ext cx="467995" cy="349250"/>
                          </a:xfrm>
                          <a:prstGeom prst="rect">
                            <a:avLst/>
                          </a:prstGeom>
                          <a:solidFill>
                            <a:schemeClr val="tx1">
                              <a:lumMod val="100000"/>
                              <a:lumOff val="0"/>
                            </a:schemeClr>
                          </a:solidFill>
                          <a:ln w="19050">
                            <a:pattFill prst="pct5">
                              <a:fgClr>
                                <a:srgbClr val="000000"/>
                              </a:fgClr>
                              <a:bgClr>
                                <a:schemeClr val="tx1">
                                  <a:lumMod val="100000"/>
                                  <a:lumOff val="0"/>
                                </a:schemeClr>
                              </a:bgClr>
                            </a:pattFill>
                            <a:miter lim="800000"/>
                            <a:headEnd/>
                            <a:tailEnd/>
                          </a:ln>
                          <a:effectLst>
                            <a:outerShdw dist="28398" dir="3806097" algn="ctr" rotWithShape="0">
                              <a:schemeClr val="lt1">
                                <a:lumMod val="50000"/>
                                <a:lumOff val="0"/>
                                <a:alpha val="50000"/>
                              </a:schemeClr>
                            </a:outerShdw>
                          </a:effectLst>
                        </wps:spPr>
                        <wps:txbx>
                          <w:txbxContent>
                            <w:p w14:paraId="5FA97205" w14:textId="40CDE6F4" w:rsidR="00422B51" w:rsidRPr="00422B51" w:rsidRDefault="00422B51" w:rsidP="00422B51">
                              <w:pPr>
                                <w:kinsoku w:val="0"/>
                                <w:overflowPunct w:val="0"/>
                                <w:textAlignment w:val="baseline"/>
                                <w:rPr>
                                  <w:rFonts w:ascii="Arial Rounded MT Bold" w:hAnsi="Arial Rounded MT Bold" w:cstheme="minorBidi"/>
                                  <w:color w:val="FF0000"/>
                                  <w:kern w:val="24"/>
                                  <w:sz w:val="28"/>
                                  <w:szCs w:val="28"/>
                                </w:rPr>
                              </w:pPr>
                              <w:r w:rsidRPr="00422B51">
                                <w:rPr>
                                  <w:rFonts w:ascii="Arial Rounded MT Bold" w:hAnsi="Arial Rounded MT Bold" w:cstheme="minorBidi"/>
                                  <w:color w:val="FF0000"/>
                                  <w:kern w:val="24"/>
                                  <w:sz w:val="28"/>
                                  <w:szCs w:val="28"/>
                                </w:rPr>
                                <w:t>2</w:t>
                              </w:r>
                              <w:r w:rsidRPr="00422B51">
                                <w:rPr>
                                  <w:rFonts w:ascii="Arial Rounded MT Bold" w:hAnsi="Arial Rounded MT Bold" w:cstheme="minorBidi"/>
                                  <w:color w:val="FF0000"/>
                                  <w:kern w:val="24"/>
                                  <w:sz w:val="28"/>
                                  <w:szCs w:val="28"/>
                                  <w:u w:val="single"/>
                                </w:rPr>
                                <w:t>%</w:t>
                              </w:r>
                            </w:p>
                          </w:txbxContent>
                        </wps:txbx>
                        <wps:bodyPr rot="0" vert="horz" wrap="square" lIns="91440" tIns="45720" rIns="91440" bIns="45720" anchor="t" anchorCtr="0" upright="1">
                          <a:noAutofit/>
                        </wps:bodyPr>
                      </wps:wsp>
                    </wpc:wpc>
                  </a:graphicData>
                </a:graphic>
              </wp:inline>
            </w:drawing>
          </mc:Choice>
          <mc:Fallback>
            <w:pict>
              <v:group w14:anchorId="44C95EF8" id="Canvas 139" o:spid="_x0000_s1038" editas="canvas" style="width:415.6pt;height:376.15pt;mso-position-horizontal-relative:char;mso-position-vertical-relative:line" coordsize="52781,47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">
                <v:shape id="_x0000_s1039" type="#_x0000_t75" style="position:absolute;width:52781;height:47771;visibility:visible;mso-wrap-style:square">
                  <v:fill o:detectmouseclick="t"/>
                  <v:path o:connecttype="none"/>
                </v:shape>
                <v:line id="Line 74" o:spid="_x0000_s1040" style="position:absolute;flip:x;visibility:visible;mso-wrap-style:square" from="31686,40309" to="39262,4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" strokecolor="navy" strokeweight="1.5pt">
                  <v:stroke startarrow="block"/>
                </v:line>
                <v:line id="Line 75" o:spid="_x0000_s1041" style="position:absolute;visibility:visible;mso-wrap-style:square" from="23215,34201" to="23215,4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" strokecolor="teal" strokeweight="1.5pt"/>
                <v:line id="Line 76" o:spid="_x0000_s1042" style="position:absolute;visibility:visible;mso-wrap-style:square" from="20662,10191" to="20662,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" strokeweight="1.5pt">
                  <v:stroke startarrowwidth="narrow" startarrowlength="short" endarrow="block" endarrowwidth="narrow" endarrowlength="short"/>
                  <v:shadow color="#a0a0a0"/>
                </v:line>
                <v:line id="Line 90" o:spid="_x0000_s1043" style="position:absolute;visibility:visible;mso-wrap-style:square" from="47097,12090" to="47097,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" strokeweight="1.5pt">
                  <v:stroke startarrow="block"/>
                </v:line>
                <v:group id="Group 92" o:spid="_x0000_s1044" style="position:absolute;left:16598;top:5607;width:30499;height:7010" coordorigin="2064,527" coordsize="271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">
                  <v:line id="Line 93" o:spid="_x0000_s1045" style="position:absolute;visibility:visible;mso-wrap-style:square" from="4778,674" to="4778,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" strokecolor="lime" strokeweight="1.5pt">
                    <v:stroke startarrow="block"/>
                  </v:line>
                  <v:line id="Line 94" o:spid="_x0000_s1046" style="position:absolute;visibility:visible;mso-wrap-style:square" from="2594,925" to="2594,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" strokecolor="red" strokeweight="1.5pt">
                    <v:stroke endarrow="block"/>
                  </v:line>
                  <v:line id="Line 95" o:spid="_x0000_s1047" style="position:absolute;visibility:visible;mso-wrap-style:square" from="3393,899" to="4336,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" strokecolor="red" strokeweight="1.5pt">
                    <v:stroke startarrow="block"/>
                  </v:line>
                  <v:line id="Line 96" o:spid="_x0000_s1048" style="position:absolute;visibility:visible;mso-wrap-style:square" from="3405,646" to="3730,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" strokecolor="lime" strokeweight="1.5pt">
                    <v:stroke startarrow="block"/>
                  </v:line>
                  <v:line id="Line 97" o:spid="_x0000_s1049" style="position:absolute;visibility:visible;mso-wrap-style:square" from="2064,527" to="2064,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" strokecolor="#006" strokeweight="1.5pt">
                    <v:stroke startarrowwidth="narrow" startarrowlength="short" endarrow="block" endarrowwidth="narrow" endarrowlength="short"/>
                    <v:shadow color="#a0a0a0"/>
                  </v:line>
                </v:group>
                <v:line id="Line 99" o:spid="_x0000_s1050" style="position:absolute;visibility:visible;mso-wrap-style:square" from="26263,16313" to="26269,43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" strokecolor="teal" strokeweight="1.5pt">
                  <v:stroke endarrow="block"/>
                </v:line>
                <v:line id="Line 100" o:spid="_x0000_s1051" style="position:absolute;visibility:visible;mso-wrap-style:square" from="31667,16122" to="42265,1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" strokecolor="fuchsia" strokeweight="1.5pt">
                  <v:stroke endarrow="block"/>
                </v:line>
                <v:line id="Line 101" o:spid="_x0000_s1052" style="position:absolute;visibility:visible;mso-wrap-style:square" from="31680,26866" to="45916,2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" strokecolor="fuchsia" strokeweight="1.5pt"/>
                <v:line id="Line 102" o:spid="_x0000_s1053" style="position:absolute;visibility:visible;mso-wrap-style:square" from="31667,20821" to="45916,20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" strokecolor="fuchsia" strokeweight="1.5pt"/>
                <v:line id="Line 103" o:spid="_x0000_s1054" style="position:absolute;visibility:visible;mso-wrap-style:square" from="45878,18808" to="45878,3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" strokecolor="fuchsia" strokeweight="1.5pt">
                  <v:stroke startarrow="block"/>
                </v:line>
                <v:line id="Line 104" o:spid="_x0000_s1055" style="position:absolute;visibility:visible;mso-wrap-style:square" from="31680,32251" to="45916,32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" strokecolor="fuchsia" strokeweight="1.5pt"/>
                <v:line id="Line 105" o:spid="_x0000_s1056" style="position:absolute;visibility:visible;mso-wrap-style:square" from="25260,22174" to="25266,4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" strokecolor="teal" strokeweight="1.5pt">
                  <v:stroke endarrow="block"/>
                </v:line>
                <v:line id="Line 106" o:spid="_x0000_s1057" style="position:absolute;visibility:visible;mso-wrap-style:square" from="24231,28498" to="24237,4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" strokecolor="teal" strokeweight="1.5pt">
                  <v:stroke endarrow="block"/>
                </v:line>
                <v:group id="Group 150" o:spid="_x0000_s1058" style="position:absolute;width:52781;height:46488" coordorigin="1827,7928" coordsize="8312,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">
                  <v:rect id="Rectangle 108" o:spid="_x0000_s1059" style="position:absolute;left:2772;top:10429;width:883;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" fillcolor="red" strokeweight=".5pt">
                    <v:shadow color="#a0a0a0"/>
                    <v:textbox inset=".93928mm,1.42pt,.93928mm,1.42pt">
                      <w:txbxContent>
                        <w:p w14:paraId="038A052F" w14:textId="77777777" w:rsidR="00BB5CD0" w:rsidRPr="00E55AB0" w:rsidRDefault="00BB5CD0" w:rsidP="00BB5CD0">
                          <w:pPr>
                            <w:autoSpaceDE w:val="0"/>
                            <w:autoSpaceDN w:val="0"/>
                            <w:adjustRightInd w:val="0"/>
                            <w:jc w:val="center"/>
                            <w:rPr>
                              <w:rFonts w:ascii="Arial Rounded MT Bold" w:hAnsi="Arial Rounded MT Bold" w:cs="Arial Rounded MT Bold"/>
                              <w:b/>
                              <w:bCs/>
                              <w:color w:val="FFFFFF"/>
                              <w:sz w:val="14"/>
                            </w:rPr>
                          </w:pPr>
                          <w:r w:rsidRPr="00E55AB0">
                            <w:rPr>
                              <w:rFonts w:ascii="Arial Rounded MT Bold" w:hAnsi="Arial Rounded MT Bold" w:cs="Arial Rounded MT Bold"/>
                              <w:b/>
                              <w:bCs/>
                              <w:color w:val="FFFFFF"/>
                              <w:sz w:val="14"/>
                            </w:rPr>
                            <w:t>IAO</w:t>
                          </w:r>
                        </w:p>
                        <w:p w14:paraId="60F581B0" w14:textId="77777777" w:rsidR="00BB5CD0" w:rsidRPr="00E55AB0" w:rsidRDefault="00BB5CD0" w:rsidP="00BB5CD0">
                          <w:pPr>
                            <w:autoSpaceDE w:val="0"/>
                            <w:autoSpaceDN w:val="0"/>
                            <w:adjustRightInd w:val="0"/>
                            <w:jc w:val="center"/>
                            <w:rPr>
                              <w:rFonts w:ascii="Arial Rounded MT Bold" w:hAnsi="Arial Rounded MT Bold" w:cs="Arial Rounded MT Bold"/>
                              <w:b/>
                              <w:bCs/>
                              <w:color w:val="FFFFFF"/>
                              <w:sz w:val="14"/>
                            </w:rPr>
                          </w:pPr>
                          <w:r w:rsidRPr="00E55AB0">
                            <w:rPr>
                              <w:rFonts w:ascii="Arial Rounded MT Bold" w:hAnsi="Arial Rounded MT Bold" w:cs="Arial Rounded MT Bold"/>
                              <w:b/>
                              <w:bCs/>
                              <w:color w:val="FFFFFF"/>
                              <w:sz w:val="14"/>
                            </w:rPr>
                            <w:t>CONTEST</w:t>
                          </w:r>
                        </w:p>
                        <w:p w14:paraId="457D1DD2" w14:textId="77777777" w:rsidR="00BB5CD0" w:rsidRPr="00153EF7" w:rsidRDefault="00BB5CD0" w:rsidP="00BB5CD0">
                          <w:pPr>
                            <w:autoSpaceDE w:val="0"/>
                            <w:autoSpaceDN w:val="0"/>
                            <w:adjustRightInd w:val="0"/>
                            <w:jc w:val="center"/>
                            <w:rPr>
                              <w:rFonts w:ascii="Arial Rounded MT Bold" w:hAnsi="Arial Rounded MT Bold" w:cs="Arial Rounded MT Bold"/>
                              <w:color w:val="000000"/>
                              <w:sz w:val="17"/>
                              <w:u w:val="single"/>
                            </w:rPr>
                          </w:pPr>
                          <w:r w:rsidRPr="00E55AB0">
                            <w:rPr>
                              <w:rFonts w:ascii="Arial Rounded MT Bold" w:hAnsi="Arial Rounded MT Bold" w:cs="Arial Rounded MT Bold"/>
                              <w:b/>
                              <w:bCs/>
                              <w:color w:val="FFFFFF"/>
                              <w:sz w:val="14"/>
                            </w:rPr>
                            <w:t>EVIDENCE</w:t>
                          </w:r>
                        </w:p>
                      </w:txbxContent>
                    </v:textbox>
                  </v:rect>
                  <v:line id="Line 109" o:spid="_x0000_s1060" style="position:absolute;visibility:visible;mso-wrap-style:square" from="2662,9701" to="2663,1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" strokeweight="1.5pt">
                    <v:stroke startarrow="block"/>
                  </v:line>
                  <v:line id="Line 110" o:spid="_x0000_s1061" style="position:absolute;visibility:visible;mso-wrap-style:square" from="7971,9832" to="7971,1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" strokecolor="navy" strokeweight="1.5pt">
                    <v:stroke startarrow="block"/>
                  </v:line>
                  <v:shape id="Text Box 111" o:spid="_x0000_s1062" type="#_x0000_t202" style="position:absolute;left:3699;top:14698;width:311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" fillcolor="silver">
                    <v:fill opacity="32896f"/>
                    <v:textbox inset="1.80339mm,.355mm,1.80339mm,.71mm">
                      <w:txbxContent>
                        <w:p w14:paraId="1E303BD8" w14:textId="431BE6EA" w:rsidR="00BB5CD0" w:rsidRPr="00BB5CD0" w:rsidRDefault="00BB5CD0" w:rsidP="00B647F6">
                          <w:pPr>
                            <w:autoSpaceDE w:val="0"/>
                            <w:autoSpaceDN w:val="0"/>
                            <w:adjustRightInd w:val="0"/>
                            <w:spacing w:before="40"/>
                            <w:jc w:val="center"/>
                            <w:rPr>
                              <w:b/>
                              <w:bCs/>
                              <w:color w:val="000000"/>
                              <w:sz w:val="18"/>
                              <w:szCs w:val="22"/>
                            </w:rPr>
                          </w:pPr>
                          <w:r w:rsidRPr="00BB5CD0">
                            <w:rPr>
                              <w:b/>
                              <w:bCs/>
                              <w:color w:val="000000"/>
                              <w:sz w:val="18"/>
                              <w:szCs w:val="22"/>
                            </w:rPr>
                            <w:t xml:space="preserve">APPLICATION PROVED </w:t>
                          </w:r>
                          <w:r w:rsidR="00527793">
                            <w:rPr>
                              <w:b/>
                              <w:bCs/>
                              <w:color w:val="000000"/>
                              <w:sz w:val="18"/>
                              <w:szCs w:val="22"/>
                            </w:rPr>
                            <w:t>–</w:t>
                          </w:r>
                          <w:r w:rsidRPr="00BB5CD0">
                            <w:rPr>
                              <w:b/>
                              <w:bCs/>
                              <w:color w:val="000000"/>
                              <w:sz w:val="18"/>
                              <w:szCs w:val="22"/>
                            </w:rPr>
                            <w:t xml:space="preserve"> </w:t>
                          </w:r>
                        </w:p>
                        <w:p w14:paraId="3B74989F" w14:textId="77777777" w:rsidR="00BB5CD0" w:rsidRPr="00BB5CD0" w:rsidRDefault="00BB5CD0" w:rsidP="00BB5CD0">
                          <w:pPr>
                            <w:autoSpaceDE w:val="0"/>
                            <w:autoSpaceDN w:val="0"/>
                            <w:adjustRightInd w:val="0"/>
                            <w:jc w:val="center"/>
                            <w:rPr>
                              <w:rFonts w:ascii="Arial Rounded MT Bold" w:hAnsi="Arial Rounded MT Bold" w:cs="Arial Rounded MT Bold"/>
                              <w:color w:val="000000"/>
                              <w:sz w:val="32"/>
                              <w:szCs w:val="44"/>
                              <w:u w:val="single"/>
                            </w:rPr>
                          </w:pPr>
                          <w:r w:rsidRPr="00BB5CD0">
                            <w:rPr>
                              <w:b/>
                              <w:bCs/>
                              <w:color w:val="000000"/>
                              <w:sz w:val="18"/>
                              <w:szCs w:val="22"/>
                            </w:rPr>
                            <w:t>PROTECTION ORDER</w:t>
                          </w:r>
                        </w:p>
                      </w:txbxContent>
                    </v:textbox>
                  </v:shape>
                  <v:line id="Line 112" o:spid="_x0000_s1063" style="position:absolute;visibility:visible;mso-wrap-style:square" from="2641,10255" to="3722,10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" strokeweight="1.5pt"/>
                  <v:rect id="Rectangle 113" o:spid="_x0000_s1064" style="position:absolute;left:1846;top:7928;width:8293;height: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" fillcolor="black" strokeweight="4pt">
                    <v:shadow color="#a0a0a0"/>
                    <v:textbox inset="1.81592mm,.90797mm,1.81592mm,.90797mm">
                      <w:txbxContent>
                        <w:p w14:paraId="14F92A56" w14:textId="77777777" w:rsidR="00BB5CD0" w:rsidRPr="00153EF7" w:rsidRDefault="00BB5CD0" w:rsidP="00BB5CD0">
                          <w:pPr>
                            <w:autoSpaceDE w:val="0"/>
                            <w:autoSpaceDN w:val="0"/>
                            <w:adjustRightInd w:val="0"/>
                            <w:jc w:val="center"/>
                            <w:rPr>
                              <w:rFonts w:ascii="Arial Rounded MT Bold" w:hAnsi="Arial Rounded MT Bold" w:cs="Arial Rounded MT Bold"/>
                              <w:color w:val="000000"/>
                              <w:sz w:val="43"/>
                              <w:szCs w:val="60"/>
                              <w:u w:val="single"/>
                            </w:rPr>
                          </w:pPr>
                          <w:r w:rsidRPr="00153EF7">
                            <w:rPr>
                              <w:rFonts w:ascii="Arial Rounded MT Bold" w:hAnsi="Arial Rounded MT Bold" w:cs="Arial Rounded MT Bold"/>
                              <w:color w:val="FFFFFF"/>
                              <w:sz w:val="27"/>
                              <w:szCs w:val="38"/>
                            </w:rPr>
                            <w:t>THE FAMILY DIVISION - PROTECTION &amp; IRD HEARINGS</w:t>
                          </w:r>
                        </w:p>
                      </w:txbxContent>
                    </v:textbox>
                  </v:rect>
                  <v:shape id="Text Box 114" o:spid="_x0000_s1065" type="#_x0000_t202" style="position:absolute;left:7345;top:8563;width:2782;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" fillcolor="lime">
                    <v:textbox inset="1.80339mm,.355mm,1.80339mm,.71mm">
                      <w:txbxContent>
                        <w:p w14:paraId="001CE1E1" w14:textId="77777777" w:rsidR="00BB5CD0" w:rsidRPr="00153EF7" w:rsidRDefault="00BB5CD0" w:rsidP="00BB5CD0">
                          <w:pPr>
                            <w:autoSpaceDE w:val="0"/>
                            <w:autoSpaceDN w:val="0"/>
                            <w:adjustRightInd w:val="0"/>
                            <w:spacing w:before="40"/>
                            <w:jc w:val="center"/>
                            <w:rPr>
                              <w:rFonts w:ascii="Arial Rounded MT Bold" w:hAnsi="Arial Rounded MT Bold" w:cs="Arial Rounded MT Bold"/>
                              <w:color w:val="000000"/>
                              <w:sz w:val="31"/>
                              <w:szCs w:val="44"/>
                              <w:u w:val="single"/>
                            </w:rPr>
                          </w:pPr>
                          <w:r w:rsidRPr="00153EF7">
                            <w:rPr>
                              <w:rFonts w:ascii="Arial Narrow" w:hAnsi="Arial Narrow" w:cs="Arial Narrow"/>
                              <w:b/>
                              <w:bCs/>
                              <w:color w:val="000000"/>
                              <w:szCs w:val="34"/>
                            </w:rPr>
                            <w:t>BAIL JUSTICE</w:t>
                          </w:r>
                        </w:p>
                      </w:txbxContent>
                    </v:textbox>
                  </v:shape>
                  <v:shape id="Text Box 115" o:spid="_x0000_s1066" type="#_x0000_t202" style="position:absolute;left:7568;top:9430;width:247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" fillcolor="red">
                    <v:textbox inset="1.80339mm,.355mm,1.80339mm,.71mm">
                      <w:txbxContent>
                        <w:p w14:paraId="24C06D20" w14:textId="77777777" w:rsidR="00BB5CD0" w:rsidRPr="00153EF7" w:rsidRDefault="00BB5CD0" w:rsidP="00BB5CD0">
                          <w:pPr>
                            <w:autoSpaceDE w:val="0"/>
                            <w:autoSpaceDN w:val="0"/>
                            <w:adjustRightInd w:val="0"/>
                            <w:spacing w:before="40"/>
                            <w:jc w:val="center"/>
                            <w:rPr>
                              <w:rFonts w:ascii="Arial Rounded MT Bold" w:hAnsi="Arial Rounded MT Bold" w:cs="Arial Rounded MT Bold"/>
                              <w:color w:val="000000"/>
                              <w:sz w:val="31"/>
                              <w:szCs w:val="44"/>
                              <w:u w:val="single"/>
                            </w:rPr>
                          </w:pPr>
                          <w:r w:rsidRPr="00153EF7">
                            <w:rPr>
                              <w:b/>
                              <w:bCs/>
                              <w:color w:val="FFFFFF"/>
                              <w:sz w:val="23"/>
                              <w:szCs w:val="32"/>
                            </w:rPr>
                            <w:sym w:font="Wingdings" w:char="F04C"/>
                          </w:r>
                          <w:r w:rsidRPr="00153EF7">
                            <w:rPr>
                              <w:b/>
                              <w:bCs/>
                              <w:color w:val="FFFFFF"/>
                              <w:sz w:val="17"/>
                            </w:rPr>
                            <w:t xml:space="preserve">  </w:t>
                          </w:r>
                          <w:r w:rsidR="002229EE">
                            <w:rPr>
                              <w:rFonts w:ascii="Arial Narrow" w:hAnsi="Arial Narrow" w:cs="Arial Narrow"/>
                              <w:b/>
                              <w:bCs/>
                              <w:color w:val="FFFFFF"/>
                              <w:sz w:val="21"/>
                              <w:szCs w:val="30"/>
                            </w:rPr>
                            <w:t>EMERGENCY CARE</w:t>
                          </w:r>
                        </w:p>
                      </w:txbxContent>
                    </v:textbox>
                  </v:shape>
                  <v:shape id="Text Box 116" o:spid="_x0000_s1067" type="#_x0000_t202" style="position:absolute;left:1846;top:8986;width:1545;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" fillcolor="silver">
                    <v:fill opacity="32896f"/>
                    <v:textbox inset="1.80339mm,.355mm,1.80339mm,.71mm">
                      <w:txbxContent>
                        <w:p w14:paraId="48F3E22F" w14:textId="77777777" w:rsidR="00BB5CD0" w:rsidRPr="00153EF7" w:rsidRDefault="00BB5CD0" w:rsidP="00527793">
                          <w:pPr>
                            <w:autoSpaceDE w:val="0"/>
                            <w:autoSpaceDN w:val="0"/>
                            <w:adjustRightInd w:val="0"/>
                            <w:spacing w:before="40"/>
                            <w:jc w:val="center"/>
                            <w:rPr>
                              <w:b/>
                              <w:bCs/>
                              <w:color w:val="000000"/>
                              <w:sz w:val="17"/>
                            </w:rPr>
                          </w:pPr>
                          <w:r w:rsidRPr="00153EF7">
                            <w:rPr>
                              <w:b/>
                              <w:bCs/>
                              <w:color w:val="000000"/>
                              <w:sz w:val="17"/>
                            </w:rPr>
                            <w:t>STRUCK OUT</w:t>
                          </w:r>
                        </w:p>
                        <w:p w14:paraId="4F39085B" w14:textId="77777777" w:rsidR="00BB5CD0" w:rsidRPr="00153EF7" w:rsidRDefault="00BB5CD0" w:rsidP="00BB5CD0">
                          <w:pPr>
                            <w:autoSpaceDE w:val="0"/>
                            <w:autoSpaceDN w:val="0"/>
                            <w:adjustRightInd w:val="0"/>
                            <w:jc w:val="center"/>
                            <w:rPr>
                              <w:b/>
                              <w:bCs/>
                              <w:color w:val="000000"/>
                              <w:sz w:val="16"/>
                              <w:szCs w:val="22"/>
                            </w:rPr>
                          </w:pPr>
                          <w:r w:rsidRPr="00153EF7">
                            <w:rPr>
                              <w:b/>
                              <w:bCs/>
                              <w:color w:val="000000"/>
                              <w:sz w:val="17"/>
                            </w:rPr>
                            <w:t>or DISMISSED</w:t>
                          </w:r>
                        </w:p>
                        <w:p w14:paraId="5A025862" w14:textId="77777777" w:rsidR="00BB5CD0" w:rsidRPr="00153EF7" w:rsidRDefault="00BB5CD0" w:rsidP="00BB5CD0">
                          <w:pPr>
                            <w:autoSpaceDE w:val="0"/>
                            <w:autoSpaceDN w:val="0"/>
                            <w:adjustRightInd w:val="0"/>
                            <w:jc w:val="center"/>
                            <w:rPr>
                              <w:rFonts w:ascii="Arial Rounded MT Bold" w:hAnsi="Arial Rounded MT Bold" w:cs="Arial Rounded MT Bold"/>
                              <w:color w:val="000000"/>
                              <w:sz w:val="31"/>
                              <w:szCs w:val="44"/>
                              <w:u w:val="single"/>
                            </w:rPr>
                          </w:pPr>
                          <w:r w:rsidRPr="00153EF7">
                            <w:rPr>
                              <w:b/>
                              <w:bCs/>
                              <w:color w:val="000000"/>
                              <w:sz w:val="17"/>
                            </w:rPr>
                            <w:t>or NO ORDER</w:t>
                          </w:r>
                        </w:p>
                      </w:txbxContent>
                    </v:textbox>
                  </v:shape>
                  <v:shape id="Text Box 117" o:spid="_x0000_s1068" type="#_x0000_t202" style="position:absolute;left:8470;top:10105;width:1568;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" fillcolor="fuchsia">
                    <v:textbox inset="1.80339mm,.355mm,1.80339mm,.71mm">
                      <w:txbxContent>
                        <w:p w14:paraId="1BDE7FB9" w14:textId="77777777" w:rsidR="00BB5CD0" w:rsidRPr="00153EF7" w:rsidRDefault="002229EE" w:rsidP="00BB5CD0">
                          <w:pPr>
                            <w:autoSpaceDE w:val="0"/>
                            <w:autoSpaceDN w:val="0"/>
                            <w:adjustRightInd w:val="0"/>
                            <w:spacing w:before="120"/>
                            <w:jc w:val="center"/>
                            <w:rPr>
                              <w:rFonts w:ascii="Arial Narrow" w:hAnsi="Arial Narrow" w:cs="Arial Narrow"/>
                              <w:b/>
                              <w:bCs/>
                              <w:color w:val="FFFFFF"/>
                              <w:sz w:val="20"/>
                              <w:szCs w:val="28"/>
                            </w:rPr>
                          </w:pPr>
                          <w:r>
                            <w:rPr>
                              <w:rFonts w:ascii="Arial Narrow" w:hAnsi="Arial Narrow" w:cs="Arial Narrow"/>
                              <w:b/>
                              <w:bCs/>
                              <w:color w:val="FFFFFF"/>
                              <w:sz w:val="20"/>
                              <w:szCs w:val="28"/>
                            </w:rPr>
                            <w:t>EMERG. CARE</w:t>
                          </w:r>
                        </w:p>
                        <w:p w14:paraId="41D6923B" w14:textId="77777777" w:rsidR="00BB5CD0" w:rsidRPr="00153EF7" w:rsidRDefault="00BB5CD0" w:rsidP="00BB5CD0">
                          <w:pPr>
                            <w:autoSpaceDE w:val="0"/>
                            <w:autoSpaceDN w:val="0"/>
                            <w:adjustRightInd w:val="0"/>
                            <w:spacing w:before="40"/>
                            <w:jc w:val="center"/>
                            <w:rPr>
                              <w:rFonts w:ascii="Arial Rounded MT Bold" w:hAnsi="Arial Rounded MT Bold" w:cs="Arial Rounded MT Bold"/>
                              <w:color w:val="000000"/>
                              <w:sz w:val="20"/>
                              <w:szCs w:val="28"/>
                              <w:u w:val="single"/>
                            </w:rPr>
                          </w:pPr>
                          <w:r w:rsidRPr="00153EF7">
                            <w:rPr>
                              <w:rFonts w:ascii="Arial Narrow" w:hAnsi="Arial Narrow" w:cs="Arial Narrow"/>
                              <w:b/>
                              <w:bCs/>
                              <w:color w:val="FFFFFF"/>
                              <w:sz w:val="20"/>
                              <w:szCs w:val="28"/>
                            </w:rPr>
                            <w:t>WARRANT</w:t>
                          </w:r>
                        </w:p>
                      </w:txbxContent>
                    </v:textbox>
                  </v:shape>
                  <v:line id="Line 118" o:spid="_x0000_s1069" style="position:absolute;visibility:visible;mso-wrap-style:square" from="2641,12159" to="3722,1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" strokeweight="1.5pt">
                    <v:stroke startarrow="block" endarrow="block"/>
                  </v:line>
                  <v:line id="Line 119" o:spid="_x0000_s1070" style="position:absolute;visibility:visible;mso-wrap-style:square" from="2641,11207" to="3722,1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" strokeweight="1.5pt">
                    <v:stroke startarrow="block" endarrow="block"/>
                  </v:line>
                  <v:shape id="Text Box 120" o:spid="_x0000_s1071" type="#_x0000_t202" style="position:absolute;left:7237;top:13430;width:278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" fillcolor="navy">
                    <v:textbox inset="1.80339mm,.355mm,1.80339mm,.71mm">
                      <w:txbxContent>
                        <w:p w14:paraId="334AA08F" w14:textId="77777777" w:rsidR="00BB5CD0" w:rsidRPr="00BB5CD0" w:rsidRDefault="00BB5CD0" w:rsidP="0027441A">
                          <w:pPr>
                            <w:autoSpaceDE w:val="0"/>
                            <w:autoSpaceDN w:val="0"/>
                            <w:adjustRightInd w:val="0"/>
                            <w:spacing w:before="40"/>
                            <w:jc w:val="center"/>
                            <w:rPr>
                              <w:rFonts w:ascii="Arial Rounded MT Bold" w:hAnsi="Arial Rounded MT Bold" w:cs="Arial Rounded MT Bold"/>
                              <w:color w:val="000000"/>
                              <w:sz w:val="40"/>
                              <w:szCs w:val="44"/>
                              <w:u w:val="single"/>
                            </w:rPr>
                          </w:pPr>
                          <w:r w:rsidRPr="00BB5CD0">
                            <w:rPr>
                              <w:rFonts w:ascii="Arial Narrow" w:hAnsi="Arial Narrow" w:cs="Arial Narrow"/>
                              <w:b/>
                              <w:bCs/>
                              <w:color w:val="FFFFFF"/>
                              <w:sz w:val="22"/>
                            </w:rPr>
                            <w:t>BREACH, VARIATION, REVOCATION, EXTENSION OF ORDER</w:t>
                          </w:r>
                        </w:p>
                      </w:txbxContent>
                    </v:textbox>
                  </v:shape>
                  <v:line id="Line 121" o:spid="_x0000_s1072" style="position:absolute;visibility:visible;mso-wrap-style:square" from="9574,10844" to="9574,1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" strokecolor="navy" strokeweight="1.5pt">
                    <v:stroke startarrow="block"/>
                  </v:line>
                  <v:shape id="Text Box 122" o:spid="_x0000_s1073" type="#_x0000_t202" style="position:absolute;left:1827;top:8367;width:3863;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" fillcolor="black">
                    <v:textbox inset="1.80339mm,.90169mm,1.80339mm,.90169mm">
                      <w:txbxContent>
                        <w:p w14:paraId="4B0BA01D" w14:textId="77777777" w:rsidR="00BB5CD0" w:rsidRPr="00153EF7" w:rsidRDefault="00BB5CD0" w:rsidP="00BB5CD0">
                          <w:pPr>
                            <w:autoSpaceDE w:val="0"/>
                            <w:autoSpaceDN w:val="0"/>
                            <w:adjustRightInd w:val="0"/>
                            <w:rPr>
                              <w:rFonts w:ascii="Arial Rounded MT Bold" w:hAnsi="Arial Rounded MT Bold" w:cs="Arial Rounded MT Bold"/>
                              <w:color w:val="000000"/>
                              <w:sz w:val="31"/>
                              <w:szCs w:val="44"/>
                              <w:u w:val="single"/>
                            </w:rPr>
                          </w:pPr>
                          <w:r w:rsidRPr="00153EF7">
                            <w:rPr>
                              <w:rFonts w:ascii="Arial" w:hAnsi="Arial" w:cs="Arial"/>
                              <w:b/>
                              <w:bCs/>
                              <w:color w:val="FFFFFF"/>
                              <w:sz w:val="17"/>
                            </w:rPr>
                            <w:t xml:space="preserve">STARTS AT EITHER POINT MARKED </w:t>
                          </w:r>
                          <w:r w:rsidRPr="00153EF7">
                            <w:rPr>
                              <w:rFonts w:ascii="Arial" w:hAnsi="Arial"/>
                              <w:b/>
                              <w:bCs/>
                              <w:color w:val="FFFFFF"/>
                              <w:sz w:val="17"/>
                            </w:rPr>
                            <w:sym w:font="Wingdings" w:char="F04C"/>
                          </w:r>
                        </w:p>
                      </w:txbxContent>
                    </v:textbox>
                  </v:shape>
                  <v:line id="Line 125" o:spid="_x0000_s1074" style="position:absolute;visibility:visible;mso-wrap-style:square" from="5484,14467" to="5485,1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" strokecolor="teal" strokeweight="1.5pt">
                    <v:stroke endarrow="block"/>
                  </v:line>
                  <v:line id="Line 126" o:spid="_x0000_s1075" style="position:absolute;visibility:visible;mso-wrap-style:square" from="2643,13111" to="3724,1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" strokeweight="1.5pt">
                    <v:stroke startarrow="block" endarrow="block"/>
                  </v:line>
                  <v:line id="Line 127" o:spid="_x0000_s1076" style="position:absolute;visibility:visible;mso-wrap-style:square" from="2643,14063" to="3724,1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" strokeweight="1.5pt">
                    <v:stroke startarrow="block" endarrow="block"/>
                  </v:line>
                  <v:line id="Line 128" o:spid="_x0000_s1077" style="position:absolute;visibility:visible;mso-wrap-style:square" from="3262,10255" to="3262,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" strokeweight="1.5pt"/>
                  <v:line id="Line 129" o:spid="_x0000_s1078" style="position:absolute;visibility:visible;mso-wrap-style:square" from="3262,11051" to="3262,1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" strokeweight="1.5pt"/>
                  <v:shape id="Text Box 131" o:spid="_x0000_s1079" type="#_x0000_t202" style="position:absolute;left:3699;top:11842;width:311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" fillcolor="#396">
                    <v:textbox inset="1.80339mm,.355mm,1.80339mm,.71mm">
                      <w:txbxContent>
                        <w:p w14:paraId="6131C596" w14:textId="550993D0" w:rsidR="00BB5CD0" w:rsidRDefault="00BB5CD0" w:rsidP="00BB5CD0">
                          <w:pPr>
                            <w:autoSpaceDE w:val="0"/>
                            <w:autoSpaceDN w:val="0"/>
                            <w:adjustRightInd w:val="0"/>
                            <w:spacing w:before="60"/>
                            <w:jc w:val="center"/>
                            <w:rPr>
                              <w:rFonts w:ascii="Arial Narrow" w:hAnsi="Arial Narrow" w:cs="Arial Narrow"/>
                              <w:b/>
                              <w:bCs/>
                              <w:color w:val="FFFFFF"/>
                              <w:sz w:val="16"/>
                              <w:szCs w:val="10"/>
                            </w:rPr>
                          </w:pPr>
                          <w:r w:rsidRPr="00522630">
                            <w:rPr>
                              <w:rFonts w:ascii="Arial Narrow" w:hAnsi="Arial Narrow"/>
                              <w:color w:val="FFFFFF"/>
                              <w:sz w:val="16"/>
                              <w:szCs w:val="16"/>
                            </w:rPr>
                            <w:sym w:font="Wingdings" w:char="F08E"/>
                          </w:r>
                          <w:r w:rsidR="00522630" w:rsidRPr="00522630">
                            <w:rPr>
                              <w:rFonts w:ascii="Arial Narrow" w:hAnsi="Arial Narrow" w:cs="Arial Narrow"/>
                              <w:b/>
                              <w:bCs/>
                              <w:color w:val="FFFFFF"/>
                              <w:sz w:val="16"/>
                              <w:szCs w:val="10"/>
                            </w:rPr>
                            <w:t>JUDICIAL RESOLUTION CONFERENCE</w:t>
                          </w:r>
                        </w:p>
                        <w:p w14:paraId="3D14D7FF" w14:textId="02E17EC9" w:rsidR="00522630" w:rsidRPr="00522630" w:rsidRDefault="00522630" w:rsidP="00522630">
                          <w:pPr>
                            <w:autoSpaceDE w:val="0"/>
                            <w:autoSpaceDN w:val="0"/>
                            <w:adjustRightInd w:val="0"/>
                            <w:jc w:val="center"/>
                            <w:rPr>
                              <w:rFonts w:ascii="Arial Narrow" w:hAnsi="Arial Narrow" w:cs="Arial Narrow"/>
                              <w:b/>
                              <w:bCs/>
                              <w:color w:val="FFFFFF"/>
                              <w:sz w:val="16"/>
                              <w:szCs w:val="14"/>
                            </w:rPr>
                          </w:pPr>
                          <w:r>
                            <w:rPr>
                              <w:rFonts w:ascii="Arial Narrow" w:hAnsi="Arial Narrow" w:cs="Arial Narrow"/>
                              <w:b/>
                              <w:bCs/>
                              <w:color w:val="FFFFFF"/>
                              <w:sz w:val="16"/>
                              <w:szCs w:val="10"/>
                            </w:rPr>
                            <w:t>[if appropriate]</w:t>
                          </w:r>
                        </w:p>
                      </w:txbxContent>
                    </v:textbox>
                  </v:shape>
                  <v:shape id="Text Box 132" o:spid="_x0000_s1080" type="#_x0000_t202" style="position:absolute;left:3699;top:10890;width:311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" fillcolor="#396">
                    <v:textbox inset="1.80339mm,.355mm,1.80339mm,.71mm">
                      <w:txbxContent>
                        <w:p w14:paraId="40644E9C" w14:textId="77777777" w:rsidR="00BB5CD0" w:rsidRPr="00BB5CD0" w:rsidRDefault="00BB5CD0" w:rsidP="00BB5CD0">
                          <w:pPr>
                            <w:autoSpaceDE w:val="0"/>
                            <w:autoSpaceDN w:val="0"/>
                            <w:adjustRightInd w:val="0"/>
                            <w:spacing w:before="60"/>
                            <w:jc w:val="center"/>
                            <w:rPr>
                              <w:rFonts w:ascii="Arial Rounded MT Bold" w:hAnsi="Arial Rounded MT Bold" w:cs="Arial Rounded MT Bold"/>
                              <w:color w:val="000000"/>
                              <w:sz w:val="36"/>
                              <w:szCs w:val="44"/>
                              <w:u w:val="single"/>
                            </w:rPr>
                          </w:pPr>
                          <w:r w:rsidRPr="00BB5CD0">
                            <w:rPr>
                              <w:rFonts w:ascii="Arial Narrow" w:hAnsi="Arial Narrow"/>
                              <w:color w:val="FFFFFF"/>
                              <w:sz w:val="28"/>
                              <w:szCs w:val="28"/>
                            </w:rPr>
                            <w:sym w:font="Wingdings" w:char="F08D"/>
                          </w:r>
                          <w:r w:rsidRPr="00BB5CD0">
                            <w:rPr>
                              <w:rFonts w:ascii="Arial Narrow" w:hAnsi="Arial Narrow" w:cs="Arial Narrow"/>
                              <w:b/>
                              <w:bCs/>
                              <w:color w:val="FFFFFF"/>
                              <w:sz w:val="28"/>
                              <w:szCs w:val="32"/>
                            </w:rPr>
                            <w:t xml:space="preserve"> MENTION HEARING</w:t>
                          </w:r>
                        </w:p>
                      </w:txbxContent>
                    </v:textbox>
                  </v:shape>
                  <v:shape id="Text Box 133" o:spid="_x0000_s1081" type="#_x0000_t202" style="position:absolute;left:3705;top:12795;width:3112;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" fillcolor="#396">
                    <v:textbox inset="1.80339mm,.355mm,1.80339mm,.71mm">
                      <w:txbxContent>
                        <w:p w14:paraId="25C128D3" w14:textId="34111608" w:rsidR="00BB5CD0" w:rsidRPr="000C49FD" w:rsidRDefault="00BB5CD0" w:rsidP="00BB5CD0">
                          <w:pPr>
                            <w:autoSpaceDE w:val="0"/>
                            <w:autoSpaceDN w:val="0"/>
                            <w:adjustRightInd w:val="0"/>
                            <w:spacing w:before="60"/>
                            <w:ind w:left="720" w:hanging="720"/>
                            <w:jc w:val="center"/>
                            <w:rPr>
                              <w:rFonts w:ascii="Arial Narrow" w:hAnsi="Arial Narrow" w:cs="Arial Narrow"/>
                              <w:b/>
                              <w:bCs/>
                              <w:color w:val="FFFFFF"/>
                              <w:szCs w:val="28"/>
                            </w:rPr>
                          </w:pPr>
                          <w:r w:rsidRPr="00CB70D3">
                            <w:rPr>
                              <w:rFonts w:ascii="Arial Rounded MT Bold" w:hAnsi="Arial Rounded MT Bold" w:cs="Arial Rounded MT Bold"/>
                              <w:color w:val="FFFFFF"/>
                              <w:sz w:val="28"/>
                              <w:szCs w:val="28"/>
                            </w:rPr>
                            <w:sym w:font="Wingdings" w:char="F08F"/>
                          </w:r>
                          <w:r w:rsidRPr="00CB70D3">
                            <w:rPr>
                              <w:rFonts w:ascii="Arial Rounded MT Bold" w:hAnsi="Arial Rounded MT Bold" w:cs="Arial Rounded MT Bold"/>
                              <w:color w:val="FFFFFF"/>
                              <w:sz w:val="28"/>
                              <w:szCs w:val="28"/>
                            </w:rPr>
                            <w:t xml:space="preserve"> </w:t>
                          </w:r>
                          <w:r w:rsidR="00527793">
                            <w:rPr>
                              <w:rFonts w:ascii="Arial Narrow" w:hAnsi="Arial Narrow" w:cs="Arial Narrow"/>
                              <w:b/>
                              <w:bCs/>
                              <w:color w:val="FFFFFF"/>
                              <w:szCs w:val="28"/>
                            </w:rPr>
                            <w:t>READINESS</w:t>
                          </w:r>
                          <w:r w:rsidRPr="000C49FD">
                            <w:rPr>
                              <w:rFonts w:ascii="Arial Narrow" w:hAnsi="Arial Narrow" w:cs="Arial Narrow"/>
                              <w:b/>
                              <w:bCs/>
                              <w:color w:val="FFFFFF"/>
                              <w:szCs w:val="28"/>
                            </w:rPr>
                            <w:t xml:space="preserve"> HEARING</w:t>
                          </w:r>
                        </w:p>
                      </w:txbxContent>
                    </v:textbox>
                  </v:shape>
                  <v:shape id="Text Box 134" o:spid="_x0000_s1082" type="#_x0000_t202" style="position:absolute;left:3705;top:13747;width:3112;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" fillcolor="#396">
                    <v:textbox inset="1.80339mm,.355mm,1.80339mm,.71mm">
                      <w:txbxContent>
                        <w:p w14:paraId="2905ED71" w14:textId="77777777" w:rsidR="00BB5CD0" w:rsidRPr="00153EF7" w:rsidRDefault="00BB5CD0" w:rsidP="00E31A12">
                          <w:pPr>
                            <w:autoSpaceDE w:val="0"/>
                            <w:autoSpaceDN w:val="0"/>
                            <w:adjustRightInd w:val="0"/>
                            <w:spacing w:before="20"/>
                            <w:ind w:left="720" w:hanging="720"/>
                            <w:jc w:val="center"/>
                            <w:rPr>
                              <w:rFonts w:ascii="Arial Narrow" w:hAnsi="Arial Narrow" w:cs="Arial Narrow"/>
                              <w:b/>
                              <w:bCs/>
                              <w:color w:val="FFFFFF"/>
                              <w:sz w:val="20"/>
                              <w:szCs w:val="28"/>
                            </w:rPr>
                          </w:pPr>
                          <w:r w:rsidRPr="00E55AB0">
                            <w:rPr>
                              <w:rFonts w:ascii="Arial Rounded MT Bold" w:hAnsi="Arial Rounded MT Bold" w:cs="Arial Rounded MT Bold"/>
                              <w:color w:val="FFFFFF"/>
                              <w:sz w:val="22"/>
                              <w:szCs w:val="28"/>
                            </w:rPr>
                            <w:sym w:font="Wingdings" w:char="F090"/>
                          </w:r>
                          <w:r w:rsidRPr="00153EF7">
                            <w:rPr>
                              <w:rFonts w:ascii="Arial Rounded MT Bold" w:hAnsi="Arial Rounded MT Bold" w:cs="Arial Rounded MT Bold"/>
                              <w:color w:val="FFFFFF"/>
                              <w:sz w:val="20"/>
                              <w:szCs w:val="28"/>
                            </w:rPr>
                            <w:t xml:space="preserve"> </w:t>
                          </w:r>
                          <w:r w:rsidRPr="00153EF7">
                            <w:rPr>
                              <w:rFonts w:ascii="Arial Narrow" w:hAnsi="Arial Narrow" w:cs="Arial Narrow"/>
                              <w:b/>
                              <w:bCs/>
                              <w:color w:val="FFFFFF"/>
                              <w:sz w:val="20"/>
                              <w:szCs w:val="28"/>
                            </w:rPr>
                            <w:t>CONTESTED HEARING</w:t>
                          </w:r>
                        </w:p>
                        <w:p w14:paraId="6372D1DA" w14:textId="77777777" w:rsidR="00BB5CD0" w:rsidRPr="00B647F6" w:rsidRDefault="000C49FD" w:rsidP="00E55AB0">
                          <w:pPr>
                            <w:autoSpaceDE w:val="0"/>
                            <w:autoSpaceDN w:val="0"/>
                            <w:adjustRightInd w:val="0"/>
                            <w:ind w:left="720" w:hanging="720"/>
                            <w:jc w:val="center"/>
                            <w:rPr>
                              <w:rFonts w:ascii="Arial Narrow" w:hAnsi="Arial Narrow" w:cs="Arial Narrow"/>
                              <w:b/>
                              <w:bCs/>
                              <w:color w:val="FFFFFF"/>
                              <w:sz w:val="17"/>
                            </w:rPr>
                          </w:pPr>
                          <w:r>
                            <w:rPr>
                              <w:rFonts w:ascii="Arial Narrow" w:hAnsi="Arial Narrow" w:cs="Arial Narrow"/>
                              <w:b/>
                              <w:bCs/>
                              <w:color w:val="FFFFFF"/>
                              <w:sz w:val="17"/>
                            </w:rPr>
                            <w:t>Preceded by DIRECTIONS HEARING</w:t>
                          </w:r>
                        </w:p>
                      </w:txbxContent>
                    </v:textbox>
                  </v:shape>
                  <v:shape id="Text Box 135" o:spid="_x0000_s1083" type="#_x0000_t202" style="position:absolute;left:3696;top:8961;width:1467;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" fillcolor="black" strokecolor="white" strokeweight="1.5pt">
                    <v:stroke startarrowwidth="narrow" startarrowlength="short" endarrowwidth="narrow" endarrowlength="short"/>
                    <v:shadow color="#a0a0a0"/>
                    <v:textbox inset="1.80339mm,.90169mm,1.80339mm,.90169mm">
                      <w:txbxContent>
                        <w:p w14:paraId="0A0CB84B" w14:textId="77777777" w:rsidR="00BB5CD0" w:rsidRPr="00153EF7" w:rsidRDefault="00BB5CD0" w:rsidP="00BB5CD0">
                          <w:pPr>
                            <w:autoSpaceDE w:val="0"/>
                            <w:autoSpaceDN w:val="0"/>
                            <w:adjustRightInd w:val="0"/>
                            <w:jc w:val="center"/>
                            <w:rPr>
                              <w:rFonts w:ascii="Arial Narrow" w:hAnsi="Arial Narrow" w:cs="Arial Narrow"/>
                              <w:b/>
                              <w:bCs/>
                              <w:color w:val="FFFFFF"/>
                              <w:sz w:val="17"/>
                            </w:rPr>
                          </w:pPr>
                          <w:r w:rsidRPr="00153EF7">
                            <w:rPr>
                              <w:rFonts w:ascii="Arial Rounded MT Bold" w:hAnsi="Arial Rounded MT Bold" w:cs="Arial Rounded MT Bold"/>
                              <w:b/>
                              <w:bCs/>
                              <w:color w:val="FFFFFF"/>
                              <w:sz w:val="17"/>
                            </w:rPr>
                            <w:sym w:font="Wingdings" w:char="F04C"/>
                          </w:r>
                          <w:r w:rsidRPr="00153EF7">
                            <w:rPr>
                              <w:rFonts w:ascii="Arial Rounded MT Bold" w:hAnsi="Arial Rounded MT Bold" w:cs="Arial Rounded MT Bold"/>
                              <w:b/>
                              <w:bCs/>
                              <w:color w:val="FFFFFF"/>
                              <w:sz w:val="17"/>
                            </w:rPr>
                            <w:t xml:space="preserve"> </w:t>
                          </w:r>
                          <w:r w:rsidRPr="00153EF7">
                            <w:rPr>
                              <w:rFonts w:ascii="Arial Narrow" w:hAnsi="Arial Narrow" w:cs="Arial Narrow"/>
                              <w:b/>
                              <w:bCs/>
                              <w:color w:val="FFFFFF"/>
                              <w:sz w:val="17"/>
                            </w:rPr>
                            <w:t>APPLICATION BY NOTICE</w:t>
                          </w:r>
                        </w:p>
                      </w:txbxContent>
                    </v:textbox>
                  </v:shape>
                  <v:shape id="Text Box 136" o:spid="_x0000_s1084" type="#_x0000_t202" style="position:absolute;left:5260;top:8961;width:1549;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" fillcolor="red" strokecolor="white" strokeweight="1.5pt">
                    <v:stroke startarrowwidth="narrow" startarrowlength="short" endarrowwidth="narrow" endarrowlength="short"/>
                    <v:shadow color="#a0a0a0"/>
                    <v:textbox inset="1.80339mm,.90169mm,1.80339mm,.90169mm">
                      <w:txbxContent>
                        <w:p w14:paraId="0E0D6CE0" w14:textId="77777777" w:rsidR="00BB5CD0" w:rsidRPr="00153EF7" w:rsidRDefault="00BB5CD0" w:rsidP="00BB5CD0">
                          <w:pPr>
                            <w:autoSpaceDE w:val="0"/>
                            <w:autoSpaceDN w:val="0"/>
                            <w:adjustRightInd w:val="0"/>
                            <w:jc w:val="center"/>
                            <w:rPr>
                              <w:rFonts w:ascii="Arial Narrow" w:hAnsi="Arial Narrow" w:cs="Arial Narrow"/>
                              <w:b/>
                              <w:bCs/>
                              <w:color w:val="FFFFFF"/>
                              <w:sz w:val="16"/>
                              <w:szCs w:val="22"/>
                            </w:rPr>
                          </w:pPr>
                          <w:r w:rsidRPr="00153EF7">
                            <w:rPr>
                              <w:rFonts w:ascii="Arial Narrow" w:hAnsi="Arial Narrow" w:cs="Arial Narrow"/>
                              <w:b/>
                              <w:bCs/>
                              <w:color w:val="FFFFFF"/>
                              <w:sz w:val="16"/>
                              <w:szCs w:val="22"/>
                            </w:rPr>
                            <w:t xml:space="preserve">APPLICATION BY </w:t>
                          </w:r>
                          <w:r w:rsidR="00005E9C">
                            <w:rPr>
                              <w:rFonts w:ascii="Arial Narrow" w:hAnsi="Arial Narrow" w:cs="Arial Narrow"/>
                              <w:b/>
                              <w:bCs/>
                              <w:color w:val="FFFFFF"/>
                              <w:sz w:val="16"/>
                              <w:szCs w:val="22"/>
                            </w:rPr>
                            <w:t>EMERGENCY CARE</w:t>
                          </w:r>
                        </w:p>
                      </w:txbxContent>
                    </v:textbox>
                  </v:shape>
                  <v:shape id="Text Box 137" o:spid="_x0000_s1085" type="#_x0000_t202" style="position:absolute;left:3699;top:9938;width:311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" fillcolor="#396">
                    <v:textbox inset="1.80339mm,.355mm,1.80339mm,.71mm">
                      <w:txbxContent>
                        <w:p w14:paraId="61AFB675" w14:textId="77777777" w:rsidR="00BB5CD0" w:rsidRPr="00153EF7" w:rsidRDefault="00BB5CD0" w:rsidP="00BB5CD0">
                          <w:pPr>
                            <w:autoSpaceDE w:val="0"/>
                            <w:autoSpaceDN w:val="0"/>
                            <w:adjustRightInd w:val="0"/>
                            <w:spacing w:before="60"/>
                            <w:jc w:val="center"/>
                            <w:rPr>
                              <w:rFonts w:ascii="Arial Narrow" w:hAnsi="Arial Narrow" w:cs="Arial Narrow"/>
                              <w:b/>
                              <w:bCs/>
                              <w:color w:val="FFFFFF"/>
                              <w:sz w:val="18"/>
                              <w:szCs w:val="26"/>
                            </w:rPr>
                          </w:pPr>
                          <w:r w:rsidRPr="00BB5CD0">
                            <w:rPr>
                              <w:rFonts w:ascii="Arial Narrow" w:hAnsi="Arial Narrow"/>
                              <w:color w:val="FFFFFF"/>
                              <w:sz w:val="20"/>
                              <w:szCs w:val="28"/>
                            </w:rPr>
                            <w:sym w:font="Wingdings" w:char="F08C"/>
                          </w:r>
                          <w:r w:rsidRPr="00153EF7">
                            <w:rPr>
                              <w:rFonts w:ascii="Arial Narrow" w:hAnsi="Arial Narrow" w:cs="Arial Narrow"/>
                              <w:b/>
                              <w:bCs/>
                              <w:color w:val="FFFFFF"/>
                              <w:sz w:val="17"/>
                            </w:rPr>
                            <w:t xml:space="preserve"> </w:t>
                          </w:r>
                          <w:r w:rsidRPr="00BB5CD0">
                            <w:rPr>
                              <w:rFonts w:ascii="Arial Narrow" w:hAnsi="Arial Narrow" w:cs="Arial Narrow"/>
                              <w:b/>
                              <w:bCs/>
                              <w:color w:val="FFFFFF"/>
                              <w:sz w:val="20"/>
                              <w:szCs w:val="26"/>
                            </w:rPr>
                            <w:t>HEARING</w:t>
                          </w:r>
                          <w:r w:rsidR="00E31A12">
                            <w:rPr>
                              <w:rFonts w:ascii="Arial Narrow" w:hAnsi="Arial Narrow" w:cs="Arial Narrow"/>
                              <w:b/>
                              <w:bCs/>
                              <w:color w:val="FFFFFF"/>
                              <w:sz w:val="20"/>
                              <w:szCs w:val="26"/>
                            </w:rPr>
                            <w:t xml:space="preserve"> AFTER EMERG. CARE</w:t>
                          </w:r>
                        </w:p>
                        <w:p w14:paraId="2CF78391" w14:textId="77777777" w:rsidR="00BB5CD0" w:rsidRPr="00B647F6" w:rsidRDefault="00BB5CD0" w:rsidP="00BB5CD0">
                          <w:pPr>
                            <w:autoSpaceDE w:val="0"/>
                            <w:autoSpaceDN w:val="0"/>
                            <w:adjustRightInd w:val="0"/>
                            <w:jc w:val="center"/>
                            <w:rPr>
                              <w:rFonts w:ascii="Arial Narrow" w:hAnsi="Arial Narrow" w:cs="Arial Narrow"/>
                              <w:b/>
                              <w:bCs/>
                              <w:color w:val="FFFFFF"/>
                              <w:sz w:val="17"/>
                            </w:rPr>
                          </w:pPr>
                          <w:r w:rsidRPr="00B647F6">
                            <w:rPr>
                              <w:rFonts w:ascii="Arial Narrow" w:hAnsi="Arial Narrow" w:cs="Arial Narrow"/>
                              <w:b/>
                              <w:bCs/>
                              <w:color w:val="FFFFFF"/>
                              <w:sz w:val="17"/>
                            </w:rPr>
                            <w:t>[By submissions if applicable]</w:t>
                          </w:r>
                        </w:p>
                      </w:txbxContent>
                    </v:textbox>
                  </v:shape>
                </v:group>
                <v:shape id="TextBox 4" o:spid="_x0000_s1086" type="#_x0000_t202" style="position:absolute;left:29591;top:36899;width:4679;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" fillcolor="black [3213]" strokeweight="1.5pt">
                  <v:stroke r:id="rId33" o:title="" color2="black [3213]" filltype="pattern"/>
                  <v:shadow on="t" color="#7f7f7f [1601]" opacity=".5" offset="1pt"/>
                  <v:textbox>
                    <w:txbxContent>
                      <w:p w14:paraId="5FA97205" w14:textId="40CDE6F4" w:rsidR="00422B51" w:rsidRPr="00422B51" w:rsidRDefault="00422B51" w:rsidP="00422B51">
                        <w:pPr>
                          <w:kinsoku w:val="0"/>
                          <w:overflowPunct w:val="0"/>
                          <w:textAlignment w:val="baseline"/>
                          <w:rPr>
                            <w:rFonts w:ascii="Arial Rounded MT Bold" w:hAnsi="Arial Rounded MT Bold" w:cstheme="minorBidi"/>
                            <w:color w:val="FF0000"/>
                            <w:kern w:val="24"/>
                            <w:sz w:val="28"/>
                            <w:szCs w:val="28"/>
                          </w:rPr>
                        </w:pPr>
                        <w:r w:rsidRPr="00422B51">
                          <w:rPr>
                            <w:rFonts w:ascii="Arial Rounded MT Bold" w:hAnsi="Arial Rounded MT Bold" w:cstheme="minorBidi"/>
                            <w:color w:val="FF0000"/>
                            <w:kern w:val="24"/>
                            <w:sz w:val="28"/>
                            <w:szCs w:val="28"/>
                          </w:rPr>
                          <w:t>2</w:t>
                        </w:r>
                        <w:r w:rsidRPr="00422B51">
                          <w:rPr>
                            <w:rFonts w:ascii="Arial Rounded MT Bold" w:hAnsi="Arial Rounded MT Bold" w:cstheme="minorBidi"/>
                            <w:color w:val="FF0000"/>
                            <w:kern w:val="24"/>
                            <w:sz w:val="28"/>
                            <w:szCs w:val="28"/>
                            <w:u w:val="single"/>
                          </w:rPr>
                          <w:t>%</w:t>
                        </w:r>
                      </w:p>
                    </w:txbxContent>
                  </v:textbox>
                </v:shape>
                <w10:anchorlock/>
              </v:group>
            </w:pict>
          </mc:Fallback>
        </mc:AlternateContent>
      </w:r>
    </w:p>
    <w:p w14:paraId="310F7A44" w14:textId="31087DD3" w:rsidR="00693223" w:rsidRPr="00061DAE" w:rsidRDefault="00693223">
      <w:pPr>
        <w:jc w:val="both"/>
        <w:rPr>
          <w:rFonts w:ascii="Arial" w:hAnsi="Arial" w:cs="Arial"/>
          <w:sz w:val="20"/>
          <w:szCs w:val="20"/>
        </w:rPr>
      </w:pPr>
    </w:p>
    <w:p w14:paraId="39D24251" w14:textId="77777777" w:rsidR="007867B3" w:rsidRDefault="007867B3" w:rsidP="00061DAE">
      <w:pPr>
        <w:keepNext/>
        <w:jc w:val="both"/>
        <w:rPr>
          <w:rFonts w:ascii="Arial" w:hAnsi="Arial" w:cs="Arial"/>
          <w:sz w:val="20"/>
        </w:rPr>
      </w:pPr>
      <w:bookmarkStart w:id="1272" w:name="_Toc30649421"/>
      <w:bookmarkStart w:id="1273" w:name="_Toc30649746"/>
      <w:bookmarkStart w:id="1274" w:name="_Toc30651686"/>
      <w:bookmarkStart w:id="1275" w:name="_Toc30652676"/>
      <w:bookmarkStart w:id="1276" w:name="_Toc30652772"/>
      <w:bookmarkStart w:id="1277" w:name="_Toc30654122"/>
      <w:bookmarkStart w:id="1278" w:name="_Toc30654473"/>
      <w:bookmarkStart w:id="1279" w:name="_Toc30655092"/>
      <w:bookmarkStart w:id="1280" w:name="_Toc30655349"/>
      <w:bookmarkStart w:id="1281" w:name="_Toc30657027"/>
      <w:bookmarkStart w:id="1282" w:name="_Toc30661776"/>
      <w:bookmarkStart w:id="1283" w:name="_Toc30666464"/>
      <w:bookmarkStart w:id="1284" w:name="_Toc30666694"/>
      <w:bookmarkStart w:id="1285" w:name="_Toc30667869"/>
      <w:bookmarkStart w:id="1286" w:name="_Toc30669247"/>
      <w:bookmarkStart w:id="1287" w:name="_Toc30671463"/>
      <w:bookmarkStart w:id="1288" w:name="_Toc30673990"/>
      <w:bookmarkStart w:id="1289" w:name="_Toc30691212"/>
      <w:bookmarkStart w:id="1290" w:name="_Toc30691585"/>
      <w:bookmarkStart w:id="1291" w:name="_Toc30691965"/>
      <w:bookmarkStart w:id="1292" w:name="_Toc30692724"/>
      <w:bookmarkStart w:id="1293" w:name="_Toc30693103"/>
      <w:bookmarkStart w:id="1294" w:name="_Toc30693481"/>
      <w:bookmarkStart w:id="1295" w:name="_Toc30693859"/>
      <w:bookmarkStart w:id="1296" w:name="_Toc30694240"/>
      <w:bookmarkStart w:id="1297" w:name="_Toc30698829"/>
      <w:bookmarkStart w:id="1298" w:name="_Toc30699207"/>
      <w:bookmarkStart w:id="1299" w:name="_Toc30699592"/>
      <w:bookmarkStart w:id="1300" w:name="_Toc30700747"/>
      <w:bookmarkStart w:id="1301" w:name="_Toc30701134"/>
      <w:bookmarkStart w:id="1302" w:name="_Toc30743743"/>
      <w:bookmarkStart w:id="1303" w:name="_Toc30754566"/>
      <w:bookmarkStart w:id="1304" w:name="_Toc30757006"/>
      <w:bookmarkStart w:id="1305" w:name="_Toc30757555"/>
      <w:bookmarkStart w:id="1306" w:name="_Toc30757955"/>
      <w:bookmarkStart w:id="1307" w:name="_Toc30762716"/>
      <w:bookmarkStart w:id="1308" w:name="_Toc30767370"/>
      <w:bookmarkStart w:id="1309" w:name="_Toc34823385"/>
      <w:r>
        <w:rPr>
          <w:rFonts w:ascii="Arial" w:hAnsi="Arial" w:cs="Arial"/>
          <w:sz w:val="20"/>
        </w:rPr>
        <w:t>The Secretary or his or her delegate, in the capacity of being a party to any proceeding in the Family Division, whether as a protective intervener or otherwise, may appear-</w:t>
      </w:r>
    </w:p>
    <w:p w14:paraId="5246FF6E" w14:textId="77777777" w:rsidR="007867B3" w:rsidRDefault="007867B3" w:rsidP="00033D59">
      <w:pPr>
        <w:jc w:val="both"/>
        <w:rPr>
          <w:rFonts w:ascii="Arial" w:hAnsi="Arial" w:cs="Arial"/>
          <w:sz w:val="20"/>
        </w:rPr>
      </w:pPr>
      <w:r>
        <w:rPr>
          <w:rFonts w:ascii="Arial" w:hAnsi="Arial" w:cs="Arial"/>
          <w:sz w:val="20"/>
        </w:rPr>
        <w:t>(a)</w:t>
      </w:r>
      <w:r>
        <w:rPr>
          <w:rFonts w:ascii="Arial" w:hAnsi="Arial" w:cs="Arial"/>
          <w:sz w:val="20"/>
        </w:rPr>
        <w:tab/>
        <w:t>personally; or</w:t>
      </w:r>
    </w:p>
    <w:p w14:paraId="08C20F48" w14:textId="77777777" w:rsidR="007867B3" w:rsidRDefault="007867B3" w:rsidP="007867B3">
      <w:pPr>
        <w:jc w:val="both"/>
        <w:rPr>
          <w:rFonts w:ascii="Arial" w:hAnsi="Arial" w:cs="Arial"/>
          <w:sz w:val="20"/>
        </w:rPr>
      </w:pPr>
      <w:r>
        <w:rPr>
          <w:rFonts w:ascii="Arial" w:hAnsi="Arial" w:cs="Arial"/>
          <w:sz w:val="20"/>
        </w:rPr>
        <w:t>(b)</w:t>
      </w:r>
      <w:r>
        <w:rPr>
          <w:rFonts w:ascii="Arial" w:hAnsi="Arial" w:cs="Arial"/>
          <w:sz w:val="20"/>
        </w:rPr>
        <w:tab/>
        <w:t>by a legal practitioner; or</w:t>
      </w:r>
    </w:p>
    <w:p w14:paraId="17D0FB59" w14:textId="77777777" w:rsidR="007867B3" w:rsidRDefault="007867B3" w:rsidP="007867B3">
      <w:pPr>
        <w:jc w:val="both"/>
        <w:rPr>
          <w:rFonts w:ascii="Arial" w:hAnsi="Arial" w:cs="Arial"/>
          <w:sz w:val="20"/>
        </w:rPr>
      </w:pPr>
      <w:r>
        <w:rPr>
          <w:rFonts w:ascii="Arial" w:hAnsi="Arial" w:cs="Arial"/>
          <w:sz w:val="20"/>
        </w:rPr>
        <w:t>(c)</w:t>
      </w:r>
      <w:r>
        <w:rPr>
          <w:rFonts w:ascii="Arial" w:hAnsi="Arial" w:cs="Arial"/>
          <w:sz w:val="20"/>
        </w:rPr>
        <w:tab/>
        <w:t>by an authorized employee (whether or not a legal practitioner).</w:t>
      </w:r>
    </w:p>
    <w:p w14:paraId="47475608" w14:textId="77777777" w:rsidR="007867B3" w:rsidRDefault="007867B3" w:rsidP="007867B3">
      <w:pPr>
        <w:jc w:val="both"/>
        <w:rPr>
          <w:rFonts w:ascii="Arial" w:hAnsi="Arial" w:cs="Arial"/>
          <w:sz w:val="20"/>
        </w:rPr>
      </w:pPr>
      <w:r>
        <w:rPr>
          <w:rFonts w:ascii="Arial" w:hAnsi="Arial" w:cs="Arial"/>
          <w:sz w:val="20"/>
        </w:rPr>
        <w:t xml:space="preserve">See ss.215(3)-(6) of the CYFA.  The Department of </w:t>
      </w:r>
      <w:r w:rsidR="002E0E92">
        <w:rPr>
          <w:rFonts w:ascii="Arial" w:hAnsi="Arial" w:cs="Arial"/>
          <w:sz w:val="20"/>
          <w:szCs w:val="20"/>
        </w:rPr>
        <w:t>Families, Fairness and Housing</w:t>
      </w:r>
      <w:r>
        <w:rPr>
          <w:rFonts w:ascii="Arial" w:hAnsi="Arial" w:cs="Arial"/>
          <w:sz w:val="20"/>
        </w:rPr>
        <w:t xml:space="preserve"> has set up a </w:t>
      </w:r>
      <w:r w:rsidR="000E0F91">
        <w:rPr>
          <w:rFonts w:ascii="Arial" w:hAnsi="Arial" w:cs="Arial"/>
          <w:sz w:val="20"/>
        </w:rPr>
        <w:t>“Child Protection Litigation Office”</w:t>
      </w:r>
      <w:r>
        <w:rPr>
          <w:rFonts w:ascii="Arial" w:hAnsi="Arial" w:cs="Arial"/>
          <w:sz w:val="20"/>
        </w:rPr>
        <w:t>, comprised of legal practitioners and authorized employees, to represent and to co-ordinate the representation of the Secretary and his or her delegates in proceedings in the Family Division of</w:t>
      </w:r>
      <w:r w:rsidR="000E0F91">
        <w:rPr>
          <w:rFonts w:ascii="Arial" w:hAnsi="Arial" w:cs="Arial"/>
          <w:sz w:val="20"/>
        </w:rPr>
        <w:t xml:space="preserve"> the Melbourne</w:t>
      </w:r>
      <w:r w:rsidR="004E1436">
        <w:rPr>
          <w:rFonts w:ascii="Arial" w:hAnsi="Arial" w:cs="Arial"/>
          <w:sz w:val="20"/>
        </w:rPr>
        <w:t>, Broadmeadows</w:t>
      </w:r>
      <w:r w:rsidR="000E0F91">
        <w:rPr>
          <w:rFonts w:ascii="Arial" w:hAnsi="Arial" w:cs="Arial"/>
          <w:sz w:val="20"/>
        </w:rPr>
        <w:t xml:space="preserve"> and Moorabbin Children's Courts.</w:t>
      </w:r>
    </w:p>
    <w:p w14:paraId="16BC3C70" w14:textId="77777777" w:rsidR="007867B3" w:rsidRPr="00801CD5" w:rsidRDefault="007867B3" w:rsidP="00033D59">
      <w:pPr>
        <w:pStyle w:val="Heading3"/>
        <w:spacing w:after="60" w:line="240" w:lineRule="auto"/>
        <w:rPr>
          <w:rFonts w:ascii="Arial" w:hAnsi="Arial" w:cs="Arial"/>
          <w:b/>
          <w:bCs/>
          <w:color w:val="000000"/>
          <w:sz w:val="20"/>
        </w:rPr>
      </w:pPr>
    </w:p>
    <w:p w14:paraId="4E674BC2" w14:textId="77777777" w:rsidR="00693223" w:rsidRPr="00801CD5" w:rsidRDefault="00693223" w:rsidP="00287157">
      <w:pPr>
        <w:pStyle w:val="Heading3"/>
        <w:keepNext/>
        <w:keepLines/>
        <w:spacing w:after="60" w:line="240" w:lineRule="auto"/>
        <w:rPr>
          <w:rFonts w:ascii="Arial" w:hAnsi="Arial" w:cs="Arial"/>
          <w:b/>
          <w:bCs/>
          <w:color w:val="000000"/>
          <w:sz w:val="20"/>
          <w:lang w:val="en-AU"/>
        </w:rPr>
      </w:pPr>
      <w:bookmarkStart w:id="1310" w:name="_4.9.1_Apprehension_–"/>
      <w:bookmarkStart w:id="1311" w:name="B491"/>
      <w:bookmarkEnd w:id="1310"/>
      <w:bookmarkEnd w:id="1311"/>
      <w:r w:rsidRPr="00801CD5">
        <w:rPr>
          <w:rFonts w:ascii="Arial" w:hAnsi="Arial" w:cs="Arial"/>
          <w:b/>
          <w:bCs/>
          <w:color w:val="000000"/>
          <w:sz w:val="20"/>
        </w:rPr>
        <w:t>4.9.</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r w:rsidR="00775DC6" w:rsidRPr="00801CD5">
        <w:rPr>
          <w:rFonts w:ascii="Arial" w:hAnsi="Arial" w:cs="Arial"/>
          <w:b/>
          <w:bCs/>
          <w:color w:val="000000"/>
          <w:sz w:val="20"/>
        </w:rPr>
        <w:t>1</w:t>
      </w:r>
      <w:r w:rsidR="003325AD" w:rsidRPr="00801CD5">
        <w:rPr>
          <w:rFonts w:ascii="Arial" w:hAnsi="Arial" w:cs="Arial"/>
          <w:b/>
          <w:bCs/>
          <w:color w:val="000000"/>
          <w:sz w:val="20"/>
        </w:rPr>
        <w:tab/>
        <w:t xml:space="preserve">Apprehension </w:t>
      </w:r>
      <w:r w:rsidR="006A28AD">
        <w:rPr>
          <w:rFonts w:ascii="Arial" w:hAnsi="Arial" w:cs="Arial"/>
          <w:b/>
          <w:bCs/>
          <w:color w:val="000000"/>
          <w:sz w:val="20"/>
        </w:rPr>
        <w:t>–</w:t>
      </w:r>
      <w:r w:rsidR="003325AD" w:rsidRPr="00801CD5">
        <w:rPr>
          <w:rFonts w:ascii="Arial" w:hAnsi="Arial" w:cs="Arial"/>
          <w:b/>
          <w:bCs/>
          <w:color w:val="000000"/>
          <w:sz w:val="20"/>
        </w:rPr>
        <w:t xml:space="preserve"> H</w:t>
      </w:r>
      <w:r w:rsidR="00E31A12" w:rsidRPr="00801CD5">
        <w:rPr>
          <w:rFonts w:ascii="Arial" w:hAnsi="Arial" w:cs="Arial"/>
          <w:b/>
          <w:bCs/>
          <w:color w:val="000000"/>
          <w:sz w:val="20"/>
        </w:rPr>
        <w:t>earing</w:t>
      </w:r>
      <w:r w:rsidR="006A28AD">
        <w:rPr>
          <w:rFonts w:ascii="Arial" w:hAnsi="Arial" w:cs="Arial"/>
          <w:b/>
          <w:bCs/>
          <w:color w:val="000000"/>
          <w:sz w:val="20"/>
        </w:rPr>
        <w:t xml:space="preserve"> </w:t>
      </w:r>
      <w:r w:rsidR="00E31A12" w:rsidRPr="00801CD5">
        <w:rPr>
          <w:rFonts w:ascii="Arial" w:hAnsi="Arial" w:cs="Arial"/>
          <w:b/>
          <w:bCs/>
          <w:color w:val="000000"/>
          <w:sz w:val="20"/>
        </w:rPr>
        <w:t xml:space="preserve">after child placed </w:t>
      </w:r>
      <w:r w:rsidR="00502296" w:rsidRPr="00801CD5">
        <w:rPr>
          <w:rFonts w:ascii="Arial" w:hAnsi="Arial" w:cs="Arial"/>
          <w:b/>
          <w:bCs/>
          <w:color w:val="000000"/>
          <w:sz w:val="20"/>
        </w:rPr>
        <w:t>in emergency care</w:t>
      </w:r>
    </w:p>
    <w:p w14:paraId="6BD23EB8" w14:textId="77777777" w:rsidR="005B49DC" w:rsidRDefault="005B49DC" w:rsidP="00FC40FC">
      <w:pPr>
        <w:jc w:val="both"/>
        <w:rPr>
          <w:rFonts w:ascii="Arial" w:hAnsi="Arial" w:cs="Arial"/>
          <w:sz w:val="20"/>
        </w:rPr>
      </w:pPr>
      <w:r w:rsidRPr="00801CD5">
        <w:rPr>
          <w:rFonts w:ascii="Arial" w:hAnsi="Arial" w:cs="Arial"/>
          <w:color w:val="000000"/>
          <w:sz w:val="20"/>
        </w:rPr>
        <w:t>If a proceeding in the Family Division is commenced by the apprehension of the child</w:t>
      </w:r>
      <w:r w:rsidR="00A743CB" w:rsidRPr="00801CD5">
        <w:rPr>
          <w:rFonts w:ascii="Arial" w:hAnsi="Arial" w:cs="Arial"/>
          <w:color w:val="000000"/>
          <w:sz w:val="20"/>
        </w:rPr>
        <w:t xml:space="preserve"> with or with</w:t>
      </w:r>
      <w:r w:rsidR="00A743CB">
        <w:rPr>
          <w:rFonts w:ascii="Arial" w:hAnsi="Arial" w:cs="Arial"/>
          <w:sz w:val="20"/>
        </w:rPr>
        <w:t xml:space="preserve">out a warrant, </w:t>
      </w:r>
      <w:r>
        <w:rPr>
          <w:rFonts w:ascii="Arial" w:hAnsi="Arial" w:cs="Arial"/>
          <w:sz w:val="20"/>
        </w:rPr>
        <w:t xml:space="preserve">he or she must be placed in emergency care </w:t>
      </w:r>
      <w:r w:rsidR="00A743CB">
        <w:rPr>
          <w:rFonts w:ascii="Arial" w:hAnsi="Arial" w:cs="Arial"/>
          <w:sz w:val="20"/>
        </w:rPr>
        <w:t xml:space="preserve">until the Court or a bail justice hears an application for an interim accommodation order: ss.241-242 </w:t>
      </w:r>
      <w:r w:rsidR="003D6315">
        <w:rPr>
          <w:rFonts w:ascii="Arial" w:hAnsi="Arial" w:cs="Arial"/>
          <w:sz w:val="20"/>
        </w:rPr>
        <w:t xml:space="preserve">&amp; 247A </w:t>
      </w:r>
      <w:r w:rsidR="00A743CB">
        <w:rPr>
          <w:rFonts w:ascii="Arial" w:hAnsi="Arial" w:cs="Arial"/>
          <w:sz w:val="20"/>
        </w:rPr>
        <w:t>of the CYFA.</w:t>
      </w:r>
    </w:p>
    <w:p w14:paraId="7BBD1299" w14:textId="77777777" w:rsidR="005B49DC" w:rsidRDefault="005B49DC" w:rsidP="00FC40FC">
      <w:pPr>
        <w:jc w:val="both"/>
        <w:rPr>
          <w:rFonts w:ascii="Arial" w:hAnsi="Arial" w:cs="Arial"/>
          <w:sz w:val="20"/>
        </w:rPr>
      </w:pPr>
    </w:p>
    <w:p w14:paraId="1F7F7E3B" w14:textId="77777777" w:rsidR="00D84018" w:rsidRDefault="00D84018" w:rsidP="00FC40FC">
      <w:pPr>
        <w:jc w:val="both"/>
        <w:rPr>
          <w:rFonts w:ascii="Arial" w:hAnsi="Arial" w:cs="Arial"/>
          <w:sz w:val="20"/>
        </w:rPr>
      </w:pPr>
      <w:r>
        <w:rPr>
          <w:rFonts w:ascii="Arial" w:hAnsi="Arial" w:cs="Arial"/>
          <w:sz w:val="20"/>
        </w:rPr>
        <w:t>“Emergency care” means placement of a child in accordance with s.242(5) or s.247A(4) of the CYFA, namely-</w:t>
      </w:r>
    </w:p>
    <w:p w14:paraId="791A60A4" w14:textId="77777777" w:rsidR="00D84018" w:rsidRDefault="00D84018" w:rsidP="00FC40FC">
      <w:pPr>
        <w:jc w:val="both"/>
        <w:rPr>
          <w:rFonts w:ascii="Arial" w:hAnsi="Arial" w:cs="Arial"/>
          <w:sz w:val="20"/>
        </w:rPr>
      </w:pPr>
      <w:r>
        <w:rPr>
          <w:rFonts w:ascii="Arial" w:hAnsi="Arial" w:cs="Arial"/>
          <w:sz w:val="20"/>
        </w:rPr>
        <w:t>(a)</w:t>
      </w:r>
      <w:r>
        <w:rPr>
          <w:rFonts w:ascii="Arial" w:hAnsi="Arial" w:cs="Arial"/>
          <w:sz w:val="20"/>
        </w:rPr>
        <w:tab/>
        <w:t>in an out of home care service;</w:t>
      </w:r>
    </w:p>
    <w:p w14:paraId="03FA7129" w14:textId="77777777" w:rsidR="00D84018" w:rsidRDefault="00D84018" w:rsidP="005B49DC">
      <w:pPr>
        <w:ind w:left="357" w:hanging="357"/>
        <w:jc w:val="both"/>
        <w:rPr>
          <w:rFonts w:ascii="Arial" w:hAnsi="Arial" w:cs="Arial"/>
          <w:sz w:val="20"/>
        </w:rPr>
      </w:pPr>
      <w:r>
        <w:rPr>
          <w:rFonts w:ascii="Arial" w:hAnsi="Arial" w:cs="Arial"/>
          <w:sz w:val="20"/>
        </w:rPr>
        <w:lastRenderedPageBreak/>
        <w:t>(b)</w:t>
      </w:r>
      <w:r>
        <w:rPr>
          <w:rFonts w:ascii="Arial" w:hAnsi="Arial" w:cs="Arial"/>
          <w:sz w:val="20"/>
        </w:rPr>
        <w:tab/>
        <w:t>if there is a substantial and immediate risk of harm to the child, in a secure welfare service; or</w:t>
      </w:r>
    </w:p>
    <w:p w14:paraId="39D3F5DB" w14:textId="77777777" w:rsidR="005B49DC" w:rsidRDefault="005B49DC" w:rsidP="005B49DC">
      <w:pPr>
        <w:ind w:left="357" w:hanging="357"/>
        <w:jc w:val="both"/>
        <w:rPr>
          <w:rFonts w:ascii="Arial" w:hAnsi="Arial" w:cs="Arial"/>
          <w:sz w:val="20"/>
        </w:rPr>
      </w:pPr>
      <w:r>
        <w:rPr>
          <w:rFonts w:ascii="Arial" w:hAnsi="Arial" w:cs="Arial"/>
          <w:sz w:val="20"/>
        </w:rPr>
        <w:t>(c)</w:t>
      </w:r>
      <w:r>
        <w:rPr>
          <w:rFonts w:ascii="Arial" w:hAnsi="Arial" w:cs="Arial"/>
          <w:sz w:val="20"/>
        </w:rPr>
        <w:tab/>
        <w:t>in other accommodation approved by the Secretary in accordance with t</w:t>
      </w:r>
      <w:r w:rsidR="004E1436">
        <w:rPr>
          <w:rFonts w:ascii="Arial" w:hAnsi="Arial" w:cs="Arial"/>
          <w:sz w:val="20"/>
        </w:rPr>
        <w:t>he prescribed criteria (if any); this could include leaving the child in parental care.</w:t>
      </w:r>
    </w:p>
    <w:p w14:paraId="138BA2BC" w14:textId="77777777" w:rsidR="00D84018" w:rsidRDefault="00D84018" w:rsidP="00FC40FC">
      <w:pPr>
        <w:jc w:val="both"/>
        <w:rPr>
          <w:rFonts w:ascii="Arial" w:hAnsi="Arial" w:cs="Arial"/>
          <w:sz w:val="20"/>
        </w:rPr>
      </w:pPr>
    </w:p>
    <w:p w14:paraId="6EEEC768" w14:textId="77777777" w:rsidR="005B49DC" w:rsidRDefault="00A743CB" w:rsidP="00FC40FC">
      <w:pPr>
        <w:jc w:val="both"/>
        <w:rPr>
          <w:rFonts w:ascii="Arial" w:hAnsi="Arial" w:cs="Arial"/>
          <w:sz w:val="20"/>
        </w:rPr>
      </w:pPr>
      <w:r>
        <w:rPr>
          <w:rFonts w:ascii="Arial" w:hAnsi="Arial" w:cs="Arial"/>
          <w:sz w:val="20"/>
        </w:rPr>
        <w:t>Section 242(2) provides that if a child has been placed in emergency care under s.241, the Court must hear an application for an interim accommodation order in respect of the child as soon as practicable and in any event within one working day after the child was placed in emergency care.  Section 242(3) provides that unless the Court hears an application for an interim accommodation order within 24 hours after the child was placed in emergency care, a bail justice must hear an application for an interim accommodation order in respect of the child as soon as possible within that period of 24 hours.</w:t>
      </w:r>
    </w:p>
    <w:p w14:paraId="5964DB10" w14:textId="77777777" w:rsidR="00E3559F" w:rsidRDefault="00E3559F" w:rsidP="00FC40FC">
      <w:pPr>
        <w:jc w:val="both"/>
        <w:rPr>
          <w:rFonts w:ascii="Arial" w:hAnsi="Arial" w:cs="Arial"/>
          <w:sz w:val="20"/>
        </w:rPr>
      </w:pPr>
    </w:p>
    <w:p w14:paraId="0D34DF70" w14:textId="4B9957EC" w:rsidR="00693223" w:rsidRDefault="00693223" w:rsidP="00FC40FC">
      <w:pPr>
        <w:jc w:val="both"/>
        <w:rPr>
          <w:rFonts w:ascii="Arial" w:hAnsi="Arial" w:cs="Arial"/>
          <w:sz w:val="20"/>
        </w:rPr>
      </w:pPr>
      <w:r>
        <w:rPr>
          <w:rFonts w:ascii="Arial" w:hAnsi="Arial" w:cs="Arial"/>
          <w:sz w:val="20"/>
        </w:rPr>
        <w:t xml:space="preserve">If there is any dispute </w:t>
      </w:r>
      <w:r w:rsidR="00063C71">
        <w:rPr>
          <w:rFonts w:ascii="Arial" w:hAnsi="Arial" w:cs="Arial"/>
          <w:sz w:val="20"/>
        </w:rPr>
        <w:t xml:space="preserve">at Court </w:t>
      </w:r>
      <w:r>
        <w:rPr>
          <w:rFonts w:ascii="Arial" w:hAnsi="Arial" w:cs="Arial"/>
          <w:sz w:val="20"/>
        </w:rPr>
        <w:t xml:space="preserve">between the parties as to </w:t>
      </w:r>
      <w:r w:rsidR="00EC5F0C">
        <w:rPr>
          <w:rFonts w:ascii="Arial" w:hAnsi="Arial" w:cs="Arial"/>
          <w:sz w:val="20"/>
        </w:rPr>
        <w:t xml:space="preserve">the placement of a child on </w:t>
      </w:r>
      <w:r>
        <w:rPr>
          <w:rFonts w:ascii="Arial" w:hAnsi="Arial" w:cs="Arial"/>
          <w:sz w:val="20"/>
        </w:rPr>
        <w:t>an appropriate interim order</w:t>
      </w:r>
      <w:r w:rsidR="00AB51D4">
        <w:rPr>
          <w:rFonts w:ascii="Arial" w:hAnsi="Arial" w:cs="Arial"/>
          <w:sz w:val="20"/>
        </w:rPr>
        <w:t xml:space="preserve"> or as to a condition </w:t>
      </w:r>
      <w:r w:rsidR="00063C71">
        <w:rPr>
          <w:rFonts w:ascii="Arial" w:hAnsi="Arial" w:cs="Arial"/>
          <w:sz w:val="20"/>
        </w:rPr>
        <w:t xml:space="preserve">which is centrally </w:t>
      </w:r>
      <w:r w:rsidR="00AB51D4">
        <w:rPr>
          <w:rFonts w:ascii="Arial" w:hAnsi="Arial" w:cs="Arial"/>
          <w:sz w:val="20"/>
        </w:rPr>
        <w:t>relevant to placement</w:t>
      </w:r>
      <w:r>
        <w:rPr>
          <w:rFonts w:ascii="Arial" w:hAnsi="Arial" w:cs="Arial"/>
          <w:sz w:val="20"/>
        </w:rPr>
        <w:t xml:space="preserve">, a contest by submissions will be held </w:t>
      </w:r>
      <w:r w:rsidR="00E568FC">
        <w:rPr>
          <w:rFonts w:ascii="Arial" w:hAnsi="Arial" w:cs="Arial"/>
          <w:sz w:val="20"/>
        </w:rPr>
        <w:t>forthwith</w:t>
      </w:r>
      <w:r w:rsidR="00063C71">
        <w:rPr>
          <w:rFonts w:ascii="Arial" w:hAnsi="Arial" w:cs="Arial"/>
          <w:sz w:val="20"/>
        </w:rPr>
        <w:t xml:space="preserve"> </w:t>
      </w:r>
      <w:r w:rsidR="00E568FC">
        <w:rPr>
          <w:rFonts w:ascii="Arial" w:hAnsi="Arial" w:cs="Arial"/>
          <w:sz w:val="20"/>
        </w:rPr>
        <w:t xml:space="preserve">(or at least as soon </w:t>
      </w:r>
      <w:r w:rsidR="00063C71">
        <w:rPr>
          <w:rFonts w:ascii="Arial" w:hAnsi="Arial" w:cs="Arial"/>
          <w:sz w:val="20"/>
        </w:rPr>
        <w:t>as possible</w:t>
      </w:r>
      <w:r w:rsidR="00E568FC">
        <w:rPr>
          <w:rFonts w:ascii="Arial" w:hAnsi="Arial" w:cs="Arial"/>
          <w:sz w:val="20"/>
        </w:rPr>
        <w:t>)</w:t>
      </w:r>
      <w:r>
        <w:rPr>
          <w:rFonts w:ascii="Arial" w:hAnsi="Arial" w:cs="Arial"/>
          <w:sz w:val="20"/>
        </w:rPr>
        <w:t xml:space="preserve">, this being authorised by </w:t>
      </w:r>
      <w:r w:rsidR="00080B97">
        <w:rPr>
          <w:rFonts w:ascii="Arial" w:hAnsi="Arial" w:cs="Arial"/>
          <w:sz w:val="20"/>
        </w:rPr>
        <w:t>a number of Supreme Court</w:t>
      </w:r>
      <w:r>
        <w:rPr>
          <w:rFonts w:ascii="Arial" w:hAnsi="Arial" w:cs="Arial"/>
          <w:sz w:val="20"/>
        </w:rPr>
        <w:t xml:space="preserve"> judgments</w:t>
      </w:r>
      <w:r w:rsidR="00080B97">
        <w:rPr>
          <w:rFonts w:ascii="Arial" w:hAnsi="Arial" w:cs="Arial"/>
          <w:sz w:val="20"/>
        </w:rPr>
        <w:t>, including those</w:t>
      </w:r>
      <w:r>
        <w:rPr>
          <w:rFonts w:ascii="Arial" w:hAnsi="Arial" w:cs="Arial"/>
          <w:sz w:val="20"/>
        </w:rPr>
        <w:t xml:space="preserve"> of Beach J in </w:t>
      </w:r>
      <w:r>
        <w:rPr>
          <w:rFonts w:ascii="Arial" w:hAnsi="Arial" w:cs="Arial"/>
          <w:i/>
          <w:iCs/>
          <w:sz w:val="20"/>
        </w:rPr>
        <w:t>G</w:t>
      </w:r>
      <w:r w:rsidR="00D66A56">
        <w:rPr>
          <w:rFonts w:ascii="Arial" w:hAnsi="Arial" w:cs="Arial"/>
          <w:i/>
          <w:iCs/>
          <w:sz w:val="20"/>
        </w:rPr>
        <w:t> </w:t>
      </w:r>
      <w:r>
        <w:rPr>
          <w:rFonts w:ascii="Arial" w:hAnsi="Arial" w:cs="Arial"/>
          <w:i/>
          <w:iCs/>
          <w:sz w:val="20"/>
        </w:rPr>
        <w:t>v H [No 2]</w:t>
      </w:r>
      <w:r>
        <w:rPr>
          <w:rFonts w:ascii="Arial" w:hAnsi="Arial" w:cs="Arial"/>
          <w:sz w:val="20"/>
        </w:rPr>
        <w:t xml:space="preserve"> [Supreme Court of Victoria, unreported, 10/08/1994],</w:t>
      </w:r>
      <w:r w:rsidR="00A87AA3" w:rsidRPr="00D15CFB">
        <w:rPr>
          <w:rFonts w:ascii="Arial" w:hAnsi="Arial" w:cs="Arial"/>
          <w:color w:val="000000"/>
          <w:sz w:val="20"/>
        </w:rPr>
        <w:t xml:space="preserve"> </w:t>
      </w:r>
      <w:r w:rsidR="00A87AA3">
        <w:rPr>
          <w:rFonts w:ascii="Arial" w:hAnsi="Arial" w:cs="Arial"/>
          <w:color w:val="000000"/>
          <w:sz w:val="20"/>
        </w:rPr>
        <w:t>Elliott J in</w:t>
      </w:r>
      <w:r w:rsidR="00A87AA3" w:rsidRPr="00785E1A">
        <w:rPr>
          <w:rFonts w:ascii="Arial" w:hAnsi="Arial" w:cs="Arial"/>
          <w:color w:val="000000"/>
          <w:sz w:val="20"/>
        </w:rPr>
        <w:t xml:space="preserve"> </w:t>
      </w:r>
      <w:r w:rsidR="00A87AA3" w:rsidRPr="00D15CFB">
        <w:rPr>
          <w:rFonts w:ascii="Arial" w:hAnsi="Arial" w:cs="Arial"/>
          <w:i/>
          <w:color w:val="000000"/>
          <w:sz w:val="20"/>
        </w:rPr>
        <w:t>DOHS v DR</w:t>
      </w:r>
      <w:r w:rsidR="00A87AA3">
        <w:rPr>
          <w:rFonts w:ascii="Arial" w:hAnsi="Arial" w:cs="Arial"/>
          <w:color w:val="000000"/>
          <w:sz w:val="20"/>
        </w:rPr>
        <w:t xml:space="preserve"> [2013] VSC 579 at [57]-[58], </w:t>
      </w:r>
      <w:r>
        <w:rPr>
          <w:rFonts w:ascii="Arial" w:hAnsi="Arial" w:cs="Arial"/>
          <w:sz w:val="20"/>
        </w:rPr>
        <w:t xml:space="preserve">Ashley J in </w:t>
      </w:r>
      <w:r>
        <w:rPr>
          <w:rFonts w:ascii="Arial" w:hAnsi="Arial" w:cs="Arial"/>
          <w:i/>
          <w:iCs/>
          <w:sz w:val="20"/>
        </w:rPr>
        <w:t>The Secretary DOHS v R &amp; Anor</w:t>
      </w:r>
      <w:r>
        <w:rPr>
          <w:rFonts w:ascii="Arial" w:hAnsi="Arial" w:cs="Arial"/>
          <w:sz w:val="20"/>
        </w:rPr>
        <w:t xml:space="preserve"> [2003] VSC 172 at [11] and Gillard J in </w:t>
      </w:r>
      <w:r>
        <w:rPr>
          <w:rFonts w:ascii="Arial" w:hAnsi="Arial" w:cs="Arial"/>
          <w:i/>
          <w:iCs/>
          <w:sz w:val="20"/>
        </w:rPr>
        <w:t>P v RM &amp; Ors</w:t>
      </w:r>
      <w:r>
        <w:rPr>
          <w:rFonts w:ascii="Arial" w:hAnsi="Arial" w:cs="Arial"/>
          <w:sz w:val="20"/>
        </w:rPr>
        <w:t xml:space="preserve"> [2004] VSC 14.  In the latter case Gillard J, while agreeing with Ashley J that the procedure was "unusual", said at [19]: "I do not for one minute criticize it as being an inappropriate procedure."  At [33] His Honour elaborated:</w:t>
      </w:r>
    </w:p>
    <w:p w14:paraId="406C915F" w14:textId="77777777" w:rsidR="00693223" w:rsidRDefault="00693223">
      <w:pPr>
        <w:spacing w:line="240" w:lineRule="exact"/>
        <w:ind w:left="567" w:right="567"/>
        <w:jc w:val="both"/>
        <w:rPr>
          <w:rFonts w:ascii="Arial" w:hAnsi="Arial" w:cs="Arial"/>
          <w:bCs/>
          <w:sz w:val="20"/>
        </w:rPr>
      </w:pPr>
      <w:r>
        <w:rPr>
          <w:rFonts w:ascii="Arial" w:hAnsi="Arial" w:cs="Arial"/>
          <w:sz w:val="20"/>
        </w:rPr>
        <w:t>"The procedure that is adopted in the Children's Court is for evidence to be adduced by assertions from counsel for the parties and the parties themselves, and the same procedure appears to be followed in this Court.  That procedure has been followed for many years and although it is unusual it is no doubt a procedure adopted because of the urgency of an application and the interests of a child who may be subjected to some form of harmful conduct.  Accordingly, I will consider the affidavit of the appellant and the various exhibits which contain a lot of material which is hearsay, untested and also contested, the assertions made by counsel and also in this case the assertions made by the father."</w:t>
      </w:r>
    </w:p>
    <w:p w14:paraId="2011C081" w14:textId="77777777" w:rsidR="00693223" w:rsidRDefault="00693223">
      <w:pPr>
        <w:spacing w:before="120"/>
        <w:jc w:val="both"/>
        <w:rPr>
          <w:rFonts w:ascii="Arial" w:hAnsi="Arial" w:cs="Arial"/>
          <w:sz w:val="20"/>
        </w:rPr>
      </w:pPr>
      <w:r>
        <w:rPr>
          <w:rFonts w:ascii="Arial" w:hAnsi="Arial" w:cs="Arial"/>
          <w:sz w:val="20"/>
        </w:rPr>
        <w:t>If any party is aggrieved by the outcome of a contest by submissions, the case is adjourned for an IAO contest by evidence on a convenient date if the aggrieved party so wishes.  Otherwise the case will usually be adjourned to a date about 3 weeks hence for "mention".</w:t>
      </w:r>
    </w:p>
    <w:p w14:paraId="6412EA48" w14:textId="77777777" w:rsidR="00693223" w:rsidRDefault="00693223">
      <w:pPr>
        <w:ind w:left="363" w:hanging="363"/>
        <w:jc w:val="both"/>
        <w:rPr>
          <w:rFonts w:ascii="Arial" w:hAnsi="Arial" w:cs="Arial"/>
          <w:b/>
          <w:bCs/>
          <w:sz w:val="20"/>
        </w:rPr>
      </w:pPr>
      <w:bookmarkStart w:id="1312" w:name="_Toc30649422"/>
      <w:bookmarkStart w:id="1313" w:name="_Toc30649747"/>
      <w:bookmarkStart w:id="1314" w:name="_Toc30651687"/>
      <w:bookmarkStart w:id="1315" w:name="_Toc30652677"/>
      <w:bookmarkStart w:id="1316" w:name="_Toc30652773"/>
      <w:bookmarkStart w:id="1317" w:name="_Toc30654123"/>
      <w:bookmarkStart w:id="1318" w:name="_Toc30654474"/>
      <w:bookmarkStart w:id="1319" w:name="_Toc30655093"/>
      <w:bookmarkStart w:id="1320" w:name="_Toc30655350"/>
      <w:bookmarkStart w:id="1321" w:name="_Toc30657028"/>
      <w:bookmarkStart w:id="1322" w:name="_Toc30661777"/>
      <w:bookmarkStart w:id="1323" w:name="_Toc30666465"/>
      <w:bookmarkStart w:id="1324" w:name="_Toc30666695"/>
      <w:bookmarkStart w:id="1325" w:name="_Toc30667870"/>
      <w:bookmarkStart w:id="1326" w:name="_Toc30669248"/>
      <w:bookmarkStart w:id="1327" w:name="_Toc30671464"/>
      <w:bookmarkStart w:id="1328" w:name="_Toc30673991"/>
      <w:bookmarkStart w:id="1329" w:name="_Toc30691213"/>
      <w:bookmarkStart w:id="1330" w:name="_Toc30691586"/>
      <w:bookmarkStart w:id="1331" w:name="_Toc30691966"/>
      <w:bookmarkStart w:id="1332" w:name="_Toc30692725"/>
      <w:bookmarkStart w:id="1333" w:name="_Toc30693104"/>
      <w:bookmarkStart w:id="1334" w:name="_Toc30693482"/>
      <w:bookmarkStart w:id="1335" w:name="_Toc30693860"/>
      <w:bookmarkStart w:id="1336" w:name="_Toc30694241"/>
      <w:bookmarkStart w:id="1337" w:name="_Toc30698830"/>
      <w:bookmarkStart w:id="1338" w:name="_Toc30699208"/>
      <w:bookmarkStart w:id="1339" w:name="_Toc30699593"/>
      <w:bookmarkStart w:id="1340" w:name="_Toc30700748"/>
      <w:bookmarkStart w:id="1341" w:name="_Toc30701135"/>
      <w:bookmarkStart w:id="1342" w:name="_Toc30743744"/>
      <w:bookmarkStart w:id="1343" w:name="_Toc30754567"/>
      <w:bookmarkStart w:id="1344" w:name="_Toc30757007"/>
      <w:bookmarkStart w:id="1345" w:name="_Toc30757556"/>
      <w:bookmarkStart w:id="1346" w:name="_Toc30757956"/>
      <w:bookmarkStart w:id="1347" w:name="_Toc30762717"/>
      <w:bookmarkStart w:id="1348" w:name="_Toc30767371"/>
      <w:bookmarkStart w:id="1349" w:name="_Toc34823386"/>
    </w:p>
    <w:p w14:paraId="44B2A8B1" w14:textId="77777777" w:rsidR="00693223" w:rsidRDefault="00693223">
      <w:pPr>
        <w:pStyle w:val="Heading3"/>
        <w:spacing w:after="60" w:line="240" w:lineRule="auto"/>
        <w:rPr>
          <w:rFonts w:ascii="Arial" w:hAnsi="Arial" w:cs="Arial"/>
          <w:b/>
          <w:bCs/>
          <w:sz w:val="16"/>
        </w:rPr>
      </w:pPr>
      <w:bookmarkStart w:id="1350" w:name="_4.9.2_Mention"/>
      <w:bookmarkStart w:id="1351" w:name="B492"/>
      <w:bookmarkEnd w:id="1350"/>
      <w:bookmarkEnd w:id="1351"/>
      <w:r>
        <w:rPr>
          <w:rFonts w:ascii="Arial" w:hAnsi="Arial" w:cs="Arial"/>
          <w:b/>
          <w:bCs/>
          <w:sz w:val="20"/>
        </w:rPr>
        <w:t>4.9.2</w:t>
      </w:r>
      <w:r>
        <w:rPr>
          <w:rFonts w:ascii="Arial" w:hAnsi="Arial" w:cs="Arial"/>
          <w:b/>
          <w:bCs/>
          <w:sz w:val="20"/>
        </w:rPr>
        <w:tab/>
        <w:t>Mention</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14:paraId="1A20BFDA" w14:textId="649FCCDA" w:rsidR="00CB653F" w:rsidRDefault="00693223">
      <w:pPr>
        <w:jc w:val="both"/>
        <w:rPr>
          <w:rFonts w:ascii="Arial" w:hAnsi="Arial" w:cs="Arial"/>
          <w:sz w:val="20"/>
        </w:rPr>
      </w:pPr>
      <w:r>
        <w:rPr>
          <w:rFonts w:ascii="Arial" w:hAnsi="Arial" w:cs="Arial"/>
          <w:sz w:val="20"/>
        </w:rPr>
        <w:t xml:space="preserve">If a proceeding in the Family Division is commenced by notice, it will usually be listed for "mention" on a date about 3 weeks after the date of filing.  Witnesses are not called at a mention.  </w:t>
      </w:r>
      <w:r w:rsidR="00CB653F">
        <w:rPr>
          <w:rFonts w:ascii="Arial" w:hAnsi="Arial" w:cs="Arial"/>
          <w:sz w:val="20"/>
        </w:rPr>
        <w:t>A</w:t>
      </w:r>
      <w:r>
        <w:rPr>
          <w:rFonts w:ascii="Arial" w:hAnsi="Arial" w:cs="Arial"/>
          <w:sz w:val="20"/>
        </w:rPr>
        <w:t xml:space="preserve"> </w:t>
      </w:r>
      <w:r w:rsidR="00CB653F">
        <w:rPr>
          <w:rFonts w:ascii="Arial" w:hAnsi="Arial" w:cs="Arial"/>
          <w:sz w:val="20"/>
        </w:rPr>
        <w:t xml:space="preserve">significant </w:t>
      </w:r>
      <w:r>
        <w:rPr>
          <w:rFonts w:ascii="Arial" w:hAnsi="Arial" w:cs="Arial"/>
          <w:sz w:val="20"/>
        </w:rPr>
        <w:t xml:space="preserve">proportion of cases are completed at </w:t>
      </w:r>
      <w:r w:rsidR="00CB653F">
        <w:rPr>
          <w:rFonts w:ascii="Arial" w:hAnsi="Arial" w:cs="Arial"/>
          <w:sz w:val="20"/>
        </w:rPr>
        <w:t>the first or a further</w:t>
      </w:r>
      <w:r>
        <w:rPr>
          <w:rFonts w:ascii="Arial" w:hAnsi="Arial" w:cs="Arial"/>
          <w:sz w:val="20"/>
        </w:rPr>
        <w:t xml:space="preserve"> mention hearing by the parties consenting to or not opposing Court orders</w:t>
      </w:r>
      <w:r w:rsidR="00CB653F">
        <w:rPr>
          <w:rFonts w:ascii="Arial" w:hAnsi="Arial" w:cs="Arial"/>
          <w:sz w:val="20"/>
        </w:rPr>
        <w:t>.</w:t>
      </w:r>
    </w:p>
    <w:p w14:paraId="00CE0928" w14:textId="77777777" w:rsidR="00693223" w:rsidRDefault="00693223">
      <w:pPr>
        <w:ind w:left="363" w:hanging="363"/>
        <w:jc w:val="both"/>
        <w:rPr>
          <w:rFonts w:ascii="Arial" w:hAnsi="Arial" w:cs="Arial"/>
          <w:b/>
          <w:bCs/>
          <w:sz w:val="20"/>
        </w:rPr>
      </w:pPr>
      <w:bookmarkStart w:id="1352" w:name="_Toc30651688"/>
      <w:bookmarkStart w:id="1353" w:name="_Toc30652678"/>
      <w:bookmarkStart w:id="1354" w:name="_Toc30652774"/>
      <w:bookmarkStart w:id="1355" w:name="_Toc30654124"/>
      <w:bookmarkStart w:id="1356" w:name="_Toc30654475"/>
      <w:bookmarkStart w:id="1357" w:name="_Toc30655094"/>
      <w:bookmarkStart w:id="1358" w:name="_Toc30655351"/>
      <w:bookmarkStart w:id="1359" w:name="_Toc30657029"/>
      <w:bookmarkStart w:id="1360" w:name="_Toc30661778"/>
      <w:bookmarkStart w:id="1361" w:name="_Toc30666466"/>
      <w:bookmarkStart w:id="1362" w:name="_Toc30666696"/>
      <w:bookmarkStart w:id="1363" w:name="_Toc30667871"/>
      <w:bookmarkStart w:id="1364" w:name="_Toc30669249"/>
      <w:bookmarkStart w:id="1365" w:name="_Toc30671465"/>
      <w:bookmarkStart w:id="1366" w:name="_Toc30673992"/>
      <w:bookmarkStart w:id="1367" w:name="_Toc30691214"/>
      <w:bookmarkStart w:id="1368" w:name="_Toc30691587"/>
      <w:bookmarkStart w:id="1369" w:name="_Toc30691967"/>
      <w:bookmarkStart w:id="1370" w:name="_Toc30692726"/>
      <w:bookmarkStart w:id="1371" w:name="_Toc30693105"/>
      <w:bookmarkStart w:id="1372" w:name="_Toc30693483"/>
      <w:bookmarkStart w:id="1373" w:name="_Toc30693861"/>
      <w:bookmarkStart w:id="1374" w:name="_Toc30694242"/>
      <w:bookmarkStart w:id="1375" w:name="_Toc30698831"/>
      <w:bookmarkStart w:id="1376" w:name="_Toc30699209"/>
      <w:bookmarkStart w:id="1377" w:name="_Toc30699594"/>
      <w:bookmarkStart w:id="1378" w:name="_Toc30700749"/>
      <w:bookmarkStart w:id="1379" w:name="_Toc30701136"/>
      <w:bookmarkStart w:id="1380" w:name="_Toc30743745"/>
      <w:bookmarkStart w:id="1381" w:name="_Toc30754568"/>
      <w:bookmarkStart w:id="1382" w:name="_Toc30757008"/>
      <w:bookmarkStart w:id="1383" w:name="_Toc30757557"/>
      <w:bookmarkStart w:id="1384" w:name="_Toc30757957"/>
      <w:bookmarkStart w:id="1385" w:name="_Toc30762718"/>
      <w:bookmarkStart w:id="1386" w:name="_Toc30767372"/>
      <w:bookmarkStart w:id="1387" w:name="_Toc34823387"/>
    </w:p>
    <w:p w14:paraId="7B41F8E0" w14:textId="77777777" w:rsidR="00693223" w:rsidRPr="00801CD5" w:rsidRDefault="00693223" w:rsidP="007867B3">
      <w:pPr>
        <w:pStyle w:val="Heading3"/>
        <w:keepNext/>
        <w:spacing w:line="240" w:lineRule="auto"/>
        <w:rPr>
          <w:rFonts w:ascii="Arial" w:hAnsi="Arial" w:cs="Arial"/>
          <w:b/>
          <w:bCs/>
          <w:color w:val="000000"/>
          <w:sz w:val="20"/>
        </w:rPr>
      </w:pPr>
      <w:bookmarkStart w:id="1388" w:name="_4.9.3_Conciliation"/>
      <w:bookmarkStart w:id="1389" w:name="B493"/>
      <w:bookmarkEnd w:id="1388"/>
      <w:bookmarkEnd w:id="1389"/>
      <w:r w:rsidRPr="00785E1A">
        <w:rPr>
          <w:rFonts w:ascii="Arial" w:hAnsi="Arial" w:cs="Arial"/>
          <w:b/>
          <w:bCs/>
          <w:color w:val="000000"/>
          <w:sz w:val="20"/>
        </w:rPr>
        <w:t>4.9.3</w:t>
      </w:r>
      <w:r w:rsidRPr="00801CD5">
        <w:rPr>
          <w:rFonts w:ascii="Arial" w:hAnsi="Arial" w:cs="Arial"/>
          <w:b/>
          <w:bCs/>
          <w:color w:val="000000"/>
          <w:sz w:val="20"/>
        </w:rPr>
        <w:tab/>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sidR="00484481" w:rsidRPr="00801CD5">
        <w:rPr>
          <w:rFonts w:ascii="Arial" w:hAnsi="Arial" w:cs="Arial"/>
          <w:b/>
          <w:bCs/>
          <w:color w:val="000000"/>
          <w:sz w:val="20"/>
        </w:rPr>
        <w:t>Conciliation</w:t>
      </w:r>
    </w:p>
    <w:p w14:paraId="1C658CD7" w14:textId="6307034A" w:rsidR="001C67E6" w:rsidRDefault="00111111">
      <w:pPr>
        <w:spacing w:before="120"/>
        <w:jc w:val="both"/>
        <w:rPr>
          <w:rFonts w:ascii="Arial" w:hAnsi="Arial" w:cs="Arial"/>
          <w:color w:val="000000"/>
          <w:sz w:val="20"/>
        </w:rPr>
      </w:pPr>
      <w:r>
        <w:rPr>
          <w:rFonts w:ascii="Arial" w:hAnsi="Arial" w:cs="Arial"/>
          <w:color w:val="000000"/>
          <w:sz w:val="20"/>
        </w:rPr>
        <w:t xml:space="preserve">Prior to </w:t>
      </w:r>
      <w:r w:rsidR="001149D7">
        <w:rPr>
          <w:rFonts w:ascii="Arial" w:hAnsi="Arial" w:cs="Arial"/>
          <w:color w:val="000000"/>
          <w:sz w:val="20"/>
        </w:rPr>
        <w:t>20</w:t>
      </w:r>
      <w:r>
        <w:rPr>
          <w:rFonts w:ascii="Arial" w:hAnsi="Arial" w:cs="Arial"/>
          <w:color w:val="000000"/>
          <w:sz w:val="20"/>
        </w:rPr>
        <w:t>/</w:t>
      </w:r>
      <w:r w:rsidR="001149D7">
        <w:rPr>
          <w:rFonts w:ascii="Arial" w:hAnsi="Arial" w:cs="Arial"/>
          <w:color w:val="000000"/>
          <w:sz w:val="20"/>
        </w:rPr>
        <w:t>12</w:t>
      </w:r>
      <w:r>
        <w:rPr>
          <w:rFonts w:ascii="Arial" w:hAnsi="Arial" w:cs="Arial"/>
          <w:color w:val="000000"/>
          <w:sz w:val="20"/>
        </w:rPr>
        <w:t>/202</w:t>
      </w:r>
      <w:r w:rsidR="001149D7">
        <w:rPr>
          <w:rFonts w:ascii="Arial" w:hAnsi="Arial" w:cs="Arial"/>
          <w:color w:val="000000"/>
          <w:sz w:val="20"/>
        </w:rPr>
        <w:t>4</w:t>
      </w:r>
      <w:r>
        <w:rPr>
          <w:rFonts w:ascii="Arial" w:hAnsi="Arial" w:cs="Arial"/>
          <w:color w:val="000000"/>
          <w:sz w:val="20"/>
        </w:rPr>
        <w:t xml:space="preserve"> i</w:t>
      </w:r>
      <w:r w:rsidR="00693223" w:rsidRPr="00785E1A">
        <w:rPr>
          <w:rFonts w:ascii="Arial" w:hAnsi="Arial" w:cs="Arial"/>
          <w:color w:val="000000"/>
          <w:sz w:val="20"/>
        </w:rPr>
        <w:t xml:space="preserve">f a </w:t>
      </w:r>
      <w:r w:rsidR="007C7752" w:rsidRPr="00785E1A">
        <w:rPr>
          <w:rFonts w:ascii="Arial" w:hAnsi="Arial" w:cs="Arial"/>
          <w:color w:val="000000"/>
          <w:sz w:val="20"/>
        </w:rPr>
        <w:t>Family Division</w:t>
      </w:r>
      <w:r w:rsidR="00693223" w:rsidRPr="00785E1A">
        <w:rPr>
          <w:rFonts w:ascii="Arial" w:hAnsi="Arial" w:cs="Arial"/>
          <w:color w:val="000000"/>
          <w:sz w:val="20"/>
        </w:rPr>
        <w:t xml:space="preserve"> application </w:t>
      </w:r>
      <w:r>
        <w:rPr>
          <w:rFonts w:ascii="Arial" w:hAnsi="Arial" w:cs="Arial"/>
          <w:color w:val="000000"/>
          <w:sz w:val="20"/>
        </w:rPr>
        <w:t>wa</w:t>
      </w:r>
      <w:r w:rsidR="00693223" w:rsidRPr="00785E1A">
        <w:rPr>
          <w:rFonts w:ascii="Arial" w:hAnsi="Arial" w:cs="Arial"/>
          <w:color w:val="000000"/>
          <w:sz w:val="20"/>
        </w:rPr>
        <w:t xml:space="preserve">s unable to be resolved at a "mention" hearing, it </w:t>
      </w:r>
      <w:r>
        <w:rPr>
          <w:rFonts w:ascii="Arial" w:hAnsi="Arial" w:cs="Arial"/>
          <w:color w:val="000000"/>
          <w:sz w:val="20"/>
        </w:rPr>
        <w:t>was</w:t>
      </w:r>
      <w:r w:rsidR="00693223" w:rsidRPr="00785E1A">
        <w:rPr>
          <w:rFonts w:ascii="Arial" w:hAnsi="Arial" w:cs="Arial"/>
          <w:color w:val="000000"/>
          <w:sz w:val="20"/>
        </w:rPr>
        <w:t xml:space="preserve"> generally adjourned </w:t>
      </w:r>
      <w:r w:rsidR="00AF5500" w:rsidRPr="00785E1A">
        <w:rPr>
          <w:rFonts w:ascii="Arial" w:hAnsi="Arial" w:cs="Arial"/>
          <w:color w:val="000000"/>
          <w:sz w:val="20"/>
        </w:rPr>
        <w:t>and referred to</w:t>
      </w:r>
      <w:r w:rsidR="00693223" w:rsidRPr="00785E1A">
        <w:rPr>
          <w:rFonts w:ascii="Arial" w:hAnsi="Arial" w:cs="Arial"/>
          <w:color w:val="000000"/>
          <w:sz w:val="20"/>
        </w:rPr>
        <w:t xml:space="preserve"> </w:t>
      </w:r>
      <w:r w:rsidR="009B6762">
        <w:rPr>
          <w:rFonts w:ascii="Arial" w:hAnsi="Arial" w:cs="Arial"/>
          <w:color w:val="000000"/>
          <w:sz w:val="20"/>
        </w:rPr>
        <w:t>Court ordered conciliation</w:t>
      </w:r>
      <w:r w:rsidR="00693223" w:rsidRPr="00785E1A">
        <w:rPr>
          <w:rFonts w:ascii="Arial" w:hAnsi="Arial" w:cs="Arial"/>
          <w:color w:val="000000"/>
          <w:sz w:val="20"/>
        </w:rPr>
        <w:t xml:space="preserve"> under s</w:t>
      </w:r>
      <w:r w:rsidR="00AF5500" w:rsidRPr="00785E1A">
        <w:rPr>
          <w:rFonts w:ascii="Arial" w:hAnsi="Arial" w:cs="Arial"/>
          <w:color w:val="000000"/>
          <w:sz w:val="20"/>
        </w:rPr>
        <w:t>.217</w:t>
      </w:r>
      <w:r w:rsidR="006F0F3D" w:rsidRPr="00785E1A">
        <w:rPr>
          <w:rFonts w:ascii="Arial" w:hAnsi="Arial" w:cs="Arial"/>
          <w:color w:val="000000"/>
          <w:sz w:val="20"/>
        </w:rPr>
        <w:t xml:space="preserve"> of the CY</w:t>
      </w:r>
      <w:r w:rsidR="00AF5500" w:rsidRPr="00785E1A">
        <w:rPr>
          <w:rFonts w:ascii="Arial" w:hAnsi="Arial" w:cs="Arial"/>
          <w:color w:val="000000"/>
          <w:sz w:val="20"/>
        </w:rPr>
        <w:t>F</w:t>
      </w:r>
      <w:r w:rsidR="006F0F3D" w:rsidRPr="00785E1A">
        <w:rPr>
          <w:rFonts w:ascii="Arial" w:hAnsi="Arial" w:cs="Arial"/>
          <w:color w:val="000000"/>
          <w:sz w:val="20"/>
        </w:rPr>
        <w:t>A</w:t>
      </w:r>
      <w:r w:rsidR="00984865">
        <w:rPr>
          <w:rFonts w:ascii="Arial" w:hAnsi="Arial" w:cs="Arial"/>
          <w:color w:val="000000"/>
          <w:sz w:val="20"/>
        </w:rPr>
        <w:t xml:space="preserve"> as described in </w:t>
      </w:r>
      <w:r w:rsidR="00984865" w:rsidRPr="00984865">
        <w:rPr>
          <w:rFonts w:ascii="Arial" w:hAnsi="Arial" w:cs="Arial"/>
          <w:b/>
          <w:bCs/>
          <w:color w:val="000000"/>
          <w:sz w:val="20"/>
          <w:shd w:val="clear" w:color="auto" w:fill="C5E0B3" w:themeFill="accent6" w:themeFillTint="66"/>
        </w:rPr>
        <w:t>sections 4.10.1 to 4.10.9</w:t>
      </w:r>
      <w:r w:rsidR="00984865">
        <w:rPr>
          <w:rFonts w:ascii="Arial" w:hAnsi="Arial" w:cs="Arial"/>
          <w:color w:val="000000"/>
          <w:sz w:val="20"/>
        </w:rPr>
        <w:t>.</w:t>
      </w:r>
    </w:p>
    <w:p w14:paraId="32FFE275" w14:textId="77777777" w:rsidR="001C67E6" w:rsidRDefault="001C67E6" w:rsidP="001C67E6">
      <w:pPr>
        <w:jc w:val="both"/>
        <w:rPr>
          <w:rFonts w:ascii="Arial" w:hAnsi="Arial" w:cs="Arial"/>
          <w:color w:val="000000"/>
          <w:sz w:val="20"/>
        </w:rPr>
      </w:pPr>
    </w:p>
    <w:p w14:paraId="2CF5B62B" w14:textId="08CC1A1E" w:rsidR="00693223" w:rsidRPr="00785E1A" w:rsidRDefault="001149D7" w:rsidP="001C67E6">
      <w:pPr>
        <w:jc w:val="both"/>
        <w:rPr>
          <w:rFonts w:ascii="Arial" w:hAnsi="Arial" w:cs="Arial"/>
          <w:color w:val="000000"/>
          <w:sz w:val="20"/>
        </w:rPr>
      </w:pPr>
      <w:r>
        <w:rPr>
          <w:rFonts w:ascii="Arial" w:hAnsi="Arial" w:cs="Arial"/>
          <w:color w:val="000000"/>
          <w:sz w:val="20"/>
        </w:rPr>
        <w:t>O</w:t>
      </w:r>
      <w:r w:rsidR="006D3360" w:rsidRPr="00785E1A">
        <w:rPr>
          <w:rFonts w:ascii="Arial" w:hAnsi="Arial" w:cs="Arial"/>
          <w:color w:val="000000"/>
          <w:sz w:val="20"/>
        </w:rPr>
        <w:t xml:space="preserve">ccasionally, a case </w:t>
      </w:r>
      <w:r w:rsidR="001C67E6">
        <w:rPr>
          <w:rFonts w:ascii="Arial" w:hAnsi="Arial" w:cs="Arial"/>
          <w:color w:val="000000"/>
          <w:sz w:val="20"/>
        </w:rPr>
        <w:t>i</w:t>
      </w:r>
      <w:r w:rsidR="006D3360" w:rsidRPr="00785E1A">
        <w:rPr>
          <w:rFonts w:ascii="Arial" w:hAnsi="Arial" w:cs="Arial"/>
          <w:color w:val="000000"/>
          <w:sz w:val="20"/>
        </w:rPr>
        <w:t xml:space="preserve">s adjourned for a judicial resolution conference under </w:t>
      </w:r>
      <w:r w:rsidR="00F05A0A">
        <w:rPr>
          <w:rFonts w:ascii="Arial" w:hAnsi="Arial" w:cs="Arial"/>
          <w:color w:val="000000"/>
          <w:sz w:val="20"/>
        </w:rPr>
        <w:t>s.527A CYFA</w:t>
      </w:r>
      <w:r w:rsidR="006D3360" w:rsidRPr="00785E1A">
        <w:rPr>
          <w:rFonts w:ascii="Arial" w:hAnsi="Arial" w:cs="Arial"/>
          <w:color w:val="000000"/>
          <w:sz w:val="20"/>
        </w:rPr>
        <w:t>.</w:t>
      </w:r>
    </w:p>
    <w:p w14:paraId="4727EA9C" w14:textId="77777777" w:rsidR="00DB5203" w:rsidRDefault="00DB5203">
      <w:pPr>
        <w:ind w:left="363" w:hanging="363"/>
        <w:jc w:val="both"/>
        <w:rPr>
          <w:rFonts w:ascii="Arial" w:hAnsi="Arial" w:cs="Arial"/>
          <w:sz w:val="20"/>
        </w:rPr>
      </w:pPr>
    </w:p>
    <w:p w14:paraId="62C02E5A" w14:textId="751389D9" w:rsidR="001149D7" w:rsidRDefault="001149D7" w:rsidP="001149D7">
      <w:pPr>
        <w:jc w:val="both"/>
        <w:rPr>
          <w:rFonts w:ascii="Arial" w:hAnsi="Arial" w:cs="Arial"/>
          <w:sz w:val="20"/>
        </w:rPr>
      </w:pPr>
      <w:r>
        <w:rPr>
          <w:rFonts w:ascii="Arial" w:hAnsi="Arial" w:cs="Arial"/>
          <w:sz w:val="20"/>
        </w:rPr>
        <w:t xml:space="preserve">From 20/12/2024 the Children’s Court </w:t>
      </w:r>
      <w:r w:rsidR="001018E5">
        <w:rPr>
          <w:rFonts w:ascii="Arial" w:hAnsi="Arial" w:cs="Arial"/>
          <w:sz w:val="20"/>
        </w:rPr>
        <w:t>is</w:t>
      </w:r>
      <w:r>
        <w:rPr>
          <w:rFonts w:ascii="Arial" w:hAnsi="Arial" w:cs="Arial"/>
          <w:sz w:val="20"/>
        </w:rPr>
        <w:t xml:space="preserve"> no longer conducting conciliation conferences. All</w:t>
      </w:r>
      <w:r w:rsidR="00EB4219">
        <w:rPr>
          <w:rFonts w:ascii="Arial" w:hAnsi="Arial" w:cs="Arial"/>
          <w:sz w:val="20"/>
        </w:rPr>
        <w:t> </w:t>
      </w:r>
      <w:r>
        <w:rPr>
          <w:rFonts w:ascii="Arial" w:hAnsi="Arial" w:cs="Arial"/>
          <w:sz w:val="20"/>
        </w:rPr>
        <w:t xml:space="preserve">matters already booked for </w:t>
      </w:r>
      <w:r w:rsidR="001018E5">
        <w:rPr>
          <w:rFonts w:ascii="Arial" w:hAnsi="Arial" w:cs="Arial"/>
          <w:sz w:val="20"/>
        </w:rPr>
        <w:t xml:space="preserve">a </w:t>
      </w:r>
      <w:r>
        <w:rPr>
          <w:rFonts w:ascii="Arial" w:hAnsi="Arial" w:cs="Arial"/>
          <w:sz w:val="20"/>
        </w:rPr>
        <w:t>CC are listed for mention on the same day as the CC booking (or the next Children’s Court sitting day in some regional areas) and will be heard as listed before a judicial officer for determination and case management.</w:t>
      </w:r>
    </w:p>
    <w:p w14:paraId="74E5CE7D" w14:textId="77777777" w:rsidR="001149D7" w:rsidRDefault="001149D7" w:rsidP="001149D7">
      <w:pPr>
        <w:jc w:val="both"/>
        <w:rPr>
          <w:rFonts w:ascii="Arial" w:hAnsi="Arial" w:cs="Arial"/>
          <w:sz w:val="20"/>
        </w:rPr>
      </w:pPr>
    </w:p>
    <w:p w14:paraId="4E53ECD2" w14:textId="162EBCDC" w:rsidR="001149D7" w:rsidRDefault="00EB4219" w:rsidP="001149D7">
      <w:pPr>
        <w:jc w:val="both"/>
        <w:rPr>
          <w:rFonts w:ascii="Arial" w:hAnsi="Arial" w:cs="Arial"/>
          <w:sz w:val="20"/>
        </w:rPr>
      </w:pPr>
      <w:r>
        <w:rPr>
          <w:rFonts w:ascii="Arial" w:hAnsi="Arial" w:cs="Arial"/>
          <w:sz w:val="20"/>
        </w:rPr>
        <w:t xml:space="preserve">From 07/01/2025 until June 2025 Readiness Hearings (see </w:t>
      </w:r>
      <w:r w:rsidRPr="00EB4219">
        <w:rPr>
          <w:rFonts w:ascii="Arial" w:hAnsi="Arial" w:cs="Arial"/>
          <w:b/>
          <w:bCs/>
          <w:sz w:val="20"/>
          <w:shd w:val="clear" w:color="auto" w:fill="C5E0B3" w:themeFill="accent6" w:themeFillTint="66"/>
        </w:rPr>
        <w:t>section 4.9.4</w:t>
      </w:r>
      <w:r>
        <w:rPr>
          <w:rFonts w:ascii="Arial" w:hAnsi="Arial" w:cs="Arial"/>
          <w:sz w:val="20"/>
        </w:rPr>
        <w:t xml:space="preserve"> below) will continue to be the preferred method of post-mention judicial resolution with listings available across the state. In 2025 the Court </w:t>
      </w:r>
      <w:r w:rsidRPr="001149D7">
        <w:rPr>
          <w:rFonts w:ascii="Arial" w:hAnsi="Arial" w:cs="Arial"/>
          <w:sz w:val="20"/>
        </w:rPr>
        <w:t>will be consulting with court users in relation to listing structures, case events and Practice Directions for child protection cases including options for judicial resolution and case readiness.</w:t>
      </w:r>
    </w:p>
    <w:p w14:paraId="1053430C" w14:textId="77777777" w:rsidR="00EB4219" w:rsidRDefault="00EB4219" w:rsidP="001149D7">
      <w:pPr>
        <w:ind w:left="363" w:hanging="363"/>
        <w:jc w:val="both"/>
        <w:rPr>
          <w:rFonts w:ascii="Arial" w:hAnsi="Arial" w:cs="Arial"/>
          <w:i/>
          <w:iCs/>
          <w:sz w:val="20"/>
        </w:rPr>
      </w:pPr>
    </w:p>
    <w:p w14:paraId="0726B362" w14:textId="2D9A3796" w:rsidR="001149D7" w:rsidRPr="001149D7" w:rsidRDefault="001149D7" w:rsidP="00EB4219">
      <w:pPr>
        <w:jc w:val="both"/>
        <w:rPr>
          <w:rFonts w:ascii="Arial" w:hAnsi="Arial" w:cs="Arial"/>
          <w:sz w:val="20"/>
        </w:rPr>
      </w:pPr>
      <w:r w:rsidRPr="001149D7">
        <w:rPr>
          <w:rFonts w:ascii="Arial" w:hAnsi="Arial" w:cs="Arial"/>
          <w:sz w:val="20"/>
        </w:rPr>
        <w:lastRenderedPageBreak/>
        <w:t xml:space="preserve">The Court encourages protective intervenors and lawyers to continue to make their best efforts to narrow the issues in dispute prior to each court proceeding and in doing so to actively engage with children and parents. </w:t>
      </w:r>
    </w:p>
    <w:p w14:paraId="7249F7C8" w14:textId="77777777" w:rsidR="001149D7" w:rsidRPr="002F7CE3" w:rsidRDefault="001149D7">
      <w:pPr>
        <w:ind w:left="363" w:hanging="363"/>
        <w:jc w:val="both"/>
        <w:rPr>
          <w:rFonts w:ascii="Arial" w:hAnsi="Arial" w:cs="Arial"/>
          <w:sz w:val="20"/>
        </w:rPr>
      </w:pPr>
    </w:p>
    <w:p w14:paraId="22122F72" w14:textId="16560AC4" w:rsidR="0030237B" w:rsidRDefault="0030237B" w:rsidP="00196254">
      <w:pPr>
        <w:pStyle w:val="Heading3"/>
        <w:keepNext/>
        <w:keepLines/>
        <w:widowControl/>
        <w:spacing w:line="240" w:lineRule="auto"/>
        <w:rPr>
          <w:rFonts w:ascii="Arial" w:hAnsi="Arial" w:cs="Arial"/>
          <w:b/>
          <w:bCs/>
          <w:sz w:val="20"/>
        </w:rPr>
      </w:pPr>
      <w:bookmarkStart w:id="1390" w:name="_4.9.4_First_directions"/>
      <w:bookmarkStart w:id="1391" w:name="B494"/>
      <w:bookmarkStart w:id="1392" w:name="_4.9.4A_Readiness_Hearing"/>
      <w:bookmarkStart w:id="1393" w:name="B494A"/>
      <w:bookmarkStart w:id="1394" w:name="_Hlk196397205"/>
      <w:bookmarkEnd w:id="1390"/>
      <w:bookmarkEnd w:id="1391"/>
      <w:bookmarkEnd w:id="1392"/>
      <w:bookmarkEnd w:id="1393"/>
      <w:r>
        <w:rPr>
          <w:rFonts w:ascii="Arial" w:hAnsi="Arial" w:cs="Arial"/>
          <w:b/>
          <w:bCs/>
          <w:sz w:val="20"/>
        </w:rPr>
        <w:t>4.9.</w:t>
      </w:r>
      <w:r w:rsidR="00196254">
        <w:rPr>
          <w:rFonts w:ascii="Arial" w:hAnsi="Arial" w:cs="Arial"/>
          <w:b/>
          <w:bCs/>
          <w:sz w:val="20"/>
        </w:rPr>
        <w:t>4</w:t>
      </w:r>
      <w:r>
        <w:rPr>
          <w:rFonts w:ascii="Arial" w:hAnsi="Arial" w:cs="Arial"/>
          <w:b/>
          <w:bCs/>
          <w:sz w:val="20"/>
        </w:rPr>
        <w:tab/>
        <w:t xml:space="preserve">Readiness </w:t>
      </w:r>
      <w:r w:rsidR="00906F5E">
        <w:rPr>
          <w:rFonts w:ascii="Arial" w:hAnsi="Arial" w:cs="Arial"/>
          <w:b/>
          <w:bCs/>
          <w:sz w:val="20"/>
        </w:rPr>
        <w:t>H</w:t>
      </w:r>
      <w:r>
        <w:rPr>
          <w:rFonts w:ascii="Arial" w:hAnsi="Arial" w:cs="Arial"/>
          <w:b/>
          <w:bCs/>
          <w:sz w:val="20"/>
        </w:rPr>
        <w:t>earing</w:t>
      </w:r>
    </w:p>
    <w:p w14:paraId="7974F337" w14:textId="30958D00" w:rsidR="004A5A8C" w:rsidRPr="005A3EFE" w:rsidRDefault="004A5A8C" w:rsidP="004A5A8C">
      <w:pPr>
        <w:shd w:val="clear" w:color="auto" w:fill="FFFFFF"/>
        <w:spacing w:before="120"/>
        <w:jc w:val="both"/>
        <w:textAlignment w:val="baseline"/>
        <w:rPr>
          <w:rFonts w:ascii="Arial" w:hAnsi="Arial" w:cs="Arial"/>
          <w:b/>
          <w:color w:val="000000"/>
          <w:sz w:val="20"/>
        </w:rPr>
      </w:pPr>
      <w:r>
        <w:rPr>
          <w:rFonts w:ascii="Arial" w:hAnsi="Arial" w:cs="Arial"/>
          <w:color w:val="353535"/>
          <w:sz w:val="20"/>
          <w:szCs w:val="20"/>
          <w:lang w:eastAsia="en-AU"/>
        </w:rPr>
        <w:t xml:space="preserve">A type of hearing </w:t>
      </w:r>
      <w:r w:rsidRPr="0047445C">
        <w:rPr>
          <w:rFonts w:ascii="Arial" w:hAnsi="Arial" w:cs="Arial"/>
          <w:color w:val="353535"/>
          <w:sz w:val="20"/>
          <w:szCs w:val="20"/>
          <w:lang w:eastAsia="en-AU"/>
        </w:rPr>
        <w:t xml:space="preserve">– known as a </w:t>
      </w:r>
      <w:r w:rsidRPr="00717B0C">
        <w:rPr>
          <w:rFonts w:ascii="Arial" w:hAnsi="Arial" w:cs="Arial"/>
          <w:b/>
          <w:bCs/>
          <w:color w:val="353535"/>
          <w:sz w:val="20"/>
          <w:szCs w:val="20"/>
          <w:lang w:eastAsia="en-AU"/>
        </w:rPr>
        <w:t xml:space="preserve">Readiness </w:t>
      </w:r>
      <w:r w:rsidR="00EB4219">
        <w:rPr>
          <w:rFonts w:ascii="Arial" w:hAnsi="Arial" w:cs="Arial"/>
          <w:b/>
          <w:bCs/>
          <w:color w:val="353535"/>
          <w:sz w:val="20"/>
          <w:szCs w:val="20"/>
          <w:lang w:eastAsia="en-AU"/>
        </w:rPr>
        <w:t>H</w:t>
      </w:r>
      <w:r w:rsidRPr="00717B0C">
        <w:rPr>
          <w:rFonts w:ascii="Arial" w:hAnsi="Arial" w:cs="Arial"/>
          <w:b/>
          <w:bCs/>
          <w:color w:val="353535"/>
          <w:sz w:val="20"/>
          <w:szCs w:val="20"/>
          <w:lang w:eastAsia="en-AU"/>
        </w:rPr>
        <w:t>earing</w:t>
      </w:r>
      <w:r>
        <w:rPr>
          <w:rFonts w:ascii="Arial" w:hAnsi="Arial" w:cs="Arial"/>
          <w:b/>
          <w:bCs/>
          <w:color w:val="353535"/>
          <w:sz w:val="20"/>
          <w:lang w:eastAsia="en-AU"/>
        </w:rPr>
        <w:t xml:space="preserve"> </w:t>
      </w:r>
      <w:r w:rsidRPr="003B555B">
        <w:rPr>
          <w:rFonts w:ascii="Arial" w:hAnsi="Arial" w:cs="Arial"/>
          <w:color w:val="353535"/>
          <w:sz w:val="20"/>
          <w:lang w:eastAsia="en-AU"/>
        </w:rPr>
        <w:t xml:space="preserve">– </w:t>
      </w:r>
      <w:r>
        <w:rPr>
          <w:rFonts w:ascii="Arial" w:hAnsi="Arial" w:cs="Arial"/>
          <w:color w:val="353535"/>
          <w:sz w:val="20"/>
          <w:lang w:eastAsia="en-AU"/>
        </w:rPr>
        <w:t xml:space="preserve">was introduced as and from 16/06/2000 by </w:t>
      </w:r>
      <w:r w:rsidR="003B555B">
        <w:rPr>
          <w:rFonts w:ascii="Arial" w:hAnsi="Arial" w:cs="Arial"/>
          <w:color w:val="353535"/>
          <w:sz w:val="20"/>
          <w:szCs w:val="20"/>
          <w:lang w:eastAsia="en-AU"/>
        </w:rPr>
        <w:t>P</w:t>
      </w:r>
      <w:r w:rsidR="00DD0300">
        <w:rPr>
          <w:rFonts w:ascii="Arial" w:hAnsi="Arial" w:cs="Arial"/>
          <w:color w:val="353535"/>
          <w:sz w:val="20"/>
          <w:lang w:eastAsia="en-AU"/>
        </w:rPr>
        <w:t xml:space="preserve">ractice </w:t>
      </w:r>
      <w:r w:rsidR="003B555B">
        <w:rPr>
          <w:rFonts w:ascii="Arial" w:hAnsi="Arial" w:cs="Arial"/>
          <w:color w:val="353535"/>
          <w:sz w:val="20"/>
          <w:szCs w:val="20"/>
          <w:lang w:eastAsia="en-AU"/>
        </w:rPr>
        <w:t>D</w:t>
      </w:r>
      <w:r w:rsidR="00DD0300">
        <w:rPr>
          <w:rFonts w:ascii="Arial" w:hAnsi="Arial" w:cs="Arial"/>
          <w:color w:val="353535"/>
          <w:sz w:val="20"/>
          <w:lang w:eastAsia="en-AU"/>
        </w:rPr>
        <w:t>irection</w:t>
      </w:r>
      <w:r w:rsidR="003B555B">
        <w:rPr>
          <w:rFonts w:ascii="Arial" w:hAnsi="Arial" w:cs="Arial"/>
          <w:color w:val="353535"/>
          <w:sz w:val="20"/>
          <w:lang w:eastAsia="en-AU"/>
        </w:rPr>
        <w:t xml:space="preserve"> No.6 of 2020</w:t>
      </w:r>
      <w:r>
        <w:rPr>
          <w:rFonts w:ascii="Arial" w:hAnsi="Arial" w:cs="Arial"/>
          <w:color w:val="353535"/>
          <w:sz w:val="20"/>
          <w:lang w:eastAsia="en-AU"/>
        </w:rPr>
        <w:t>. It was originally conc</w:t>
      </w:r>
      <w:r w:rsidR="001B734E">
        <w:rPr>
          <w:rFonts w:ascii="Arial" w:hAnsi="Arial" w:cs="Arial"/>
          <w:color w:val="353535"/>
          <w:sz w:val="20"/>
          <w:lang w:eastAsia="en-AU"/>
        </w:rPr>
        <w:t>ei</w:t>
      </w:r>
      <w:r>
        <w:rPr>
          <w:rFonts w:ascii="Arial" w:hAnsi="Arial" w:cs="Arial"/>
          <w:color w:val="353535"/>
          <w:sz w:val="20"/>
          <w:lang w:eastAsia="en-AU"/>
        </w:rPr>
        <w:t xml:space="preserve">ved </w:t>
      </w:r>
      <w:r w:rsidR="00450669">
        <w:rPr>
          <w:rFonts w:ascii="Arial" w:hAnsi="Arial" w:cs="Arial"/>
          <w:color w:val="353535"/>
          <w:sz w:val="20"/>
          <w:lang w:eastAsia="en-AU"/>
        </w:rPr>
        <w:t xml:space="preserve">as </w:t>
      </w:r>
      <w:r w:rsidR="003B555B" w:rsidRPr="003B555B">
        <w:rPr>
          <w:rFonts w:ascii="Arial" w:hAnsi="Arial" w:cs="Arial"/>
          <w:color w:val="353535"/>
          <w:sz w:val="20"/>
          <w:lang w:eastAsia="en-AU"/>
        </w:rPr>
        <w:t xml:space="preserve">a temporary measure necessitated by the COVID-19 pandemic </w:t>
      </w:r>
      <w:r w:rsidR="003B555B">
        <w:rPr>
          <w:rFonts w:ascii="Arial" w:hAnsi="Arial" w:cs="Arial"/>
          <w:color w:val="353535"/>
          <w:sz w:val="20"/>
          <w:lang w:eastAsia="en-AU"/>
        </w:rPr>
        <w:t xml:space="preserve">for the management of </w:t>
      </w:r>
      <w:r w:rsidR="00450669">
        <w:rPr>
          <w:rFonts w:ascii="Arial" w:hAnsi="Arial" w:cs="Arial"/>
          <w:color w:val="353535"/>
          <w:sz w:val="20"/>
          <w:lang w:eastAsia="en-AU"/>
        </w:rPr>
        <w:t xml:space="preserve">child protection </w:t>
      </w:r>
      <w:r w:rsidR="003B555B">
        <w:rPr>
          <w:rFonts w:ascii="Arial" w:hAnsi="Arial" w:cs="Arial"/>
          <w:color w:val="353535"/>
          <w:sz w:val="20"/>
          <w:lang w:eastAsia="en-AU"/>
        </w:rPr>
        <w:t>proceedings in the Family Division.</w:t>
      </w:r>
    </w:p>
    <w:p w14:paraId="0DD7B7D8" w14:textId="77777777" w:rsidR="007F7F84" w:rsidRPr="002F7CE3" w:rsidRDefault="007F7F84" w:rsidP="00757A94">
      <w:pPr>
        <w:shd w:val="clear" w:color="auto" w:fill="FFFFFF"/>
        <w:jc w:val="both"/>
        <w:textAlignment w:val="baseline"/>
        <w:rPr>
          <w:rFonts w:ascii="Arial" w:hAnsi="Arial" w:cs="Arial"/>
          <w:color w:val="353535"/>
          <w:sz w:val="18"/>
          <w:szCs w:val="22"/>
          <w:lang w:eastAsia="en-AU"/>
        </w:rPr>
      </w:pPr>
    </w:p>
    <w:p w14:paraId="07F1209B" w14:textId="14D83EB7" w:rsidR="007D2F69" w:rsidRDefault="00906F5E" w:rsidP="007D2F69">
      <w:pPr>
        <w:jc w:val="both"/>
        <w:rPr>
          <w:rFonts w:ascii="Arial" w:hAnsi="Arial" w:cs="Arial"/>
          <w:sz w:val="20"/>
        </w:rPr>
      </w:pPr>
      <w:r>
        <w:rPr>
          <w:rFonts w:ascii="Arial" w:hAnsi="Arial" w:cs="Arial"/>
          <w:sz w:val="20"/>
        </w:rPr>
        <w:t xml:space="preserve">A Readiness </w:t>
      </w:r>
      <w:r w:rsidR="00EB4219">
        <w:rPr>
          <w:rFonts w:ascii="Arial" w:hAnsi="Arial" w:cs="Arial"/>
          <w:sz w:val="20"/>
        </w:rPr>
        <w:t>H</w:t>
      </w:r>
      <w:r>
        <w:rPr>
          <w:rFonts w:ascii="Arial" w:hAnsi="Arial" w:cs="Arial"/>
          <w:sz w:val="20"/>
        </w:rPr>
        <w:t xml:space="preserve">earing </w:t>
      </w:r>
      <w:r w:rsidR="003B555B" w:rsidRPr="0047445C">
        <w:rPr>
          <w:rFonts w:ascii="Arial" w:hAnsi="Arial" w:cs="Arial"/>
          <w:color w:val="353535"/>
          <w:sz w:val="20"/>
          <w:lang w:eastAsia="en-AU"/>
        </w:rPr>
        <w:t xml:space="preserve">aims to explore the possible resolution of a matter by incorporating the features of a </w:t>
      </w:r>
      <w:r w:rsidR="00450669" w:rsidRPr="0047445C">
        <w:rPr>
          <w:rFonts w:ascii="Arial" w:hAnsi="Arial" w:cs="Arial"/>
          <w:color w:val="353535"/>
          <w:sz w:val="20"/>
          <w:lang w:eastAsia="en-AU"/>
        </w:rPr>
        <w:t>judicially led dispute resolution process</w:t>
      </w:r>
      <w:r w:rsidR="00450669">
        <w:rPr>
          <w:rFonts w:ascii="Arial" w:hAnsi="Arial" w:cs="Arial"/>
          <w:color w:val="353535"/>
          <w:sz w:val="20"/>
          <w:lang w:eastAsia="en-AU"/>
        </w:rPr>
        <w:t xml:space="preserve"> and </w:t>
      </w:r>
      <w:r w:rsidR="00C039F4">
        <w:rPr>
          <w:rFonts w:ascii="Arial" w:hAnsi="Arial" w:cs="Arial"/>
          <w:color w:val="353535"/>
          <w:sz w:val="20"/>
          <w:lang w:eastAsia="en-AU"/>
        </w:rPr>
        <w:t xml:space="preserve">– in the event the matter remains unresolved – a Directions hearing as well, exploring </w:t>
      </w:r>
      <w:r w:rsidR="003B555B" w:rsidRPr="0047445C">
        <w:rPr>
          <w:rFonts w:ascii="Arial" w:hAnsi="Arial" w:cs="Arial"/>
          <w:sz w:val="20"/>
        </w:rPr>
        <w:t>whether it is feasible to hear a contested IAO or final hearing</w:t>
      </w:r>
      <w:r w:rsidR="0031379F">
        <w:rPr>
          <w:rFonts w:ascii="Arial" w:hAnsi="Arial" w:cs="Arial"/>
          <w:sz w:val="20"/>
        </w:rPr>
        <w:t xml:space="preserve"> (</w:t>
      </w:r>
      <w:r w:rsidR="003B555B" w:rsidRPr="0047445C">
        <w:rPr>
          <w:rFonts w:ascii="Arial" w:hAnsi="Arial" w:cs="Arial"/>
          <w:sz w:val="20"/>
        </w:rPr>
        <w:t>facilitated through audio visual link or otherwise</w:t>
      </w:r>
      <w:r w:rsidR="0031379F">
        <w:rPr>
          <w:rFonts w:ascii="Arial" w:hAnsi="Arial" w:cs="Arial"/>
          <w:sz w:val="20"/>
        </w:rPr>
        <w:t>)</w:t>
      </w:r>
      <w:r w:rsidR="003B555B" w:rsidRPr="0047445C">
        <w:rPr>
          <w:rFonts w:ascii="Arial" w:hAnsi="Arial" w:cs="Arial"/>
          <w:sz w:val="20"/>
        </w:rPr>
        <w:t xml:space="preserve"> in a manner that meets the requirements of fairness and justice and is also consistent with the safety advice of the Chief Health Officer.</w:t>
      </w:r>
    </w:p>
    <w:p w14:paraId="6F8EE6B0" w14:textId="77777777" w:rsidR="003B266F" w:rsidRPr="002F7CE3" w:rsidRDefault="003B266F" w:rsidP="003B266F">
      <w:pPr>
        <w:jc w:val="both"/>
        <w:rPr>
          <w:rFonts w:ascii="Arial" w:hAnsi="Arial" w:cs="Arial"/>
          <w:sz w:val="18"/>
          <w:szCs w:val="22"/>
        </w:rPr>
      </w:pPr>
    </w:p>
    <w:p w14:paraId="5834EB71" w14:textId="6877F4E3" w:rsidR="003B266F" w:rsidRDefault="003B266F" w:rsidP="003B266F">
      <w:pPr>
        <w:jc w:val="both"/>
        <w:rPr>
          <w:rFonts w:ascii="Arial" w:hAnsi="Arial" w:cs="Arial"/>
          <w:sz w:val="20"/>
        </w:rPr>
      </w:pPr>
      <w:r>
        <w:rPr>
          <w:rFonts w:ascii="Arial" w:hAnsi="Arial" w:cs="Arial"/>
          <w:sz w:val="20"/>
        </w:rPr>
        <w:t>The effectiveness of Readiness Hearings is clear from the statistics below.  As a consequence Readiness Hearings are no longer a temporary measure. They have been expanded state</w:t>
      </w:r>
      <w:r>
        <w:rPr>
          <w:rFonts w:ascii="Arial" w:hAnsi="Arial" w:cs="Arial"/>
          <w:sz w:val="20"/>
        </w:rPr>
        <w:noBreakHyphen/>
        <w:t>wide and apply to any Family Division child protection proceeding.</w:t>
      </w:r>
    </w:p>
    <w:p w14:paraId="0139317C" w14:textId="77777777" w:rsidR="003B266F" w:rsidRDefault="003B266F" w:rsidP="003B266F">
      <w:pPr>
        <w:jc w:val="both"/>
        <w:rPr>
          <w:rFonts w:ascii="Arial" w:hAnsi="Arial" w:cs="Arial"/>
          <w:color w:val="000000"/>
          <w:sz w:val="20"/>
        </w:rPr>
      </w:pPr>
    </w:p>
    <w:tbl>
      <w:tblPr>
        <w:tblStyle w:val="TableGrid"/>
        <w:tblW w:w="8305" w:type="dxa"/>
        <w:tblLook w:val="04A0" w:firstRow="1" w:lastRow="0" w:firstColumn="1" w:lastColumn="0" w:noHBand="0" w:noVBand="1"/>
      </w:tblPr>
      <w:tblGrid>
        <w:gridCol w:w="1621"/>
        <w:gridCol w:w="2415"/>
        <w:gridCol w:w="2415"/>
        <w:gridCol w:w="1854"/>
      </w:tblGrid>
      <w:tr w:rsidR="003B266F" w:rsidRPr="00826542" w14:paraId="587924E5" w14:textId="77777777" w:rsidTr="006C7FDA">
        <w:tc>
          <w:tcPr>
            <w:tcW w:w="8302" w:type="dxa"/>
            <w:gridSpan w:val="4"/>
            <w:shd w:val="clear" w:color="auto" w:fill="000000" w:themeFill="text1"/>
          </w:tcPr>
          <w:p w14:paraId="0A2C16F3" w14:textId="77777777" w:rsidR="003B266F" w:rsidRPr="00826542" w:rsidRDefault="003B266F" w:rsidP="006C7FDA">
            <w:pPr>
              <w:jc w:val="center"/>
              <w:rPr>
                <w:rFonts w:ascii="Arial" w:hAnsi="Arial" w:cs="Arial"/>
                <w:b/>
                <w:bCs/>
                <w:color w:val="FFFFFF" w:themeColor="background1"/>
                <w:sz w:val="20"/>
              </w:rPr>
            </w:pPr>
            <w:r w:rsidRPr="00826542">
              <w:rPr>
                <w:rFonts w:ascii="Arial" w:hAnsi="Arial" w:cs="Arial"/>
                <w:b/>
                <w:bCs/>
                <w:color w:val="FFFFFF" w:themeColor="background1"/>
                <w:sz w:val="20"/>
              </w:rPr>
              <w:t xml:space="preserve">STATE-WIDE </w:t>
            </w:r>
            <w:r>
              <w:rPr>
                <w:rFonts w:ascii="Arial" w:hAnsi="Arial" w:cs="Arial"/>
                <w:b/>
                <w:bCs/>
                <w:color w:val="FFFFFF" w:themeColor="background1"/>
                <w:sz w:val="20"/>
              </w:rPr>
              <w:t>READINESS HEARINGS</w:t>
            </w:r>
          </w:p>
        </w:tc>
      </w:tr>
      <w:tr w:rsidR="003B266F" w14:paraId="4C91404E" w14:textId="77777777" w:rsidTr="006C7FDA">
        <w:tc>
          <w:tcPr>
            <w:tcW w:w="1621" w:type="dxa"/>
            <w:shd w:val="clear" w:color="auto" w:fill="DDDDDD"/>
          </w:tcPr>
          <w:p w14:paraId="3A894882" w14:textId="77777777" w:rsidR="003B266F" w:rsidRDefault="003B266F" w:rsidP="006C7FDA">
            <w:pPr>
              <w:jc w:val="center"/>
              <w:rPr>
                <w:rFonts w:ascii="Arial" w:hAnsi="Arial" w:cs="Arial"/>
                <w:color w:val="000000"/>
                <w:sz w:val="20"/>
              </w:rPr>
            </w:pPr>
          </w:p>
        </w:tc>
        <w:tc>
          <w:tcPr>
            <w:tcW w:w="2415" w:type="dxa"/>
            <w:shd w:val="clear" w:color="auto" w:fill="DDDDDD"/>
          </w:tcPr>
          <w:p w14:paraId="3FAF872E" w14:textId="534F143E" w:rsidR="003B266F" w:rsidRPr="00FC237B" w:rsidRDefault="003B266F" w:rsidP="006C7FDA">
            <w:pPr>
              <w:jc w:val="center"/>
              <w:rPr>
                <w:rFonts w:ascii="Arial" w:hAnsi="Arial" w:cs="Arial"/>
                <w:b/>
                <w:bCs/>
                <w:color w:val="000000"/>
                <w:sz w:val="20"/>
              </w:rPr>
            </w:pPr>
            <w:r>
              <w:rPr>
                <w:rFonts w:ascii="Arial" w:hAnsi="Arial" w:cs="Arial"/>
                <w:b/>
                <w:bCs/>
                <w:color w:val="000000"/>
                <w:sz w:val="20"/>
              </w:rPr>
              <w:t>Re</w:t>
            </w:r>
            <w:r w:rsidR="00A51C44">
              <w:rPr>
                <w:rFonts w:ascii="Arial" w:hAnsi="Arial" w:cs="Arial"/>
                <w:b/>
                <w:bCs/>
                <w:color w:val="000000"/>
                <w:sz w:val="20"/>
              </w:rPr>
              <w:t>adiness</w:t>
            </w:r>
            <w:r>
              <w:rPr>
                <w:rFonts w:ascii="Arial" w:hAnsi="Arial" w:cs="Arial"/>
                <w:b/>
                <w:bCs/>
                <w:color w:val="000000"/>
                <w:sz w:val="20"/>
              </w:rPr>
              <w:t xml:space="preserve"> hearings</w:t>
            </w:r>
            <w:r w:rsidRPr="00FC237B">
              <w:rPr>
                <w:rFonts w:ascii="Arial" w:hAnsi="Arial" w:cs="Arial"/>
                <w:b/>
                <w:bCs/>
                <w:color w:val="000000"/>
                <w:sz w:val="20"/>
              </w:rPr>
              <w:t xml:space="preserve"> conducted</w:t>
            </w:r>
          </w:p>
        </w:tc>
        <w:tc>
          <w:tcPr>
            <w:tcW w:w="2415" w:type="dxa"/>
            <w:shd w:val="clear" w:color="auto" w:fill="DDDDDD"/>
          </w:tcPr>
          <w:p w14:paraId="4BE1D563" w14:textId="6A99B451" w:rsidR="003B266F" w:rsidRPr="00FC237B" w:rsidRDefault="003B266F" w:rsidP="006C7FDA">
            <w:pPr>
              <w:jc w:val="center"/>
              <w:rPr>
                <w:rFonts w:ascii="Arial" w:hAnsi="Arial" w:cs="Arial"/>
                <w:b/>
                <w:bCs/>
                <w:color w:val="000000"/>
                <w:sz w:val="20"/>
              </w:rPr>
            </w:pPr>
            <w:r>
              <w:rPr>
                <w:rFonts w:ascii="Arial" w:hAnsi="Arial" w:cs="Arial"/>
                <w:b/>
                <w:bCs/>
                <w:color w:val="000000"/>
                <w:sz w:val="20"/>
              </w:rPr>
              <w:t>Re</w:t>
            </w:r>
            <w:r w:rsidR="00A51C44">
              <w:rPr>
                <w:rFonts w:ascii="Arial" w:hAnsi="Arial" w:cs="Arial"/>
                <w:b/>
                <w:bCs/>
                <w:color w:val="000000"/>
                <w:sz w:val="20"/>
              </w:rPr>
              <w:t>adiness</w:t>
            </w:r>
            <w:r>
              <w:rPr>
                <w:rFonts w:ascii="Arial" w:hAnsi="Arial" w:cs="Arial"/>
                <w:b/>
                <w:bCs/>
                <w:color w:val="000000"/>
                <w:sz w:val="20"/>
              </w:rPr>
              <w:t xml:space="preserve"> hearings</w:t>
            </w:r>
            <w:r w:rsidRPr="00FC237B">
              <w:rPr>
                <w:rFonts w:ascii="Arial" w:hAnsi="Arial" w:cs="Arial"/>
                <w:b/>
                <w:bCs/>
                <w:color w:val="000000"/>
                <w:sz w:val="20"/>
              </w:rPr>
              <w:t xml:space="preserve"> achieving full settlement</w:t>
            </w:r>
          </w:p>
        </w:tc>
        <w:tc>
          <w:tcPr>
            <w:tcW w:w="1854" w:type="dxa"/>
            <w:shd w:val="clear" w:color="auto" w:fill="DDDDDD"/>
          </w:tcPr>
          <w:p w14:paraId="31C42376" w14:textId="77777777" w:rsidR="003B266F" w:rsidRPr="00FC237B" w:rsidRDefault="003B266F" w:rsidP="006C7FDA">
            <w:pPr>
              <w:jc w:val="center"/>
              <w:rPr>
                <w:rFonts w:ascii="Arial" w:hAnsi="Arial" w:cs="Arial"/>
                <w:b/>
                <w:bCs/>
                <w:color w:val="000000"/>
                <w:sz w:val="20"/>
              </w:rPr>
            </w:pPr>
            <w:r w:rsidRPr="00FC237B">
              <w:rPr>
                <w:rFonts w:ascii="Arial" w:hAnsi="Arial" w:cs="Arial"/>
                <w:b/>
                <w:bCs/>
                <w:color w:val="000000"/>
                <w:sz w:val="20"/>
              </w:rPr>
              <w:t>Full settlement rate</w:t>
            </w:r>
          </w:p>
        </w:tc>
      </w:tr>
      <w:tr w:rsidR="003B266F" w14:paraId="5E1B5CB6" w14:textId="77777777" w:rsidTr="006C7FDA">
        <w:tc>
          <w:tcPr>
            <w:tcW w:w="1621" w:type="dxa"/>
          </w:tcPr>
          <w:p w14:paraId="7B5CD363" w14:textId="77777777" w:rsidR="003B266F" w:rsidRDefault="003B266F" w:rsidP="006C7FDA">
            <w:pPr>
              <w:jc w:val="both"/>
              <w:rPr>
                <w:rFonts w:ascii="Arial" w:hAnsi="Arial" w:cs="Arial"/>
                <w:color w:val="000000"/>
                <w:sz w:val="20"/>
              </w:rPr>
            </w:pPr>
            <w:r>
              <w:rPr>
                <w:rFonts w:ascii="Arial" w:hAnsi="Arial" w:cs="Arial"/>
                <w:color w:val="000000"/>
                <w:sz w:val="20"/>
              </w:rPr>
              <w:t>2021/2022 FY</w:t>
            </w:r>
          </w:p>
        </w:tc>
        <w:tc>
          <w:tcPr>
            <w:tcW w:w="2415" w:type="dxa"/>
          </w:tcPr>
          <w:p w14:paraId="3326821D" w14:textId="77777777" w:rsidR="003B266F" w:rsidRDefault="003B266F" w:rsidP="006C7FDA">
            <w:pPr>
              <w:jc w:val="center"/>
              <w:rPr>
                <w:rFonts w:ascii="Arial" w:hAnsi="Arial" w:cs="Arial"/>
                <w:color w:val="000000"/>
                <w:sz w:val="20"/>
              </w:rPr>
            </w:pPr>
            <w:r>
              <w:rPr>
                <w:rFonts w:ascii="Arial" w:hAnsi="Arial" w:cs="Arial"/>
                <w:color w:val="000000"/>
                <w:sz w:val="20"/>
              </w:rPr>
              <w:t>1425</w:t>
            </w:r>
          </w:p>
        </w:tc>
        <w:tc>
          <w:tcPr>
            <w:tcW w:w="2415" w:type="dxa"/>
          </w:tcPr>
          <w:p w14:paraId="675A63D5" w14:textId="77777777" w:rsidR="003B266F" w:rsidRDefault="003B266F" w:rsidP="006C7FDA">
            <w:pPr>
              <w:jc w:val="center"/>
              <w:rPr>
                <w:rFonts w:ascii="Arial" w:hAnsi="Arial" w:cs="Arial"/>
                <w:color w:val="000000"/>
                <w:sz w:val="20"/>
              </w:rPr>
            </w:pPr>
            <w:r>
              <w:rPr>
                <w:rFonts w:ascii="Arial" w:hAnsi="Arial" w:cs="Arial"/>
                <w:color w:val="000000"/>
                <w:sz w:val="20"/>
              </w:rPr>
              <w:t>815</w:t>
            </w:r>
          </w:p>
        </w:tc>
        <w:tc>
          <w:tcPr>
            <w:tcW w:w="1854" w:type="dxa"/>
          </w:tcPr>
          <w:p w14:paraId="11B4BF4B" w14:textId="77777777" w:rsidR="003B266F" w:rsidRDefault="003B266F" w:rsidP="006C7FDA">
            <w:pPr>
              <w:jc w:val="center"/>
              <w:rPr>
                <w:rFonts w:ascii="Arial" w:hAnsi="Arial" w:cs="Arial"/>
                <w:color w:val="000000"/>
                <w:sz w:val="20"/>
              </w:rPr>
            </w:pPr>
            <w:r>
              <w:rPr>
                <w:rFonts w:ascii="Arial" w:hAnsi="Arial" w:cs="Arial"/>
                <w:color w:val="000000"/>
                <w:sz w:val="20"/>
              </w:rPr>
              <w:t>57.2%</w:t>
            </w:r>
          </w:p>
        </w:tc>
      </w:tr>
      <w:tr w:rsidR="003B266F" w14:paraId="5ED1B00C" w14:textId="77777777" w:rsidTr="006C7FDA">
        <w:tc>
          <w:tcPr>
            <w:tcW w:w="1621" w:type="dxa"/>
          </w:tcPr>
          <w:p w14:paraId="5AC0A25C" w14:textId="77777777" w:rsidR="003B266F" w:rsidRDefault="003B266F" w:rsidP="006C7FDA">
            <w:pPr>
              <w:jc w:val="both"/>
              <w:rPr>
                <w:rFonts w:ascii="Arial" w:hAnsi="Arial" w:cs="Arial"/>
                <w:color w:val="000000"/>
                <w:sz w:val="20"/>
              </w:rPr>
            </w:pPr>
            <w:r>
              <w:rPr>
                <w:rFonts w:ascii="Arial" w:hAnsi="Arial" w:cs="Arial"/>
                <w:color w:val="000000"/>
                <w:sz w:val="20"/>
              </w:rPr>
              <w:t>2022/2023 FY</w:t>
            </w:r>
          </w:p>
        </w:tc>
        <w:tc>
          <w:tcPr>
            <w:tcW w:w="2415" w:type="dxa"/>
          </w:tcPr>
          <w:p w14:paraId="2B218102" w14:textId="77777777" w:rsidR="003B266F" w:rsidRDefault="003B266F" w:rsidP="006C7FDA">
            <w:pPr>
              <w:jc w:val="center"/>
              <w:rPr>
                <w:rFonts w:ascii="Arial" w:hAnsi="Arial" w:cs="Arial"/>
                <w:color w:val="000000"/>
                <w:sz w:val="20"/>
              </w:rPr>
            </w:pPr>
            <w:r>
              <w:rPr>
                <w:rFonts w:ascii="Arial" w:hAnsi="Arial" w:cs="Arial"/>
                <w:color w:val="000000"/>
                <w:sz w:val="20"/>
              </w:rPr>
              <w:t>1220</w:t>
            </w:r>
          </w:p>
        </w:tc>
        <w:tc>
          <w:tcPr>
            <w:tcW w:w="2415" w:type="dxa"/>
          </w:tcPr>
          <w:p w14:paraId="3F5EFE8C" w14:textId="77777777" w:rsidR="003B266F" w:rsidRDefault="003B266F" w:rsidP="006C7FDA">
            <w:pPr>
              <w:jc w:val="center"/>
              <w:rPr>
                <w:rFonts w:ascii="Arial" w:hAnsi="Arial" w:cs="Arial"/>
                <w:color w:val="000000"/>
                <w:sz w:val="20"/>
              </w:rPr>
            </w:pPr>
            <w:r>
              <w:rPr>
                <w:rFonts w:ascii="Arial" w:hAnsi="Arial" w:cs="Arial"/>
                <w:color w:val="000000"/>
                <w:sz w:val="20"/>
              </w:rPr>
              <w:t>678</w:t>
            </w:r>
          </w:p>
        </w:tc>
        <w:tc>
          <w:tcPr>
            <w:tcW w:w="1854" w:type="dxa"/>
          </w:tcPr>
          <w:p w14:paraId="3A580C03" w14:textId="77777777" w:rsidR="003B266F" w:rsidRDefault="003B266F" w:rsidP="006C7FDA">
            <w:pPr>
              <w:jc w:val="center"/>
              <w:rPr>
                <w:rFonts w:ascii="Arial" w:hAnsi="Arial" w:cs="Arial"/>
                <w:color w:val="000000"/>
                <w:sz w:val="20"/>
              </w:rPr>
            </w:pPr>
            <w:r>
              <w:rPr>
                <w:rFonts w:ascii="Arial" w:hAnsi="Arial" w:cs="Arial"/>
                <w:color w:val="000000"/>
                <w:sz w:val="20"/>
              </w:rPr>
              <w:t>55.6%</w:t>
            </w:r>
          </w:p>
        </w:tc>
      </w:tr>
      <w:tr w:rsidR="003B266F" w14:paraId="3B3AF574" w14:textId="77777777" w:rsidTr="006C7FDA">
        <w:tc>
          <w:tcPr>
            <w:tcW w:w="1621" w:type="dxa"/>
          </w:tcPr>
          <w:p w14:paraId="2D5B97D9" w14:textId="77777777" w:rsidR="003B266F" w:rsidRDefault="003B266F" w:rsidP="006C7FDA">
            <w:pPr>
              <w:jc w:val="both"/>
              <w:rPr>
                <w:rFonts w:ascii="Arial" w:hAnsi="Arial" w:cs="Arial"/>
                <w:color w:val="000000"/>
                <w:sz w:val="20"/>
              </w:rPr>
            </w:pPr>
            <w:r>
              <w:rPr>
                <w:rFonts w:ascii="Arial" w:hAnsi="Arial" w:cs="Arial"/>
                <w:color w:val="000000"/>
                <w:sz w:val="20"/>
              </w:rPr>
              <w:t>1/7-31/12/2023</w:t>
            </w:r>
          </w:p>
        </w:tc>
        <w:tc>
          <w:tcPr>
            <w:tcW w:w="2415" w:type="dxa"/>
          </w:tcPr>
          <w:p w14:paraId="2DDD315B" w14:textId="77777777" w:rsidR="003B266F" w:rsidRDefault="003B266F" w:rsidP="006C7FDA">
            <w:pPr>
              <w:jc w:val="center"/>
              <w:rPr>
                <w:rFonts w:ascii="Arial" w:hAnsi="Arial" w:cs="Arial"/>
                <w:color w:val="000000"/>
                <w:sz w:val="20"/>
              </w:rPr>
            </w:pPr>
            <w:r>
              <w:rPr>
                <w:rFonts w:ascii="Arial" w:hAnsi="Arial" w:cs="Arial"/>
                <w:color w:val="000000"/>
                <w:sz w:val="20"/>
              </w:rPr>
              <w:t>567</w:t>
            </w:r>
          </w:p>
        </w:tc>
        <w:tc>
          <w:tcPr>
            <w:tcW w:w="2415" w:type="dxa"/>
          </w:tcPr>
          <w:p w14:paraId="19BB3B84" w14:textId="77777777" w:rsidR="003B266F" w:rsidRDefault="003B266F" w:rsidP="006C7FDA">
            <w:pPr>
              <w:jc w:val="center"/>
              <w:rPr>
                <w:rFonts w:ascii="Arial" w:hAnsi="Arial" w:cs="Arial"/>
                <w:color w:val="000000"/>
                <w:sz w:val="20"/>
              </w:rPr>
            </w:pPr>
            <w:r>
              <w:rPr>
                <w:rFonts w:ascii="Arial" w:hAnsi="Arial" w:cs="Arial"/>
                <w:color w:val="000000"/>
                <w:sz w:val="20"/>
              </w:rPr>
              <w:t>320</w:t>
            </w:r>
          </w:p>
        </w:tc>
        <w:tc>
          <w:tcPr>
            <w:tcW w:w="1854" w:type="dxa"/>
          </w:tcPr>
          <w:p w14:paraId="3EE6E70F" w14:textId="77777777" w:rsidR="003B266F" w:rsidRDefault="003B266F" w:rsidP="006C7FDA">
            <w:pPr>
              <w:jc w:val="center"/>
              <w:rPr>
                <w:rFonts w:ascii="Arial" w:hAnsi="Arial" w:cs="Arial"/>
                <w:color w:val="000000"/>
                <w:sz w:val="20"/>
              </w:rPr>
            </w:pPr>
            <w:r>
              <w:rPr>
                <w:rFonts w:ascii="Arial" w:hAnsi="Arial" w:cs="Arial"/>
                <w:color w:val="000000"/>
                <w:sz w:val="20"/>
              </w:rPr>
              <w:t>56.4%</w:t>
            </w:r>
          </w:p>
        </w:tc>
      </w:tr>
    </w:tbl>
    <w:p w14:paraId="714432E8" w14:textId="77777777" w:rsidR="003B266F" w:rsidRDefault="003B266F" w:rsidP="007D2F69">
      <w:pPr>
        <w:jc w:val="both"/>
        <w:rPr>
          <w:rFonts w:ascii="Arial" w:hAnsi="Arial" w:cs="Arial"/>
          <w:sz w:val="18"/>
          <w:szCs w:val="22"/>
        </w:rPr>
      </w:pPr>
    </w:p>
    <w:p w14:paraId="558CE634" w14:textId="0C7DBC53" w:rsidR="007F7F84" w:rsidRDefault="007F7F84" w:rsidP="007D2F69">
      <w:pPr>
        <w:jc w:val="both"/>
        <w:rPr>
          <w:rFonts w:ascii="Arial" w:hAnsi="Arial" w:cs="Arial"/>
          <w:sz w:val="20"/>
        </w:rPr>
      </w:pPr>
      <w:r w:rsidRPr="007F7F84">
        <w:rPr>
          <w:rFonts w:ascii="Arial" w:hAnsi="Arial" w:cs="Arial"/>
          <w:sz w:val="20"/>
        </w:rPr>
        <w:t xml:space="preserve">Readiness Hearings are now governed by </w:t>
      </w:r>
      <w:r>
        <w:rPr>
          <w:rFonts w:ascii="Arial" w:hAnsi="Arial" w:cs="Arial"/>
          <w:sz w:val="20"/>
        </w:rPr>
        <w:t>paragraphs 30-37 of Practice direction No.1 of 2025 which provide as follows:</w:t>
      </w:r>
    </w:p>
    <w:p w14:paraId="66B192DA" w14:textId="0F894B62" w:rsidR="007F7F84" w:rsidRDefault="007F7F84" w:rsidP="003B266F">
      <w:pPr>
        <w:spacing w:before="60"/>
        <w:ind w:left="1021" w:right="567" w:hanging="454"/>
        <w:jc w:val="both"/>
        <w:rPr>
          <w:rFonts w:ascii="Arial" w:hAnsi="Arial" w:cs="Arial"/>
          <w:sz w:val="20"/>
        </w:rPr>
      </w:pPr>
      <w:r>
        <w:rPr>
          <w:rFonts w:ascii="Arial" w:hAnsi="Arial" w:cs="Arial"/>
          <w:sz w:val="20"/>
        </w:rPr>
        <w:t>30.</w:t>
      </w:r>
      <w:r>
        <w:rPr>
          <w:rFonts w:ascii="Arial" w:hAnsi="Arial" w:cs="Arial"/>
          <w:sz w:val="20"/>
        </w:rPr>
        <w:tab/>
      </w:r>
      <w:r w:rsidRPr="007F7F84">
        <w:rPr>
          <w:rFonts w:ascii="Arial" w:hAnsi="Arial" w:cs="Arial"/>
          <w:sz w:val="20"/>
        </w:rPr>
        <w:t>Readiness Hearings incorporate features of case management as well as judicially led dispute resolution processes.</w:t>
      </w:r>
    </w:p>
    <w:p w14:paraId="6BEA683E" w14:textId="18522B96" w:rsidR="007F7F84" w:rsidRDefault="007F7F84" w:rsidP="003B266F">
      <w:pPr>
        <w:spacing w:before="60"/>
        <w:ind w:left="1021" w:right="567" w:hanging="454"/>
        <w:jc w:val="both"/>
        <w:rPr>
          <w:rFonts w:ascii="Arial" w:hAnsi="Arial" w:cs="Arial"/>
          <w:sz w:val="20"/>
        </w:rPr>
      </w:pPr>
      <w:r>
        <w:rPr>
          <w:rFonts w:ascii="Arial" w:hAnsi="Arial" w:cs="Arial"/>
          <w:sz w:val="20"/>
        </w:rPr>
        <w:t>31.</w:t>
      </w:r>
      <w:r>
        <w:rPr>
          <w:rFonts w:ascii="Arial" w:hAnsi="Arial" w:cs="Arial"/>
          <w:sz w:val="20"/>
        </w:rPr>
        <w:tab/>
      </w:r>
      <w:r w:rsidRPr="007F7F84">
        <w:rPr>
          <w:rFonts w:ascii="Arial" w:hAnsi="Arial" w:cs="Arial"/>
          <w:sz w:val="20"/>
        </w:rPr>
        <w:t>Unless the Court directs otherwise, no evidence of anything said or done in a Readiness Hearing will be admissible in any subsequent hearing.</w:t>
      </w:r>
    </w:p>
    <w:p w14:paraId="073D7405" w14:textId="0DA9D38F" w:rsidR="007F7F84" w:rsidRDefault="007F7F84" w:rsidP="003B266F">
      <w:pPr>
        <w:spacing w:before="60"/>
        <w:ind w:left="1021" w:right="567" w:hanging="454"/>
        <w:jc w:val="both"/>
        <w:rPr>
          <w:rFonts w:ascii="Arial" w:hAnsi="Arial" w:cs="Arial"/>
          <w:sz w:val="20"/>
        </w:rPr>
      </w:pPr>
      <w:r>
        <w:rPr>
          <w:rFonts w:ascii="Arial" w:hAnsi="Arial" w:cs="Arial"/>
          <w:sz w:val="20"/>
        </w:rPr>
        <w:t>32.</w:t>
      </w:r>
      <w:r>
        <w:rPr>
          <w:rFonts w:ascii="Arial" w:hAnsi="Arial" w:cs="Arial"/>
          <w:sz w:val="20"/>
        </w:rPr>
        <w:tab/>
      </w:r>
      <w:r w:rsidRPr="007F7F84">
        <w:rPr>
          <w:rFonts w:ascii="Arial" w:hAnsi="Arial" w:cs="Arial"/>
          <w:sz w:val="20"/>
        </w:rPr>
        <w:t>At least 7 days prior to the listing of the Readiness Hearing DFFH or the authorised Aboriginal agency must file in the CMS portal and serve on all parties:</w:t>
      </w:r>
    </w:p>
    <w:p w14:paraId="675F7D59" w14:textId="46C1FF20" w:rsidR="007F7F84" w:rsidRDefault="003B266F" w:rsidP="003B266F">
      <w:pPr>
        <w:ind w:left="1021" w:right="567"/>
        <w:jc w:val="both"/>
        <w:rPr>
          <w:rFonts w:ascii="Arial" w:hAnsi="Arial" w:cs="Arial"/>
          <w:sz w:val="20"/>
        </w:rPr>
      </w:pPr>
      <w:r>
        <w:rPr>
          <w:rFonts w:ascii="Arial" w:hAnsi="Arial" w:cs="Arial"/>
          <w:sz w:val="20"/>
        </w:rPr>
        <w:t>a.</w:t>
      </w:r>
      <w:r>
        <w:rPr>
          <w:rFonts w:ascii="Arial" w:hAnsi="Arial" w:cs="Arial"/>
          <w:sz w:val="20"/>
        </w:rPr>
        <w:tab/>
      </w:r>
      <w:r w:rsidRPr="007F7F84">
        <w:rPr>
          <w:rFonts w:ascii="Arial" w:hAnsi="Arial" w:cs="Arial"/>
          <w:sz w:val="20"/>
        </w:rPr>
        <w:t>an updated report which must be in short-form format; and</w:t>
      </w:r>
    </w:p>
    <w:p w14:paraId="169FBA28" w14:textId="5EF7F09D" w:rsidR="003B266F" w:rsidRDefault="003B266F" w:rsidP="003B266F">
      <w:pPr>
        <w:ind w:left="1475" w:right="567" w:hanging="454"/>
        <w:jc w:val="both"/>
        <w:rPr>
          <w:rFonts w:ascii="Arial" w:hAnsi="Arial" w:cs="Arial"/>
          <w:sz w:val="20"/>
        </w:rPr>
      </w:pPr>
      <w:r>
        <w:rPr>
          <w:rFonts w:ascii="Arial" w:hAnsi="Arial" w:cs="Arial"/>
          <w:sz w:val="20"/>
        </w:rPr>
        <w:t>b.</w:t>
      </w:r>
      <w:r>
        <w:rPr>
          <w:rFonts w:ascii="Arial" w:hAnsi="Arial" w:cs="Arial"/>
          <w:sz w:val="20"/>
        </w:rPr>
        <w:tab/>
      </w:r>
      <w:r w:rsidRPr="007F7F84">
        <w:rPr>
          <w:rFonts w:ascii="Arial" w:hAnsi="Arial" w:cs="Arial"/>
          <w:sz w:val="20"/>
        </w:rPr>
        <w:t>any other new report upon which it proposes to rely; and</w:t>
      </w:r>
    </w:p>
    <w:p w14:paraId="0C18E0B0" w14:textId="2510EEC0" w:rsidR="003B266F" w:rsidRPr="007F7F84" w:rsidRDefault="003B266F" w:rsidP="003B266F">
      <w:pPr>
        <w:ind w:left="1475" w:right="567" w:hanging="454"/>
        <w:jc w:val="both"/>
        <w:rPr>
          <w:rFonts w:ascii="Arial" w:hAnsi="Arial" w:cs="Arial"/>
          <w:sz w:val="20"/>
        </w:rPr>
      </w:pPr>
      <w:r>
        <w:rPr>
          <w:rFonts w:ascii="Arial" w:hAnsi="Arial" w:cs="Arial"/>
          <w:sz w:val="20"/>
        </w:rPr>
        <w:t>c.</w:t>
      </w:r>
      <w:r>
        <w:rPr>
          <w:rFonts w:ascii="Arial" w:hAnsi="Arial" w:cs="Arial"/>
          <w:sz w:val="20"/>
        </w:rPr>
        <w:tab/>
      </w:r>
      <w:r w:rsidRPr="007F7F84">
        <w:rPr>
          <w:rFonts w:ascii="Arial" w:hAnsi="Arial" w:cs="Arial"/>
          <w:sz w:val="20"/>
        </w:rPr>
        <w:t>at least 4 days prior to the Readiness Hearing:</w:t>
      </w:r>
      <w:r>
        <w:rPr>
          <w:rFonts w:ascii="Arial" w:hAnsi="Arial" w:cs="Arial"/>
          <w:sz w:val="20"/>
        </w:rPr>
        <w:t xml:space="preserve"> </w:t>
      </w:r>
      <w:r w:rsidRPr="007F7F84">
        <w:rPr>
          <w:rFonts w:ascii="Arial" w:hAnsi="Arial" w:cs="Arial"/>
          <w:sz w:val="20"/>
        </w:rPr>
        <w:t>a completed Readiness Hearing Certificate prepared after consultation with the other parties.</w:t>
      </w:r>
    </w:p>
    <w:p w14:paraId="38881BD0" w14:textId="2373058F" w:rsidR="003B266F" w:rsidRDefault="003B266F" w:rsidP="003B266F">
      <w:pPr>
        <w:spacing w:before="60"/>
        <w:ind w:left="1021" w:right="567" w:hanging="454"/>
        <w:jc w:val="both"/>
        <w:rPr>
          <w:rFonts w:ascii="Arial" w:hAnsi="Arial" w:cs="Arial"/>
          <w:sz w:val="20"/>
        </w:rPr>
      </w:pPr>
      <w:r>
        <w:rPr>
          <w:rFonts w:ascii="Arial" w:hAnsi="Arial" w:cs="Arial"/>
          <w:sz w:val="20"/>
        </w:rPr>
        <w:t>33.</w:t>
      </w:r>
      <w:r>
        <w:rPr>
          <w:rFonts w:ascii="Arial" w:hAnsi="Arial" w:cs="Arial"/>
          <w:sz w:val="20"/>
        </w:rPr>
        <w:tab/>
      </w:r>
      <w:r w:rsidRPr="007F7F84">
        <w:rPr>
          <w:rFonts w:ascii="Arial" w:hAnsi="Arial" w:cs="Arial"/>
          <w:sz w:val="20"/>
        </w:rPr>
        <w:t>The legal representative (or, if self-represented, the party) is required to file an appearance form no later than 7 days before the Readiness Hearing which includes the phone number and email address for the party and the legal practitioner (if any). The email address provided is used to send a hearing invitation to join the Readiness Hearing. It is expected that practitioners and parties will appear by audio visual link and only if parties do not have the necessary technology will they be permitted to appear by audio link only.</w:t>
      </w:r>
    </w:p>
    <w:p w14:paraId="0782168F" w14:textId="3C55E471" w:rsidR="003B266F" w:rsidRDefault="003B266F" w:rsidP="003B266F">
      <w:pPr>
        <w:spacing w:before="60"/>
        <w:ind w:left="1021" w:right="567" w:hanging="454"/>
        <w:jc w:val="both"/>
        <w:rPr>
          <w:rFonts w:ascii="Arial" w:hAnsi="Arial" w:cs="Arial"/>
          <w:sz w:val="20"/>
        </w:rPr>
      </w:pPr>
      <w:r>
        <w:rPr>
          <w:rFonts w:ascii="Arial" w:hAnsi="Arial" w:cs="Arial"/>
          <w:sz w:val="20"/>
        </w:rPr>
        <w:t>34.</w:t>
      </w:r>
      <w:r>
        <w:rPr>
          <w:rFonts w:ascii="Arial" w:hAnsi="Arial" w:cs="Arial"/>
          <w:sz w:val="20"/>
        </w:rPr>
        <w:tab/>
      </w:r>
      <w:r w:rsidRPr="007F7F84">
        <w:rPr>
          <w:rFonts w:ascii="Arial" w:hAnsi="Arial" w:cs="Arial"/>
          <w:sz w:val="20"/>
        </w:rPr>
        <w:t>If the matter resolves prior to the listed Readiness Hearing the parties are required to immediately advise the relevant registry. When the matter has been abridged, draft orders must be filed in the CMS portal.</w:t>
      </w:r>
    </w:p>
    <w:p w14:paraId="444F75B1" w14:textId="5C679C67" w:rsidR="003B266F" w:rsidRDefault="003B266F" w:rsidP="003B266F">
      <w:pPr>
        <w:spacing w:before="60"/>
        <w:ind w:left="1021" w:right="567" w:hanging="454"/>
        <w:jc w:val="both"/>
        <w:rPr>
          <w:rFonts w:ascii="Arial" w:hAnsi="Arial" w:cs="Arial"/>
          <w:sz w:val="20"/>
        </w:rPr>
      </w:pPr>
      <w:r>
        <w:rPr>
          <w:rFonts w:ascii="Arial" w:hAnsi="Arial" w:cs="Arial"/>
          <w:sz w:val="20"/>
        </w:rPr>
        <w:t>35.</w:t>
      </w:r>
      <w:r>
        <w:rPr>
          <w:rFonts w:ascii="Arial" w:hAnsi="Arial" w:cs="Arial"/>
          <w:sz w:val="20"/>
        </w:rPr>
        <w:tab/>
      </w:r>
      <w:r w:rsidRPr="007F7F84">
        <w:rPr>
          <w:rFonts w:ascii="Arial" w:hAnsi="Arial" w:cs="Arial"/>
          <w:sz w:val="20"/>
        </w:rPr>
        <w:t>The legal practitioners for the parties (including Counsel or Solicitor for DFFH or an authorised Aboriginal agency) are required to have obtained their client’s updated instructions prior to the Readiness Hearing. All parties, including those parties appearing on their own behalf, are expected to have conferred prior to the Readiness Hearing and are required to be able to identify the issues in dispute in the case and the relevant witnesses to be called if the matter is to be listed for a final contested hearing.</w:t>
      </w:r>
    </w:p>
    <w:p w14:paraId="16E72280" w14:textId="226C5977" w:rsidR="003B266F" w:rsidRDefault="003B266F" w:rsidP="003B266F">
      <w:pPr>
        <w:spacing w:before="60"/>
        <w:ind w:left="1021" w:right="567" w:hanging="454"/>
        <w:jc w:val="both"/>
        <w:rPr>
          <w:rFonts w:ascii="Arial" w:hAnsi="Arial" w:cs="Arial"/>
          <w:sz w:val="20"/>
        </w:rPr>
      </w:pPr>
      <w:r>
        <w:rPr>
          <w:rFonts w:ascii="Arial" w:hAnsi="Arial" w:cs="Arial"/>
          <w:sz w:val="20"/>
        </w:rPr>
        <w:lastRenderedPageBreak/>
        <w:t>36.</w:t>
      </w:r>
      <w:r>
        <w:rPr>
          <w:rFonts w:ascii="Arial" w:hAnsi="Arial" w:cs="Arial"/>
          <w:sz w:val="20"/>
        </w:rPr>
        <w:tab/>
      </w:r>
      <w:r w:rsidRPr="007F7F84">
        <w:rPr>
          <w:rFonts w:ascii="Arial" w:hAnsi="Arial" w:cs="Arial"/>
          <w:sz w:val="20"/>
        </w:rPr>
        <w:t>If the matter does not resolve at the Readiness Hearing the matter will be adjourned on such terms and conditions as ordered by the Court.</w:t>
      </w:r>
    </w:p>
    <w:p w14:paraId="6A360EEA" w14:textId="0749E0F1" w:rsidR="003B266F" w:rsidRDefault="003B266F" w:rsidP="003B266F">
      <w:pPr>
        <w:spacing w:before="60"/>
        <w:ind w:left="1021" w:right="567" w:hanging="454"/>
        <w:jc w:val="both"/>
        <w:rPr>
          <w:rFonts w:ascii="Arial" w:hAnsi="Arial" w:cs="Arial"/>
          <w:sz w:val="20"/>
        </w:rPr>
      </w:pPr>
      <w:r>
        <w:rPr>
          <w:rFonts w:ascii="Arial" w:hAnsi="Arial" w:cs="Arial"/>
          <w:sz w:val="20"/>
        </w:rPr>
        <w:t>37.</w:t>
      </w:r>
      <w:r>
        <w:rPr>
          <w:rFonts w:ascii="Arial" w:hAnsi="Arial" w:cs="Arial"/>
          <w:sz w:val="20"/>
        </w:rPr>
        <w:tab/>
      </w:r>
      <w:r w:rsidRPr="007F7F84">
        <w:rPr>
          <w:rFonts w:ascii="Arial" w:hAnsi="Arial" w:cs="Arial"/>
          <w:sz w:val="20"/>
        </w:rPr>
        <w:t>In the event the matter is listed for a final contested hearing, procedural orders will be made and a witness list will be drafted with the input of all parties. Where the final contested hearing date is more than 3 months after the Readiness Hearing, a directions hearing may be listed not less than 6</w:t>
      </w:r>
      <w:r>
        <w:rPr>
          <w:rFonts w:ascii="Arial" w:hAnsi="Arial" w:cs="Arial"/>
          <w:sz w:val="20"/>
        </w:rPr>
        <w:t> </w:t>
      </w:r>
      <w:r w:rsidRPr="007F7F84">
        <w:rPr>
          <w:rFonts w:ascii="Arial" w:hAnsi="Arial" w:cs="Arial"/>
          <w:sz w:val="20"/>
        </w:rPr>
        <w:t>weeks prior to the contest hearing date.</w:t>
      </w:r>
    </w:p>
    <w:p w14:paraId="09F77FCD" w14:textId="77777777" w:rsidR="000B1850" w:rsidRPr="002F7CE3" w:rsidRDefault="000B1850" w:rsidP="007D2F69">
      <w:pPr>
        <w:jc w:val="both"/>
        <w:rPr>
          <w:rFonts w:ascii="Arial" w:hAnsi="Arial" w:cs="Arial"/>
          <w:sz w:val="18"/>
          <w:szCs w:val="22"/>
        </w:rPr>
      </w:pPr>
    </w:p>
    <w:p w14:paraId="47E801CA" w14:textId="72A09D6C" w:rsidR="009E1546" w:rsidRDefault="009E1546" w:rsidP="007D2F69">
      <w:pPr>
        <w:jc w:val="both"/>
        <w:rPr>
          <w:rFonts w:ascii="Arial" w:hAnsi="Arial" w:cs="Arial"/>
          <w:sz w:val="20"/>
        </w:rPr>
      </w:pPr>
      <w:r>
        <w:rPr>
          <w:rFonts w:ascii="Arial" w:hAnsi="Arial" w:cs="Arial"/>
          <w:sz w:val="20"/>
        </w:rPr>
        <w:t xml:space="preserve">Secondary benefits of Readiness </w:t>
      </w:r>
      <w:r w:rsidR="00EB4219">
        <w:rPr>
          <w:rFonts w:ascii="Arial" w:hAnsi="Arial" w:cs="Arial"/>
          <w:sz w:val="20"/>
        </w:rPr>
        <w:t>H</w:t>
      </w:r>
      <w:r>
        <w:rPr>
          <w:rFonts w:ascii="Arial" w:hAnsi="Arial" w:cs="Arial"/>
          <w:sz w:val="20"/>
        </w:rPr>
        <w:t>earings are that</w:t>
      </w:r>
      <w:r w:rsidR="002F7CE3">
        <w:rPr>
          <w:rFonts w:ascii="Arial" w:hAnsi="Arial" w:cs="Arial"/>
          <w:sz w:val="20"/>
        </w:rPr>
        <w:t>:</w:t>
      </w:r>
    </w:p>
    <w:p w14:paraId="602AC6C1" w14:textId="5D263931" w:rsidR="009E1546" w:rsidRDefault="002F7CE3">
      <w:pPr>
        <w:pStyle w:val="ListParagraph"/>
        <w:numPr>
          <w:ilvl w:val="0"/>
          <w:numId w:val="110"/>
        </w:numPr>
        <w:ind w:left="357" w:hanging="357"/>
        <w:jc w:val="both"/>
        <w:rPr>
          <w:rFonts w:ascii="Arial" w:hAnsi="Arial" w:cs="Arial"/>
          <w:sz w:val="20"/>
        </w:rPr>
      </w:pPr>
      <w:r>
        <w:rPr>
          <w:rFonts w:ascii="Arial" w:hAnsi="Arial" w:cs="Arial"/>
          <w:sz w:val="20"/>
        </w:rPr>
        <w:t xml:space="preserve">they give the parties a benefit of a judicial officer’s view of their respective cases which appears to cause a not insignificant number of cases to resolve at some point between the end of the </w:t>
      </w:r>
      <w:r w:rsidR="00EB4219">
        <w:rPr>
          <w:rFonts w:ascii="Arial" w:hAnsi="Arial" w:cs="Arial"/>
          <w:sz w:val="20"/>
        </w:rPr>
        <w:t>R</w:t>
      </w:r>
      <w:r>
        <w:rPr>
          <w:rFonts w:ascii="Arial" w:hAnsi="Arial" w:cs="Arial"/>
          <w:sz w:val="20"/>
        </w:rPr>
        <w:t xml:space="preserve">eadiness </w:t>
      </w:r>
      <w:r w:rsidR="00EB4219">
        <w:rPr>
          <w:rFonts w:ascii="Arial" w:hAnsi="Arial" w:cs="Arial"/>
          <w:sz w:val="20"/>
        </w:rPr>
        <w:t>H</w:t>
      </w:r>
      <w:r>
        <w:rPr>
          <w:rFonts w:ascii="Arial" w:hAnsi="Arial" w:cs="Arial"/>
          <w:sz w:val="20"/>
        </w:rPr>
        <w:t>earing and the start of the evidence-based contest; and</w:t>
      </w:r>
    </w:p>
    <w:p w14:paraId="1733ACCC" w14:textId="116E1FD3" w:rsidR="002F7CE3" w:rsidRPr="009E1546" w:rsidRDefault="002F7CE3">
      <w:pPr>
        <w:pStyle w:val="ListParagraph"/>
        <w:numPr>
          <w:ilvl w:val="0"/>
          <w:numId w:val="110"/>
        </w:numPr>
        <w:ind w:left="357" w:hanging="357"/>
        <w:jc w:val="both"/>
        <w:rPr>
          <w:rFonts w:ascii="Arial" w:hAnsi="Arial" w:cs="Arial"/>
          <w:sz w:val="20"/>
        </w:rPr>
      </w:pPr>
      <w:r>
        <w:rPr>
          <w:rFonts w:ascii="Arial" w:hAnsi="Arial" w:cs="Arial"/>
          <w:sz w:val="20"/>
        </w:rPr>
        <w:t>they ensure that the parties are more prepared for an evidence-based contest by confirming such matters as the names and availability of witnesses intended to be called.</w:t>
      </w:r>
    </w:p>
    <w:p w14:paraId="256322B7" w14:textId="77777777" w:rsidR="002F7CE3" w:rsidRPr="002F7CE3" w:rsidRDefault="002F7CE3" w:rsidP="007D2F69">
      <w:pPr>
        <w:jc w:val="both"/>
        <w:rPr>
          <w:rFonts w:ascii="Arial" w:hAnsi="Arial" w:cs="Arial"/>
          <w:sz w:val="18"/>
          <w:szCs w:val="22"/>
        </w:rPr>
      </w:pPr>
    </w:p>
    <w:p w14:paraId="644420CB" w14:textId="52961E46" w:rsidR="002444EA" w:rsidRDefault="002F7CE3" w:rsidP="002F7CE3">
      <w:pPr>
        <w:spacing w:after="120"/>
        <w:jc w:val="both"/>
        <w:rPr>
          <w:rFonts w:ascii="Arial" w:hAnsi="Arial" w:cs="Arial"/>
          <w:sz w:val="20"/>
        </w:rPr>
      </w:pPr>
      <w:r>
        <w:rPr>
          <w:rFonts w:ascii="Arial" w:hAnsi="Arial" w:cs="Arial"/>
          <w:sz w:val="20"/>
        </w:rPr>
        <w:t xml:space="preserve">These benefits are demonstrated by the </w:t>
      </w:r>
      <w:r w:rsidR="002444EA">
        <w:rPr>
          <w:rFonts w:ascii="Arial" w:hAnsi="Arial" w:cs="Arial"/>
          <w:sz w:val="20"/>
        </w:rPr>
        <w:t xml:space="preserve">large reduction in the percentage of contested hearings adjourned between </w:t>
      </w:r>
      <w:r w:rsidR="009970B7">
        <w:rPr>
          <w:rFonts w:ascii="Arial" w:hAnsi="Arial" w:cs="Arial"/>
          <w:sz w:val="20"/>
        </w:rPr>
        <w:t xml:space="preserve">1 </w:t>
      </w:r>
      <w:r w:rsidR="002444EA">
        <w:rPr>
          <w:rFonts w:ascii="Arial" w:hAnsi="Arial" w:cs="Arial"/>
          <w:sz w:val="20"/>
        </w:rPr>
        <w:t xml:space="preserve">July &amp; </w:t>
      </w:r>
      <w:r w:rsidR="009970B7">
        <w:rPr>
          <w:rFonts w:ascii="Arial" w:hAnsi="Arial" w:cs="Arial"/>
          <w:sz w:val="20"/>
        </w:rPr>
        <w:t>10 Dec</w:t>
      </w:r>
      <w:r w:rsidR="002444EA">
        <w:rPr>
          <w:rFonts w:ascii="Arial" w:hAnsi="Arial" w:cs="Arial"/>
          <w:sz w:val="20"/>
        </w:rPr>
        <w:t xml:space="preserve">ember 2021 compared </w:t>
      </w:r>
      <w:r w:rsidR="001870BB">
        <w:rPr>
          <w:rFonts w:ascii="Arial" w:hAnsi="Arial" w:cs="Arial"/>
          <w:sz w:val="20"/>
        </w:rPr>
        <w:t xml:space="preserve">with </w:t>
      </w:r>
      <w:r w:rsidR="002444EA">
        <w:rPr>
          <w:rFonts w:ascii="Arial" w:hAnsi="Arial" w:cs="Arial"/>
          <w:sz w:val="20"/>
        </w:rPr>
        <w:t>the percentage which were adjourned in the 2018</w:t>
      </w:r>
      <w:r w:rsidR="00D9623F">
        <w:rPr>
          <w:rFonts w:ascii="Arial" w:hAnsi="Arial" w:cs="Arial"/>
          <w:sz w:val="20"/>
        </w:rPr>
        <w:t>/20</w:t>
      </w:r>
      <w:r w:rsidR="002444EA">
        <w:rPr>
          <w:rFonts w:ascii="Arial" w:hAnsi="Arial" w:cs="Arial"/>
          <w:sz w:val="20"/>
        </w:rPr>
        <w:t>19 financial year</w:t>
      </w:r>
      <w:r w:rsidR="005F4435">
        <w:rPr>
          <w:rFonts w:ascii="Arial" w:hAnsi="Arial" w:cs="Arial"/>
          <w:sz w:val="20"/>
        </w:rPr>
        <w:t xml:space="preserve"> (before the introduction of </w:t>
      </w:r>
      <w:r w:rsidR="001870BB">
        <w:rPr>
          <w:rFonts w:ascii="Arial" w:hAnsi="Arial" w:cs="Arial"/>
          <w:sz w:val="20"/>
        </w:rPr>
        <w:t>R</w:t>
      </w:r>
      <w:r w:rsidR="005F4435">
        <w:rPr>
          <w:rFonts w:ascii="Arial" w:hAnsi="Arial" w:cs="Arial"/>
          <w:sz w:val="20"/>
        </w:rPr>
        <w:t xml:space="preserve">eadiness </w:t>
      </w:r>
      <w:r w:rsidR="00EB4219">
        <w:rPr>
          <w:rFonts w:ascii="Arial" w:hAnsi="Arial" w:cs="Arial"/>
          <w:sz w:val="20"/>
        </w:rPr>
        <w:t>H</w:t>
      </w:r>
      <w:r w:rsidR="005F4435">
        <w:rPr>
          <w:rFonts w:ascii="Arial" w:hAnsi="Arial" w:cs="Arial"/>
          <w:sz w:val="20"/>
        </w:rPr>
        <w:t>earings)</w:t>
      </w:r>
      <w:r w:rsidR="002444EA">
        <w:rPr>
          <w:rFonts w:ascii="Arial" w:hAnsi="Arial" w:cs="Arial"/>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2750"/>
        <w:gridCol w:w="2770"/>
      </w:tblGrid>
      <w:tr w:rsidR="009970B7" w:rsidRPr="00855531" w14:paraId="3088BC69" w14:textId="77777777" w:rsidTr="002F7CE3">
        <w:tc>
          <w:tcPr>
            <w:tcW w:w="2782" w:type="dxa"/>
            <w:shd w:val="clear" w:color="auto" w:fill="000000"/>
          </w:tcPr>
          <w:p w14:paraId="501EA4A6" w14:textId="77777777" w:rsidR="009970B7" w:rsidRPr="00855531" w:rsidRDefault="00C60943" w:rsidP="00302E60">
            <w:pPr>
              <w:jc w:val="center"/>
              <w:rPr>
                <w:rFonts w:ascii="Arial" w:hAnsi="Arial" w:cs="Arial"/>
                <w:b/>
                <w:bCs/>
                <w:sz w:val="20"/>
                <w:szCs w:val="20"/>
              </w:rPr>
            </w:pPr>
            <w:r w:rsidRPr="00855531">
              <w:rPr>
                <w:rFonts w:ascii="Arial" w:hAnsi="Arial" w:cs="Arial"/>
                <w:b/>
                <w:bCs/>
                <w:sz w:val="20"/>
                <w:szCs w:val="20"/>
              </w:rPr>
              <w:t>CONTESTED HEARINGS</w:t>
            </w:r>
          </w:p>
        </w:tc>
        <w:tc>
          <w:tcPr>
            <w:tcW w:w="2750" w:type="dxa"/>
            <w:shd w:val="clear" w:color="auto" w:fill="000000"/>
          </w:tcPr>
          <w:p w14:paraId="429F4FDE" w14:textId="555DD05D" w:rsidR="009970B7" w:rsidRPr="00855531" w:rsidRDefault="009970B7" w:rsidP="00855531">
            <w:pPr>
              <w:jc w:val="center"/>
              <w:rPr>
                <w:rFonts w:ascii="Arial" w:hAnsi="Arial" w:cs="Arial"/>
                <w:b/>
                <w:bCs/>
                <w:sz w:val="20"/>
                <w:szCs w:val="20"/>
              </w:rPr>
            </w:pPr>
            <w:r w:rsidRPr="00855531">
              <w:rPr>
                <w:rFonts w:ascii="Arial" w:hAnsi="Arial" w:cs="Arial"/>
                <w:b/>
                <w:bCs/>
                <w:sz w:val="20"/>
                <w:szCs w:val="20"/>
              </w:rPr>
              <w:t>2018</w:t>
            </w:r>
            <w:r w:rsidR="00D9623F">
              <w:rPr>
                <w:rFonts w:ascii="Arial" w:hAnsi="Arial" w:cs="Arial"/>
                <w:b/>
                <w:bCs/>
                <w:sz w:val="20"/>
                <w:szCs w:val="20"/>
              </w:rPr>
              <w:t>/20</w:t>
            </w:r>
            <w:r w:rsidRPr="00855531">
              <w:rPr>
                <w:rFonts w:ascii="Arial" w:hAnsi="Arial" w:cs="Arial"/>
                <w:b/>
                <w:bCs/>
                <w:sz w:val="20"/>
                <w:szCs w:val="20"/>
              </w:rPr>
              <w:t>19 FY</w:t>
            </w:r>
          </w:p>
        </w:tc>
        <w:tc>
          <w:tcPr>
            <w:tcW w:w="2770" w:type="dxa"/>
            <w:shd w:val="clear" w:color="auto" w:fill="000000"/>
          </w:tcPr>
          <w:p w14:paraId="74C7D023" w14:textId="77777777" w:rsidR="009970B7" w:rsidRPr="00855531" w:rsidRDefault="009970B7" w:rsidP="00302E60">
            <w:pPr>
              <w:jc w:val="center"/>
              <w:rPr>
                <w:rFonts w:ascii="Arial" w:hAnsi="Arial" w:cs="Arial"/>
                <w:b/>
                <w:bCs/>
                <w:sz w:val="20"/>
                <w:szCs w:val="20"/>
              </w:rPr>
            </w:pPr>
            <w:r w:rsidRPr="00855531">
              <w:rPr>
                <w:rFonts w:ascii="Arial" w:hAnsi="Arial" w:cs="Arial"/>
                <w:b/>
                <w:bCs/>
                <w:sz w:val="20"/>
                <w:szCs w:val="20"/>
              </w:rPr>
              <w:t>1 July- 10 December 2021</w:t>
            </w:r>
          </w:p>
        </w:tc>
      </w:tr>
      <w:tr w:rsidR="009970B7" w:rsidRPr="00855531" w14:paraId="40F5FD69" w14:textId="77777777" w:rsidTr="002F7CE3">
        <w:tc>
          <w:tcPr>
            <w:tcW w:w="2782" w:type="dxa"/>
          </w:tcPr>
          <w:p w14:paraId="08B0DEFD"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Proceeded</w:t>
            </w:r>
          </w:p>
        </w:tc>
        <w:tc>
          <w:tcPr>
            <w:tcW w:w="2750" w:type="dxa"/>
          </w:tcPr>
          <w:p w14:paraId="04675765"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20%</w:t>
            </w:r>
          </w:p>
        </w:tc>
        <w:tc>
          <w:tcPr>
            <w:tcW w:w="2770" w:type="dxa"/>
          </w:tcPr>
          <w:p w14:paraId="0B907C1C"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46%</w:t>
            </w:r>
          </w:p>
        </w:tc>
      </w:tr>
      <w:tr w:rsidR="009970B7" w:rsidRPr="00855531" w14:paraId="45BC7627" w14:textId="77777777" w:rsidTr="002F7CE3">
        <w:tc>
          <w:tcPr>
            <w:tcW w:w="2782" w:type="dxa"/>
          </w:tcPr>
          <w:p w14:paraId="38078AAC"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Adjourned</w:t>
            </w:r>
          </w:p>
        </w:tc>
        <w:tc>
          <w:tcPr>
            <w:tcW w:w="2750" w:type="dxa"/>
          </w:tcPr>
          <w:p w14:paraId="145FC70C"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51%</w:t>
            </w:r>
          </w:p>
        </w:tc>
        <w:tc>
          <w:tcPr>
            <w:tcW w:w="2770" w:type="dxa"/>
          </w:tcPr>
          <w:p w14:paraId="3963D3AD"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18%</w:t>
            </w:r>
          </w:p>
        </w:tc>
      </w:tr>
      <w:tr w:rsidR="009970B7" w:rsidRPr="00855531" w14:paraId="5A4ABC15" w14:textId="77777777" w:rsidTr="002F7CE3">
        <w:tc>
          <w:tcPr>
            <w:tcW w:w="2782" w:type="dxa"/>
          </w:tcPr>
          <w:p w14:paraId="6A0D9BFE"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Resolved</w:t>
            </w:r>
          </w:p>
        </w:tc>
        <w:tc>
          <w:tcPr>
            <w:tcW w:w="2750" w:type="dxa"/>
          </w:tcPr>
          <w:p w14:paraId="272659B5"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29%</w:t>
            </w:r>
          </w:p>
        </w:tc>
        <w:tc>
          <w:tcPr>
            <w:tcW w:w="2770" w:type="dxa"/>
          </w:tcPr>
          <w:p w14:paraId="054C46F4" w14:textId="77777777" w:rsidR="009970B7" w:rsidRPr="00855531" w:rsidRDefault="00C60943" w:rsidP="00302E60">
            <w:pPr>
              <w:jc w:val="center"/>
              <w:rPr>
                <w:rFonts w:ascii="Arial" w:hAnsi="Arial" w:cs="Arial"/>
                <w:sz w:val="20"/>
                <w:szCs w:val="20"/>
              </w:rPr>
            </w:pPr>
            <w:r w:rsidRPr="00855531">
              <w:rPr>
                <w:rFonts w:ascii="Arial" w:hAnsi="Arial" w:cs="Arial"/>
                <w:sz w:val="20"/>
                <w:szCs w:val="20"/>
              </w:rPr>
              <w:t>37%</w:t>
            </w:r>
          </w:p>
        </w:tc>
      </w:tr>
    </w:tbl>
    <w:p w14:paraId="24F18FE4" w14:textId="763D1824" w:rsidR="00166C52" w:rsidRPr="00855531" w:rsidRDefault="00166C52" w:rsidP="002F7CE3">
      <w:pPr>
        <w:spacing w:before="120"/>
        <w:jc w:val="both"/>
        <w:rPr>
          <w:rFonts w:ascii="Arial" w:hAnsi="Arial" w:cs="Arial"/>
          <w:sz w:val="20"/>
          <w:szCs w:val="20"/>
        </w:rPr>
      </w:pPr>
      <w:r w:rsidRPr="00855531">
        <w:rPr>
          <w:rFonts w:ascii="Arial" w:hAnsi="Arial" w:cs="Arial"/>
          <w:sz w:val="20"/>
          <w:szCs w:val="20"/>
        </w:rPr>
        <w:t xml:space="preserve">A total of 90 </w:t>
      </w:r>
      <w:r w:rsidR="00EB457C">
        <w:rPr>
          <w:rFonts w:ascii="Arial" w:hAnsi="Arial" w:cs="Arial"/>
          <w:sz w:val="20"/>
          <w:szCs w:val="20"/>
        </w:rPr>
        <w:t xml:space="preserve">hearing </w:t>
      </w:r>
      <w:r w:rsidRPr="00855531">
        <w:rPr>
          <w:rFonts w:ascii="Arial" w:hAnsi="Arial" w:cs="Arial"/>
          <w:sz w:val="20"/>
          <w:szCs w:val="20"/>
        </w:rPr>
        <w:t xml:space="preserve">days of </w:t>
      </w:r>
      <w:r w:rsidR="00D9515B">
        <w:rPr>
          <w:rFonts w:ascii="Arial" w:hAnsi="Arial" w:cs="Arial"/>
          <w:sz w:val="20"/>
          <w:szCs w:val="20"/>
        </w:rPr>
        <w:t xml:space="preserve">listed </w:t>
      </w:r>
      <w:r w:rsidRPr="00855531">
        <w:rPr>
          <w:rFonts w:ascii="Arial" w:hAnsi="Arial" w:cs="Arial"/>
          <w:sz w:val="20"/>
          <w:szCs w:val="20"/>
        </w:rPr>
        <w:t xml:space="preserve">contests </w:t>
      </w:r>
      <w:r w:rsidR="00D9515B">
        <w:rPr>
          <w:rFonts w:ascii="Arial" w:hAnsi="Arial" w:cs="Arial"/>
          <w:sz w:val="20"/>
          <w:szCs w:val="20"/>
        </w:rPr>
        <w:t>were</w:t>
      </w:r>
      <w:r w:rsidRPr="00855531">
        <w:rPr>
          <w:rFonts w:ascii="Arial" w:hAnsi="Arial" w:cs="Arial"/>
          <w:sz w:val="20"/>
          <w:szCs w:val="20"/>
        </w:rPr>
        <w:t xml:space="preserve"> adjourned between July and December 2021. If the percentage recorded in </w:t>
      </w:r>
      <w:r w:rsidR="00D9623F">
        <w:rPr>
          <w:rFonts w:ascii="Arial" w:hAnsi="Arial" w:cs="Arial"/>
          <w:sz w:val="20"/>
          <w:szCs w:val="20"/>
        </w:rPr>
        <w:t>20</w:t>
      </w:r>
      <w:r w:rsidRPr="00855531">
        <w:rPr>
          <w:rFonts w:ascii="Arial" w:hAnsi="Arial" w:cs="Arial"/>
          <w:sz w:val="20"/>
          <w:szCs w:val="20"/>
        </w:rPr>
        <w:t>18</w:t>
      </w:r>
      <w:r w:rsidR="00D9623F">
        <w:rPr>
          <w:rFonts w:ascii="Arial" w:hAnsi="Arial" w:cs="Arial"/>
          <w:sz w:val="20"/>
          <w:szCs w:val="20"/>
        </w:rPr>
        <w:t>-20</w:t>
      </w:r>
      <w:r w:rsidRPr="00855531">
        <w:rPr>
          <w:rFonts w:ascii="Arial" w:hAnsi="Arial" w:cs="Arial"/>
          <w:sz w:val="20"/>
          <w:szCs w:val="20"/>
        </w:rPr>
        <w:t xml:space="preserve">19 applied, this would equate to 280 </w:t>
      </w:r>
      <w:r w:rsidR="00EB457C">
        <w:rPr>
          <w:rFonts w:ascii="Arial" w:hAnsi="Arial" w:cs="Arial"/>
          <w:sz w:val="20"/>
          <w:szCs w:val="20"/>
        </w:rPr>
        <w:t xml:space="preserve">hearing </w:t>
      </w:r>
      <w:r w:rsidRPr="00855531">
        <w:rPr>
          <w:rFonts w:ascii="Arial" w:hAnsi="Arial" w:cs="Arial"/>
          <w:sz w:val="20"/>
          <w:szCs w:val="20"/>
        </w:rPr>
        <w:t>days.</w:t>
      </w:r>
    </w:p>
    <w:p w14:paraId="4D2373F9" w14:textId="77777777" w:rsidR="003B266F" w:rsidRPr="008E4C7E" w:rsidRDefault="003B266F" w:rsidP="003B266F">
      <w:pPr>
        <w:ind w:left="363" w:hanging="363"/>
        <w:jc w:val="both"/>
        <w:rPr>
          <w:rFonts w:ascii="Arial" w:hAnsi="Arial" w:cs="Arial"/>
          <w:sz w:val="20"/>
        </w:rPr>
      </w:pPr>
      <w:bookmarkStart w:id="1395" w:name="_4.9.5_Directions_hearing"/>
      <w:bookmarkStart w:id="1396" w:name="_Toc30651689"/>
      <w:bookmarkStart w:id="1397" w:name="_Toc30652679"/>
      <w:bookmarkStart w:id="1398" w:name="_Toc30652775"/>
      <w:bookmarkStart w:id="1399" w:name="_Toc30654125"/>
      <w:bookmarkStart w:id="1400" w:name="_Toc30654476"/>
      <w:bookmarkStart w:id="1401" w:name="_Toc30655095"/>
      <w:bookmarkStart w:id="1402" w:name="_Toc30655352"/>
      <w:bookmarkStart w:id="1403" w:name="_Toc30657030"/>
      <w:bookmarkStart w:id="1404" w:name="_Toc30661779"/>
      <w:bookmarkStart w:id="1405" w:name="_Toc30666467"/>
      <w:bookmarkStart w:id="1406" w:name="_Toc30666697"/>
      <w:bookmarkStart w:id="1407" w:name="_Toc30667872"/>
      <w:bookmarkStart w:id="1408" w:name="_Toc30669250"/>
      <w:bookmarkStart w:id="1409" w:name="_Toc30671466"/>
      <w:bookmarkStart w:id="1410" w:name="_Toc30673993"/>
      <w:bookmarkStart w:id="1411" w:name="_Toc30691215"/>
      <w:bookmarkStart w:id="1412" w:name="_Toc30691588"/>
      <w:bookmarkStart w:id="1413" w:name="_Toc30691968"/>
      <w:bookmarkStart w:id="1414" w:name="_Toc30692727"/>
      <w:bookmarkStart w:id="1415" w:name="_Toc30693106"/>
      <w:bookmarkStart w:id="1416" w:name="_Toc30693484"/>
      <w:bookmarkStart w:id="1417" w:name="_Toc30693862"/>
      <w:bookmarkStart w:id="1418" w:name="_Toc30694243"/>
      <w:bookmarkStart w:id="1419" w:name="_Toc30698832"/>
      <w:bookmarkStart w:id="1420" w:name="_Toc30699210"/>
      <w:bookmarkStart w:id="1421" w:name="_Toc30699595"/>
      <w:bookmarkStart w:id="1422" w:name="_Toc30700750"/>
      <w:bookmarkStart w:id="1423" w:name="_Toc30701137"/>
      <w:bookmarkStart w:id="1424" w:name="_Toc30743746"/>
      <w:bookmarkStart w:id="1425" w:name="_Toc30754569"/>
      <w:bookmarkStart w:id="1426" w:name="_Toc30757009"/>
      <w:bookmarkStart w:id="1427" w:name="_Toc30757558"/>
      <w:bookmarkStart w:id="1428" w:name="_Toc30757958"/>
      <w:bookmarkStart w:id="1429" w:name="_Toc30762719"/>
      <w:bookmarkStart w:id="1430" w:name="_Toc30767373"/>
      <w:bookmarkStart w:id="1431" w:name="_Toc34823388"/>
      <w:bookmarkEnd w:id="1394"/>
      <w:bookmarkEnd w:id="1395"/>
    </w:p>
    <w:p w14:paraId="11F8DD48" w14:textId="107FCE41" w:rsidR="00196254" w:rsidRDefault="00196254" w:rsidP="00196254">
      <w:pPr>
        <w:pStyle w:val="Heading3"/>
        <w:keepNext/>
        <w:keepLines/>
        <w:spacing w:line="240" w:lineRule="auto"/>
        <w:rPr>
          <w:rFonts w:ascii="Arial" w:hAnsi="Arial" w:cs="Arial"/>
          <w:b/>
          <w:bCs/>
          <w:sz w:val="20"/>
        </w:rPr>
      </w:pPr>
      <w:r>
        <w:rPr>
          <w:rFonts w:ascii="Arial" w:hAnsi="Arial" w:cs="Arial"/>
          <w:b/>
          <w:bCs/>
          <w:sz w:val="20"/>
        </w:rPr>
        <w:t>4.9.5</w:t>
      </w:r>
      <w:r>
        <w:rPr>
          <w:rFonts w:ascii="Arial" w:hAnsi="Arial" w:cs="Arial"/>
          <w:b/>
          <w:bCs/>
          <w:sz w:val="20"/>
        </w:rPr>
        <w:tab/>
        <w:t>Directions hearing</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r>
        <w:rPr>
          <w:rFonts w:ascii="Arial" w:hAnsi="Arial" w:cs="Arial"/>
          <w:b/>
          <w:bCs/>
          <w:sz w:val="20"/>
        </w:rPr>
        <w:t xml:space="preserve"> preceding a contest</w:t>
      </w:r>
    </w:p>
    <w:p w14:paraId="134DD180" w14:textId="7A8D2E8F" w:rsidR="00196254" w:rsidRDefault="00196254" w:rsidP="00196254">
      <w:pPr>
        <w:spacing w:before="120"/>
        <w:jc w:val="both"/>
        <w:rPr>
          <w:rFonts w:ascii="Arial" w:hAnsi="Arial" w:cs="Arial"/>
          <w:sz w:val="20"/>
        </w:rPr>
      </w:pPr>
      <w:r>
        <w:rPr>
          <w:rFonts w:ascii="Arial" w:hAnsi="Arial" w:cs="Arial"/>
          <w:sz w:val="20"/>
        </w:rPr>
        <w:t xml:space="preserve">If a case does not resolve at the Readiness </w:t>
      </w:r>
      <w:r w:rsidR="00EB4219">
        <w:rPr>
          <w:rFonts w:ascii="Arial" w:hAnsi="Arial" w:cs="Arial"/>
          <w:sz w:val="20"/>
        </w:rPr>
        <w:t>H</w:t>
      </w:r>
      <w:r>
        <w:rPr>
          <w:rFonts w:ascii="Arial" w:hAnsi="Arial" w:cs="Arial"/>
          <w:sz w:val="20"/>
        </w:rPr>
        <w:t xml:space="preserve">earing stage, it is </w:t>
      </w:r>
      <w:r w:rsidR="00D9623F">
        <w:rPr>
          <w:rFonts w:ascii="Arial" w:hAnsi="Arial" w:cs="Arial"/>
          <w:sz w:val="20"/>
        </w:rPr>
        <w:t xml:space="preserve">sometimes adjourned for further mention if the parties are close to resolution.  Otherwise it is </w:t>
      </w:r>
      <w:r>
        <w:rPr>
          <w:rFonts w:ascii="Arial" w:hAnsi="Arial" w:cs="Arial"/>
          <w:sz w:val="20"/>
        </w:rPr>
        <w:t xml:space="preserve">adjourned for a contest, </w:t>
      </w:r>
      <w:r w:rsidR="001870BB">
        <w:rPr>
          <w:rFonts w:ascii="Arial" w:hAnsi="Arial" w:cs="Arial"/>
          <w:sz w:val="20"/>
        </w:rPr>
        <w:t xml:space="preserve">sometimes </w:t>
      </w:r>
      <w:r>
        <w:rPr>
          <w:rFonts w:ascii="Arial" w:hAnsi="Arial" w:cs="Arial"/>
          <w:sz w:val="20"/>
        </w:rPr>
        <w:t xml:space="preserve">preceded by a </w:t>
      </w:r>
      <w:r w:rsidR="00EE23A7">
        <w:rPr>
          <w:rFonts w:ascii="Arial" w:hAnsi="Arial" w:cs="Arial"/>
          <w:sz w:val="20"/>
        </w:rPr>
        <w:t>D</w:t>
      </w:r>
      <w:r>
        <w:rPr>
          <w:rFonts w:ascii="Arial" w:hAnsi="Arial" w:cs="Arial"/>
          <w:sz w:val="20"/>
        </w:rPr>
        <w:t xml:space="preserve">irections hearing.  There are three purposes of such a </w:t>
      </w:r>
      <w:r w:rsidR="00EE23A7">
        <w:rPr>
          <w:rFonts w:ascii="Arial" w:hAnsi="Arial" w:cs="Arial"/>
          <w:sz w:val="20"/>
        </w:rPr>
        <w:t>D</w:t>
      </w:r>
      <w:r>
        <w:rPr>
          <w:rFonts w:ascii="Arial" w:hAnsi="Arial" w:cs="Arial"/>
          <w:sz w:val="20"/>
        </w:rPr>
        <w:t>irections hearing:</w:t>
      </w:r>
    </w:p>
    <w:p w14:paraId="2B6AD3C6" w14:textId="77777777" w:rsidR="00196254" w:rsidRDefault="00196254">
      <w:pPr>
        <w:numPr>
          <w:ilvl w:val="0"/>
          <w:numId w:val="34"/>
        </w:numPr>
        <w:tabs>
          <w:tab w:val="clear" w:pos="1083"/>
        </w:tabs>
        <w:jc w:val="both"/>
        <w:rPr>
          <w:rFonts w:ascii="Arial" w:hAnsi="Arial" w:cs="Arial"/>
          <w:sz w:val="20"/>
        </w:rPr>
      </w:pPr>
      <w:r>
        <w:rPr>
          <w:rFonts w:ascii="Arial" w:hAnsi="Arial" w:cs="Arial"/>
          <w:sz w:val="20"/>
        </w:rPr>
        <w:t>to give the parties a further opportunity to negotiate a resolution of the case without the need for a fully contested hearing;</w:t>
      </w:r>
    </w:p>
    <w:p w14:paraId="3C4B1637" w14:textId="654F8219" w:rsidR="00196254" w:rsidRDefault="00196254">
      <w:pPr>
        <w:numPr>
          <w:ilvl w:val="0"/>
          <w:numId w:val="34"/>
        </w:numPr>
        <w:tabs>
          <w:tab w:val="clear" w:pos="1083"/>
        </w:tabs>
        <w:jc w:val="both"/>
        <w:rPr>
          <w:rFonts w:ascii="Arial" w:hAnsi="Arial" w:cs="Arial"/>
          <w:sz w:val="20"/>
        </w:rPr>
      </w:pPr>
      <w:r>
        <w:rPr>
          <w:rFonts w:ascii="Arial" w:hAnsi="Arial" w:cs="Arial"/>
          <w:sz w:val="20"/>
        </w:rPr>
        <w:t xml:space="preserve">to enable an informal conciliation to be conducted by a judicial officer with the aim of enabling the case to be resolved without a fully contested hearing; if the judicial officer conducting this </w:t>
      </w:r>
      <w:r w:rsidR="00EE23A7">
        <w:rPr>
          <w:rFonts w:ascii="Arial" w:hAnsi="Arial" w:cs="Arial"/>
          <w:sz w:val="20"/>
        </w:rPr>
        <w:t>D</w:t>
      </w:r>
      <w:r>
        <w:rPr>
          <w:rFonts w:ascii="Arial" w:hAnsi="Arial" w:cs="Arial"/>
          <w:sz w:val="20"/>
        </w:rPr>
        <w:t xml:space="preserve">irections hearing is also listed to hear the contest, this process will usually not be as rigorous as that in a </w:t>
      </w:r>
      <w:r w:rsidR="00EE23A7">
        <w:rPr>
          <w:rFonts w:ascii="Arial" w:hAnsi="Arial" w:cs="Arial"/>
          <w:sz w:val="20"/>
        </w:rPr>
        <w:t>Readiness</w:t>
      </w:r>
      <w:r>
        <w:rPr>
          <w:rFonts w:ascii="Arial" w:hAnsi="Arial" w:cs="Arial"/>
          <w:sz w:val="20"/>
        </w:rPr>
        <w:t xml:space="preserve"> hearing;</w:t>
      </w:r>
    </w:p>
    <w:p w14:paraId="27A01A2B" w14:textId="77777777" w:rsidR="00196254" w:rsidRDefault="00196254">
      <w:pPr>
        <w:numPr>
          <w:ilvl w:val="0"/>
          <w:numId w:val="34"/>
        </w:numPr>
        <w:tabs>
          <w:tab w:val="clear" w:pos="1083"/>
        </w:tabs>
        <w:jc w:val="both"/>
        <w:rPr>
          <w:rFonts w:ascii="Arial" w:hAnsi="Arial" w:cs="Arial"/>
          <w:sz w:val="20"/>
        </w:rPr>
      </w:pPr>
      <w:r>
        <w:rPr>
          <w:rFonts w:ascii="Arial" w:hAnsi="Arial" w:cs="Arial"/>
          <w:sz w:val="20"/>
        </w:rPr>
        <w:t>in the event that the case cannot be resolved, to attempt to narrow the issues between the parties and to settle the mechanics of the case (e.g. appropriate length of time reserved for the number of witnesses who are to be called, whether an interpreter is required, whether proof of the application is conceded etc.).</w:t>
      </w:r>
    </w:p>
    <w:p w14:paraId="49A60DB4" w14:textId="47A73E4A" w:rsidR="00040296" w:rsidRDefault="00040296">
      <w:pPr>
        <w:rPr>
          <w:rFonts w:ascii="Arial" w:hAnsi="Arial" w:cs="Arial"/>
          <w:b/>
          <w:bCs/>
          <w:kern w:val="28"/>
          <w:sz w:val="20"/>
          <w:szCs w:val="20"/>
          <w:lang w:val="en-GB"/>
        </w:rPr>
      </w:pPr>
      <w:bookmarkStart w:id="1432" w:name="_4.9.5_Contested_hearing"/>
      <w:bookmarkStart w:id="1433" w:name="B495"/>
      <w:bookmarkEnd w:id="1432"/>
      <w:bookmarkEnd w:id="1433"/>
    </w:p>
    <w:p w14:paraId="7949BDA6" w14:textId="1D510E80" w:rsidR="007D7E39" w:rsidRPr="00785E1A" w:rsidRDefault="00693223" w:rsidP="007D7E39">
      <w:pPr>
        <w:pStyle w:val="Heading3"/>
        <w:keepNext/>
        <w:keepLines/>
        <w:spacing w:after="120" w:line="240" w:lineRule="auto"/>
        <w:rPr>
          <w:rFonts w:ascii="Arial" w:hAnsi="Arial" w:cs="Arial"/>
          <w:color w:val="000000"/>
          <w:sz w:val="20"/>
        </w:rPr>
      </w:pPr>
      <w:bookmarkStart w:id="1434" w:name="_Hlk121314979"/>
      <w:r>
        <w:rPr>
          <w:rFonts w:ascii="Arial" w:hAnsi="Arial" w:cs="Arial"/>
          <w:b/>
          <w:bCs/>
          <w:sz w:val="20"/>
        </w:rPr>
        <w:t>4.9</w:t>
      </w:r>
      <w:r w:rsidR="009B53F7">
        <w:rPr>
          <w:rFonts w:ascii="Arial" w:hAnsi="Arial" w:cs="Arial"/>
          <w:b/>
          <w:bCs/>
          <w:sz w:val="20"/>
        </w:rPr>
        <w:t>.</w:t>
      </w:r>
      <w:r w:rsidR="00ED3555">
        <w:rPr>
          <w:rFonts w:ascii="Arial" w:hAnsi="Arial" w:cs="Arial"/>
          <w:b/>
          <w:bCs/>
          <w:sz w:val="20"/>
        </w:rPr>
        <w:t>6</w:t>
      </w:r>
      <w:r>
        <w:rPr>
          <w:rFonts w:ascii="Arial" w:hAnsi="Arial" w:cs="Arial"/>
          <w:b/>
          <w:bCs/>
          <w:sz w:val="20"/>
        </w:rPr>
        <w:tab/>
        <w:t>Contested hearing</w:t>
      </w:r>
    </w:p>
    <w:p w14:paraId="1CFD8C82" w14:textId="4AA7A47F" w:rsidR="00693223" w:rsidRDefault="00693223">
      <w:pPr>
        <w:spacing w:before="120"/>
        <w:jc w:val="both"/>
        <w:rPr>
          <w:rFonts w:ascii="Arial" w:hAnsi="Arial" w:cs="Arial"/>
          <w:sz w:val="20"/>
        </w:rPr>
      </w:pPr>
      <w:r>
        <w:rPr>
          <w:rFonts w:ascii="Arial" w:hAnsi="Arial" w:cs="Arial"/>
          <w:sz w:val="20"/>
        </w:rPr>
        <w:t xml:space="preserve">A contested hearing generally involves the calling of </w:t>
      </w:r>
      <w:r>
        <w:rPr>
          <w:rFonts w:ascii="Arial" w:hAnsi="Arial" w:cs="Arial"/>
          <w:i/>
          <w:iCs/>
          <w:sz w:val="20"/>
        </w:rPr>
        <w:t>viva voce</w:t>
      </w:r>
      <w:r>
        <w:rPr>
          <w:rFonts w:ascii="Arial" w:hAnsi="Arial" w:cs="Arial"/>
          <w:sz w:val="20"/>
        </w:rPr>
        <w:t xml:space="preserve"> evidence and the tendering of </w:t>
      </w:r>
      <w:r w:rsidRPr="00D00CAA">
        <w:rPr>
          <w:rFonts w:ascii="Arial" w:hAnsi="Arial" w:cs="Arial"/>
          <w:color w:val="000000"/>
          <w:sz w:val="20"/>
        </w:rPr>
        <w:t xml:space="preserve">professional reports, although on occasion the hearing may be restricted, </w:t>
      </w:r>
      <w:r w:rsidR="00824827">
        <w:rPr>
          <w:rFonts w:ascii="Arial" w:hAnsi="Arial" w:cs="Arial"/>
          <w:color w:val="000000"/>
          <w:sz w:val="20"/>
        </w:rPr>
        <w:t>almost always</w:t>
      </w:r>
      <w:r w:rsidR="00DE63E7" w:rsidRPr="00D00CAA">
        <w:rPr>
          <w:rFonts w:ascii="Arial" w:hAnsi="Arial" w:cs="Arial"/>
          <w:color w:val="000000"/>
          <w:sz w:val="20"/>
        </w:rPr>
        <w:t xml:space="preserve"> </w:t>
      </w:r>
      <w:r w:rsidRPr="00D00CAA">
        <w:rPr>
          <w:rFonts w:ascii="Arial" w:hAnsi="Arial" w:cs="Arial"/>
          <w:color w:val="000000"/>
          <w:sz w:val="20"/>
        </w:rPr>
        <w:t>with</w:t>
      </w:r>
      <w:r>
        <w:rPr>
          <w:rFonts w:ascii="Arial" w:hAnsi="Arial" w:cs="Arial"/>
          <w:sz w:val="20"/>
        </w:rPr>
        <w:t xml:space="preserve"> the consent of the parties, to legal submissions based on a</w:t>
      </w:r>
      <w:r w:rsidR="00D214B8">
        <w:rPr>
          <w:rFonts w:ascii="Arial" w:hAnsi="Arial" w:cs="Arial"/>
          <w:sz w:val="20"/>
        </w:rPr>
        <w:t xml:space="preserve"> </w:t>
      </w:r>
      <w:r>
        <w:rPr>
          <w:rFonts w:ascii="Arial" w:hAnsi="Arial" w:cs="Arial"/>
          <w:sz w:val="20"/>
        </w:rPr>
        <w:t>statement of facts.</w:t>
      </w:r>
      <w:r w:rsidR="00C447D0">
        <w:rPr>
          <w:rFonts w:ascii="Arial" w:hAnsi="Arial" w:cs="Arial"/>
          <w:sz w:val="20"/>
        </w:rPr>
        <w:t xml:space="preserve">  As the data in </w:t>
      </w:r>
      <w:r w:rsidR="00C447D0" w:rsidRPr="00A40A28">
        <w:rPr>
          <w:rFonts w:ascii="Arial" w:hAnsi="Arial" w:cs="Arial"/>
          <w:b/>
          <w:bCs/>
          <w:sz w:val="20"/>
          <w:shd w:val="clear" w:color="auto" w:fill="C5E0B3"/>
        </w:rPr>
        <w:t xml:space="preserve">section </w:t>
      </w:r>
      <w:r w:rsidR="00C335BA" w:rsidRPr="00A40A28">
        <w:rPr>
          <w:rFonts w:ascii="Arial" w:hAnsi="Arial" w:cs="Arial"/>
          <w:b/>
          <w:bCs/>
          <w:sz w:val="20"/>
          <w:shd w:val="clear" w:color="auto" w:fill="C5E0B3"/>
        </w:rPr>
        <w:t>4.9.7</w:t>
      </w:r>
      <w:r w:rsidR="00C335BA">
        <w:rPr>
          <w:rFonts w:ascii="Arial" w:hAnsi="Arial" w:cs="Arial"/>
          <w:sz w:val="20"/>
        </w:rPr>
        <w:t xml:space="preserve"> </w:t>
      </w:r>
      <w:r w:rsidR="00C447D0">
        <w:rPr>
          <w:rFonts w:ascii="Arial" w:hAnsi="Arial" w:cs="Arial"/>
          <w:sz w:val="20"/>
        </w:rPr>
        <w:t xml:space="preserve">demonstrates only a very small percentage of initiated protection and secondary applications </w:t>
      </w:r>
      <w:r w:rsidR="00EB0E8C">
        <w:rPr>
          <w:rFonts w:ascii="Arial" w:hAnsi="Arial" w:cs="Arial"/>
          <w:sz w:val="20"/>
        </w:rPr>
        <w:t>reach a final contested hearing</w:t>
      </w:r>
      <w:r w:rsidR="009A6603">
        <w:rPr>
          <w:rFonts w:ascii="Arial" w:hAnsi="Arial" w:cs="Arial"/>
          <w:sz w:val="20"/>
        </w:rPr>
        <w:t>.</w:t>
      </w:r>
      <w:r w:rsidR="00EB0E8C">
        <w:rPr>
          <w:rFonts w:ascii="Arial" w:hAnsi="Arial" w:cs="Arial"/>
          <w:sz w:val="20"/>
        </w:rPr>
        <w:t xml:space="preserve">  The vast majority of cases are resolved at one of the pr</w:t>
      </w:r>
      <w:r w:rsidR="009A6603">
        <w:rPr>
          <w:rFonts w:ascii="Arial" w:hAnsi="Arial" w:cs="Arial"/>
          <w:sz w:val="20"/>
        </w:rPr>
        <w:t>e</w:t>
      </w:r>
      <w:r w:rsidR="00EB0E8C">
        <w:rPr>
          <w:rFonts w:ascii="Arial" w:hAnsi="Arial" w:cs="Arial"/>
          <w:sz w:val="20"/>
        </w:rPr>
        <w:t>ceding steps in the process, the majority at the mention stage.</w:t>
      </w:r>
    </w:p>
    <w:p w14:paraId="001BDCE5" w14:textId="7DE8CEE2" w:rsidR="00A407ED" w:rsidRDefault="00A407ED" w:rsidP="00A407ED">
      <w:pPr>
        <w:jc w:val="both"/>
        <w:rPr>
          <w:rFonts w:ascii="Arial" w:hAnsi="Arial" w:cs="Arial"/>
          <w:sz w:val="20"/>
        </w:rPr>
      </w:pPr>
    </w:p>
    <w:p w14:paraId="3BEFFDDF" w14:textId="77777777" w:rsidR="00653195" w:rsidRPr="00653195" w:rsidRDefault="00653195" w:rsidP="00653195">
      <w:pPr>
        <w:jc w:val="center"/>
        <w:rPr>
          <w:rFonts w:ascii="Arial" w:hAnsi="Arial" w:cs="Arial"/>
          <w:b/>
          <w:bCs/>
          <w:sz w:val="20"/>
          <w:szCs w:val="20"/>
          <w:u w:val="single"/>
        </w:rPr>
      </w:pPr>
      <w:r w:rsidRPr="00653195">
        <w:rPr>
          <w:rFonts w:ascii="Arial" w:hAnsi="Arial" w:cs="Arial"/>
          <w:b/>
          <w:bCs/>
          <w:sz w:val="20"/>
          <w:szCs w:val="20"/>
          <w:u w:val="single"/>
        </w:rPr>
        <w:t>TIPS FOR ADULTS REPRESENTING THEMSELVES AT A FINAL HEARING IN A CONTESTED FAMILY DIVISION CASE IN THE CHILDREN’S COURT</w:t>
      </w:r>
    </w:p>
    <w:p w14:paraId="1C32BC45" w14:textId="77777777" w:rsidR="00653195" w:rsidRPr="00653195" w:rsidRDefault="00653195" w:rsidP="00653195">
      <w:pPr>
        <w:jc w:val="both"/>
        <w:rPr>
          <w:rFonts w:ascii="Arial" w:hAnsi="Arial" w:cs="Arial"/>
          <w:sz w:val="20"/>
        </w:rPr>
      </w:pPr>
    </w:p>
    <w:p w14:paraId="00EB3340" w14:textId="604DA5DE" w:rsidR="00653195" w:rsidRPr="00653195" w:rsidRDefault="00653195">
      <w:pPr>
        <w:pStyle w:val="ListParagraph"/>
        <w:numPr>
          <w:ilvl w:val="0"/>
          <w:numId w:val="74"/>
        </w:numPr>
        <w:ind w:left="357" w:hanging="357"/>
        <w:contextualSpacing/>
        <w:jc w:val="both"/>
        <w:rPr>
          <w:rFonts w:ascii="Arial" w:hAnsi="Arial" w:cs="Arial"/>
          <w:sz w:val="20"/>
        </w:rPr>
      </w:pPr>
      <w:r w:rsidRPr="00653195">
        <w:rPr>
          <w:rFonts w:ascii="Arial" w:hAnsi="Arial" w:cs="Arial"/>
          <w:sz w:val="20"/>
        </w:rPr>
        <w:t xml:space="preserve">Most cases in Victorian Courts are conducted on an ‘adversarial’ basis where the parties present their cases and the judge or magistrate </w:t>
      </w:r>
      <w:r w:rsidR="00DC3200">
        <w:rPr>
          <w:rFonts w:ascii="Arial" w:hAnsi="Arial" w:cs="Arial"/>
          <w:sz w:val="20"/>
        </w:rPr>
        <w:t>[</w:t>
      </w:r>
      <w:r w:rsidRPr="00653195">
        <w:rPr>
          <w:rFonts w:ascii="Arial" w:hAnsi="Arial" w:cs="Arial"/>
          <w:sz w:val="20"/>
        </w:rPr>
        <w:t>JO-judicial officer</w:t>
      </w:r>
      <w:r w:rsidR="00DC3200">
        <w:rPr>
          <w:rFonts w:ascii="Arial" w:hAnsi="Arial" w:cs="Arial"/>
          <w:sz w:val="20"/>
        </w:rPr>
        <w:t>]</w:t>
      </w:r>
      <w:r w:rsidRPr="00653195">
        <w:rPr>
          <w:rFonts w:ascii="Arial" w:hAnsi="Arial" w:cs="Arial"/>
          <w:sz w:val="20"/>
        </w:rPr>
        <w:t xml:space="preserve"> acts as an umpire.  However, in Children’s Court Family Division cases JOs often ask more questions of witnesses and legal representatives than in other types of cases.  This is because the JO has an obligation – independent of the parties – to have regard to ‘best interests’ provisions in making any order or taking any action under the </w:t>
      </w:r>
      <w:r w:rsidRPr="00653195">
        <w:rPr>
          <w:rFonts w:ascii="Arial" w:hAnsi="Arial" w:cs="Arial"/>
          <w:i/>
          <w:iCs/>
          <w:sz w:val="20"/>
        </w:rPr>
        <w:t xml:space="preserve">Children, Youth and Families Act 2005 </w:t>
      </w:r>
      <w:r w:rsidR="00DC3200">
        <w:rPr>
          <w:rFonts w:ascii="Arial" w:hAnsi="Arial" w:cs="Arial"/>
          <w:sz w:val="20"/>
        </w:rPr>
        <w:t>[</w:t>
      </w:r>
      <w:r w:rsidRPr="00653195">
        <w:rPr>
          <w:rFonts w:ascii="Arial" w:hAnsi="Arial" w:cs="Arial"/>
          <w:sz w:val="20"/>
        </w:rPr>
        <w:t>CYFA</w:t>
      </w:r>
      <w:r w:rsidR="00DC3200">
        <w:rPr>
          <w:rFonts w:ascii="Arial" w:hAnsi="Arial" w:cs="Arial"/>
          <w:sz w:val="20"/>
        </w:rPr>
        <w:t>]</w:t>
      </w:r>
      <w:r w:rsidRPr="00653195">
        <w:rPr>
          <w:rFonts w:ascii="Arial" w:hAnsi="Arial" w:cs="Arial"/>
          <w:sz w:val="20"/>
        </w:rPr>
        <w:t>.</w:t>
      </w:r>
    </w:p>
    <w:p w14:paraId="5A19CC8E" w14:textId="77777777" w:rsidR="00653195" w:rsidRPr="00653195" w:rsidRDefault="00653195" w:rsidP="00653195">
      <w:pPr>
        <w:jc w:val="both"/>
        <w:rPr>
          <w:rFonts w:ascii="Arial" w:hAnsi="Arial" w:cs="Arial"/>
          <w:sz w:val="20"/>
          <w:szCs w:val="20"/>
        </w:rPr>
      </w:pPr>
    </w:p>
    <w:p w14:paraId="2AC9472B" w14:textId="77777777" w:rsidR="00653195" w:rsidRPr="00653195" w:rsidRDefault="00653195">
      <w:pPr>
        <w:pStyle w:val="ListParagraph"/>
        <w:numPr>
          <w:ilvl w:val="0"/>
          <w:numId w:val="74"/>
        </w:numPr>
        <w:ind w:left="357" w:hanging="357"/>
        <w:contextualSpacing/>
        <w:jc w:val="both"/>
        <w:rPr>
          <w:rFonts w:ascii="Arial" w:hAnsi="Arial" w:cs="Arial"/>
          <w:bCs/>
          <w:sz w:val="20"/>
        </w:rPr>
      </w:pPr>
      <w:r w:rsidRPr="00653195">
        <w:rPr>
          <w:rFonts w:ascii="Arial" w:hAnsi="Arial" w:cs="Arial"/>
          <w:bCs/>
          <w:sz w:val="20"/>
        </w:rPr>
        <w:lastRenderedPageBreak/>
        <w:t>In the Family Division of the Children’s Court child protection or intervention order hearings are generally conducted in a more informal manner than in criminal courts and the JO can inform herself or himself as she or he thinks fit despite any rules of evidence to the contrary.  It is very rare for the Children’s Court to allow a child to be called as a witness in a Family Division case.</w:t>
      </w:r>
    </w:p>
    <w:p w14:paraId="06BC0AED" w14:textId="77777777" w:rsidR="00653195" w:rsidRPr="00653195" w:rsidRDefault="00653195" w:rsidP="00653195">
      <w:pPr>
        <w:jc w:val="both"/>
        <w:rPr>
          <w:rFonts w:ascii="Arial" w:hAnsi="Arial" w:cs="Arial"/>
          <w:sz w:val="20"/>
          <w:szCs w:val="20"/>
        </w:rPr>
      </w:pPr>
    </w:p>
    <w:p w14:paraId="76FBD274" w14:textId="77777777" w:rsidR="00653195" w:rsidRPr="00653195" w:rsidRDefault="00653195">
      <w:pPr>
        <w:pStyle w:val="ListParagraph"/>
        <w:numPr>
          <w:ilvl w:val="0"/>
          <w:numId w:val="74"/>
        </w:numPr>
        <w:ind w:left="357" w:hanging="357"/>
        <w:contextualSpacing/>
        <w:jc w:val="both"/>
        <w:rPr>
          <w:rFonts w:ascii="Arial" w:hAnsi="Arial" w:cs="Arial"/>
          <w:bCs/>
          <w:sz w:val="20"/>
        </w:rPr>
      </w:pPr>
      <w:r w:rsidRPr="00653195">
        <w:rPr>
          <w:rFonts w:ascii="Arial" w:hAnsi="Arial" w:cs="Arial"/>
          <w:b/>
          <w:bCs/>
          <w:sz w:val="20"/>
          <w:u w:val="single"/>
        </w:rPr>
        <w:t>PREPARATION</w:t>
      </w:r>
      <w:r w:rsidRPr="00653195">
        <w:rPr>
          <w:rFonts w:ascii="Arial" w:hAnsi="Arial" w:cs="Arial"/>
          <w:sz w:val="20"/>
        </w:rPr>
        <w:t>:</w:t>
      </w:r>
    </w:p>
    <w:p w14:paraId="35C59A5C" w14:textId="77777777" w:rsidR="00653195" w:rsidRPr="00653195" w:rsidRDefault="00653195">
      <w:pPr>
        <w:pStyle w:val="ListParagraph"/>
        <w:numPr>
          <w:ilvl w:val="0"/>
          <w:numId w:val="77"/>
        </w:numPr>
        <w:ind w:left="714" w:hanging="357"/>
        <w:contextualSpacing/>
        <w:jc w:val="both"/>
        <w:rPr>
          <w:rFonts w:ascii="Arial" w:hAnsi="Arial" w:cs="Arial"/>
          <w:bCs/>
          <w:sz w:val="20"/>
        </w:rPr>
      </w:pPr>
      <w:r w:rsidRPr="00653195">
        <w:rPr>
          <w:rFonts w:ascii="Arial" w:hAnsi="Arial" w:cs="Arial"/>
          <w:bCs/>
          <w:sz w:val="20"/>
        </w:rPr>
        <w:t>As long as possible before the hearing date you should ask a court registrar-</w:t>
      </w:r>
    </w:p>
    <w:p w14:paraId="78BF9CC0"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to issue subpoenas for the attendance of any persons whom you wish to call to give evidence and/or produce documents and who will not attend court voluntarily; and</w:t>
      </w:r>
    </w:p>
    <w:p w14:paraId="69ED7014"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to arrange an interpreter for any of your witnesses who requires one.</w:t>
      </w:r>
    </w:p>
    <w:p w14:paraId="54F192B2" w14:textId="77777777" w:rsidR="00653195" w:rsidRPr="00653195" w:rsidRDefault="00653195">
      <w:pPr>
        <w:pStyle w:val="ListParagraph"/>
        <w:numPr>
          <w:ilvl w:val="0"/>
          <w:numId w:val="77"/>
        </w:numPr>
        <w:ind w:left="714" w:hanging="357"/>
        <w:contextualSpacing/>
        <w:jc w:val="both"/>
        <w:rPr>
          <w:rFonts w:ascii="Arial" w:hAnsi="Arial" w:cs="Arial"/>
          <w:bCs/>
          <w:sz w:val="20"/>
        </w:rPr>
      </w:pPr>
      <w:r w:rsidRPr="00653195">
        <w:rPr>
          <w:rFonts w:ascii="Arial" w:hAnsi="Arial" w:cs="Arial"/>
          <w:bCs/>
          <w:sz w:val="20"/>
        </w:rPr>
        <w:t>Make sure you know what court orders you would like the JO to make at the end of the hearing.  If you are unsure the legal representative for any party who wants the same outcome as you may be prepared to help you.</w:t>
      </w:r>
    </w:p>
    <w:p w14:paraId="529591ED" w14:textId="77777777" w:rsidR="00653195" w:rsidRPr="00653195" w:rsidRDefault="00653195">
      <w:pPr>
        <w:pStyle w:val="ListParagraph"/>
        <w:numPr>
          <w:ilvl w:val="0"/>
          <w:numId w:val="77"/>
        </w:numPr>
        <w:ind w:left="714" w:hanging="357"/>
        <w:contextualSpacing/>
        <w:jc w:val="both"/>
        <w:rPr>
          <w:rFonts w:ascii="Arial" w:hAnsi="Arial" w:cs="Arial"/>
          <w:bCs/>
          <w:sz w:val="20"/>
        </w:rPr>
      </w:pPr>
      <w:r w:rsidRPr="00653195">
        <w:rPr>
          <w:rFonts w:ascii="Arial" w:hAnsi="Arial" w:cs="Arial"/>
          <w:bCs/>
          <w:sz w:val="20"/>
        </w:rPr>
        <w:t>To assist you in the hearing you should make-</w:t>
      </w:r>
    </w:p>
    <w:p w14:paraId="4F0C1414"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 list of what you see as the issues in the case; this might include for example issues about family violence, child abuse or education;</w:t>
      </w:r>
    </w:p>
    <w:p w14:paraId="1D6B1B16"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 summary of any evidence that you want to use (including evidence from other witnesses); and</w:t>
      </w:r>
    </w:p>
    <w:p w14:paraId="30FAC9F9"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 list of any documents that you want to access.</w:t>
      </w:r>
    </w:p>
    <w:p w14:paraId="20232B07" w14:textId="77777777" w:rsidR="00653195" w:rsidRPr="00653195" w:rsidRDefault="00653195">
      <w:pPr>
        <w:pStyle w:val="ListParagraph"/>
        <w:numPr>
          <w:ilvl w:val="0"/>
          <w:numId w:val="78"/>
        </w:numPr>
        <w:ind w:left="714" w:hanging="357"/>
        <w:contextualSpacing/>
        <w:jc w:val="both"/>
        <w:rPr>
          <w:rFonts w:ascii="Arial" w:hAnsi="Arial" w:cs="Arial"/>
          <w:bCs/>
          <w:sz w:val="20"/>
        </w:rPr>
      </w:pPr>
      <w:r w:rsidRPr="00653195">
        <w:rPr>
          <w:rFonts w:ascii="Arial" w:hAnsi="Arial" w:cs="Arial"/>
          <w:bCs/>
          <w:sz w:val="20"/>
        </w:rPr>
        <w:t>You should also bring to Court-</w:t>
      </w:r>
    </w:p>
    <w:p w14:paraId="00366FA8"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any reports/documents which have been given to you earlier;</w:t>
      </w:r>
    </w:p>
    <w:p w14:paraId="436637C7"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any notes you have made about your contact with Child Protection (CP);</w:t>
      </w:r>
    </w:p>
    <w:p w14:paraId="4376AC87"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any documents that show things you have been doing to address the concerns CP has, such as letters from a counsellor or drug screen results;</w:t>
      </w:r>
    </w:p>
    <w:p w14:paraId="3AC59A19"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any other Court orders you have, such as Family Law orders or intervention orders.</w:t>
      </w:r>
    </w:p>
    <w:p w14:paraId="49B58FDE" w14:textId="77777777" w:rsidR="00653195" w:rsidRPr="00653195" w:rsidRDefault="00653195">
      <w:pPr>
        <w:pStyle w:val="ListParagraph"/>
        <w:numPr>
          <w:ilvl w:val="0"/>
          <w:numId w:val="78"/>
        </w:numPr>
        <w:ind w:left="714" w:hanging="357"/>
        <w:contextualSpacing/>
        <w:jc w:val="both"/>
        <w:rPr>
          <w:rFonts w:ascii="Arial" w:hAnsi="Arial" w:cs="Arial"/>
          <w:bCs/>
          <w:sz w:val="20"/>
        </w:rPr>
      </w:pPr>
      <w:r w:rsidRPr="00653195">
        <w:rPr>
          <w:rFonts w:ascii="Arial" w:hAnsi="Arial" w:cs="Arial"/>
          <w:bCs/>
          <w:sz w:val="20"/>
        </w:rPr>
        <w:t>As part of your preparation you should read every report/document and be prepared to cross-examine the writer about anything you disagree with.  This includes any documents you were given at a Readiness Hearing (if there was one), e.g. a Readiness Certificate (Form 6C) completed by the legal representative for CP.  The Readiness Certificate contains much important information about the forthcoming hearing including:</w:t>
      </w:r>
    </w:p>
    <w:p w14:paraId="555D08DF"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what issues remain in dispute between the parties;</w:t>
      </w:r>
    </w:p>
    <w:p w14:paraId="6D2A28F4"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the dispositions (orders) sought by all of the parties; and</w:t>
      </w:r>
    </w:p>
    <w:p w14:paraId="0571FF99"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Cs/>
          <w:sz w:val="20"/>
        </w:rPr>
        <w:t>the names of all proposed witnesses, whether the witness is required for cross-examination and whether the witness requires an interpreter.</w:t>
      </w:r>
    </w:p>
    <w:p w14:paraId="016733E1" w14:textId="77777777" w:rsidR="00653195" w:rsidRPr="00653195" w:rsidRDefault="00653195" w:rsidP="00653195">
      <w:pPr>
        <w:jc w:val="both"/>
        <w:rPr>
          <w:rFonts w:ascii="Arial" w:hAnsi="Arial" w:cs="Arial"/>
          <w:bCs/>
          <w:sz w:val="20"/>
          <w:szCs w:val="20"/>
        </w:rPr>
      </w:pPr>
    </w:p>
    <w:p w14:paraId="6F3DE10E" w14:textId="77777777" w:rsidR="00653195" w:rsidRPr="00653195" w:rsidRDefault="00653195">
      <w:pPr>
        <w:pStyle w:val="ListParagraph"/>
        <w:keepNext/>
        <w:keepLines/>
        <w:numPr>
          <w:ilvl w:val="0"/>
          <w:numId w:val="74"/>
        </w:numPr>
        <w:ind w:left="357" w:hanging="357"/>
        <w:contextualSpacing/>
        <w:jc w:val="both"/>
        <w:rPr>
          <w:rFonts w:ascii="Arial" w:hAnsi="Arial" w:cs="Arial"/>
          <w:sz w:val="20"/>
        </w:rPr>
      </w:pPr>
      <w:r w:rsidRPr="00653195">
        <w:rPr>
          <w:rFonts w:ascii="Arial" w:hAnsi="Arial" w:cs="Arial"/>
          <w:b/>
          <w:bCs/>
          <w:sz w:val="20"/>
          <w:u w:val="single"/>
        </w:rPr>
        <w:t>HOW TO BEHAVE IN COURT</w:t>
      </w:r>
      <w:r w:rsidRPr="00653195">
        <w:rPr>
          <w:rFonts w:ascii="Arial" w:hAnsi="Arial" w:cs="Arial"/>
          <w:sz w:val="20"/>
        </w:rPr>
        <w:t>:</w:t>
      </w:r>
    </w:p>
    <w:p w14:paraId="33EFB745"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Look neat and tidy.</w:t>
      </w:r>
    </w:p>
    <w:p w14:paraId="0E56A7B6"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Bow to the JO when you enter the court room.</w:t>
      </w:r>
    </w:p>
    <w:p w14:paraId="2D6CBC32"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Stand when the JO talks to you or when you talk to the JO.</w:t>
      </w:r>
    </w:p>
    <w:p w14:paraId="3F7CA427"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Refer to the JO as ‘Your Honour’.</w:t>
      </w:r>
    </w:p>
    <w:p w14:paraId="2BB24BC7"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Sit down and do not talk when someone else is talking at the bar table.</w:t>
      </w:r>
    </w:p>
    <w:p w14:paraId="7211E270"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Turn your mobile phone off.</w:t>
      </w:r>
    </w:p>
    <w:p w14:paraId="3328D807"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Do not wear a hat or sunglasses on your head and do not eat or chew gum.</w:t>
      </w:r>
    </w:p>
    <w:p w14:paraId="40F44967"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If you have any questions about the court procedure, do not hesitate to ask the JO or a member of the court staff.  However, please bear in mind that the JO cannot run the case on your behalf or on behalf of any other party.</w:t>
      </w:r>
    </w:p>
    <w:p w14:paraId="76B0CB7B"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sz w:val="20"/>
        </w:rPr>
        <w:t>It is rarely effective and usually counter-productive to question a witness or speak to the JO in an aggressive, rude, sarcastic or disrespectful way.  Politeness and good manners will serve you much better in the eyes of the JO.</w:t>
      </w:r>
    </w:p>
    <w:p w14:paraId="777B306E" w14:textId="77777777" w:rsidR="00653195" w:rsidRPr="00653195" w:rsidRDefault="00653195" w:rsidP="00653195">
      <w:pPr>
        <w:jc w:val="both"/>
        <w:rPr>
          <w:rFonts w:ascii="Arial" w:hAnsi="Arial" w:cs="Arial"/>
          <w:sz w:val="20"/>
          <w:szCs w:val="20"/>
        </w:rPr>
      </w:pPr>
    </w:p>
    <w:p w14:paraId="4BFDEAD0" w14:textId="77777777" w:rsidR="00653195" w:rsidRPr="00653195" w:rsidRDefault="00653195">
      <w:pPr>
        <w:pStyle w:val="ListParagraph"/>
        <w:keepNext/>
        <w:keepLines/>
        <w:numPr>
          <w:ilvl w:val="0"/>
          <w:numId w:val="74"/>
        </w:numPr>
        <w:ind w:left="357" w:hanging="357"/>
        <w:contextualSpacing/>
        <w:jc w:val="both"/>
        <w:rPr>
          <w:rFonts w:ascii="Arial" w:hAnsi="Arial" w:cs="Arial"/>
          <w:b/>
          <w:bCs/>
          <w:sz w:val="20"/>
          <w:u w:val="single"/>
        </w:rPr>
      </w:pPr>
      <w:r w:rsidRPr="00653195">
        <w:rPr>
          <w:rFonts w:ascii="Arial" w:hAnsi="Arial" w:cs="Arial"/>
          <w:b/>
          <w:bCs/>
          <w:sz w:val="20"/>
          <w:u w:val="single"/>
        </w:rPr>
        <w:t>WHAT HAPPENS IN A FINAL HEARING OF A FAMILY DIVISION CASE</w:t>
      </w:r>
      <w:r w:rsidRPr="00653195">
        <w:rPr>
          <w:rFonts w:ascii="Arial" w:hAnsi="Arial" w:cs="Arial"/>
          <w:sz w:val="20"/>
        </w:rPr>
        <w:t>:</w:t>
      </w:r>
    </w:p>
    <w:p w14:paraId="67261B55" w14:textId="77777777" w:rsidR="00653195" w:rsidRPr="00653195" w:rsidRDefault="00653195" w:rsidP="00653195">
      <w:pPr>
        <w:ind w:left="357"/>
        <w:jc w:val="both"/>
        <w:rPr>
          <w:rFonts w:ascii="Arial" w:hAnsi="Arial" w:cs="Arial"/>
          <w:bCs/>
          <w:sz w:val="20"/>
          <w:szCs w:val="20"/>
        </w:rPr>
      </w:pPr>
      <w:r w:rsidRPr="00653195">
        <w:rPr>
          <w:rFonts w:ascii="Arial" w:hAnsi="Arial" w:cs="Arial"/>
          <w:bCs/>
          <w:sz w:val="20"/>
          <w:szCs w:val="20"/>
        </w:rPr>
        <w:t>Although the JO can vary the procedure in the interests of justice, a final hearing will usually proceed in the following order:</w:t>
      </w:r>
    </w:p>
    <w:p w14:paraId="3BF369B1"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The JO will </w:t>
      </w:r>
      <w:r w:rsidRPr="00653195">
        <w:rPr>
          <w:rFonts w:ascii="Arial" w:hAnsi="Arial" w:cs="Arial"/>
          <w:b/>
          <w:sz w:val="20"/>
        </w:rPr>
        <w:t>ask each party</w:t>
      </w:r>
      <w:r w:rsidRPr="00653195">
        <w:rPr>
          <w:rFonts w:ascii="Arial" w:hAnsi="Arial" w:cs="Arial"/>
          <w:bCs/>
          <w:sz w:val="20"/>
        </w:rPr>
        <w:t xml:space="preserve"> or the party’s legal representative </w:t>
      </w:r>
      <w:r w:rsidRPr="00653195">
        <w:rPr>
          <w:rFonts w:ascii="Arial" w:hAnsi="Arial" w:cs="Arial"/>
          <w:b/>
          <w:sz w:val="20"/>
        </w:rPr>
        <w:t>what orders he or she is seeking</w:t>
      </w:r>
      <w:r w:rsidRPr="00653195">
        <w:rPr>
          <w:rFonts w:ascii="Arial" w:hAnsi="Arial" w:cs="Arial"/>
          <w:bCs/>
          <w:sz w:val="20"/>
        </w:rPr>
        <w:t xml:space="preserve"> in the case.</w:t>
      </w:r>
    </w:p>
    <w:p w14:paraId="042A6EAA"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The CP/applicant gives </w:t>
      </w:r>
      <w:r w:rsidRPr="00653195">
        <w:rPr>
          <w:rFonts w:ascii="Arial" w:hAnsi="Arial" w:cs="Arial"/>
          <w:b/>
          <w:sz w:val="20"/>
        </w:rPr>
        <w:t>evidence in chief</w:t>
      </w:r>
      <w:r w:rsidRPr="00653195">
        <w:rPr>
          <w:rFonts w:ascii="Arial" w:hAnsi="Arial" w:cs="Arial"/>
          <w:bCs/>
          <w:sz w:val="20"/>
        </w:rPr>
        <w:t xml:space="preserve"> by calling their first witness.</w:t>
      </w:r>
    </w:p>
    <w:p w14:paraId="6AE42E8C"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lastRenderedPageBreak/>
        <w:t xml:space="preserve">Each of the other parties then has the opportunity to </w:t>
      </w:r>
      <w:r w:rsidRPr="00653195">
        <w:rPr>
          <w:rFonts w:ascii="Arial" w:hAnsi="Arial" w:cs="Arial"/>
          <w:b/>
          <w:sz w:val="20"/>
        </w:rPr>
        <w:t>cross-examine</w:t>
      </w:r>
      <w:r w:rsidRPr="00653195">
        <w:rPr>
          <w:rFonts w:ascii="Arial" w:hAnsi="Arial" w:cs="Arial"/>
          <w:bCs/>
          <w:sz w:val="20"/>
        </w:rPr>
        <w:t xml:space="preserve"> the witness.  Parties who dispute any aspect of the evidence of a witness should put their version to the witness for him or her to comment on.  Because cross-examination is usually more difficult than it looks, the JO will often allow any legal representative who is seeking the same orders as an unrepresented party to cross-examine the witness first.</w:t>
      </w:r>
    </w:p>
    <w:p w14:paraId="4EDA92F1"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The CP/applicant gets the chance to </w:t>
      </w:r>
      <w:r w:rsidRPr="00653195">
        <w:rPr>
          <w:rFonts w:ascii="Arial" w:hAnsi="Arial" w:cs="Arial"/>
          <w:b/>
          <w:sz w:val="20"/>
        </w:rPr>
        <w:t>re-examine</w:t>
      </w:r>
      <w:r w:rsidRPr="00653195">
        <w:rPr>
          <w:rFonts w:ascii="Arial" w:hAnsi="Arial" w:cs="Arial"/>
          <w:bCs/>
          <w:sz w:val="20"/>
        </w:rPr>
        <w:t xml:space="preserve"> the witness briefly to clarify any evidence that is unclear or incomplete.</w:t>
      </w:r>
    </w:p>
    <w:p w14:paraId="3243F88D"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The CP/applicant calls their next witness if they have one.  This witness gives evidence in chief, is cross-examined and re-examined if necessary.  This process is repeated until all of the witnesses called by DFFH have given evidence.</w:t>
      </w:r>
    </w:p>
    <w:p w14:paraId="74A2FA42"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Each of the other parties then have the opportunity to call witnesses who give </w:t>
      </w:r>
      <w:r w:rsidRPr="00653195">
        <w:rPr>
          <w:rFonts w:ascii="Arial" w:hAnsi="Arial" w:cs="Arial"/>
          <w:b/>
          <w:sz w:val="20"/>
        </w:rPr>
        <w:t>evidence in chief</w:t>
      </w:r>
      <w:r w:rsidRPr="00653195">
        <w:rPr>
          <w:rFonts w:ascii="Arial" w:hAnsi="Arial" w:cs="Arial"/>
          <w:bCs/>
          <w:sz w:val="20"/>
        </w:rPr>
        <w:t xml:space="preserve"> and are then cross-examined and re-examined like the witnesses called by CP/applicant.</w:t>
      </w:r>
    </w:p>
    <w:p w14:paraId="2B67A94B"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Finally, if the JO permits, each of the parties are given an opportunity to make </w:t>
      </w:r>
      <w:r w:rsidRPr="00653195">
        <w:rPr>
          <w:rFonts w:ascii="Arial" w:hAnsi="Arial" w:cs="Arial"/>
          <w:b/>
          <w:sz w:val="20"/>
        </w:rPr>
        <w:t>closing submissions</w:t>
      </w:r>
      <w:r w:rsidRPr="00653195">
        <w:rPr>
          <w:rFonts w:ascii="Arial" w:hAnsi="Arial" w:cs="Arial"/>
          <w:bCs/>
          <w:sz w:val="20"/>
        </w:rPr>
        <w:t>.  These focus on-</w:t>
      </w:r>
    </w:p>
    <w:p w14:paraId="42D66AB4"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the disposition that the parties are seeking; and</w:t>
      </w:r>
    </w:p>
    <w:p w14:paraId="36C847AB" w14:textId="77777777"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the relevant legal principles in the </w:t>
      </w:r>
      <w:r w:rsidRPr="00653195">
        <w:rPr>
          <w:rFonts w:ascii="Arial" w:hAnsi="Arial" w:cs="Arial"/>
          <w:sz w:val="20"/>
        </w:rPr>
        <w:t>CYFA, any other relevant Act and the case law derived from specific cases that have gone before a court.</w:t>
      </w:r>
    </w:p>
    <w:p w14:paraId="3C724184" w14:textId="68904078" w:rsidR="00653195" w:rsidRPr="00653195" w:rsidRDefault="00653195">
      <w:pPr>
        <w:pStyle w:val="ListParagraph"/>
        <w:numPr>
          <w:ilvl w:val="0"/>
          <w:numId w:val="79"/>
        </w:numPr>
        <w:ind w:left="714" w:hanging="357"/>
        <w:contextualSpacing/>
        <w:jc w:val="both"/>
        <w:rPr>
          <w:rFonts w:ascii="Arial" w:hAnsi="Arial" w:cs="Arial"/>
          <w:bCs/>
          <w:sz w:val="20"/>
        </w:rPr>
      </w:pPr>
      <w:r w:rsidRPr="00653195">
        <w:rPr>
          <w:rFonts w:ascii="Arial" w:hAnsi="Arial" w:cs="Arial"/>
          <w:bCs/>
          <w:sz w:val="20"/>
        </w:rPr>
        <w:t xml:space="preserve">The JO will then </w:t>
      </w:r>
      <w:r w:rsidR="00BB22BB">
        <w:rPr>
          <w:rFonts w:ascii="Arial" w:hAnsi="Arial" w:cs="Arial"/>
          <w:bCs/>
          <w:sz w:val="20"/>
        </w:rPr>
        <w:t>announce his or her</w:t>
      </w:r>
      <w:r w:rsidRPr="00653195">
        <w:rPr>
          <w:rFonts w:ascii="Arial" w:hAnsi="Arial" w:cs="Arial"/>
          <w:bCs/>
          <w:sz w:val="20"/>
        </w:rPr>
        <w:t xml:space="preserve"> decision.  Sometimes this will happen on the same day, especially in intervention order cases.  In CP cases it is more usual for the decision to be handed down on a later day after the JO has had a chance to review the evidence and the submissions and prepare a judgment.</w:t>
      </w:r>
    </w:p>
    <w:p w14:paraId="064828FE" w14:textId="77777777" w:rsidR="00653195" w:rsidRPr="00AA20A6" w:rsidRDefault="00653195" w:rsidP="00AA053F">
      <w:pPr>
        <w:jc w:val="both"/>
        <w:rPr>
          <w:rFonts w:ascii="Arial" w:hAnsi="Arial" w:cs="Arial"/>
          <w:sz w:val="20"/>
          <w:szCs w:val="20"/>
        </w:rPr>
      </w:pPr>
    </w:p>
    <w:p w14:paraId="1959490E" w14:textId="77777777" w:rsidR="00653195" w:rsidRPr="00653195" w:rsidRDefault="00653195">
      <w:pPr>
        <w:pStyle w:val="ListParagraph"/>
        <w:numPr>
          <w:ilvl w:val="0"/>
          <w:numId w:val="74"/>
        </w:numPr>
        <w:ind w:left="357" w:hanging="357"/>
        <w:contextualSpacing/>
        <w:jc w:val="both"/>
        <w:rPr>
          <w:rFonts w:ascii="Arial" w:hAnsi="Arial" w:cs="Arial"/>
          <w:b/>
          <w:bCs/>
          <w:sz w:val="20"/>
          <w:u w:val="single"/>
        </w:rPr>
      </w:pPr>
      <w:r w:rsidRPr="00653195">
        <w:rPr>
          <w:rFonts w:ascii="Arial" w:hAnsi="Arial" w:cs="Arial"/>
          <w:b/>
          <w:bCs/>
          <w:sz w:val="20"/>
          <w:u w:val="single"/>
        </w:rPr>
        <w:t>WHERE TO FIND THE LAW THAT APPLIES IN CHILDREN’S COURT CASES</w:t>
      </w:r>
      <w:r w:rsidRPr="00653195">
        <w:rPr>
          <w:rFonts w:ascii="Arial" w:hAnsi="Arial" w:cs="Arial"/>
          <w:sz w:val="20"/>
        </w:rPr>
        <w:t>:</w:t>
      </w:r>
    </w:p>
    <w:p w14:paraId="11545B15"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 xml:space="preserve">The following Acts can be downloaded from </w:t>
      </w:r>
      <w:hyperlink r:id="rId34" w:history="1">
        <w:r w:rsidRPr="00653195">
          <w:rPr>
            <w:rStyle w:val="Hyperlink"/>
            <w:rFonts w:ascii="Arial" w:hAnsi="Arial" w:cs="Arial"/>
            <w:bCs/>
            <w:sz w:val="20"/>
          </w:rPr>
          <w:t>https://www.legislation.vic.gov.au</w:t>
        </w:r>
      </w:hyperlink>
      <w:r w:rsidRPr="00653195">
        <w:rPr>
          <w:rFonts w:ascii="Arial" w:hAnsi="Arial" w:cs="Arial"/>
          <w:bCs/>
          <w:sz w:val="20"/>
        </w:rPr>
        <w:t>:</w:t>
      </w:r>
    </w:p>
    <w:p w14:paraId="6C36E28F"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
          <w:sz w:val="20"/>
        </w:rPr>
        <w:t>For all cases</w:t>
      </w:r>
      <w:r w:rsidRPr="00653195">
        <w:rPr>
          <w:rFonts w:ascii="Arial" w:hAnsi="Arial" w:cs="Arial"/>
          <w:bCs/>
          <w:sz w:val="20"/>
        </w:rPr>
        <w:t xml:space="preserve">: </w:t>
      </w:r>
      <w:r w:rsidRPr="00653195">
        <w:rPr>
          <w:rFonts w:ascii="Arial" w:hAnsi="Arial" w:cs="Arial"/>
          <w:bCs/>
          <w:i/>
          <w:iCs/>
          <w:sz w:val="20"/>
        </w:rPr>
        <w:t>Children, Youth and Families Act 2005</w:t>
      </w:r>
      <w:r w:rsidRPr="00653195">
        <w:rPr>
          <w:rFonts w:ascii="Arial" w:hAnsi="Arial" w:cs="Arial"/>
          <w:bCs/>
          <w:sz w:val="20"/>
        </w:rPr>
        <w:t>.</w:t>
      </w:r>
    </w:p>
    <w:p w14:paraId="109E6F0E" w14:textId="77777777" w:rsidR="00653195" w:rsidRPr="00653195" w:rsidRDefault="00653195">
      <w:pPr>
        <w:pStyle w:val="ListParagraph"/>
        <w:numPr>
          <w:ilvl w:val="0"/>
          <w:numId w:val="75"/>
        </w:numPr>
        <w:ind w:left="1077" w:hanging="357"/>
        <w:contextualSpacing/>
        <w:jc w:val="both"/>
        <w:rPr>
          <w:rFonts w:ascii="Arial" w:hAnsi="Arial" w:cs="Arial"/>
          <w:bCs/>
          <w:sz w:val="20"/>
        </w:rPr>
      </w:pPr>
      <w:r w:rsidRPr="00653195">
        <w:rPr>
          <w:rFonts w:ascii="Arial" w:hAnsi="Arial" w:cs="Arial"/>
          <w:b/>
          <w:sz w:val="20"/>
        </w:rPr>
        <w:t>For intervention order cases</w:t>
      </w:r>
      <w:r w:rsidRPr="00653195">
        <w:rPr>
          <w:rFonts w:ascii="Arial" w:hAnsi="Arial" w:cs="Arial"/>
          <w:bCs/>
          <w:sz w:val="20"/>
        </w:rPr>
        <w:t xml:space="preserve">: </w:t>
      </w:r>
      <w:r w:rsidRPr="00653195">
        <w:rPr>
          <w:rFonts w:ascii="Arial" w:hAnsi="Arial" w:cs="Arial"/>
          <w:bCs/>
          <w:i/>
          <w:iCs/>
          <w:sz w:val="20"/>
        </w:rPr>
        <w:t>Family Violence Protection Act 2008</w:t>
      </w:r>
      <w:r w:rsidRPr="00653195">
        <w:rPr>
          <w:rFonts w:ascii="Arial" w:hAnsi="Arial" w:cs="Arial"/>
          <w:bCs/>
          <w:sz w:val="20"/>
        </w:rPr>
        <w:t xml:space="preserve"> or </w:t>
      </w:r>
      <w:r w:rsidRPr="00653195">
        <w:rPr>
          <w:rFonts w:ascii="Arial" w:hAnsi="Arial" w:cs="Arial"/>
          <w:bCs/>
          <w:i/>
          <w:iCs/>
          <w:sz w:val="20"/>
        </w:rPr>
        <w:t>Personal Safety Intervention Orders Act 2010</w:t>
      </w:r>
      <w:r w:rsidRPr="00653195">
        <w:rPr>
          <w:rFonts w:ascii="Arial" w:hAnsi="Arial" w:cs="Arial"/>
          <w:bCs/>
          <w:sz w:val="20"/>
        </w:rPr>
        <w:t>.</w:t>
      </w:r>
    </w:p>
    <w:p w14:paraId="29171D2A" w14:textId="77777777" w:rsidR="00653195" w:rsidRPr="00653195" w:rsidRDefault="00653195">
      <w:pPr>
        <w:pStyle w:val="ListParagraph"/>
        <w:numPr>
          <w:ilvl w:val="0"/>
          <w:numId w:val="76"/>
        </w:numPr>
        <w:ind w:left="714" w:hanging="357"/>
        <w:contextualSpacing/>
        <w:jc w:val="both"/>
        <w:rPr>
          <w:rFonts w:ascii="Arial" w:hAnsi="Arial" w:cs="Arial"/>
          <w:bCs/>
          <w:sz w:val="20"/>
        </w:rPr>
      </w:pPr>
      <w:r w:rsidRPr="00653195">
        <w:rPr>
          <w:rFonts w:ascii="Arial" w:hAnsi="Arial" w:cs="Arial"/>
          <w:bCs/>
          <w:sz w:val="20"/>
        </w:rPr>
        <w:t xml:space="preserve">Information about the Children’s Court and about the law (including case law deriving from other cases) can be downloaded from </w:t>
      </w:r>
      <w:hyperlink r:id="rId35" w:history="1">
        <w:r w:rsidRPr="00CE09D6">
          <w:rPr>
            <w:rStyle w:val="Hyperlink"/>
            <w:rFonts w:ascii="Arial" w:hAnsi="Arial" w:cs="Arial"/>
            <w:bCs/>
            <w:sz w:val="20"/>
          </w:rPr>
          <w:t>https://www.childrenscourt.vic.gov.au</w:t>
        </w:r>
      </w:hyperlink>
      <w:r w:rsidRPr="00CE09D6">
        <w:rPr>
          <w:rFonts w:ascii="Arial" w:hAnsi="Arial" w:cs="Arial"/>
          <w:bCs/>
          <w:sz w:val="20"/>
        </w:rPr>
        <w:t>.</w:t>
      </w:r>
    </w:p>
    <w:p w14:paraId="67D26206" w14:textId="77777777" w:rsidR="00AA053F" w:rsidRPr="00AA20A6" w:rsidRDefault="00AA053F" w:rsidP="00AA053F">
      <w:pPr>
        <w:jc w:val="both"/>
        <w:rPr>
          <w:rFonts w:ascii="Arial" w:hAnsi="Arial" w:cs="Arial"/>
          <w:sz w:val="20"/>
          <w:szCs w:val="20"/>
        </w:rPr>
      </w:pPr>
    </w:p>
    <w:p w14:paraId="0D077320" w14:textId="2435744D" w:rsidR="00AA053F" w:rsidRPr="00653195" w:rsidRDefault="00AA053F">
      <w:pPr>
        <w:pStyle w:val="ListParagraph"/>
        <w:numPr>
          <w:ilvl w:val="0"/>
          <w:numId w:val="74"/>
        </w:numPr>
        <w:ind w:left="357" w:hanging="357"/>
        <w:contextualSpacing/>
        <w:jc w:val="both"/>
        <w:rPr>
          <w:rFonts w:ascii="Arial" w:hAnsi="Arial" w:cs="Arial"/>
          <w:b/>
          <w:bCs/>
          <w:sz w:val="20"/>
          <w:u w:val="single"/>
        </w:rPr>
      </w:pPr>
      <w:r>
        <w:rPr>
          <w:rFonts w:ascii="Arial" w:hAnsi="Arial" w:cs="Arial"/>
          <w:b/>
          <w:bCs/>
          <w:sz w:val="20"/>
          <w:u w:val="single"/>
        </w:rPr>
        <w:t>ADDITIONAL INFORMATION</w:t>
      </w:r>
      <w:r w:rsidRPr="00653195">
        <w:rPr>
          <w:rFonts w:ascii="Arial" w:hAnsi="Arial" w:cs="Arial"/>
          <w:sz w:val="20"/>
        </w:rPr>
        <w:t>:</w:t>
      </w:r>
    </w:p>
    <w:p w14:paraId="71D83829" w14:textId="43DF8B6F" w:rsidR="00AA053F" w:rsidRPr="00CE09D6" w:rsidRDefault="00AA053F" w:rsidP="00AA053F">
      <w:pPr>
        <w:ind w:left="357"/>
        <w:contextualSpacing/>
        <w:jc w:val="both"/>
        <w:rPr>
          <w:rFonts w:ascii="Arial" w:hAnsi="Arial" w:cs="Arial"/>
          <w:bCs/>
          <w:sz w:val="20"/>
          <w:szCs w:val="20"/>
        </w:rPr>
      </w:pPr>
      <w:r w:rsidRPr="00CE09D6">
        <w:rPr>
          <w:rFonts w:ascii="Arial" w:hAnsi="Arial" w:cs="Arial"/>
          <w:bCs/>
          <w:sz w:val="20"/>
          <w:szCs w:val="20"/>
        </w:rPr>
        <w:t>See “</w:t>
      </w:r>
      <w:r w:rsidRPr="00CE09D6">
        <w:rPr>
          <w:rFonts w:ascii="Arial" w:hAnsi="Arial" w:cs="Arial"/>
          <w:b/>
          <w:sz w:val="20"/>
          <w:szCs w:val="20"/>
        </w:rPr>
        <w:t>Information for parents and primary carers with a child protection court case</w:t>
      </w:r>
      <w:r w:rsidRPr="00CE09D6">
        <w:rPr>
          <w:rFonts w:ascii="Arial" w:hAnsi="Arial" w:cs="Arial"/>
          <w:bCs/>
          <w:sz w:val="20"/>
          <w:szCs w:val="20"/>
        </w:rPr>
        <w:t xml:space="preserve">” which can be downloaded from </w:t>
      </w:r>
      <w:hyperlink r:id="rId36" w:tgtFrame="_blank" w:history="1">
        <w:r w:rsidR="000A4830" w:rsidRPr="00CE09D6">
          <w:rPr>
            <w:rStyle w:val="Hyperlink"/>
            <w:rFonts w:ascii="Arial" w:hAnsi="Arial" w:cs="Arial"/>
            <w:sz w:val="20"/>
            <w:szCs w:val="20"/>
            <w:shd w:val="clear" w:color="auto" w:fill="FFFFFF"/>
          </w:rPr>
          <w:t>https://www.legalaid.vic.gov.au/sites/default/files/2022-02/vla-resource-information-parents-primary-carers-child-protection-court-case.docx</w:t>
        </w:r>
      </w:hyperlink>
      <w:r w:rsidR="000A4830" w:rsidRPr="00CE09D6">
        <w:rPr>
          <w:rFonts w:ascii="Arial" w:hAnsi="Arial" w:cs="Arial"/>
          <w:sz w:val="20"/>
          <w:szCs w:val="20"/>
        </w:rPr>
        <w:t>.</w:t>
      </w:r>
    </w:p>
    <w:p w14:paraId="290C30C9" w14:textId="7ACD4C67" w:rsidR="004B0BBE" w:rsidRDefault="004B0BBE" w:rsidP="004B0BBE">
      <w:pPr>
        <w:jc w:val="both"/>
        <w:rPr>
          <w:rFonts w:ascii="Arial" w:hAnsi="Arial" w:cs="Arial"/>
          <w:sz w:val="20"/>
        </w:rPr>
      </w:pPr>
      <w:bookmarkStart w:id="1435" w:name="_4.9.7_Throughput_of"/>
      <w:bookmarkEnd w:id="1434"/>
      <w:bookmarkEnd w:id="1435"/>
    </w:p>
    <w:p w14:paraId="72F16FFD" w14:textId="3F85DAC8" w:rsidR="00DA6E39" w:rsidRPr="00785E1A" w:rsidRDefault="00527793" w:rsidP="001F6450">
      <w:pPr>
        <w:pStyle w:val="Heading3"/>
        <w:keepNext/>
        <w:keepLines/>
        <w:spacing w:after="100" w:line="240" w:lineRule="auto"/>
        <w:rPr>
          <w:rFonts w:ascii="Arial" w:hAnsi="Arial" w:cs="Arial"/>
          <w:color w:val="000000"/>
          <w:sz w:val="20"/>
        </w:rPr>
      </w:pPr>
      <w:bookmarkStart w:id="1436" w:name="_4.9.7_Throughput_of_2"/>
      <w:bookmarkEnd w:id="1436"/>
      <w:r>
        <w:rPr>
          <w:rFonts w:ascii="Arial" w:hAnsi="Arial" w:cs="Arial"/>
          <w:b/>
          <w:bCs/>
          <w:sz w:val="20"/>
        </w:rPr>
        <w:t>4.9.7</w:t>
      </w:r>
      <w:r>
        <w:rPr>
          <w:rFonts w:ascii="Arial" w:hAnsi="Arial" w:cs="Arial"/>
          <w:b/>
          <w:bCs/>
          <w:sz w:val="20"/>
        </w:rPr>
        <w:tab/>
      </w:r>
      <w:r w:rsidR="005C410C">
        <w:rPr>
          <w:rFonts w:ascii="Arial" w:hAnsi="Arial" w:cs="Arial"/>
          <w:b/>
          <w:bCs/>
          <w:sz w:val="20"/>
        </w:rPr>
        <w:t>Throughput of applications</w:t>
      </w:r>
      <w:r w:rsidR="00E56A47">
        <w:rPr>
          <w:rFonts w:ascii="Arial" w:hAnsi="Arial" w:cs="Arial"/>
          <w:b/>
          <w:bCs/>
          <w:sz w:val="20"/>
        </w:rPr>
        <w:t xml:space="preserve"> in the </w:t>
      </w:r>
      <w:r w:rsidR="001F6450">
        <w:rPr>
          <w:rFonts w:ascii="Arial" w:hAnsi="Arial" w:cs="Arial"/>
          <w:b/>
          <w:bCs/>
          <w:sz w:val="20"/>
        </w:rPr>
        <w:t>Family Division child protection jurisdiction</w:t>
      </w:r>
    </w:p>
    <w:p w14:paraId="1D856055" w14:textId="3647229E" w:rsidR="00DB6142" w:rsidRDefault="001B734E" w:rsidP="00DB6142">
      <w:pPr>
        <w:jc w:val="both"/>
        <w:rPr>
          <w:rFonts w:ascii="Arial" w:hAnsi="Arial" w:cs="Arial"/>
          <w:sz w:val="20"/>
          <w:szCs w:val="20"/>
        </w:rPr>
      </w:pPr>
      <w:r>
        <w:rPr>
          <w:rFonts w:ascii="Arial" w:hAnsi="Arial" w:cs="Arial"/>
          <w:sz w:val="20"/>
          <w:szCs w:val="20"/>
        </w:rPr>
        <w:t xml:space="preserve">As stated in </w:t>
      </w:r>
      <w:r w:rsidR="001966B1" w:rsidRPr="00A40A28">
        <w:rPr>
          <w:rFonts w:ascii="Arial" w:hAnsi="Arial" w:cs="Arial"/>
          <w:b/>
          <w:bCs/>
          <w:sz w:val="20"/>
          <w:szCs w:val="20"/>
          <w:shd w:val="clear" w:color="auto" w:fill="C5E0B3"/>
        </w:rPr>
        <w:t xml:space="preserve">Part </w:t>
      </w:r>
      <w:r w:rsidRPr="00A40A28">
        <w:rPr>
          <w:rFonts w:ascii="Arial" w:hAnsi="Arial" w:cs="Arial"/>
          <w:b/>
          <w:bCs/>
          <w:sz w:val="20"/>
          <w:szCs w:val="20"/>
          <w:shd w:val="clear" w:color="auto" w:fill="C5E0B3"/>
        </w:rPr>
        <w:t>4.2</w:t>
      </w:r>
      <w:r>
        <w:rPr>
          <w:rFonts w:ascii="Arial" w:hAnsi="Arial" w:cs="Arial"/>
          <w:sz w:val="20"/>
          <w:szCs w:val="20"/>
        </w:rPr>
        <w:t xml:space="preserve"> above, t</w:t>
      </w:r>
      <w:r w:rsidRPr="002B758B">
        <w:rPr>
          <w:rFonts w:ascii="Arial" w:hAnsi="Arial" w:cs="Arial"/>
          <w:sz w:val="20"/>
          <w:szCs w:val="20"/>
        </w:rPr>
        <w:t xml:space="preserve">he Family Division of the Children’s Court becomes involved in the life of a child when </w:t>
      </w:r>
      <w:r w:rsidR="00DB6142">
        <w:rPr>
          <w:rFonts w:ascii="Arial" w:hAnsi="Arial" w:cs="Arial"/>
          <w:sz w:val="20"/>
          <w:szCs w:val="20"/>
        </w:rPr>
        <w:t>a protective intervener</w:t>
      </w:r>
      <w:r w:rsidRPr="002B758B">
        <w:rPr>
          <w:rFonts w:ascii="Arial" w:hAnsi="Arial" w:cs="Arial"/>
          <w:sz w:val="20"/>
          <w:szCs w:val="20"/>
        </w:rPr>
        <w:t xml:space="preserve"> invoke</w:t>
      </w:r>
      <w:r w:rsidR="005C6C5C">
        <w:rPr>
          <w:rFonts w:ascii="Arial" w:hAnsi="Arial" w:cs="Arial"/>
          <w:sz w:val="20"/>
          <w:szCs w:val="20"/>
        </w:rPr>
        <w:t>s</w:t>
      </w:r>
      <w:r w:rsidRPr="002B758B">
        <w:rPr>
          <w:rFonts w:ascii="Arial" w:hAnsi="Arial" w:cs="Arial"/>
          <w:sz w:val="20"/>
          <w:szCs w:val="20"/>
        </w:rPr>
        <w:t xml:space="preserve"> the Court’s jurisdiction. </w:t>
      </w:r>
      <w:r w:rsidR="009A1D1C">
        <w:rPr>
          <w:rFonts w:ascii="Arial" w:hAnsi="Arial" w:cs="Arial"/>
          <w:sz w:val="20"/>
          <w:szCs w:val="20"/>
        </w:rPr>
        <w:t xml:space="preserve">The intervener </w:t>
      </w:r>
      <w:r w:rsidRPr="002B758B">
        <w:rPr>
          <w:rFonts w:ascii="Arial" w:hAnsi="Arial" w:cs="Arial"/>
          <w:sz w:val="20"/>
          <w:szCs w:val="20"/>
        </w:rPr>
        <w:t xml:space="preserve">may do this </w:t>
      </w:r>
      <w:r w:rsidR="00DB6142">
        <w:rPr>
          <w:rFonts w:ascii="Arial" w:hAnsi="Arial" w:cs="Arial"/>
          <w:sz w:val="20"/>
          <w:szCs w:val="20"/>
        </w:rPr>
        <w:t>in one of two ways-</w:t>
      </w:r>
    </w:p>
    <w:p w14:paraId="2EC4A1FF" w14:textId="13AC4A8B" w:rsidR="00DB6142" w:rsidRPr="00DB6142" w:rsidRDefault="00DB6142">
      <w:pPr>
        <w:pStyle w:val="ListParagraph"/>
        <w:numPr>
          <w:ilvl w:val="0"/>
          <w:numId w:val="88"/>
        </w:numPr>
        <w:ind w:left="357" w:hanging="357"/>
        <w:jc w:val="both"/>
        <w:rPr>
          <w:rFonts w:ascii="Arial" w:hAnsi="Arial" w:cs="Arial"/>
          <w:sz w:val="20"/>
        </w:rPr>
      </w:pPr>
      <w:r w:rsidRPr="00DB6142">
        <w:rPr>
          <w:rFonts w:ascii="Arial" w:hAnsi="Arial" w:cs="Arial"/>
          <w:sz w:val="20"/>
        </w:rPr>
        <w:t xml:space="preserve">by </w:t>
      </w:r>
      <w:r w:rsidR="00445078">
        <w:rPr>
          <w:rFonts w:ascii="Arial" w:hAnsi="Arial" w:cs="Arial"/>
          <w:sz w:val="20"/>
        </w:rPr>
        <w:t>fil</w:t>
      </w:r>
      <w:r w:rsidRPr="00DB6142">
        <w:rPr>
          <w:rFonts w:ascii="Arial" w:hAnsi="Arial" w:cs="Arial"/>
          <w:sz w:val="20"/>
        </w:rPr>
        <w:t xml:space="preserve">ing an application which involves </w:t>
      </w:r>
      <w:r>
        <w:rPr>
          <w:rFonts w:ascii="Arial" w:hAnsi="Arial" w:cs="Arial"/>
          <w:sz w:val="20"/>
        </w:rPr>
        <w:t>a</w:t>
      </w:r>
      <w:r w:rsidRPr="00DB6142">
        <w:rPr>
          <w:rFonts w:ascii="Arial" w:hAnsi="Arial" w:cs="Arial"/>
          <w:sz w:val="20"/>
        </w:rPr>
        <w:t xml:space="preserve"> notice of a future hearing</w:t>
      </w:r>
      <w:r>
        <w:rPr>
          <w:rFonts w:ascii="Arial" w:hAnsi="Arial" w:cs="Arial"/>
          <w:sz w:val="20"/>
        </w:rPr>
        <w:t>; or</w:t>
      </w:r>
    </w:p>
    <w:p w14:paraId="699FAB96" w14:textId="2F03013A" w:rsidR="00DB6142" w:rsidRDefault="00DB6142">
      <w:pPr>
        <w:pStyle w:val="ListParagraph"/>
        <w:numPr>
          <w:ilvl w:val="0"/>
          <w:numId w:val="88"/>
        </w:numPr>
        <w:ind w:left="357" w:hanging="357"/>
        <w:jc w:val="both"/>
        <w:rPr>
          <w:rFonts w:ascii="Arial" w:hAnsi="Arial" w:cs="Arial"/>
          <w:sz w:val="20"/>
        </w:rPr>
      </w:pPr>
      <w:r w:rsidRPr="002B758B">
        <w:rPr>
          <w:rFonts w:ascii="Arial" w:hAnsi="Arial" w:cs="Arial"/>
          <w:sz w:val="20"/>
        </w:rPr>
        <w:t xml:space="preserve">by </w:t>
      </w:r>
      <w:r>
        <w:rPr>
          <w:rFonts w:ascii="Arial" w:hAnsi="Arial" w:cs="Arial"/>
          <w:sz w:val="20"/>
        </w:rPr>
        <w:t xml:space="preserve">placing the child into emergency care </w:t>
      </w:r>
      <w:r w:rsidRPr="002B758B">
        <w:rPr>
          <w:rFonts w:ascii="Arial" w:hAnsi="Arial" w:cs="Arial"/>
          <w:sz w:val="20"/>
        </w:rPr>
        <w:t xml:space="preserve">and </w:t>
      </w:r>
      <w:r w:rsidR="00445078">
        <w:rPr>
          <w:rFonts w:ascii="Arial" w:hAnsi="Arial" w:cs="Arial"/>
          <w:sz w:val="20"/>
        </w:rPr>
        <w:t>fil</w:t>
      </w:r>
      <w:r>
        <w:rPr>
          <w:rFonts w:ascii="Arial" w:hAnsi="Arial" w:cs="Arial"/>
          <w:sz w:val="20"/>
        </w:rPr>
        <w:t>ing an application s</w:t>
      </w:r>
      <w:r w:rsidRPr="002B758B">
        <w:rPr>
          <w:rFonts w:ascii="Arial" w:hAnsi="Arial" w:cs="Arial"/>
          <w:sz w:val="20"/>
        </w:rPr>
        <w:t>eek</w:t>
      </w:r>
      <w:r>
        <w:rPr>
          <w:rFonts w:ascii="Arial" w:hAnsi="Arial" w:cs="Arial"/>
          <w:sz w:val="20"/>
        </w:rPr>
        <w:t>ing</w:t>
      </w:r>
      <w:r w:rsidRPr="002B758B">
        <w:rPr>
          <w:rFonts w:ascii="Arial" w:hAnsi="Arial" w:cs="Arial"/>
          <w:sz w:val="20"/>
        </w:rPr>
        <w:t xml:space="preserve"> immediate orders from the Court in relation to the child’s placement.</w:t>
      </w:r>
    </w:p>
    <w:p w14:paraId="7F6E0647" w14:textId="0E773EB8" w:rsidR="00DB6142" w:rsidRDefault="00DB6142" w:rsidP="00DB6142">
      <w:pPr>
        <w:jc w:val="both"/>
        <w:rPr>
          <w:rFonts w:ascii="Arial" w:hAnsi="Arial" w:cs="Arial"/>
          <w:sz w:val="20"/>
          <w:szCs w:val="20"/>
        </w:rPr>
      </w:pPr>
      <w:r>
        <w:rPr>
          <w:rFonts w:ascii="Arial" w:hAnsi="Arial" w:cs="Arial"/>
          <w:sz w:val="20"/>
          <w:szCs w:val="20"/>
        </w:rPr>
        <w:t xml:space="preserve">Details of the possible types of application are set out in </w:t>
      </w:r>
      <w:r w:rsidRPr="00A40A28">
        <w:rPr>
          <w:rFonts w:ascii="Arial" w:hAnsi="Arial" w:cs="Arial"/>
          <w:b/>
          <w:bCs/>
          <w:sz w:val="20"/>
          <w:szCs w:val="20"/>
          <w:shd w:val="clear" w:color="auto" w:fill="C5E0B3"/>
        </w:rPr>
        <w:t>Part 5.3</w:t>
      </w:r>
      <w:r>
        <w:rPr>
          <w:rFonts w:ascii="Arial" w:hAnsi="Arial" w:cs="Arial"/>
          <w:sz w:val="20"/>
          <w:szCs w:val="20"/>
        </w:rPr>
        <w:t xml:space="preserve"> of these Research Materials.</w:t>
      </w:r>
    </w:p>
    <w:p w14:paraId="23CEFDD5" w14:textId="77777777" w:rsidR="00DB6142" w:rsidRDefault="00DB6142" w:rsidP="00DB6142">
      <w:pPr>
        <w:jc w:val="both"/>
        <w:rPr>
          <w:rFonts w:ascii="Arial" w:hAnsi="Arial" w:cs="Arial"/>
          <w:sz w:val="20"/>
          <w:szCs w:val="20"/>
        </w:rPr>
      </w:pPr>
    </w:p>
    <w:p w14:paraId="449DE855" w14:textId="4FF9B5F2" w:rsidR="00DB6142" w:rsidRDefault="00E56A47" w:rsidP="00445078">
      <w:pPr>
        <w:jc w:val="both"/>
        <w:rPr>
          <w:rFonts w:ascii="Arial" w:hAnsi="Arial" w:cs="Arial"/>
          <w:sz w:val="20"/>
        </w:rPr>
      </w:pPr>
      <w:r w:rsidRPr="00E56A47">
        <w:rPr>
          <w:rFonts w:ascii="Arial" w:hAnsi="Arial" w:cs="Arial"/>
          <w:sz w:val="20"/>
        </w:rPr>
        <w:t xml:space="preserve">In the </w:t>
      </w:r>
      <w:r>
        <w:rPr>
          <w:rFonts w:ascii="Arial" w:hAnsi="Arial" w:cs="Arial"/>
          <w:sz w:val="20"/>
        </w:rPr>
        <w:t xml:space="preserve">period from </w:t>
      </w:r>
      <w:r w:rsidRPr="000E6292">
        <w:rPr>
          <w:rFonts w:ascii="Arial" w:hAnsi="Arial" w:cs="Arial"/>
          <w:b/>
          <w:bCs/>
          <w:sz w:val="20"/>
        </w:rPr>
        <w:t>01/06/2019 to 31/05/2021</w:t>
      </w:r>
      <w:r>
        <w:rPr>
          <w:rFonts w:ascii="Arial" w:hAnsi="Arial" w:cs="Arial"/>
          <w:sz w:val="20"/>
        </w:rPr>
        <w:t xml:space="preserve"> a total of </w:t>
      </w:r>
      <w:r w:rsidRPr="001F6450">
        <w:rPr>
          <w:rFonts w:ascii="Arial" w:hAnsi="Arial" w:cs="Arial"/>
          <w:b/>
          <w:bCs/>
          <w:sz w:val="20"/>
        </w:rPr>
        <w:t>34,846</w:t>
      </w:r>
      <w:r>
        <w:rPr>
          <w:rFonts w:ascii="Arial" w:hAnsi="Arial" w:cs="Arial"/>
          <w:sz w:val="20"/>
        </w:rPr>
        <w:t xml:space="preserve"> applications were initiated </w:t>
      </w:r>
      <w:r w:rsidR="001B734E">
        <w:rPr>
          <w:rFonts w:ascii="Arial" w:hAnsi="Arial" w:cs="Arial"/>
          <w:sz w:val="20"/>
        </w:rPr>
        <w:t xml:space="preserve">statewide </w:t>
      </w:r>
      <w:r>
        <w:rPr>
          <w:rFonts w:ascii="Arial" w:hAnsi="Arial" w:cs="Arial"/>
          <w:sz w:val="20"/>
        </w:rPr>
        <w:t xml:space="preserve">in the </w:t>
      </w:r>
      <w:r w:rsidR="001B734E">
        <w:rPr>
          <w:rFonts w:ascii="Arial" w:hAnsi="Arial" w:cs="Arial"/>
          <w:sz w:val="20"/>
        </w:rPr>
        <w:t>child protection [CP] jurisdiction of the Family Division.  Of these</w:t>
      </w:r>
      <w:r w:rsidR="000E6292">
        <w:rPr>
          <w:rFonts w:ascii="Arial" w:hAnsi="Arial" w:cs="Arial"/>
          <w:sz w:val="20"/>
        </w:rPr>
        <w:t>,</w:t>
      </w:r>
      <w:r w:rsidR="001B734E">
        <w:rPr>
          <w:rFonts w:ascii="Arial" w:hAnsi="Arial" w:cs="Arial"/>
          <w:sz w:val="20"/>
        </w:rPr>
        <w:t xml:space="preserve"> </w:t>
      </w:r>
      <w:r w:rsidR="001B734E" w:rsidRPr="00DB6142">
        <w:rPr>
          <w:rFonts w:ascii="Arial" w:hAnsi="Arial" w:cs="Arial"/>
          <w:b/>
          <w:bCs/>
          <w:sz w:val="20"/>
        </w:rPr>
        <w:t>16,241</w:t>
      </w:r>
      <w:r w:rsidR="001B734E">
        <w:rPr>
          <w:rFonts w:ascii="Arial" w:hAnsi="Arial" w:cs="Arial"/>
          <w:sz w:val="20"/>
        </w:rPr>
        <w:t xml:space="preserve"> applications [46.6%] were initiated by placing the child in emergency care and </w:t>
      </w:r>
      <w:r w:rsidR="001B734E" w:rsidRPr="00DB6142">
        <w:rPr>
          <w:rFonts w:ascii="Arial" w:hAnsi="Arial" w:cs="Arial"/>
          <w:b/>
          <w:bCs/>
          <w:sz w:val="20"/>
        </w:rPr>
        <w:t>18,605</w:t>
      </w:r>
      <w:r w:rsidR="001B734E">
        <w:rPr>
          <w:rFonts w:ascii="Arial" w:hAnsi="Arial" w:cs="Arial"/>
          <w:sz w:val="20"/>
        </w:rPr>
        <w:t xml:space="preserve"> [53.4%] were initiated by notice.</w:t>
      </w:r>
      <w:r w:rsidR="00445078">
        <w:rPr>
          <w:rFonts w:ascii="Arial" w:hAnsi="Arial" w:cs="Arial"/>
          <w:sz w:val="20"/>
        </w:rPr>
        <w:t xml:space="preserve">  All of the emergency care applications were filed by a protective intervener.  The majority of the applications by notice were also filed by a protective intervener although some were filed by other parties.</w:t>
      </w:r>
    </w:p>
    <w:p w14:paraId="79160BBA" w14:textId="77777777" w:rsidR="00445078" w:rsidRDefault="00445078" w:rsidP="00445078">
      <w:pPr>
        <w:jc w:val="both"/>
        <w:rPr>
          <w:rFonts w:ascii="Arial" w:hAnsi="Arial" w:cs="Arial"/>
          <w:sz w:val="20"/>
        </w:rPr>
      </w:pPr>
    </w:p>
    <w:p w14:paraId="51BBE7B4" w14:textId="25FF0CE1" w:rsidR="001B734E" w:rsidRDefault="001B734E" w:rsidP="00DB6142">
      <w:pPr>
        <w:spacing w:after="120"/>
        <w:jc w:val="both"/>
        <w:rPr>
          <w:rFonts w:ascii="Arial" w:hAnsi="Arial" w:cs="Arial"/>
          <w:sz w:val="20"/>
        </w:rPr>
      </w:pPr>
      <w:r>
        <w:rPr>
          <w:rFonts w:ascii="Arial" w:hAnsi="Arial" w:cs="Arial"/>
          <w:sz w:val="20"/>
        </w:rPr>
        <w:t xml:space="preserve">In the same period a total of </w:t>
      </w:r>
      <w:r w:rsidRPr="001F6450">
        <w:rPr>
          <w:rFonts w:ascii="Arial" w:hAnsi="Arial" w:cs="Arial"/>
          <w:b/>
          <w:bCs/>
          <w:sz w:val="20"/>
        </w:rPr>
        <w:t>34,</w:t>
      </w:r>
      <w:r w:rsidR="001F6450" w:rsidRPr="001F6450">
        <w:rPr>
          <w:rFonts w:ascii="Arial" w:hAnsi="Arial" w:cs="Arial"/>
          <w:b/>
          <w:bCs/>
          <w:sz w:val="20"/>
        </w:rPr>
        <w:t>495</w:t>
      </w:r>
      <w:r>
        <w:rPr>
          <w:rFonts w:ascii="Arial" w:hAnsi="Arial" w:cs="Arial"/>
          <w:sz w:val="20"/>
        </w:rPr>
        <w:t xml:space="preserve"> applications were finalised.  It is noteworthy that in this 2</w:t>
      </w:r>
      <w:r w:rsidR="002F63E2">
        <w:rPr>
          <w:rFonts w:ascii="Arial" w:hAnsi="Arial" w:cs="Arial"/>
          <w:sz w:val="20"/>
        </w:rPr>
        <w:noBreakHyphen/>
      </w:r>
      <w:r>
        <w:rPr>
          <w:rFonts w:ascii="Arial" w:hAnsi="Arial" w:cs="Arial"/>
          <w:sz w:val="20"/>
        </w:rPr>
        <w:t>year period, the greater part of which was affected by the COVID</w:t>
      </w:r>
      <w:r>
        <w:rPr>
          <w:rFonts w:ascii="Arial" w:hAnsi="Arial" w:cs="Arial"/>
          <w:sz w:val="20"/>
        </w:rPr>
        <w:noBreakHyphen/>
        <w:t xml:space="preserve">19 pandemic, the finalisation figure for Child Protection cases in the Family Division was 99% of the initiation figure.  The </w:t>
      </w:r>
      <w:r w:rsidRPr="00285A4F">
        <w:rPr>
          <w:rFonts w:ascii="Arial" w:hAnsi="Arial" w:cs="Arial"/>
          <w:sz w:val="20"/>
        </w:rPr>
        <w:t xml:space="preserve">chart below shows the </w:t>
      </w:r>
      <w:r>
        <w:rPr>
          <w:rFonts w:ascii="Arial" w:hAnsi="Arial" w:cs="Arial"/>
          <w:sz w:val="20"/>
        </w:rPr>
        <w:t>time lapse</w:t>
      </w:r>
      <w:r w:rsidRPr="00285A4F">
        <w:rPr>
          <w:rFonts w:ascii="Arial" w:hAnsi="Arial" w:cs="Arial"/>
          <w:sz w:val="20"/>
        </w:rPr>
        <w:t xml:space="preserve"> between the initiation and the </w:t>
      </w:r>
      <w:r>
        <w:rPr>
          <w:rFonts w:ascii="Arial" w:hAnsi="Arial" w:cs="Arial"/>
          <w:sz w:val="20"/>
        </w:rPr>
        <w:t>finali</w:t>
      </w:r>
      <w:r w:rsidR="000E6292">
        <w:rPr>
          <w:rFonts w:ascii="Arial" w:hAnsi="Arial" w:cs="Arial"/>
          <w:sz w:val="20"/>
        </w:rPr>
        <w:t>s</w:t>
      </w:r>
      <w:r>
        <w:rPr>
          <w:rFonts w:ascii="Arial" w:hAnsi="Arial" w:cs="Arial"/>
          <w:sz w:val="20"/>
        </w:rPr>
        <w:t xml:space="preserve">ation of </w:t>
      </w:r>
      <w:r w:rsidR="000E6292" w:rsidRPr="00AD3C6C">
        <w:rPr>
          <w:rFonts w:ascii="Arial" w:hAnsi="Arial" w:cs="Arial"/>
          <w:sz w:val="20"/>
        </w:rPr>
        <w:t>32,346</w:t>
      </w:r>
      <w:r w:rsidR="000E6292">
        <w:rPr>
          <w:rFonts w:ascii="Arial" w:hAnsi="Arial" w:cs="Arial"/>
          <w:sz w:val="20"/>
        </w:rPr>
        <w:t xml:space="preserve"> of </w:t>
      </w:r>
      <w:r>
        <w:rPr>
          <w:rFonts w:ascii="Arial" w:hAnsi="Arial" w:cs="Arial"/>
          <w:sz w:val="20"/>
        </w:rPr>
        <w:t>the</w:t>
      </w:r>
      <w:r w:rsidR="001F6450">
        <w:rPr>
          <w:rFonts w:ascii="Arial" w:hAnsi="Arial" w:cs="Arial"/>
          <w:sz w:val="20"/>
        </w:rPr>
        <w:t>se</w:t>
      </w:r>
      <w:r>
        <w:rPr>
          <w:rFonts w:ascii="Arial" w:hAnsi="Arial" w:cs="Arial"/>
          <w:sz w:val="20"/>
        </w:rPr>
        <w:t xml:space="preserve"> </w:t>
      </w:r>
      <w:r w:rsidRPr="000E6292">
        <w:rPr>
          <w:rFonts w:ascii="Arial" w:hAnsi="Arial" w:cs="Arial"/>
          <w:sz w:val="20"/>
        </w:rPr>
        <w:t>34,495</w:t>
      </w:r>
      <w:r>
        <w:rPr>
          <w:rFonts w:ascii="Arial" w:hAnsi="Arial" w:cs="Arial"/>
          <w:sz w:val="20"/>
        </w:rPr>
        <w:t xml:space="preserve"> </w:t>
      </w:r>
      <w:r w:rsidR="001F6450">
        <w:rPr>
          <w:rFonts w:ascii="Arial" w:hAnsi="Arial" w:cs="Arial"/>
          <w:sz w:val="20"/>
        </w:rPr>
        <w:t>applications</w:t>
      </w:r>
      <w:r>
        <w:rPr>
          <w:rFonts w:ascii="Arial" w:hAnsi="Arial" w:cs="Arial"/>
          <w:sz w:val="20"/>
        </w:rPr>
        <w:t>.</w:t>
      </w:r>
    </w:p>
    <w:tbl>
      <w:tblPr>
        <w:tblStyle w:val="TableGrid"/>
        <w:tblW w:w="8844" w:type="dxa"/>
        <w:tblInd w:w="-170" w:type="dxa"/>
        <w:tblLook w:val="04A0" w:firstRow="1" w:lastRow="0" w:firstColumn="1" w:lastColumn="0" w:noHBand="0" w:noVBand="1"/>
      </w:tblPr>
      <w:tblGrid>
        <w:gridCol w:w="1474"/>
        <w:gridCol w:w="1474"/>
        <w:gridCol w:w="1474"/>
        <w:gridCol w:w="1474"/>
        <w:gridCol w:w="1474"/>
        <w:gridCol w:w="1474"/>
      </w:tblGrid>
      <w:tr w:rsidR="001B734E" w14:paraId="657285D4" w14:textId="77777777" w:rsidTr="00D905CB">
        <w:tc>
          <w:tcPr>
            <w:tcW w:w="1474" w:type="dxa"/>
            <w:shd w:val="clear" w:color="auto" w:fill="B4C6E7" w:themeFill="accent1" w:themeFillTint="66"/>
          </w:tcPr>
          <w:p w14:paraId="30B4BB3C" w14:textId="77777777" w:rsidR="001B734E" w:rsidRDefault="001B734E" w:rsidP="006414BE">
            <w:pPr>
              <w:jc w:val="center"/>
              <w:rPr>
                <w:rFonts w:ascii="Arial" w:hAnsi="Arial" w:cs="Arial"/>
                <w:sz w:val="20"/>
              </w:rPr>
            </w:pPr>
            <w:r>
              <w:rPr>
                <w:rFonts w:ascii="Arial" w:hAnsi="Arial" w:cs="Arial"/>
                <w:sz w:val="20"/>
              </w:rPr>
              <w:t>0-3 months</w:t>
            </w:r>
          </w:p>
        </w:tc>
        <w:tc>
          <w:tcPr>
            <w:tcW w:w="1474" w:type="dxa"/>
            <w:shd w:val="clear" w:color="auto" w:fill="B4C6E7" w:themeFill="accent1" w:themeFillTint="66"/>
          </w:tcPr>
          <w:p w14:paraId="207FB448" w14:textId="77777777" w:rsidR="001B734E" w:rsidRDefault="001B734E" w:rsidP="006414BE">
            <w:pPr>
              <w:jc w:val="center"/>
              <w:rPr>
                <w:rFonts w:ascii="Arial" w:hAnsi="Arial" w:cs="Arial"/>
                <w:sz w:val="20"/>
              </w:rPr>
            </w:pPr>
            <w:r>
              <w:rPr>
                <w:rFonts w:ascii="Arial" w:hAnsi="Arial" w:cs="Arial"/>
                <w:sz w:val="20"/>
              </w:rPr>
              <w:t>3-6 months</w:t>
            </w:r>
          </w:p>
        </w:tc>
        <w:tc>
          <w:tcPr>
            <w:tcW w:w="1474" w:type="dxa"/>
            <w:shd w:val="clear" w:color="auto" w:fill="B4C6E7" w:themeFill="accent1" w:themeFillTint="66"/>
          </w:tcPr>
          <w:p w14:paraId="5E33EC92" w14:textId="77777777" w:rsidR="001B734E" w:rsidRDefault="001B734E" w:rsidP="006414BE">
            <w:pPr>
              <w:jc w:val="center"/>
              <w:rPr>
                <w:rFonts w:ascii="Arial" w:hAnsi="Arial" w:cs="Arial"/>
                <w:sz w:val="20"/>
              </w:rPr>
            </w:pPr>
            <w:r>
              <w:rPr>
                <w:rFonts w:ascii="Arial" w:hAnsi="Arial" w:cs="Arial"/>
                <w:sz w:val="20"/>
              </w:rPr>
              <w:t>6-12 months</w:t>
            </w:r>
          </w:p>
        </w:tc>
        <w:tc>
          <w:tcPr>
            <w:tcW w:w="1474" w:type="dxa"/>
            <w:shd w:val="clear" w:color="auto" w:fill="B4C6E7" w:themeFill="accent1" w:themeFillTint="66"/>
          </w:tcPr>
          <w:p w14:paraId="090782A5" w14:textId="77777777" w:rsidR="001B734E" w:rsidRDefault="001B734E" w:rsidP="006414BE">
            <w:pPr>
              <w:jc w:val="center"/>
              <w:rPr>
                <w:rFonts w:ascii="Arial" w:hAnsi="Arial" w:cs="Arial"/>
                <w:sz w:val="20"/>
              </w:rPr>
            </w:pPr>
            <w:r>
              <w:rPr>
                <w:rFonts w:ascii="Arial" w:hAnsi="Arial" w:cs="Arial"/>
                <w:sz w:val="20"/>
              </w:rPr>
              <w:t>12-18 months</w:t>
            </w:r>
          </w:p>
        </w:tc>
        <w:tc>
          <w:tcPr>
            <w:tcW w:w="1474" w:type="dxa"/>
            <w:shd w:val="clear" w:color="auto" w:fill="B4C6E7" w:themeFill="accent1" w:themeFillTint="66"/>
          </w:tcPr>
          <w:p w14:paraId="002BB31C" w14:textId="77777777" w:rsidR="001B734E" w:rsidRDefault="001B734E" w:rsidP="006414BE">
            <w:pPr>
              <w:jc w:val="center"/>
              <w:rPr>
                <w:rFonts w:ascii="Arial" w:hAnsi="Arial" w:cs="Arial"/>
                <w:sz w:val="20"/>
              </w:rPr>
            </w:pPr>
            <w:r>
              <w:rPr>
                <w:rFonts w:ascii="Arial" w:hAnsi="Arial" w:cs="Arial"/>
                <w:sz w:val="20"/>
              </w:rPr>
              <w:t>18-24 months</w:t>
            </w:r>
          </w:p>
        </w:tc>
        <w:tc>
          <w:tcPr>
            <w:tcW w:w="1474" w:type="dxa"/>
            <w:shd w:val="clear" w:color="auto" w:fill="B4C6E7" w:themeFill="accent1" w:themeFillTint="66"/>
          </w:tcPr>
          <w:p w14:paraId="2782F15F" w14:textId="77777777" w:rsidR="001B734E" w:rsidRDefault="001B734E" w:rsidP="006414BE">
            <w:pPr>
              <w:jc w:val="center"/>
              <w:rPr>
                <w:rFonts w:ascii="Arial" w:hAnsi="Arial" w:cs="Arial"/>
                <w:sz w:val="20"/>
              </w:rPr>
            </w:pPr>
            <w:r>
              <w:rPr>
                <w:rFonts w:ascii="Arial" w:hAnsi="Arial" w:cs="Arial"/>
                <w:sz w:val="20"/>
              </w:rPr>
              <w:t>24+ months</w:t>
            </w:r>
          </w:p>
        </w:tc>
      </w:tr>
      <w:tr w:rsidR="001B734E" w14:paraId="73D12B1C" w14:textId="77777777" w:rsidTr="00D905CB">
        <w:tc>
          <w:tcPr>
            <w:tcW w:w="1474" w:type="dxa"/>
          </w:tcPr>
          <w:p w14:paraId="758506B4" w14:textId="77777777" w:rsidR="001B734E" w:rsidRDefault="001B734E" w:rsidP="006414BE">
            <w:pPr>
              <w:jc w:val="center"/>
              <w:rPr>
                <w:rFonts w:ascii="Arial" w:hAnsi="Arial" w:cs="Arial"/>
                <w:sz w:val="20"/>
              </w:rPr>
            </w:pPr>
            <w:r>
              <w:rPr>
                <w:rFonts w:ascii="Arial" w:hAnsi="Arial" w:cs="Arial"/>
                <w:sz w:val="20"/>
              </w:rPr>
              <w:t>17,393</w:t>
            </w:r>
          </w:p>
        </w:tc>
        <w:tc>
          <w:tcPr>
            <w:tcW w:w="1474" w:type="dxa"/>
          </w:tcPr>
          <w:p w14:paraId="0B5F2ECA" w14:textId="77777777" w:rsidR="001B734E" w:rsidRDefault="001B734E" w:rsidP="006414BE">
            <w:pPr>
              <w:jc w:val="center"/>
              <w:rPr>
                <w:rFonts w:ascii="Arial" w:hAnsi="Arial" w:cs="Arial"/>
                <w:sz w:val="20"/>
              </w:rPr>
            </w:pPr>
            <w:r>
              <w:rPr>
                <w:rFonts w:ascii="Arial" w:hAnsi="Arial" w:cs="Arial"/>
                <w:sz w:val="20"/>
              </w:rPr>
              <w:t>7,279</w:t>
            </w:r>
          </w:p>
        </w:tc>
        <w:tc>
          <w:tcPr>
            <w:tcW w:w="1474" w:type="dxa"/>
          </w:tcPr>
          <w:p w14:paraId="5D92B78C" w14:textId="77777777" w:rsidR="001B734E" w:rsidRDefault="001B734E" w:rsidP="006414BE">
            <w:pPr>
              <w:jc w:val="center"/>
              <w:rPr>
                <w:rFonts w:ascii="Arial" w:hAnsi="Arial" w:cs="Arial"/>
                <w:sz w:val="20"/>
              </w:rPr>
            </w:pPr>
            <w:r>
              <w:rPr>
                <w:rFonts w:ascii="Arial" w:hAnsi="Arial" w:cs="Arial"/>
                <w:sz w:val="20"/>
              </w:rPr>
              <w:t>4,136</w:t>
            </w:r>
          </w:p>
        </w:tc>
        <w:tc>
          <w:tcPr>
            <w:tcW w:w="1474" w:type="dxa"/>
          </w:tcPr>
          <w:p w14:paraId="60987097" w14:textId="77777777" w:rsidR="001B734E" w:rsidRDefault="001B734E" w:rsidP="006414BE">
            <w:pPr>
              <w:jc w:val="center"/>
              <w:rPr>
                <w:rFonts w:ascii="Arial" w:hAnsi="Arial" w:cs="Arial"/>
                <w:sz w:val="20"/>
              </w:rPr>
            </w:pPr>
            <w:r>
              <w:rPr>
                <w:rFonts w:ascii="Arial" w:hAnsi="Arial" w:cs="Arial"/>
                <w:sz w:val="20"/>
              </w:rPr>
              <w:t>2,321</w:t>
            </w:r>
          </w:p>
        </w:tc>
        <w:tc>
          <w:tcPr>
            <w:tcW w:w="1474" w:type="dxa"/>
          </w:tcPr>
          <w:p w14:paraId="53243EED" w14:textId="77777777" w:rsidR="001B734E" w:rsidRDefault="001B734E" w:rsidP="006414BE">
            <w:pPr>
              <w:jc w:val="center"/>
              <w:rPr>
                <w:rFonts w:ascii="Arial" w:hAnsi="Arial" w:cs="Arial"/>
                <w:sz w:val="20"/>
              </w:rPr>
            </w:pPr>
            <w:r>
              <w:rPr>
                <w:rFonts w:ascii="Arial" w:hAnsi="Arial" w:cs="Arial"/>
                <w:sz w:val="20"/>
              </w:rPr>
              <w:t>720</w:t>
            </w:r>
          </w:p>
        </w:tc>
        <w:tc>
          <w:tcPr>
            <w:tcW w:w="1474" w:type="dxa"/>
          </w:tcPr>
          <w:p w14:paraId="308EDD6B" w14:textId="77777777" w:rsidR="001B734E" w:rsidRDefault="001B734E" w:rsidP="006414BE">
            <w:pPr>
              <w:jc w:val="center"/>
              <w:rPr>
                <w:rFonts w:ascii="Arial" w:hAnsi="Arial" w:cs="Arial"/>
                <w:sz w:val="20"/>
              </w:rPr>
            </w:pPr>
            <w:r>
              <w:rPr>
                <w:rFonts w:ascii="Arial" w:hAnsi="Arial" w:cs="Arial"/>
                <w:sz w:val="20"/>
              </w:rPr>
              <w:t>497</w:t>
            </w:r>
          </w:p>
        </w:tc>
      </w:tr>
      <w:tr w:rsidR="001B734E" w14:paraId="14C41610" w14:textId="77777777" w:rsidTr="00D905CB">
        <w:tc>
          <w:tcPr>
            <w:tcW w:w="1474" w:type="dxa"/>
          </w:tcPr>
          <w:p w14:paraId="3A6FB7D3" w14:textId="77777777" w:rsidR="001B734E" w:rsidRDefault="001B734E" w:rsidP="006414BE">
            <w:pPr>
              <w:jc w:val="center"/>
              <w:rPr>
                <w:rFonts w:ascii="Arial" w:hAnsi="Arial" w:cs="Arial"/>
                <w:sz w:val="20"/>
              </w:rPr>
            </w:pPr>
            <w:r>
              <w:rPr>
                <w:rFonts w:ascii="Arial" w:hAnsi="Arial" w:cs="Arial"/>
                <w:sz w:val="20"/>
              </w:rPr>
              <w:t>50.4%</w:t>
            </w:r>
          </w:p>
        </w:tc>
        <w:tc>
          <w:tcPr>
            <w:tcW w:w="1474" w:type="dxa"/>
          </w:tcPr>
          <w:p w14:paraId="6AEBEDCB" w14:textId="77777777" w:rsidR="001B734E" w:rsidRDefault="001B734E" w:rsidP="006414BE">
            <w:pPr>
              <w:jc w:val="center"/>
              <w:rPr>
                <w:rFonts w:ascii="Arial" w:hAnsi="Arial" w:cs="Arial"/>
                <w:sz w:val="20"/>
              </w:rPr>
            </w:pPr>
            <w:r>
              <w:rPr>
                <w:rFonts w:ascii="Arial" w:hAnsi="Arial" w:cs="Arial"/>
                <w:sz w:val="20"/>
              </w:rPr>
              <w:t>21.1%</w:t>
            </w:r>
          </w:p>
        </w:tc>
        <w:tc>
          <w:tcPr>
            <w:tcW w:w="1474" w:type="dxa"/>
          </w:tcPr>
          <w:p w14:paraId="780E8445" w14:textId="77777777" w:rsidR="001B734E" w:rsidRDefault="001B734E" w:rsidP="006414BE">
            <w:pPr>
              <w:jc w:val="center"/>
              <w:rPr>
                <w:rFonts w:ascii="Arial" w:hAnsi="Arial" w:cs="Arial"/>
                <w:sz w:val="20"/>
              </w:rPr>
            </w:pPr>
            <w:r>
              <w:rPr>
                <w:rFonts w:ascii="Arial" w:hAnsi="Arial" w:cs="Arial"/>
                <w:sz w:val="20"/>
              </w:rPr>
              <w:t>12.0%</w:t>
            </w:r>
          </w:p>
        </w:tc>
        <w:tc>
          <w:tcPr>
            <w:tcW w:w="1474" w:type="dxa"/>
          </w:tcPr>
          <w:p w14:paraId="5FF55143" w14:textId="77777777" w:rsidR="001B734E" w:rsidRDefault="001B734E" w:rsidP="006414BE">
            <w:pPr>
              <w:jc w:val="center"/>
              <w:rPr>
                <w:rFonts w:ascii="Arial" w:hAnsi="Arial" w:cs="Arial"/>
                <w:sz w:val="20"/>
              </w:rPr>
            </w:pPr>
            <w:r>
              <w:rPr>
                <w:rFonts w:ascii="Arial" w:hAnsi="Arial" w:cs="Arial"/>
                <w:sz w:val="20"/>
              </w:rPr>
              <w:t>6.7%</w:t>
            </w:r>
          </w:p>
        </w:tc>
        <w:tc>
          <w:tcPr>
            <w:tcW w:w="1474" w:type="dxa"/>
          </w:tcPr>
          <w:p w14:paraId="613B5D77" w14:textId="77777777" w:rsidR="001B734E" w:rsidRDefault="001B734E" w:rsidP="006414BE">
            <w:pPr>
              <w:jc w:val="center"/>
              <w:rPr>
                <w:rFonts w:ascii="Arial" w:hAnsi="Arial" w:cs="Arial"/>
                <w:sz w:val="20"/>
              </w:rPr>
            </w:pPr>
            <w:r>
              <w:rPr>
                <w:rFonts w:ascii="Arial" w:hAnsi="Arial" w:cs="Arial"/>
                <w:sz w:val="20"/>
              </w:rPr>
              <w:t>2.1%</w:t>
            </w:r>
          </w:p>
        </w:tc>
        <w:tc>
          <w:tcPr>
            <w:tcW w:w="1474" w:type="dxa"/>
          </w:tcPr>
          <w:p w14:paraId="3D7D8E2C" w14:textId="77777777" w:rsidR="001B734E" w:rsidRDefault="001B734E" w:rsidP="006414BE">
            <w:pPr>
              <w:jc w:val="center"/>
              <w:rPr>
                <w:rFonts w:ascii="Arial" w:hAnsi="Arial" w:cs="Arial"/>
                <w:sz w:val="20"/>
              </w:rPr>
            </w:pPr>
            <w:r>
              <w:rPr>
                <w:rFonts w:ascii="Arial" w:hAnsi="Arial" w:cs="Arial"/>
                <w:sz w:val="20"/>
              </w:rPr>
              <w:t>1.4%</w:t>
            </w:r>
          </w:p>
        </w:tc>
      </w:tr>
    </w:tbl>
    <w:p w14:paraId="6CF55D56" w14:textId="77777777" w:rsidR="000E6292" w:rsidRDefault="000E6292" w:rsidP="000E6292">
      <w:pPr>
        <w:jc w:val="both"/>
        <w:rPr>
          <w:rFonts w:ascii="Arial" w:hAnsi="Arial" w:cs="Arial"/>
          <w:sz w:val="20"/>
        </w:rPr>
      </w:pPr>
    </w:p>
    <w:p w14:paraId="3DB58AE3" w14:textId="4FC29EF2" w:rsidR="000E6292" w:rsidRDefault="000E6292" w:rsidP="000E6292">
      <w:pPr>
        <w:jc w:val="both"/>
        <w:rPr>
          <w:rFonts w:ascii="Arial" w:hAnsi="Arial" w:cs="Arial"/>
          <w:sz w:val="20"/>
        </w:rPr>
      </w:pPr>
      <w:r>
        <w:rPr>
          <w:rFonts w:ascii="Arial" w:hAnsi="Arial" w:cs="Arial"/>
          <w:sz w:val="20"/>
        </w:rPr>
        <w:t xml:space="preserve">In the period from </w:t>
      </w:r>
      <w:r w:rsidR="00AD3C6C" w:rsidRPr="00AD3C6C">
        <w:rPr>
          <w:rFonts w:ascii="Arial" w:hAnsi="Arial" w:cs="Arial"/>
          <w:b/>
          <w:bCs/>
          <w:sz w:val="20"/>
        </w:rPr>
        <w:t>0</w:t>
      </w:r>
      <w:r w:rsidRPr="00AD3C6C">
        <w:rPr>
          <w:rFonts w:ascii="Arial" w:hAnsi="Arial" w:cs="Arial"/>
          <w:b/>
          <w:bCs/>
          <w:sz w:val="20"/>
        </w:rPr>
        <w:t>1</w:t>
      </w:r>
      <w:r w:rsidRPr="000E6292">
        <w:rPr>
          <w:rFonts w:ascii="Arial" w:hAnsi="Arial" w:cs="Arial"/>
          <w:b/>
          <w:bCs/>
          <w:sz w:val="20"/>
        </w:rPr>
        <w:t>/</w:t>
      </w:r>
      <w:r w:rsidR="00AD3C6C">
        <w:rPr>
          <w:rFonts w:ascii="Arial" w:hAnsi="Arial" w:cs="Arial"/>
          <w:b/>
          <w:bCs/>
          <w:sz w:val="20"/>
        </w:rPr>
        <w:t>0</w:t>
      </w:r>
      <w:r w:rsidRPr="000E6292">
        <w:rPr>
          <w:rFonts w:ascii="Arial" w:hAnsi="Arial" w:cs="Arial"/>
          <w:b/>
          <w:bCs/>
          <w:sz w:val="20"/>
        </w:rPr>
        <w:t>7/2021 to 30/</w:t>
      </w:r>
      <w:r w:rsidR="00AD3C6C">
        <w:rPr>
          <w:rFonts w:ascii="Arial" w:hAnsi="Arial" w:cs="Arial"/>
          <w:b/>
          <w:bCs/>
          <w:sz w:val="20"/>
        </w:rPr>
        <w:t>0</w:t>
      </w:r>
      <w:r w:rsidRPr="000E6292">
        <w:rPr>
          <w:rFonts w:ascii="Arial" w:hAnsi="Arial" w:cs="Arial"/>
          <w:b/>
          <w:bCs/>
          <w:sz w:val="20"/>
        </w:rPr>
        <w:t>6/2022</w:t>
      </w:r>
      <w:r>
        <w:rPr>
          <w:rFonts w:ascii="Arial" w:hAnsi="Arial" w:cs="Arial"/>
          <w:sz w:val="20"/>
        </w:rPr>
        <w:t xml:space="preserve"> a total of </w:t>
      </w:r>
      <w:r>
        <w:rPr>
          <w:rFonts w:ascii="Arial" w:hAnsi="Arial" w:cs="Arial"/>
          <w:b/>
          <w:bCs/>
          <w:sz w:val="20"/>
        </w:rPr>
        <w:t>16</w:t>
      </w:r>
      <w:r w:rsidRPr="001F6450">
        <w:rPr>
          <w:rFonts w:ascii="Arial" w:hAnsi="Arial" w:cs="Arial"/>
          <w:b/>
          <w:bCs/>
          <w:sz w:val="20"/>
        </w:rPr>
        <w:t>,</w:t>
      </w:r>
      <w:r>
        <w:rPr>
          <w:rFonts w:ascii="Arial" w:hAnsi="Arial" w:cs="Arial"/>
          <w:b/>
          <w:bCs/>
          <w:sz w:val="20"/>
        </w:rPr>
        <w:t>677</w:t>
      </w:r>
      <w:r>
        <w:rPr>
          <w:rFonts w:ascii="Arial" w:hAnsi="Arial" w:cs="Arial"/>
          <w:sz w:val="20"/>
        </w:rPr>
        <w:t xml:space="preserve"> applications were initiated statewide in the CP jurisdiction of the Family Division and </w:t>
      </w:r>
      <w:r w:rsidRPr="000E6292">
        <w:rPr>
          <w:rFonts w:ascii="Arial" w:hAnsi="Arial" w:cs="Arial"/>
          <w:b/>
          <w:bCs/>
          <w:sz w:val="20"/>
        </w:rPr>
        <w:t>17,675</w:t>
      </w:r>
      <w:r>
        <w:rPr>
          <w:rFonts w:ascii="Arial" w:hAnsi="Arial" w:cs="Arial"/>
          <w:sz w:val="20"/>
        </w:rPr>
        <w:t xml:space="preserve"> applications were finalised.  </w:t>
      </w:r>
      <w:r w:rsidR="005E7676">
        <w:rPr>
          <w:rFonts w:ascii="Arial" w:hAnsi="Arial" w:cs="Arial"/>
          <w:sz w:val="20"/>
        </w:rPr>
        <w:t xml:space="preserve">Of these </w:t>
      </w:r>
      <w:r w:rsidR="005E7676" w:rsidRPr="005E7676">
        <w:rPr>
          <w:rFonts w:ascii="Arial" w:hAnsi="Arial" w:cs="Arial"/>
          <w:b/>
          <w:bCs/>
          <w:sz w:val="20"/>
        </w:rPr>
        <w:t>551</w:t>
      </w:r>
      <w:r w:rsidR="005E7676">
        <w:rPr>
          <w:rFonts w:ascii="Arial" w:hAnsi="Arial" w:cs="Arial"/>
          <w:sz w:val="20"/>
        </w:rPr>
        <w:t xml:space="preserve"> [3.1% of the total number of applications] were finalised at the final hearing stage and </w:t>
      </w:r>
      <w:r w:rsidR="005E7676" w:rsidRPr="005E7676">
        <w:rPr>
          <w:rFonts w:ascii="Arial" w:hAnsi="Arial" w:cs="Arial"/>
          <w:b/>
          <w:bCs/>
          <w:sz w:val="20"/>
        </w:rPr>
        <w:t>17</w:t>
      </w:r>
      <w:r w:rsidR="005E7676">
        <w:rPr>
          <w:rFonts w:ascii="Arial" w:hAnsi="Arial" w:cs="Arial"/>
          <w:sz w:val="20"/>
        </w:rPr>
        <w:t xml:space="preserve"> [0.1% of the total] were finalised at an evidence-based IAO contest.  </w:t>
      </w:r>
      <w:r>
        <w:rPr>
          <w:rFonts w:ascii="Arial" w:hAnsi="Arial" w:cs="Arial"/>
          <w:sz w:val="20"/>
        </w:rPr>
        <w:t xml:space="preserve">The total number of court listings in 2021/22 was </w:t>
      </w:r>
      <w:r w:rsidRPr="000E6292">
        <w:rPr>
          <w:rFonts w:ascii="Arial" w:hAnsi="Arial" w:cs="Arial"/>
          <w:b/>
          <w:bCs/>
          <w:sz w:val="20"/>
        </w:rPr>
        <w:t>50,137</w:t>
      </w:r>
      <w:r>
        <w:rPr>
          <w:rFonts w:ascii="Arial" w:hAnsi="Arial" w:cs="Arial"/>
          <w:sz w:val="20"/>
        </w:rPr>
        <w:t>, an average of 2.8 listings per finalisation.</w:t>
      </w:r>
    </w:p>
    <w:p w14:paraId="49C072C6" w14:textId="77777777" w:rsidR="003F74A9" w:rsidRDefault="003F74A9" w:rsidP="000E6292">
      <w:pPr>
        <w:jc w:val="both"/>
        <w:rPr>
          <w:rFonts w:ascii="Arial" w:hAnsi="Arial" w:cs="Arial"/>
          <w:sz w:val="20"/>
        </w:rPr>
      </w:pPr>
    </w:p>
    <w:p w14:paraId="27C5B6F8" w14:textId="4BB72667" w:rsidR="006B216F" w:rsidRDefault="000E6292" w:rsidP="000E6292">
      <w:pPr>
        <w:jc w:val="both"/>
        <w:rPr>
          <w:rFonts w:ascii="Arial" w:hAnsi="Arial" w:cs="Arial"/>
          <w:sz w:val="20"/>
        </w:rPr>
      </w:pPr>
      <w:r>
        <w:rPr>
          <w:rFonts w:ascii="Arial" w:hAnsi="Arial" w:cs="Arial"/>
          <w:sz w:val="20"/>
        </w:rPr>
        <w:t xml:space="preserve">Although the above statistics are accurate they </w:t>
      </w:r>
      <w:r w:rsidR="006B216F">
        <w:rPr>
          <w:rFonts w:ascii="Arial" w:hAnsi="Arial" w:cs="Arial"/>
          <w:sz w:val="20"/>
        </w:rPr>
        <w:t xml:space="preserve">do not paint the whole picture and care needs to be taken in interpreting them.  They relate to </w:t>
      </w:r>
      <w:r w:rsidR="006B216F" w:rsidRPr="006B216F">
        <w:rPr>
          <w:rFonts w:ascii="Arial" w:hAnsi="Arial" w:cs="Arial"/>
          <w:b/>
          <w:bCs/>
          <w:sz w:val="20"/>
        </w:rPr>
        <w:t>applications</w:t>
      </w:r>
      <w:r w:rsidR="006B216F">
        <w:rPr>
          <w:rFonts w:ascii="Arial" w:hAnsi="Arial" w:cs="Arial"/>
          <w:sz w:val="20"/>
        </w:rPr>
        <w:t xml:space="preserve">, not to </w:t>
      </w:r>
      <w:r w:rsidR="006B216F" w:rsidRPr="006B216F">
        <w:rPr>
          <w:rFonts w:ascii="Arial" w:hAnsi="Arial" w:cs="Arial"/>
          <w:b/>
          <w:bCs/>
          <w:sz w:val="20"/>
        </w:rPr>
        <w:t>cases</w:t>
      </w:r>
      <w:r w:rsidR="006B216F">
        <w:rPr>
          <w:rFonts w:ascii="Arial" w:hAnsi="Arial" w:cs="Arial"/>
          <w:sz w:val="20"/>
        </w:rPr>
        <w:t xml:space="preserve">.  In some cases there may be only one application, for example a protection application.  But in others </w:t>
      </w:r>
      <w:r w:rsidR="000D47D1">
        <w:rPr>
          <w:rFonts w:ascii="Arial" w:hAnsi="Arial" w:cs="Arial"/>
          <w:sz w:val="20"/>
        </w:rPr>
        <w:t xml:space="preserve">a </w:t>
      </w:r>
      <w:r w:rsidR="000D47D1" w:rsidRPr="000D47D1">
        <w:rPr>
          <w:rFonts w:ascii="Arial" w:hAnsi="Arial" w:cs="Arial"/>
          <w:b/>
          <w:bCs/>
          <w:sz w:val="20"/>
        </w:rPr>
        <w:t>case</w:t>
      </w:r>
      <w:r w:rsidR="000D47D1">
        <w:rPr>
          <w:rFonts w:ascii="Arial" w:hAnsi="Arial" w:cs="Arial"/>
          <w:sz w:val="20"/>
        </w:rPr>
        <w:t xml:space="preserve"> may consist of </w:t>
      </w:r>
      <w:r w:rsidR="006B216F">
        <w:rPr>
          <w:rFonts w:ascii="Arial" w:hAnsi="Arial" w:cs="Arial"/>
          <w:sz w:val="20"/>
        </w:rPr>
        <w:t>multiple applications, for example-</w:t>
      </w:r>
    </w:p>
    <w:p w14:paraId="4DD1FDEA" w14:textId="57C9FB9D" w:rsidR="006B216F" w:rsidRDefault="006B216F">
      <w:pPr>
        <w:pStyle w:val="ListParagraph"/>
        <w:numPr>
          <w:ilvl w:val="0"/>
          <w:numId w:val="88"/>
        </w:numPr>
        <w:ind w:left="357" w:hanging="357"/>
        <w:jc w:val="both"/>
        <w:rPr>
          <w:rFonts w:ascii="Arial" w:hAnsi="Arial" w:cs="Arial"/>
          <w:sz w:val="20"/>
        </w:rPr>
      </w:pPr>
      <w:r w:rsidRPr="006B216F">
        <w:rPr>
          <w:rFonts w:ascii="Arial" w:hAnsi="Arial" w:cs="Arial"/>
          <w:sz w:val="20"/>
        </w:rPr>
        <w:t>a protection application, an application to vary an IAO and an application to breach an IAO</w:t>
      </w:r>
      <w:r>
        <w:rPr>
          <w:rFonts w:ascii="Arial" w:hAnsi="Arial" w:cs="Arial"/>
          <w:sz w:val="20"/>
        </w:rPr>
        <w:t>;</w:t>
      </w:r>
      <w:r w:rsidRPr="006B216F">
        <w:rPr>
          <w:rFonts w:ascii="Arial" w:hAnsi="Arial" w:cs="Arial"/>
          <w:sz w:val="20"/>
        </w:rPr>
        <w:t xml:space="preserve"> or</w:t>
      </w:r>
    </w:p>
    <w:p w14:paraId="188ECCEA" w14:textId="7A622D37" w:rsidR="00B86AC9" w:rsidRDefault="006B216F">
      <w:pPr>
        <w:pStyle w:val="ListParagraph"/>
        <w:numPr>
          <w:ilvl w:val="0"/>
          <w:numId w:val="88"/>
        </w:numPr>
        <w:ind w:left="357" w:hanging="357"/>
        <w:jc w:val="both"/>
        <w:rPr>
          <w:rFonts w:ascii="Arial" w:hAnsi="Arial" w:cs="Arial"/>
          <w:sz w:val="20"/>
        </w:rPr>
      </w:pPr>
      <w:r w:rsidRPr="006B216F">
        <w:rPr>
          <w:rFonts w:ascii="Arial" w:hAnsi="Arial" w:cs="Arial"/>
          <w:sz w:val="20"/>
        </w:rPr>
        <w:t xml:space="preserve">an application to extend a </w:t>
      </w:r>
      <w:r w:rsidR="00B86AC9">
        <w:rPr>
          <w:rFonts w:ascii="Arial" w:hAnsi="Arial" w:cs="Arial"/>
          <w:sz w:val="20"/>
        </w:rPr>
        <w:t>family reunification</w:t>
      </w:r>
      <w:r>
        <w:rPr>
          <w:rFonts w:ascii="Arial" w:hAnsi="Arial" w:cs="Arial"/>
          <w:sz w:val="20"/>
        </w:rPr>
        <w:t xml:space="preserve"> order</w:t>
      </w:r>
      <w:r w:rsidR="000A23AC">
        <w:rPr>
          <w:rFonts w:ascii="Arial" w:hAnsi="Arial" w:cs="Arial"/>
          <w:sz w:val="20"/>
        </w:rPr>
        <w:t xml:space="preserve">, a later application to revoke it </w:t>
      </w:r>
      <w:r w:rsidR="00B86AC9">
        <w:rPr>
          <w:rFonts w:ascii="Arial" w:hAnsi="Arial" w:cs="Arial"/>
          <w:sz w:val="20"/>
        </w:rPr>
        <w:t>and an application for a care by Secretary order; or</w:t>
      </w:r>
    </w:p>
    <w:p w14:paraId="4F29F2C4" w14:textId="66F2E1ED" w:rsidR="000E6292" w:rsidRPr="006B216F" w:rsidRDefault="00B86AC9">
      <w:pPr>
        <w:pStyle w:val="ListParagraph"/>
        <w:numPr>
          <w:ilvl w:val="0"/>
          <w:numId w:val="88"/>
        </w:numPr>
        <w:ind w:left="357" w:hanging="357"/>
        <w:jc w:val="both"/>
        <w:rPr>
          <w:rFonts w:ascii="Arial" w:hAnsi="Arial" w:cs="Arial"/>
          <w:sz w:val="20"/>
        </w:rPr>
      </w:pPr>
      <w:r>
        <w:rPr>
          <w:rFonts w:ascii="Arial" w:hAnsi="Arial" w:cs="Arial"/>
          <w:sz w:val="20"/>
        </w:rPr>
        <w:t xml:space="preserve">an application </w:t>
      </w:r>
      <w:r w:rsidR="00DB6142">
        <w:rPr>
          <w:rFonts w:ascii="Arial" w:hAnsi="Arial" w:cs="Arial"/>
          <w:sz w:val="20"/>
        </w:rPr>
        <w:t>to extend a family preservation order, an application to breach an IAO</w:t>
      </w:r>
      <w:r w:rsidR="001A7C46">
        <w:rPr>
          <w:rFonts w:ascii="Arial" w:hAnsi="Arial" w:cs="Arial"/>
          <w:sz w:val="20"/>
        </w:rPr>
        <w:t xml:space="preserve"> and</w:t>
      </w:r>
      <w:r w:rsidR="00DB6142">
        <w:rPr>
          <w:rFonts w:ascii="Arial" w:hAnsi="Arial" w:cs="Arial"/>
          <w:sz w:val="20"/>
        </w:rPr>
        <w:t xml:space="preserve"> an application to revoke the family preservation order.</w:t>
      </w:r>
    </w:p>
    <w:p w14:paraId="64E06D35" w14:textId="23224806" w:rsidR="001A7C46" w:rsidRDefault="001A7C46" w:rsidP="001A7C46">
      <w:pPr>
        <w:jc w:val="both"/>
        <w:rPr>
          <w:rFonts w:ascii="Arial" w:hAnsi="Arial" w:cs="Arial"/>
          <w:sz w:val="20"/>
        </w:rPr>
      </w:pPr>
    </w:p>
    <w:p w14:paraId="3F96FC95" w14:textId="66926F90" w:rsidR="001A7C46" w:rsidRPr="001A7C46" w:rsidRDefault="001A7C46" w:rsidP="001A7C46">
      <w:pPr>
        <w:jc w:val="both"/>
        <w:rPr>
          <w:rFonts w:ascii="Arial" w:hAnsi="Arial" w:cs="Arial"/>
          <w:sz w:val="20"/>
        </w:rPr>
      </w:pPr>
      <w:r>
        <w:rPr>
          <w:rFonts w:ascii="Arial" w:hAnsi="Arial" w:cs="Arial"/>
          <w:sz w:val="20"/>
        </w:rPr>
        <w:t xml:space="preserve">Where there are multiple applications in a particular case, </w:t>
      </w:r>
      <w:r w:rsidR="00AA20A6">
        <w:rPr>
          <w:rFonts w:ascii="Arial" w:hAnsi="Arial" w:cs="Arial"/>
          <w:sz w:val="20"/>
        </w:rPr>
        <w:t>it is not uncommon for</w:t>
      </w:r>
      <w:r>
        <w:rPr>
          <w:rFonts w:ascii="Arial" w:hAnsi="Arial" w:cs="Arial"/>
          <w:sz w:val="20"/>
        </w:rPr>
        <w:t xml:space="preserve"> one or more of the applications </w:t>
      </w:r>
      <w:r w:rsidR="00AA20A6">
        <w:rPr>
          <w:rFonts w:ascii="Arial" w:hAnsi="Arial" w:cs="Arial"/>
          <w:sz w:val="20"/>
        </w:rPr>
        <w:t>to be</w:t>
      </w:r>
      <w:r>
        <w:rPr>
          <w:rFonts w:ascii="Arial" w:hAnsi="Arial" w:cs="Arial"/>
          <w:sz w:val="20"/>
        </w:rPr>
        <w:t xml:space="preserve"> determined before the whole case is </w:t>
      </w:r>
      <w:r w:rsidR="00AA20A6">
        <w:rPr>
          <w:rFonts w:ascii="Arial" w:hAnsi="Arial" w:cs="Arial"/>
          <w:sz w:val="20"/>
        </w:rPr>
        <w:t xml:space="preserve">ultimately </w:t>
      </w:r>
      <w:r>
        <w:rPr>
          <w:rFonts w:ascii="Arial" w:hAnsi="Arial" w:cs="Arial"/>
          <w:sz w:val="20"/>
        </w:rPr>
        <w:t>finalised.  This means that the previously published figures show</w:t>
      </w:r>
      <w:r w:rsidR="00AA20A6">
        <w:rPr>
          <w:rFonts w:ascii="Arial" w:hAnsi="Arial" w:cs="Arial"/>
          <w:sz w:val="20"/>
        </w:rPr>
        <w:t>ing</w:t>
      </w:r>
      <w:r>
        <w:rPr>
          <w:rFonts w:ascii="Arial" w:hAnsi="Arial" w:cs="Arial"/>
          <w:sz w:val="20"/>
        </w:rPr>
        <w:t xml:space="preserve"> that 22,792 </w:t>
      </w:r>
      <w:r w:rsidRPr="00FF4E72">
        <w:rPr>
          <w:rFonts w:ascii="Arial" w:hAnsi="Arial" w:cs="Arial"/>
          <w:b/>
          <w:bCs/>
          <w:sz w:val="20"/>
        </w:rPr>
        <w:t>applications</w:t>
      </w:r>
      <w:r>
        <w:rPr>
          <w:rFonts w:ascii="Arial" w:hAnsi="Arial" w:cs="Arial"/>
          <w:sz w:val="20"/>
        </w:rPr>
        <w:t xml:space="preserve"> finalised </w:t>
      </w:r>
      <w:r w:rsidR="00AA20A6">
        <w:rPr>
          <w:rFonts w:ascii="Arial" w:hAnsi="Arial" w:cs="Arial"/>
          <w:sz w:val="20"/>
        </w:rPr>
        <w:t xml:space="preserve">at mention </w:t>
      </w:r>
      <w:r>
        <w:rPr>
          <w:rFonts w:ascii="Arial" w:hAnsi="Arial" w:cs="Arial"/>
          <w:sz w:val="20"/>
        </w:rPr>
        <w:t>in the period from 01</w:t>
      </w:r>
      <w:r w:rsidRPr="001A7C46">
        <w:rPr>
          <w:rFonts w:ascii="Arial" w:hAnsi="Arial" w:cs="Arial"/>
          <w:sz w:val="20"/>
        </w:rPr>
        <w:t xml:space="preserve">/06/2019 </w:t>
      </w:r>
      <w:r>
        <w:rPr>
          <w:rFonts w:ascii="Arial" w:hAnsi="Arial" w:cs="Arial"/>
          <w:sz w:val="20"/>
        </w:rPr>
        <w:t>to</w:t>
      </w:r>
      <w:r w:rsidRPr="001A7C46">
        <w:rPr>
          <w:rFonts w:ascii="Arial" w:hAnsi="Arial" w:cs="Arial"/>
          <w:sz w:val="20"/>
        </w:rPr>
        <w:t xml:space="preserve"> 31/05/2021 </w:t>
      </w:r>
      <w:r>
        <w:rPr>
          <w:rFonts w:ascii="Arial" w:hAnsi="Arial" w:cs="Arial"/>
          <w:sz w:val="20"/>
        </w:rPr>
        <w:t xml:space="preserve">have the potential to be misleading in the absence of a further figure which details how many were substantive applications which resulted in the finalisation of the whole </w:t>
      </w:r>
      <w:r w:rsidRPr="00FF4E72">
        <w:rPr>
          <w:rFonts w:ascii="Arial" w:hAnsi="Arial" w:cs="Arial"/>
          <w:b/>
          <w:bCs/>
          <w:sz w:val="20"/>
        </w:rPr>
        <w:t>case</w:t>
      </w:r>
      <w:r>
        <w:rPr>
          <w:rFonts w:ascii="Arial" w:hAnsi="Arial" w:cs="Arial"/>
          <w:sz w:val="20"/>
        </w:rPr>
        <w:t>.</w:t>
      </w:r>
      <w:r w:rsidR="00AA20A6">
        <w:rPr>
          <w:rFonts w:ascii="Arial" w:hAnsi="Arial" w:cs="Arial"/>
          <w:sz w:val="20"/>
        </w:rPr>
        <w:t xml:space="preserve">  It is hoped that this latter figure may become available in due course.</w:t>
      </w:r>
    </w:p>
    <w:p w14:paraId="6EF657A6" w14:textId="77777777" w:rsidR="00AA20A6" w:rsidRDefault="00AA20A6" w:rsidP="00AA20A6">
      <w:pPr>
        <w:jc w:val="both"/>
        <w:rPr>
          <w:rFonts w:ascii="Arial" w:hAnsi="Arial" w:cs="Arial"/>
          <w:sz w:val="20"/>
        </w:rPr>
      </w:pPr>
    </w:p>
    <w:p w14:paraId="35394683" w14:textId="3FA2B57F" w:rsidR="00856E75" w:rsidRDefault="004E2CB6" w:rsidP="00AA20A6">
      <w:pPr>
        <w:jc w:val="both"/>
        <w:rPr>
          <w:rFonts w:ascii="Arial" w:hAnsi="Arial" w:cs="Arial"/>
          <w:sz w:val="20"/>
        </w:rPr>
      </w:pPr>
      <w:r>
        <w:rPr>
          <w:rFonts w:ascii="Arial" w:hAnsi="Arial" w:cs="Arial"/>
          <w:sz w:val="20"/>
        </w:rPr>
        <w:t xml:space="preserve">There is, however, one conclusion one can confidently draw from the </w:t>
      </w:r>
      <w:r w:rsidR="001966B1">
        <w:rPr>
          <w:rFonts w:ascii="Arial" w:hAnsi="Arial" w:cs="Arial"/>
          <w:sz w:val="20"/>
        </w:rPr>
        <w:t xml:space="preserve">2019/21 </w:t>
      </w:r>
      <w:r>
        <w:rPr>
          <w:rFonts w:ascii="Arial" w:hAnsi="Arial" w:cs="Arial"/>
          <w:sz w:val="20"/>
        </w:rPr>
        <w:t xml:space="preserve">statistics that show that </w:t>
      </w:r>
      <w:r w:rsidRPr="006A733D">
        <w:rPr>
          <w:rFonts w:ascii="Arial" w:hAnsi="Arial" w:cs="Arial"/>
          <w:b/>
          <w:bCs/>
          <w:sz w:val="20"/>
        </w:rPr>
        <w:t>720</w:t>
      </w:r>
      <w:r>
        <w:rPr>
          <w:rFonts w:ascii="Arial" w:hAnsi="Arial" w:cs="Arial"/>
          <w:sz w:val="20"/>
        </w:rPr>
        <w:t xml:space="preserve"> </w:t>
      </w:r>
      <w:r w:rsidRPr="006A733D">
        <w:rPr>
          <w:rFonts w:ascii="Arial" w:hAnsi="Arial" w:cs="Arial"/>
          <w:b/>
          <w:bCs/>
          <w:sz w:val="20"/>
        </w:rPr>
        <w:t>applications</w:t>
      </w:r>
      <w:r>
        <w:rPr>
          <w:rFonts w:ascii="Arial" w:hAnsi="Arial" w:cs="Arial"/>
          <w:sz w:val="20"/>
        </w:rPr>
        <w:t xml:space="preserve"> were </w:t>
      </w:r>
      <w:r w:rsidR="006A733D">
        <w:rPr>
          <w:rFonts w:ascii="Arial" w:hAnsi="Arial" w:cs="Arial"/>
          <w:sz w:val="20"/>
        </w:rPr>
        <w:t>resolved at final evidence-based contest [2.1% of the total] and 86</w:t>
      </w:r>
      <w:r w:rsidR="00417E90">
        <w:rPr>
          <w:rFonts w:ascii="Arial" w:hAnsi="Arial" w:cs="Arial"/>
          <w:sz w:val="20"/>
        </w:rPr>
        <w:t xml:space="preserve"> </w:t>
      </w:r>
      <w:r w:rsidR="006A733D">
        <w:rPr>
          <w:rFonts w:ascii="Arial" w:hAnsi="Arial" w:cs="Arial"/>
          <w:sz w:val="20"/>
        </w:rPr>
        <w:t xml:space="preserve">applications [0.2% of the total] were resolved at an evidence-based IAO contest.  That conclusion is that </w:t>
      </w:r>
      <w:r w:rsidR="00FD216B">
        <w:rPr>
          <w:rFonts w:ascii="Arial" w:hAnsi="Arial" w:cs="Arial"/>
          <w:sz w:val="20"/>
        </w:rPr>
        <w:t>more</w:t>
      </w:r>
      <w:r w:rsidR="006A733D">
        <w:rPr>
          <w:rFonts w:ascii="Arial" w:hAnsi="Arial" w:cs="Arial"/>
          <w:sz w:val="20"/>
        </w:rPr>
        <w:t xml:space="preserve"> than </w:t>
      </w:r>
      <w:r w:rsidR="00FD216B">
        <w:rPr>
          <w:rFonts w:ascii="Arial" w:hAnsi="Arial" w:cs="Arial"/>
          <w:sz w:val="20"/>
        </w:rPr>
        <w:t>97.7</w:t>
      </w:r>
      <w:r w:rsidR="006A733D">
        <w:rPr>
          <w:rFonts w:ascii="Arial" w:hAnsi="Arial" w:cs="Arial"/>
          <w:sz w:val="20"/>
        </w:rPr>
        <w:t xml:space="preserve">% of the </w:t>
      </w:r>
      <w:r w:rsidR="006A733D" w:rsidRPr="006A733D">
        <w:rPr>
          <w:rFonts w:ascii="Arial" w:hAnsi="Arial" w:cs="Arial"/>
          <w:b/>
          <w:bCs/>
          <w:sz w:val="20"/>
        </w:rPr>
        <w:t>cases</w:t>
      </w:r>
      <w:r w:rsidR="006A733D">
        <w:rPr>
          <w:rFonts w:ascii="Arial" w:hAnsi="Arial" w:cs="Arial"/>
          <w:sz w:val="20"/>
        </w:rPr>
        <w:t xml:space="preserve"> were resolved </w:t>
      </w:r>
      <w:r w:rsidR="00FD216B">
        <w:rPr>
          <w:rFonts w:ascii="Arial" w:hAnsi="Arial" w:cs="Arial"/>
          <w:sz w:val="20"/>
        </w:rPr>
        <w:t>without</w:t>
      </w:r>
      <w:r w:rsidR="006A733D">
        <w:rPr>
          <w:rFonts w:ascii="Arial" w:hAnsi="Arial" w:cs="Arial"/>
          <w:sz w:val="20"/>
        </w:rPr>
        <w:t xml:space="preserve"> an evidence-based contest.  </w:t>
      </w:r>
      <w:r w:rsidR="00856E75">
        <w:rPr>
          <w:rFonts w:ascii="Arial" w:hAnsi="Arial" w:cs="Arial"/>
          <w:sz w:val="20"/>
        </w:rPr>
        <w:t>A similar conclusion follows from the 2021/22 statistics.</w:t>
      </w:r>
    </w:p>
    <w:p w14:paraId="10936385" w14:textId="77777777" w:rsidR="00856E75" w:rsidRDefault="00856E75" w:rsidP="00AA20A6">
      <w:pPr>
        <w:jc w:val="both"/>
        <w:rPr>
          <w:rFonts w:ascii="Arial" w:hAnsi="Arial" w:cs="Arial"/>
          <w:sz w:val="20"/>
        </w:rPr>
      </w:pPr>
    </w:p>
    <w:p w14:paraId="1C1221F4" w14:textId="24EBE22E" w:rsidR="006A733D" w:rsidRDefault="009A1D1C" w:rsidP="00AA20A6">
      <w:pPr>
        <w:jc w:val="both"/>
        <w:rPr>
          <w:rFonts w:ascii="Arial" w:hAnsi="Arial" w:cs="Arial"/>
          <w:sz w:val="20"/>
        </w:rPr>
      </w:pPr>
      <w:r>
        <w:rPr>
          <w:rFonts w:ascii="Arial" w:hAnsi="Arial" w:cs="Arial"/>
          <w:sz w:val="20"/>
        </w:rPr>
        <w:t>In fact t</w:t>
      </w:r>
      <w:r w:rsidR="001966B1">
        <w:rPr>
          <w:rFonts w:ascii="Arial" w:hAnsi="Arial" w:cs="Arial"/>
          <w:sz w:val="20"/>
        </w:rPr>
        <w:t xml:space="preserve">he vast majority of </w:t>
      </w:r>
      <w:r w:rsidR="001966B1" w:rsidRPr="00856E75">
        <w:rPr>
          <w:rFonts w:ascii="Arial" w:hAnsi="Arial" w:cs="Arial"/>
          <w:b/>
          <w:bCs/>
          <w:sz w:val="20"/>
        </w:rPr>
        <w:t>cases</w:t>
      </w:r>
      <w:r w:rsidR="001966B1">
        <w:rPr>
          <w:rFonts w:ascii="Arial" w:hAnsi="Arial" w:cs="Arial"/>
          <w:sz w:val="20"/>
        </w:rPr>
        <w:t xml:space="preserve"> </w:t>
      </w:r>
      <w:r w:rsidR="005D4F28">
        <w:rPr>
          <w:rFonts w:ascii="Arial" w:hAnsi="Arial" w:cs="Arial"/>
          <w:sz w:val="20"/>
        </w:rPr>
        <w:t xml:space="preserve">in both periods </w:t>
      </w:r>
      <w:r w:rsidR="001966B1">
        <w:rPr>
          <w:rFonts w:ascii="Arial" w:hAnsi="Arial" w:cs="Arial"/>
          <w:sz w:val="20"/>
        </w:rPr>
        <w:t xml:space="preserve">were resolved </w:t>
      </w:r>
      <w:r>
        <w:rPr>
          <w:rFonts w:ascii="Arial" w:hAnsi="Arial" w:cs="Arial"/>
          <w:sz w:val="20"/>
        </w:rPr>
        <w:t xml:space="preserve">– without the need for a final contest – </w:t>
      </w:r>
      <w:r w:rsidR="001966B1">
        <w:rPr>
          <w:rFonts w:ascii="Arial" w:hAnsi="Arial" w:cs="Arial"/>
          <w:sz w:val="20"/>
        </w:rPr>
        <w:t>by</w:t>
      </w:r>
      <w:r>
        <w:rPr>
          <w:rFonts w:ascii="Arial" w:hAnsi="Arial" w:cs="Arial"/>
          <w:sz w:val="20"/>
        </w:rPr>
        <w:t xml:space="preserve"> </w:t>
      </w:r>
      <w:r w:rsidR="001966B1">
        <w:rPr>
          <w:rFonts w:ascii="Arial" w:hAnsi="Arial" w:cs="Arial"/>
          <w:sz w:val="20"/>
        </w:rPr>
        <w:t>agreement between the parties</w:t>
      </w:r>
      <w:r>
        <w:rPr>
          <w:rFonts w:ascii="Arial" w:hAnsi="Arial" w:cs="Arial"/>
          <w:sz w:val="20"/>
        </w:rPr>
        <w:t xml:space="preserve"> and </w:t>
      </w:r>
      <w:r w:rsidR="00F8680C">
        <w:rPr>
          <w:rFonts w:ascii="Arial" w:hAnsi="Arial" w:cs="Arial"/>
          <w:sz w:val="20"/>
        </w:rPr>
        <w:t xml:space="preserve">the satisfaction of the Court that the resolution was in the best interests of the subject child or children.  Such resolution </w:t>
      </w:r>
      <w:r w:rsidR="001966B1">
        <w:rPr>
          <w:rFonts w:ascii="Arial" w:hAnsi="Arial" w:cs="Arial"/>
          <w:sz w:val="20"/>
        </w:rPr>
        <w:t xml:space="preserve">often </w:t>
      </w:r>
      <w:r w:rsidR="00F8680C">
        <w:rPr>
          <w:rFonts w:ascii="Arial" w:hAnsi="Arial" w:cs="Arial"/>
          <w:sz w:val="20"/>
        </w:rPr>
        <w:t xml:space="preserve">occurred as a result of </w:t>
      </w:r>
      <w:r w:rsidR="001966B1">
        <w:rPr>
          <w:rFonts w:ascii="Arial" w:hAnsi="Arial" w:cs="Arial"/>
          <w:sz w:val="20"/>
        </w:rPr>
        <w:t xml:space="preserve">a conciliation </w:t>
      </w:r>
      <w:r w:rsidR="000D47D1">
        <w:rPr>
          <w:rFonts w:ascii="Arial" w:hAnsi="Arial" w:cs="Arial"/>
          <w:sz w:val="20"/>
        </w:rPr>
        <w:t>conference</w:t>
      </w:r>
      <w:r w:rsidR="001966B1">
        <w:rPr>
          <w:rFonts w:ascii="Arial" w:hAnsi="Arial" w:cs="Arial"/>
          <w:sz w:val="20"/>
        </w:rPr>
        <w:t xml:space="preserve"> </w:t>
      </w:r>
      <w:r w:rsidR="009702F9">
        <w:rPr>
          <w:rFonts w:ascii="Arial" w:hAnsi="Arial" w:cs="Arial"/>
          <w:sz w:val="20"/>
        </w:rPr>
        <w:t>conducted by</w:t>
      </w:r>
      <w:r w:rsidR="001966B1">
        <w:rPr>
          <w:rFonts w:ascii="Arial" w:hAnsi="Arial" w:cs="Arial"/>
          <w:sz w:val="20"/>
        </w:rPr>
        <w:t xml:space="preserve"> </w:t>
      </w:r>
      <w:r w:rsidR="009702F9">
        <w:rPr>
          <w:rFonts w:ascii="Arial" w:hAnsi="Arial" w:cs="Arial"/>
          <w:sz w:val="20"/>
        </w:rPr>
        <w:t xml:space="preserve">a </w:t>
      </w:r>
      <w:r w:rsidR="001966B1">
        <w:rPr>
          <w:rFonts w:ascii="Arial" w:hAnsi="Arial" w:cs="Arial"/>
          <w:sz w:val="20"/>
        </w:rPr>
        <w:t xml:space="preserve">Court-appointed convenor or a judicial resolution process </w:t>
      </w:r>
      <w:r w:rsidR="009702F9">
        <w:rPr>
          <w:rFonts w:ascii="Arial" w:hAnsi="Arial" w:cs="Arial"/>
          <w:sz w:val="20"/>
        </w:rPr>
        <w:t>conducted by</w:t>
      </w:r>
      <w:r w:rsidR="001966B1">
        <w:rPr>
          <w:rFonts w:ascii="Arial" w:hAnsi="Arial" w:cs="Arial"/>
          <w:sz w:val="20"/>
        </w:rPr>
        <w:t xml:space="preserve"> </w:t>
      </w:r>
      <w:r w:rsidR="009702F9">
        <w:rPr>
          <w:rFonts w:ascii="Arial" w:hAnsi="Arial" w:cs="Arial"/>
          <w:sz w:val="20"/>
        </w:rPr>
        <w:t xml:space="preserve">a </w:t>
      </w:r>
      <w:r w:rsidR="001966B1">
        <w:rPr>
          <w:rFonts w:ascii="Arial" w:hAnsi="Arial" w:cs="Arial"/>
          <w:sz w:val="20"/>
        </w:rPr>
        <w:t>judicial officer or both.</w:t>
      </w:r>
    </w:p>
    <w:p w14:paraId="5C483849" w14:textId="77777777" w:rsidR="006A733D" w:rsidRDefault="006A733D" w:rsidP="00AA20A6">
      <w:pPr>
        <w:jc w:val="both"/>
        <w:rPr>
          <w:rFonts w:ascii="Arial" w:hAnsi="Arial" w:cs="Arial"/>
          <w:sz w:val="20"/>
        </w:rPr>
      </w:pPr>
    </w:p>
    <w:p w14:paraId="246BE971" w14:textId="2A39F37C" w:rsidR="007D7E39" w:rsidRPr="00785E1A" w:rsidRDefault="00705C9E" w:rsidP="001B734E">
      <w:pPr>
        <w:pStyle w:val="Heading3"/>
        <w:keepNext/>
        <w:keepLines/>
        <w:spacing w:after="120" w:line="240" w:lineRule="auto"/>
        <w:rPr>
          <w:rFonts w:ascii="Arial" w:hAnsi="Arial" w:cs="Arial"/>
          <w:color w:val="000000"/>
          <w:sz w:val="20"/>
        </w:rPr>
      </w:pPr>
      <w:bookmarkStart w:id="1437" w:name="_4.9.8_Marram-Ngala_Ganbu"/>
      <w:bookmarkEnd w:id="1437"/>
      <w:r>
        <w:rPr>
          <w:rFonts w:ascii="Arial" w:hAnsi="Arial" w:cs="Arial"/>
          <w:b/>
          <w:bCs/>
          <w:sz w:val="20"/>
        </w:rPr>
        <w:t>4.9.</w:t>
      </w:r>
      <w:r w:rsidR="00ED3555">
        <w:rPr>
          <w:rFonts w:ascii="Arial" w:hAnsi="Arial" w:cs="Arial"/>
          <w:b/>
          <w:bCs/>
          <w:sz w:val="20"/>
        </w:rPr>
        <w:t>8</w:t>
      </w:r>
      <w:r>
        <w:rPr>
          <w:rFonts w:ascii="Arial" w:hAnsi="Arial" w:cs="Arial"/>
          <w:b/>
          <w:bCs/>
          <w:sz w:val="20"/>
        </w:rPr>
        <w:tab/>
        <w:t xml:space="preserve">Marram-Ngala </w:t>
      </w:r>
      <w:proofErr w:type="spellStart"/>
      <w:r>
        <w:rPr>
          <w:rFonts w:ascii="Arial" w:hAnsi="Arial" w:cs="Arial"/>
          <w:b/>
          <w:bCs/>
          <w:sz w:val="20"/>
        </w:rPr>
        <w:t>Ganbu</w:t>
      </w:r>
      <w:proofErr w:type="spellEnd"/>
      <w:r>
        <w:rPr>
          <w:rFonts w:ascii="Arial" w:hAnsi="Arial" w:cs="Arial"/>
          <w:b/>
          <w:bCs/>
          <w:sz w:val="20"/>
        </w:rPr>
        <w:t xml:space="preserve"> Program</w:t>
      </w:r>
    </w:p>
    <w:p w14:paraId="5AE76D24" w14:textId="77777777" w:rsidR="00D441CB" w:rsidRPr="00F51496" w:rsidRDefault="00D441CB" w:rsidP="000F5059">
      <w:pPr>
        <w:keepNext/>
        <w:keepLines/>
        <w:spacing w:before="120"/>
        <w:jc w:val="both"/>
        <w:rPr>
          <w:rFonts w:ascii="Arial" w:hAnsi="Arial" w:cs="Arial"/>
          <w:color w:val="000000"/>
          <w:sz w:val="20"/>
        </w:rPr>
      </w:pPr>
      <w:r w:rsidRPr="00F51496">
        <w:rPr>
          <w:rFonts w:ascii="Arial" w:hAnsi="Arial" w:cs="Arial"/>
          <w:color w:val="000000"/>
          <w:sz w:val="20"/>
        </w:rPr>
        <w:t>Under s.3(1) of the CYFA “Aboriginal person” means a person who:</w:t>
      </w:r>
    </w:p>
    <w:p w14:paraId="7B52D6CA" w14:textId="516BE602" w:rsidR="00D441CB" w:rsidRPr="00F51496" w:rsidRDefault="00D441CB">
      <w:pPr>
        <w:numPr>
          <w:ilvl w:val="0"/>
          <w:numId w:val="40"/>
        </w:numPr>
        <w:tabs>
          <w:tab w:val="left" w:pos="363"/>
        </w:tabs>
        <w:ind w:left="357" w:hanging="357"/>
        <w:jc w:val="both"/>
        <w:rPr>
          <w:rFonts w:ascii="Arial" w:hAnsi="Arial" w:cs="Arial"/>
          <w:color w:val="000000"/>
          <w:sz w:val="20"/>
        </w:rPr>
      </w:pPr>
      <w:r w:rsidRPr="00F51496">
        <w:rPr>
          <w:rFonts w:ascii="Arial" w:hAnsi="Arial" w:cs="Arial"/>
          <w:color w:val="000000"/>
          <w:sz w:val="20"/>
        </w:rPr>
        <w:t>is descended from an Aborigin</w:t>
      </w:r>
      <w:r w:rsidR="00A95893">
        <w:rPr>
          <w:rFonts w:ascii="Arial" w:hAnsi="Arial" w:cs="Arial"/>
          <w:color w:val="000000"/>
          <w:sz w:val="20"/>
        </w:rPr>
        <w:t>al person</w:t>
      </w:r>
      <w:r w:rsidRPr="00F51496">
        <w:rPr>
          <w:rFonts w:ascii="Arial" w:hAnsi="Arial" w:cs="Arial"/>
          <w:color w:val="000000"/>
          <w:sz w:val="20"/>
        </w:rPr>
        <w:t xml:space="preserve"> or Torres Strait Islander; and</w:t>
      </w:r>
    </w:p>
    <w:p w14:paraId="340705FC" w14:textId="2659D786" w:rsidR="00D441CB" w:rsidRPr="00F51496" w:rsidRDefault="00D441CB">
      <w:pPr>
        <w:numPr>
          <w:ilvl w:val="0"/>
          <w:numId w:val="40"/>
        </w:numPr>
        <w:tabs>
          <w:tab w:val="left" w:pos="363"/>
        </w:tabs>
        <w:ind w:left="357" w:hanging="357"/>
        <w:jc w:val="both"/>
        <w:rPr>
          <w:rFonts w:ascii="Arial" w:hAnsi="Arial" w:cs="Arial"/>
          <w:color w:val="000000"/>
          <w:sz w:val="20"/>
        </w:rPr>
      </w:pPr>
      <w:r w:rsidRPr="00F51496">
        <w:rPr>
          <w:rFonts w:ascii="Arial" w:hAnsi="Arial" w:cs="Arial"/>
          <w:color w:val="000000"/>
          <w:sz w:val="20"/>
        </w:rPr>
        <w:t>identifies as an Aborigin</w:t>
      </w:r>
      <w:r w:rsidR="009F7D38">
        <w:rPr>
          <w:rFonts w:ascii="Arial" w:hAnsi="Arial" w:cs="Arial"/>
          <w:color w:val="000000"/>
          <w:sz w:val="20"/>
        </w:rPr>
        <w:t>al person</w:t>
      </w:r>
      <w:r w:rsidRPr="00F51496">
        <w:rPr>
          <w:rFonts w:ascii="Arial" w:hAnsi="Arial" w:cs="Arial"/>
          <w:color w:val="000000"/>
          <w:sz w:val="20"/>
        </w:rPr>
        <w:t xml:space="preserve"> or Torres Strait Islander; and</w:t>
      </w:r>
    </w:p>
    <w:p w14:paraId="0C7D5F1B" w14:textId="2697C43F" w:rsidR="00D441CB" w:rsidRPr="00F51496" w:rsidRDefault="00D441CB">
      <w:pPr>
        <w:numPr>
          <w:ilvl w:val="0"/>
          <w:numId w:val="40"/>
        </w:numPr>
        <w:tabs>
          <w:tab w:val="left" w:pos="363"/>
        </w:tabs>
        <w:ind w:left="357" w:hanging="357"/>
        <w:jc w:val="both"/>
        <w:rPr>
          <w:rFonts w:ascii="Arial" w:hAnsi="Arial" w:cs="Arial"/>
          <w:color w:val="000000"/>
          <w:sz w:val="20"/>
        </w:rPr>
      </w:pPr>
      <w:r w:rsidRPr="00F51496">
        <w:rPr>
          <w:rFonts w:ascii="Arial" w:hAnsi="Arial" w:cs="Arial"/>
          <w:color w:val="000000"/>
          <w:sz w:val="20"/>
        </w:rPr>
        <w:t>is accepted as an Aborigin</w:t>
      </w:r>
      <w:r w:rsidR="009F7D38">
        <w:rPr>
          <w:rFonts w:ascii="Arial" w:hAnsi="Arial" w:cs="Arial"/>
          <w:color w:val="000000"/>
          <w:sz w:val="20"/>
        </w:rPr>
        <w:t>al person</w:t>
      </w:r>
      <w:r w:rsidRPr="00F51496">
        <w:rPr>
          <w:rFonts w:ascii="Arial" w:hAnsi="Arial" w:cs="Arial"/>
          <w:color w:val="000000"/>
          <w:sz w:val="20"/>
        </w:rPr>
        <w:t xml:space="preserve"> or Torres Strait Islander by an Aboriginal or Torres Strait Islander community.</w:t>
      </w:r>
    </w:p>
    <w:p w14:paraId="40B63805" w14:textId="77777777" w:rsidR="00D441CB" w:rsidRDefault="00D441CB" w:rsidP="00132E50">
      <w:pPr>
        <w:ind w:left="363" w:hanging="363"/>
        <w:jc w:val="both"/>
        <w:rPr>
          <w:rFonts w:ascii="Arial" w:hAnsi="Arial" w:cs="Arial"/>
          <w:b/>
          <w:bCs/>
          <w:sz w:val="20"/>
        </w:rPr>
      </w:pPr>
    </w:p>
    <w:p w14:paraId="298FEDE9" w14:textId="655BE9A2" w:rsidR="000F5059" w:rsidRDefault="000F5059" w:rsidP="000F5059">
      <w:pPr>
        <w:pBdr>
          <w:top w:val="single" w:sz="4" w:space="1" w:color="auto"/>
          <w:left w:val="single" w:sz="4" w:space="4" w:color="auto"/>
          <w:bottom w:val="single" w:sz="4" w:space="1" w:color="auto"/>
          <w:right w:val="single" w:sz="4" w:space="4" w:color="auto"/>
        </w:pBdr>
        <w:jc w:val="both"/>
        <w:rPr>
          <w:rFonts w:ascii="Arial" w:hAnsi="Arial" w:cs="Arial"/>
          <w:sz w:val="20"/>
        </w:rPr>
      </w:pPr>
      <w:r>
        <w:rPr>
          <w:rFonts w:ascii="Arial" w:hAnsi="Arial" w:cs="Arial"/>
          <w:sz w:val="20"/>
        </w:rPr>
        <w:t xml:space="preserve">“Most Victorian Aboriginal children are cared for in loving families, where they are cherished, protected and nurtured, where their connection to community and culture is strong, their Koori identity is affirmed and they are thriving, empowered and safe”: see </w:t>
      </w:r>
      <w:r w:rsidRPr="00705C9E">
        <w:rPr>
          <w:rFonts w:ascii="Arial" w:hAnsi="Arial" w:cs="Arial"/>
          <w:i/>
          <w:iCs/>
          <w:sz w:val="20"/>
        </w:rPr>
        <w:t xml:space="preserve">Always Was, Always Will </w:t>
      </w:r>
      <w:r w:rsidR="00535682">
        <w:rPr>
          <w:rFonts w:ascii="Arial" w:hAnsi="Arial" w:cs="Arial"/>
          <w:i/>
          <w:iCs/>
          <w:sz w:val="20"/>
        </w:rPr>
        <w:t>b</w:t>
      </w:r>
      <w:r w:rsidRPr="00705C9E">
        <w:rPr>
          <w:rFonts w:ascii="Arial" w:hAnsi="Arial" w:cs="Arial"/>
          <w:i/>
          <w:iCs/>
          <w:sz w:val="20"/>
        </w:rPr>
        <w:t>e Koori Children</w:t>
      </w:r>
      <w:r w:rsidR="00535682" w:rsidRPr="00535682">
        <w:rPr>
          <w:rFonts w:ascii="Arial" w:hAnsi="Arial" w:cs="Arial"/>
          <w:sz w:val="20"/>
        </w:rPr>
        <w:t>,</w:t>
      </w:r>
      <w:r>
        <w:rPr>
          <w:rFonts w:ascii="Arial" w:hAnsi="Arial" w:cs="Arial"/>
          <w:sz w:val="20"/>
        </w:rPr>
        <w:t xml:space="preserve"> Report of Taskforce 1000 (October 2016).</w:t>
      </w:r>
      <w:r w:rsidR="00816B30">
        <w:rPr>
          <w:rFonts w:ascii="Arial" w:hAnsi="Arial" w:cs="Arial"/>
          <w:sz w:val="20"/>
        </w:rPr>
        <w:t xml:space="preserve"> </w:t>
      </w:r>
      <w:r w:rsidR="00816B30" w:rsidRPr="00816B30">
        <w:rPr>
          <w:rFonts w:ascii="Arial" w:hAnsi="Arial" w:cs="Arial"/>
          <w:sz w:val="20"/>
          <w:szCs w:val="20"/>
        </w:rPr>
        <w:t xml:space="preserve">The term </w:t>
      </w:r>
      <w:r w:rsidR="00816B30" w:rsidRPr="00816B30">
        <w:rPr>
          <w:rFonts w:ascii="Arial" w:hAnsi="Arial" w:cs="Arial"/>
          <w:i/>
          <w:iCs/>
          <w:sz w:val="20"/>
          <w:szCs w:val="20"/>
        </w:rPr>
        <w:t>Koori</w:t>
      </w:r>
      <w:r w:rsidR="00816B30" w:rsidRPr="00816B30">
        <w:rPr>
          <w:rFonts w:ascii="Arial" w:hAnsi="Arial" w:cs="Arial"/>
          <w:sz w:val="20"/>
          <w:szCs w:val="20"/>
        </w:rPr>
        <w:t xml:space="preserve"> is used throughout this </w:t>
      </w:r>
      <w:r w:rsidR="00816B30">
        <w:rPr>
          <w:rFonts w:ascii="Arial" w:hAnsi="Arial" w:cs="Arial"/>
          <w:sz w:val="20"/>
          <w:szCs w:val="20"/>
        </w:rPr>
        <w:t>sec</w:t>
      </w:r>
      <w:r w:rsidR="00816B30" w:rsidRPr="00816B30">
        <w:rPr>
          <w:rFonts w:ascii="Arial" w:hAnsi="Arial" w:cs="Arial"/>
          <w:sz w:val="20"/>
          <w:szCs w:val="20"/>
        </w:rPr>
        <w:t>tion to describe the traditional inhabitants of Victoria and is intended to be inclusive of all Aboriginal and/or Torres Strait Islander people.</w:t>
      </w:r>
    </w:p>
    <w:p w14:paraId="11A6D22C" w14:textId="77777777" w:rsidR="00816B30" w:rsidRDefault="00816B30" w:rsidP="00132E50">
      <w:pPr>
        <w:ind w:left="363" w:hanging="363"/>
        <w:jc w:val="both"/>
        <w:rPr>
          <w:rFonts w:ascii="Arial" w:hAnsi="Arial" w:cs="Arial"/>
          <w:b/>
          <w:bCs/>
          <w:sz w:val="20"/>
        </w:rPr>
      </w:pPr>
    </w:p>
    <w:p w14:paraId="47D9A33F" w14:textId="5C19D060" w:rsidR="00DD3832" w:rsidRDefault="001B14AB" w:rsidP="00705C9E">
      <w:pPr>
        <w:jc w:val="both"/>
        <w:rPr>
          <w:rFonts w:ascii="Arial" w:hAnsi="Arial" w:cs="Arial"/>
          <w:color w:val="000000"/>
          <w:sz w:val="20"/>
        </w:rPr>
      </w:pPr>
      <w:r>
        <w:rPr>
          <w:rFonts w:ascii="Arial" w:hAnsi="Arial" w:cs="Arial"/>
          <w:color w:val="000000"/>
          <w:sz w:val="20"/>
        </w:rPr>
        <w:t>Developed over a 6 month period, t</w:t>
      </w:r>
      <w:r w:rsidR="00705C9E">
        <w:rPr>
          <w:rFonts w:ascii="Arial" w:hAnsi="Arial" w:cs="Arial"/>
          <w:color w:val="000000"/>
          <w:sz w:val="20"/>
        </w:rPr>
        <w:t xml:space="preserve">he Marram-Ngala </w:t>
      </w:r>
      <w:proofErr w:type="spellStart"/>
      <w:r w:rsidR="00705C9E">
        <w:rPr>
          <w:rFonts w:ascii="Arial" w:hAnsi="Arial" w:cs="Arial"/>
          <w:color w:val="000000"/>
          <w:sz w:val="20"/>
        </w:rPr>
        <w:t>Ganbu</w:t>
      </w:r>
      <w:proofErr w:type="spellEnd"/>
      <w:r w:rsidR="00705C9E">
        <w:rPr>
          <w:rFonts w:ascii="Arial" w:hAnsi="Arial" w:cs="Arial"/>
          <w:color w:val="000000"/>
          <w:sz w:val="20"/>
        </w:rPr>
        <w:t xml:space="preserve"> Program was </w:t>
      </w:r>
      <w:r w:rsidR="00E8430A">
        <w:rPr>
          <w:rFonts w:ascii="Arial" w:hAnsi="Arial" w:cs="Arial"/>
          <w:color w:val="000000"/>
          <w:sz w:val="20"/>
        </w:rPr>
        <w:t>launched</w:t>
      </w:r>
      <w:r w:rsidR="00705C9E">
        <w:rPr>
          <w:rFonts w:ascii="Arial" w:hAnsi="Arial" w:cs="Arial"/>
          <w:color w:val="000000"/>
          <w:sz w:val="20"/>
        </w:rPr>
        <w:t xml:space="preserve"> in </w:t>
      </w:r>
      <w:r w:rsidR="00E8430A">
        <w:rPr>
          <w:rFonts w:ascii="Arial" w:hAnsi="Arial" w:cs="Arial"/>
          <w:color w:val="000000"/>
          <w:sz w:val="20"/>
        </w:rPr>
        <w:t xml:space="preserve">August </w:t>
      </w:r>
      <w:r w:rsidR="00705C9E">
        <w:rPr>
          <w:rFonts w:ascii="Arial" w:hAnsi="Arial" w:cs="Arial"/>
          <w:color w:val="000000"/>
          <w:sz w:val="20"/>
        </w:rPr>
        <w:t xml:space="preserve">2016 </w:t>
      </w:r>
      <w:r w:rsidR="00E8430A">
        <w:rPr>
          <w:rFonts w:ascii="Arial" w:hAnsi="Arial" w:cs="Arial"/>
          <w:color w:val="000000"/>
          <w:sz w:val="20"/>
        </w:rPr>
        <w:t xml:space="preserve">at the Broadmeadows Children’s Court </w:t>
      </w:r>
      <w:r w:rsidR="00705C9E">
        <w:rPr>
          <w:rFonts w:ascii="Arial" w:hAnsi="Arial" w:cs="Arial"/>
          <w:color w:val="000000"/>
          <w:sz w:val="20"/>
        </w:rPr>
        <w:t>as an acknowledgement of the above fact and as an innovative response to the over-representation of Aboriginal children and families in the child protection system in Victoria.</w:t>
      </w:r>
      <w:r w:rsidR="00DD3832">
        <w:rPr>
          <w:rFonts w:ascii="Arial" w:hAnsi="Arial" w:cs="Arial"/>
          <w:color w:val="000000"/>
          <w:sz w:val="20"/>
        </w:rPr>
        <w:t xml:space="preserve"> </w:t>
      </w:r>
      <w:r w:rsidR="008C5570">
        <w:rPr>
          <w:rFonts w:ascii="Arial" w:hAnsi="Arial" w:cs="Arial"/>
          <w:color w:val="000000"/>
          <w:sz w:val="20"/>
        </w:rPr>
        <w:t xml:space="preserve">Marram-Ngala </w:t>
      </w:r>
      <w:proofErr w:type="spellStart"/>
      <w:r w:rsidR="008C5570">
        <w:rPr>
          <w:rFonts w:ascii="Arial" w:hAnsi="Arial" w:cs="Arial"/>
          <w:color w:val="000000"/>
          <w:sz w:val="20"/>
        </w:rPr>
        <w:t>Ganbu</w:t>
      </w:r>
      <w:proofErr w:type="spellEnd"/>
      <w:r w:rsidR="008C5570">
        <w:rPr>
          <w:rFonts w:ascii="Arial" w:hAnsi="Arial" w:cs="Arial"/>
          <w:color w:val="000000"/>
          <w:sz w:val="20"/>
        </w:rPr>
        <w:t xml:space="preserve"> means “We are one” in the </w:t>
      </w:r>
      <w:proofErr w:type="spellStart"/>
      <w:r w:rsidR="008C5570">
        <w:rPr>
          <w:rFonts w:ascii="Arial" w:hAnsi="Arial" w:cs="Arial"/>
          <w:color w:val="000000"/>
          <w:sz w:val="20"/>
        </w:rPr>
        <w:t>Woiwurrung</w:t>
      </w:r>
      <w:proofErr w:type="spellEnd"/>
      <w:r w:rsidR="008C5570">
        <w:rPr>
          <w:rFonts w:ascii="Arial" w:hAnsi="Arial" w:cs="Arial"/>
          <w:color w:val="000000"/>
          <w:sz w:val="20"/>
        </w:rPr>
        <w:t xml:space="preserve"> language.  </w:t>
      </w:r>
      <w:r w:rsidR="00DD3832">
        <w:rPr>
          <w:rFonts w:ascii="Arial" w:hAnsi="Arial" w:cs="Arial"/>
          <w:color w:val="000000"/>
          <w:sz w:val="20"/>
        </w:rPr>
        <w:t xml:space="preserve">The material </w:t>
      </w:r>
      <w:r w:rsidR="008B36BD">
        <w:rPr>
          <w:rFonts w:ascii="Arial" w:hAnsi="Arial" w:cs="Arial"/>
          <w:color w:val="000000"/>
          <w:sz w:val="20"/>
        </w:rPr>
        <w:t xml:space="preserve">in this section </w:t>
      </w:r>
      <w:r w:rsidR="00DD3832">
        <w:rPr>
          <w:rFonts w:ascii="Arial" w:hAnsi="Arial" w:cs="Arial"/>
          <w:color w:val="000000"/>
          <w:sz w:val="20"/>
        </w:rPr>
        <w:t>is taken from</w:t>
      </w:r>
      <w:r w:rsidR="008D0BD2">
        <w:rPr>
          <w:rFonts w:ascii="Arial" w:hAnsi="Arial" w:cs="Arial"/>
          <w:color w:val="000000"/>
          <w:sz w:val="20"/>
        </w:rPr>
        <w:t xml:space="preserve"> the very positive</w:t>
      </w:r>
      <w:r w:rsidR="00DD3832">
        <w:rPr>
          <w:rFonts w:ascii="Arial" w:hAnsi="Arial" w:cs="Arial"/>
          <w:color w:val="000000"/>
          <w:sz w:val="20"/>
        </w:rPr>
        <w:t xml:space="preserve"> </w:t>
      </w:r>
      <w:r w:rsidR="00DD3832" w:rsidRPr="00DD3832">
        <w:rPr>
          <w:rFonts w:ascii="Arial" w:hAnsi="Arial" w:cs="Arial"/>
          <w:i/>
          <w:iCs/>
          <w:color w:val="000000"/>
          <w:sz w:val="20"/>
        </w:rPr>
        <w:t xml:space="preserve">Evaluation of Marram-Ngala </w:t>
      </w:r>
      <w:proofErr w:type="spellStart"/>
      <w:r w:rsidR="00DD3832" w:rsidRPr="00DD3832">
        <w:rPr>
          <w:rFonts w:ascii="Arial" w:hAnsi="Arial" w:cs="Arial"/>
          <w:i/>
          <w:iCs/>
          <w:color w:val="000000"/>
          <w:sz w:val="20"/>
        </w:rPr>
        <w:t>Ganbu</w:t>
      </w:r>
      <w:proofErr w:type="spellEnd"/>
      <w:r w:rsidR="00DD3832">
        <w:rPr>
          <w:rFonts w:ascii="Arial" w:hAnsi="Arial" w:cs="Arial"/>
          <w:color w:val="000000"/>
          <w:sz w:val="20"/>
        </w:rPr>
        <w:t xml:space="preserve"> (November 2019)</w:t>
      </w:r>
      <w:r w:rsidR="008D0BD2">
        <w:rPr>
          <w:rFonts w:ascii="Arial" w:hAnsi="Arial" w:cs="Arial"/>
          <w:color w:val="000000"/>
          <w:sz w:val="20"/>
        </w:rPr>
        <w:t>.</w:t>
      </w:r>
    </w:p>
    <w:p w14:paraId="035889BF" w14:textId="77777777" w:rsidR="00DD3832" w:rsidRDefault="00DD3832" w:rsidP="00705C9E">
      <w:pPr>
        <w:jc w:val="both"/>
        <w:rPr>
          <w:rFonts w:ascii="Arial" w:hAnsi="Arial" w:cs="Arial"/>
          <w:color w:val="000000"/>
          <w:sz w:val="20"/>
        </w:rPr>
      </w:pPr>
    </w:p>
    <w:p w14:paraId="76A92067" w14:textId="56C72DBC" w:rsidR="000F5059" w:rsidRDefault="008B36BD" w:rsidP="00705C9E">
      <w:pPr>
        <w:jc w:val="both"/>
        <w:rPr>
          <w:rFonts w:ascii="Arial" w:hAnsi="Arial" w:cs="Arial"/>
          <w:color w:val="000000"/>
          <w:sz w:val="20"/>
        </w:rPr>
      </w:pPr>
      <w:r>
        <w:rPr>
          <w:rFonts w:ascii="Arial" w:hAnsi="Arial" w:cs="Arial"/>
          <w:color w:val="000000"/>
          <w:sz w:val="20"/>
        </w:rPr>
        <w:lastRenderedPageBreak/>
        <w:t xml:space="preserve">The following statistics are taken from SNAICC (2019) </w:t>
      </w:r>
      <w:r w:rsidRPr="007D6AD3">
        <w:rPr>
          <w:rFonts w:ascii="Arial" w:hAnsi="Arial" w:cs="Arial"/>
          <w:i/>
          <w:iCs/>
          <w:color w:val="000000"/>
          <w:sz w:val="20"/>
        </w:rPr>
        <w:t>The Family Matters</w:t>
      </w:r>
      <w:r>
        <w:rPr>
          <w:rFonts w:ascii="Arial" w:hAnsi="Arial" w:cs="Arial"/>
          <w:color w:val="000000"/>
          <w:sz w:val="20"/>
        </w:rPr>
        <w:t xml:space="preserve"> Report and from A</w:t>
      </w:r>
      <w:r w:rsidR="007D6AD3">
        <w:rPr>
          <w:rFonts w:ascii="Arial" w:hAnsi="Arial" w:cs="Arial"/>
          <w:color w:val="000000"/>
          <w:sz w:val="20"/>
        </w:rPr>
        <w:t> </w:t>
      </w:r>
      <w:r>
        <w:rPr>
          <w:rFonts w:ascii="Arial" w:hAnsi="Arial" w:cs="Arial"/>
          <w:color w:val="000000"/>
          <w:sz w:val="20"/>
        </w:rPr>
        <w:t xml:space="preserve">Morris &amp; K Macpherson, 2017, </w:t>
      </w:r>
      <w:r w:rsidRPr="008B36BD">
        <w:rPr>
          <w:rFonts w:ascii="Arial" w:hAnsi="Arial" w:cs="Arial"/>
          <w:i/>
          <w:iCs/>
          <w:color w:val="000000"/>
          <w:sz w:val="20"/>
        </w:rPr>
        <w:t xml:space="preserve">‘Marram-Ngala </w:t>
      </w:r>
      <w:proofErr w:type="spellStart"/>
      <w:r w:rsidRPr="008B36BD">
        <w:rPr>
          <w:rFonts w:ascii="Arial" w:hAnsi="Arial" w:cs="Arial"/>
          <w:i/>
          <w:iCs/>
          <w:color w:val="000000"/>
          <w:sz w:val="20"/>
        </w:rPr>
        <w:t>Ganbu</w:t>
      </w:r>
      <w:proofErr w:type="spellEnd"/>
      <w:r w:rsidRPr="008B36BD">
        <w:rPr>
          <w:rFonts w:ascii="Arial" w:hAnsi="Arial" w:cs="Arial"/>
          <w:i/>
          <w:iCs/>
          <w:color w:val="000000"/>
          <w:sz w:val="20"/>
        </w:rPr>
        <w:t>: We are one’</w:t>
      </w:r>
      <w:r>
        <w:rPr>
          <w:rFonts w:ascii="Arial" w:hAnsi="Arial" w:cs="Arial"/>
          <w:color w:val="000000"/>
          <w:sz w:val="20"/>
        </w:rPr>
        <w:t xml:space="preserve"> in AIJA Proceedings of the NAJ 2017 Conference: Non-</w:t>
      </w:r>
      <w:r w:rsidR="00F10752">
        <w:rPr>
          <w:rFonts w:ascii="Arial" w:hAnsi="Arial" w:cs="Arial"/>
          <w:color w:val="000000"/>
          <w:sz w:val="20"/>
        </w:rPr>
        <w:t>a</w:t>
      </w:r>
      <w:r>
        <w:rPr>
          <w:rFonts w:ascii="Arial" w:hAnsi="Arial" w:cs="Arial"/>
          <w:color w:val="000000"/>
          <w:sz w:val="20"/>
        </w:rPr>
        <w:t xml:space="preserve">dversarial Justice, Indigenous Justice, Melbourne. </w:t>
      </w:r>
      <w:r w:rsidR="00705C9E">
        <w:rPr>
          <w:rFonts w:ascii="Arial" w:hAnsi="Arial" w:cs="Arial"/>
          <w:color w:val="000000"/>
          <w:sz w:val="20"/>
        </w:rPr>
        <w:t>In March 2019, although the majority of Aboriginal children in Victoria were living wi</w:t>
      </w:r>
      <w:r w:rsidR="00DD3832">
        <w:rPr>
          <w:rFonts w:ascii="Arial" w:hAnsi="Arial" w:cs="Arial"/>
          <w:color w:val="000000"/>
          <w:sz w:val="20"/>
        </w:rPr>
        <w:t>t</w:t>
      </w:r>
      <w:r w:rsidR="00705C9E">
        <w:rPr>
          <w:rFonts w:ascii="Arial" w:hAnsi="Arial" w:cs="Arial"/>
          <w:color w:val="000000"/>
          <w:sz w:val="20"/>
        </w:rPr>
        <w:t xml:space="preserve">h their families and </w:t>
      </w:r>
      <w:r w:rsidR="000F5059">
        <w:rPr>
          <w:rFonts w:ascii="Arial" w:hAnsi="Arial" w:cs="Arial"/>
          <w:color w:val="000000"/>
          <w:sz w:val="20"/>
        </w:rPr>
        <w:t xml:space="preserve">were </w:t>
      </w:r>
      <w:r w:rsidR="00705C9E">
        <w:rPr>
          <w:rFonts w:ascii="Arial" w:hAnsi="Arial" w:cs="Arial"/>
          <w:color w:val="000000"/>
          <w:sz w:val="20"/>
        </w:rPr>
        <w:t>not in contact with the child</w:t>
      </w:r>
      <w:r w:rsidR="00DD3832">
        <w:rPr>
          <w:rFonts w:ascii="Arial" w:hAnsi="Arial" w:cs="Arial"/>
          <w:color w:val="000000"/>
          <w:sz w:val="20"/>
        </w:rPr>
        <w:t xml:space="preserve"> protection system, 19.1% were involved with child protection compared with 1.4% of non-</w:t>
      </w:r>
      <w:r w:rsidR="00226C41">
        <w:rPr>
          <w:rFonts w:ascii="Arial" w:hAnsi="Arial" w:cs="Arial"/>
          <w:color w:val="000000"/>
          <w:sz w:val="20"/>
        </w:rPr>
        <w:t>Aboriginal</w:t>
      </w:r>
      <w:r w:rsidR="00DD3832">
        <w:rPr>
          <w:rFonts w:ascii="Arial" w:hAnsi="Arial" w:cs="Arial"/>
          <w:color w:val="000000"/>
          <w:sz w:val="20"/>
        </w:rPr>
        <w:t xml:space="preserve"> children. </w:t>
      </w:r>
      <w:r w:rsidR="000F5059">
        <w:rPr>
          <w:rFonts w:ascii="Arial" w:hAnsi="Arial" w:cs="Arial"/>
          <w:color w:val="000000"/>
          <w:sz w:val="20"/>
        </w:rPr>
        <w:t xml:space="preserve">Aboriginal children in Victoria were 16.4 times more likely to be removed from their families than non-Aboriginal children, the second highest over-representation of any state of Australia. Unborn children were also susceptible, with 21% of child protection reports for unborn Aboriginal children in Victoria progressing to out-of-home care placements within 12 months of birth, compared with 13% for non-Aboriginal children. </w:t>
      </w:r>
      <w:r>
        <w:rPr>
          <w:rFonts w:ascii="Arial" w:hAnsi="Arial" w:cs="Arial"/>
          <w:color w:val="000000"/>
          <w:sz w:val="20"/>
        </w:rPr>
        <w:t xml:space="preserve">Victoria and the ACT exhibit the largest percentage increase of Aboriginal children in out-of-home care, with the number more than doubling between 2011 &amp; 2018. In Victoria, the percentage increase is almost double that of the percentage increase in the Aboriginal general population. </w:t>
      </w:r>
      <w:r w:rsidR="00535682">
        <w:rPr>
          <w:rFonts w:ascii="Arial" w:hAnsi="Arial" w:cs="Arial"/>
          <w:color w:val="000000"/>
          <w:sz w:val="20"/>
        </w:rPr>
        <w:t>Despite the Aboriginal Child Placement Principles set out in ss.12-14 of the CYFA, m</w:t>
      </w:r>
      <w:r>
        <w:rPr>
          <w:rFonts w:ascii="Arial" w:hAnsi="Arial" w:cs="Arial"/>
          <w:color w:val="000000"/>
          <w:sz w:val="20"/>
        </w:rPr>
        <w:t xml:space="preserve">ore than 60% of </w:t>
      </w:r>
      <w:r w:rsidR="00535682">
        <w:rPr>
          <w:rFonts w:ascii="Arial" w:hAnsi="Arial" w:cs="Arial"/>
          <w:color w:val="000000"/>
          <w:sz w:val="20"/>
        </w:rPr>
        <w:t>Aboriginal children removed from their families were placed with a non-Aboriginal carer and over 40% of Aboriginal children with siblings were placed separately from their siblings. Aboriginal children in Victoria are also more likely to stay removed from their parents, being over-represented on permanent care orders at rates significantly higher than the national average.</w:t>
      </w:r>
    </w:p>
    <w:p w14:paraId="514CFC37" w14:textId="77777777" w:rsidR="00705C9E" w:rsidRDefault="00705C9E" w:rsidP="00705C9E">
      <w:pPr>
        <w:jc w:val="both"/>
        <w:rPr>
          <w:rFonts w:ascii="Arial" w:hAnsi="Arial" w:cs="Arial"/>
          <w:color w:val="000000"/>
          <w:sz w:val="20"/>
        </w:rPr>
      </w:pPr>
    </w:p>
    <w:p w14:paraId="117499EF" w14:textId="530B0148" w:rsidR="00705C9E" w:rsidRDefault="00E8430A" w:rsidP="00E8430A">
      <w:pPr>
        <w:jc w:val="both"/>
        <w:rPr>
          <w:rFonts w:ascii="Arial" w:hAnsi="Arial" w:cs="Arial"/>
          <w:color w:val="000000"/>
          <w:sz w:val="20"/>
        </w:rPr>
      </w:pPr>
      <w:r>
        <w:rPr>
          <w:rFonts w:ascii="Arial" w:hAnsi="Arial" w:cs="Arial"/>
          <w:color w:val="000000"/>
          <w:sz w:val="20"/>
        </w:rPr>
        <w:t xml:space="preserve">The </w:t>
      </w:r>
      <w:r w:rsidR="00E21689">
        <w:rPr>
          <w:rFonts w:ascii="Arial" w:hAnsi="Arial" w:cs="Arial"/>
          <w:color w:val="000000"/>
          <w:sz w:val="20"/>
        </w:rPr>
        <w:t xml:space="preserve">aim of the </w:t>
      </w:r>
      <w:r>
        <w:rPr>
          <w:rFonts w:ascii="Arial" w:hAnsi="Arial" w:cs="Arial"/>
          <w:color w:val="000000"/>
          <w:sz w:val="20"/>
        </w:rPr>
        <w:t xml:space="preserve">Marram-Ngala </w:t>
      </w:r>
      <w:proofErr w:type="spellStart"/>
      <w:r>
        <w:rPr>
          <w:rFonts w:ascii="Arial" w:hAnsi="Arial" w:cs="Arial"/>
          <w:color w:val="000000"/>
          <w:sz w:val="20"/>
        </w:rPr>
        <w:t>Ganbu</w:t>
      </w:r>
      <w:proofErr w:type="spellEnd"/>
      <w:r>
        <w:rPr>
          <w:rFonts w:ascii="Arial" w:hAnsi="Arial" w:cs="Arial"/>
          <w:color w:val="000000"/>
          <w:sz w:val="20"/>
        </w:rPr>
        <w:t xml:space="preserve"> Program </w:t>
      </w:r>
      <w:r w:rsidR="00E21689">
        <w:rPr>
          <w:rFonts w:ascii="Arial" w:hAnsi="Arial" w:cs="Arial"/>
          <w:color w:val="000000"/>
          <w:sz w:val="20"/>
        </w:rPr>
        <w:t>i</w:t>
      </w:r>
      <w:r>
        <w:rPr>
          <w:rFonts w:ascii="Arial" w:hAnsi="Arial" w:cs="Arial"/>
          <w:color w:val="000000"/>
          <w:sz w:val="20"/>
        </w:rPr>
        <w:t xml:space="preserve">s to improve outcomes for Koori children and families involved in child protection proceedings. It </w:t>
      </w:r>
      <w:r w:rsidR="00E21689">
        <w:rPr>
          <w:rFonts w:ascii="Arial" w:hAnsi="Arial" w:cs="Arial"/>
          <w:color w:val="000000"/>
          <w:sz w:val="20"/>
        </w:rPr>
        <w:t>seeks to do this by</w:t>
      </w:r>
      <w:r>
        <w:rPr>
          <w:rFonts w:ascii="Arial" w:hAnsi="Arial" w:cs="Arial"/>
          <w:color w:val="000000"/>
          <w:sz w:val="20"/>
        </w:rPr>
        <w:t xml:space="preserve"> provid</w:t>
      </w:r>
      <w:r w:rsidR="00E21689">
        <w:rPr>
          <w:rFonts w:ascii="Arial" w:hAnsi="Arial" w:cs="Arial"/>
          <w:color w:val="000000"/>
          <w:sz w:val="20"/>
        </w:rPr>
        <w:t>ing</w:t>
      </w:r>
      <w:r>
        <w:rPr>
          <w:rFonts w:ascii="Arial" w:hAnsi="Arial" w:cs="Arial"/>
          <w:color w:val="000000"/>
          <w:sz w:val="20"/>
        </w:rPr>
        <w:t xml:space="preserve"> a more effective, culturally appropriate and just response for Koori families through a culturally appropriate court process that involves greater participation by family members and culturally-informed decision-making.</w:t>
      </w:r>
      <w:r w:rsidR="001B14AB">
        <w:rPr>
          <w:rFonts w:ascii="Arial" w:hAnsi="Arial" w:cs="Arial"/>
          <w:color w:val="000000"/>
          <w:sz w:val="20"/>
        </w:rPr>
        <w:t xml:space="preserve"> The Program is based on a therapeutic justice model that is less adversarial than the traditional model.</w:t>
      </w:r>
      <w:r w:rsidR="003155E1">
        <w:rPr>
          <w:rFonts w:ascii="Arial" w:hAnsi="Arial" w:cs="Arial"/>
          <w:color w:val="000000"/>
          <w:sz w:val="20"/>
        </w:rPr>
        <w:t xml:space="preserve">  Its key features are:</w:t>
      </w:r>
    </w:p>
    <w:p w14:paraId="41421208" w14:textId="77777777" w:rsidR="00112297" w:rsidRDefault="00112297">
      <w:pPr>
        <w:numPr>
          <w:ilvl w:val="0"/>
          <w:numId w:val="41"/>
        </w:numPr>
        <w:ind w:left="357" w:hanging="357"/>
        <w:jc w:val="both"/>
        <w:rPr>
          <w:rFonts w:ascii="Arial" w:hAnsi="Arial" w:cs="Arial"/>
          <w:color w:val="000000"/>
          <w:sz w:val="20"/>
        </w:rPr>
      </w:pPr>
      <w:r w:rsidRPr="001A5C38">
        <w:rPr>
          <w:rFonts w:ascii="Arial" w:hAnsi="Arial" w:cs="Arial"/>
          <w:b/>
          <w:bCs/>
          <w:color w:val="000000"/>
          <w:sz w:val="20"/>
        </w:rPr>
        <w:t xml:space="preserve">A </w:t>
      </w:r>
      <w:r w:rsidRPr="00FB6D2C">
        <w:rPr>
          <w:rFonts w:ascii="Arial" w:hAnsi="Arial" w:cs="Arial"/>
          <w:b/>
          <w:bCs/>
          <w:color w:val="000000"/>
          <w:sz w:val="20"/>
        </w:rPr>
        <w:t>case management approach</w:t>
      </w:r>
      <w:r>
        <w:rPr>
          <w:rFonts w:ascii="Arial" w:hAnsi="Arial" w:cs="Arial"/>
          <w:color w:val="000000"/>
          <w:sz w:val="20"/>
        </w:rPr>
        <w:t xml:space="preserve"> </w:t>
      </w:r>
      <w:r w:rsidR="002F57B0">
        <w:rPr>
          <w:rFonts w:ascii="Arial" w:hAnsi="Arial" w:cs="Arial"/>
          <w:color w:val="000000"/>
          <w:sz w:val="20"/>
        </w:rPr>
        <w:t xml:space="preserve">in which </w:t>
      </w:r>
      <w:r w:rsidR="00FB6D2C">
        <w:rPr>
          <w:rFonts w:ascii="Arial" w:hAnsi="Arial" w:cs="Arial"/>
          <w:color w:val="000000"/>
          <w:sz w:val="20"/>
        </w:rPr>
        <w:t xml:space="preserve">the Koori Services Coordinator, the Koori Family Support Officer and </w:t>
      </w:r>
      <w:r w:rsidR="00785D2D">
        <w:rPr>
          <w:rFonts w:ascii="Arial" w:hAnsi="Arial" w:cs="Arial"/>
          <w:color w:val="000000"/>
          <w:sz w:val="20"/>
        </w:rPr>
        <w:t>DFFH</w:t>
      </w:r>
      <w:r w:rsidR="00FB6D2C">
        <w:rPr>
          <w:rFonts w:ascii="Arial" w:hAnsi="Arial" w:cs="Arial"/>
          <w:color w:val="000000"/>
          <w:sz w:val="20"/>
        </w:rPr>
        <w:t>’</w:t>
      </w:r>
      <w:r w:rsidR="00C72645">
        <w:rPr>
          <w:rFonts w:ascii="Arial" w:hAnsi="Arial" w:cs="Arial"/>
          <w:color w:val="000000"/>
          <w:sz w:val="20"/>
        </w:rPr>
        <w:t>s</w:t>
      </w:r>
      <w:r w:rsidR="00FB6D2C">
        <w:rPr>
          <w:rFonts w:ascii="Arial" w:hAnsi="Arial" w:cs="Arial"/>
          <w:color w:val="000000"/>
          <w:sz w:val="20"/>
        </w:rPr>
        <w:t xml:space="preserve"> (Child Protection) Practice Leader M-NG oversee each court case to ensure it continues to progress.</w:t>
      </w:r>
    </w:p>
    <w:p w14:paraId="1EBA9D31" w14:textId="683CFF0C" w:rsidR="003155E1" w:rsidRDefault="003155E1">
      <w:pPr>
        <w:numPr>
          <w:ilvl w:val="0"/>
          <w:numId w:val="41"/>
        </w:numPr>
        <w:ind w:left="357" w:hanging="357"/>
        <w:jc w:val="both"/>
        <w:rPr>
          <w:rFonts w:ascii="Arial" w:hAnsi="Arial" w:cs="Arial"/>
          <w:color w:val="000000"/>
          <w:sz w:val="20"/>
        </w:rPr>
      </w:pPr>
      <w:r w:rsidRPr="001A5C38">
        <w:rPr>
          <w:rFonts w:ascii="Arial" w:hAnsi="Arial" w:cs="Arial"/>
          <w:b/>
          <w:bCs/>
          <w:color w:val="000000"/>
          <w:sz w:val="20"/>
        </w:rPr>
        <w:t xml:space="preserve">The </w:t>
      </w:r>
      <w:r w:rsidRPr="00112297">
        <w:rPr>
          <w:rFonts w:ascii="Arial" w:hAnsi="Arial" w:cs="Arial"/>
          <w:b/>
          <w:bCs/>
          <w:color w:val="000000"/>
          <w:sz w:val="20"/>
        </w:rPr>
        <w:t>emotional and practical support provided to families</w:t>
      </w:r>
      <w:r>
        <w:rPr>
          <w:rFonts w:ascii="Arial" w:hAnsi="Arial" w:cs="Arial"/>
          <w:color w:val="000000"/>
          <w:sz w:val="20"/>
        </w:rPr>
        <w:t xml:space="preserve"> by the</w:t>
      </w:r>
      <w:r w:rsidR="00813A34">
        <w:rPr>
          <w:rFonts w:ascii="Arial" w:hAnsi="Arial" w:cs="Arial"/>
          <w:color w:val="000000"/>
          <w:sz w:val="20"/>
        </w:rPr>
        <w:t>se</w:t>
      </w:r>
      <w:r>
        <w:rPr>
          <w:rFonts w:ascii="Arial" w:hAnsi="Arial" w:cs="Arial"/>
          <w:color w:val="000000"/>
          <w:sz w:val="20"/>
        </w:rPr>
        <w:t xml:space="preserve"> </w:t>
      </w:r>
      <w:r w:rsidR="00813A34">
        <w:rPr>
          <w:rFonts w:ascii="Arial" w:hAnsi="Arial" w:cs="Arial"/>
          <w:color w:val="000000"/>
          <w:sz w:val="20"/>
        </w:rPr>
        <w:t>three</w:t>
      </w:r>
      <w:r w:rsidR="00FB6D2C">
        <w:rPr>
          <w:rFonts w:ascii="Arial" w:hAnsi="Arial" w:cs="Arial"/>
          <w:color w:val="000000"/>
          <w:sz w:val="20"/>
        </w:rPr>
        <w:t xml:space="preserve"> </w:t>
      </w:r>
      <w:r w:rsidR="00813A34">
        <w:rPr>
          <w:rFonts w:ascii="Arial" w:hAnsi="Arial" w:cs="Arial"/>
          <w:color w:val="000000"/>
          <w:sz w:val="20"/>
        </w:rPr>
        <w:t>Court</w:t>
      </w:r>
      <w:r w:rsidR="00FB6D2C">
        <w:rPr>
          <w:rFonts w:ascii="Arial" w:hAnsi="Arial" w:cs="Arial"/>
          <w:color w:val="000000"/>
          <w:sz w:val="20"/>
        </w:rPr>
        <w:t xml:space="preserve"> officers </w:t>
      </w:r>
      <w:r w:rsidR="00813A34">
        <w:rPr>
          <w:rFonts w:ascii="Arial" w:hAnsi="Arial" w:cs="Arial"/>
          <w:color w:val="000000"/>
          <w:sz w:val="20"/>
        </w:rPr>
        <w:t xml:space="preserve">is of central importance </w:t>
      </w:r>
      <w:r w:rsidR="001A5C38">
        <w:rPr>
          <w:rFonts w:ascii="Arial" w:hAnsi="Arial" w:cs="Arial"/>
          <w:color w:val="000000"/>
          <w:sz w:val="20"/>
        </w:rPr>
        <w:t>to</w:t>
      </w:r>
      <w:r w:rsidR="00813A34">
        <w:rPr>
          <w:rFonts w:ascii="Arial" w:hAnsi="Arial" w:cs="Arial"/>
          <w:color w:val="000000"/>
          <w:sz w:val="20"/>
        </w:rPr>
        <w:t xml:space="preserve"> the Program and </w:t>
      </w:r>
      <w:r>
        <w:rPr>
          <w:rFonts w:ascii="Arial" w:hAnsi="Arial" w:cs="Arial"/>
          <w:color w:val="000000"/>
          <w:sz w:val="20"/>
        </w:rPr>
        <w:t>ensures that families are supported at each step of the process. Such support includes home visits when required, support to access services and comply with court orders (for example, helping parents enrol children in school) and encouragement to parents to attend court.</w:t>
      </w:r>
    </w:p>
    <w:p w14:paraId="782D23EF" w14:textId="07114BAD" w:rsidR="00AA3936" w:rsidRPr="00AA3936" w:rsidRDefault="003155E1">
      <w:pPr>
        <w:numPr>
          <w:ilvl w:val="0"/>
          <w:numId w:val="41"/>
        </w:numPr>
        <w:ind w:left="357" w:hanging="357"/>
        <w:jc w:val="both"/>
        <w:rPr>
          <w:rFonts w:ascii="Arial" w:hAnsi="Arial" w:cs="Arial"/>
          <w:color w:val="000000"/>
          <w:sz w:val="20"/>
        </w:rPr>
      </w:pPr>
      <w:r w:rsidRPr="001A5C38">
        <w:rPr>
          <w:rFonts w:ascii="Arial" w:hAnsi="Arial" w:cs="Arial"/>
          <w:b/>
          <w:bCs/>
          <w:color w:val="000000"/>
          <w:sz w:val="20"/>
        </w:rPr>
        <w:t xml:space="preserve">The </w:t>
      </w:r>
      <w:r w:rsidRPr="00112297">
        <w:rPr>
          <w:rFonts w:ascii="Arial" w:hAnsi="Arial" w:cs="Arial"/>
          <w:b/>
          <w:bCs/>
          <w:color w:val="000000"/>
          <w:sz w:val="20"/>
        </w:rPr>
        <w:t>informal nature of the hearings</w:t>
      </w:r>
      <w:r w:rsidRPr="00AA3936">
        <w:rPr>
          <w:rFonts w:ascii="Arial" w:hAnsi="Arial" w:cs="Arial"/>
          <w:color w:val="000000"/>
          <w:sz w:val="20"/>
        </w:rPr>
        <w:t xml:space="preserve"> – with everyone sitting at the bar table</w:t>
      </w:r>
      <w:r w:rsidR="008D0BD2">
        <w:rPr>
          <w:rFonts w:ascii="Arial" w:hAnsi="Arial" w:cs="Arial"/>
          <w:color w:val="000000"/>
          <w:sz w:val="20"/>
        </w:rPr>
        <w:t xml:space="preserve"> in an adapted court setting</w:t>
      </w:r>
      <w:r w:rsidRPr="00AA3936">
        <w:rPr>
          <w:rFonts w:ascii="Arial" w:hAnsi="Arial" w:cs="Arial"/>
          <w:color w:val="000000"/>
          <w:sz w:val="20"/>
        </w:rPr>
        <w:t xml:space="preserve"> – encourages all the participants </w:t>
      </w:r>
      <w:r w:rsidR="00062A4F" w:rsidRPr="00AA3936">
        <w:rPr>
          <w:rFonts w:ascii="Arial" w:hAnsi="Arial" w:cs="Arial"/>
          <w:color w:val="000000"/>
          <w:sz w:val="20"/>
        </w:rPr>
        <w:t xml:space="preserve">– parents, children, extended family members, child protection practitioners, family support services and lawyers – </w:t>
      </w:r>
      <w:r w:rsidRPr="00AA3936">
        <w:rPr>
          <w:rFonts w:ascii="Arial" w:hAnsi="Arial" w:cs="Arial"/>
          <w:color w:val="000000"/>
          <w:sz w:val="20"/>
        </w:rPr>
        <w:t>to</w:t>
      </w:r>
      <w:r w:rsidR="00062A4F" w:rsidRPr="00AA3936">
        <w:rPr>
          <w:rFonts w:ascii="Arial" w:hAnsi="Arial" w:cs="Arial"/>
          <w:color w:val="000000"/>
          <w:sz w:val="20"/>
        </w:rPr>
        <w:t xml:space="preserve"> </w:t>
      </w:r>
      <w:r w:rsidRPr="00AA3936">
        <w:rPr>
          <w:rFonts w:ascii="Arial" w:hAnsi="Arial" w:cs="Arial"/>
          <w:color w:val="000000"/>
          <w:sz w:val="20"/>
        </w:rPr>
        <w:t xml:space="preserve">speak freely </w:t>
      </w:r>
      <w:r w:rsidR="00062A4F" w:rsidRPr="00AA3936">
        <w:rPr>
          <w:rFonts w:ascii="Arial" w:hAnsi="Arial" w:cs="Arial"/>
          <w:color w:val="000000"/>
          <w:sz w:val="20"/>
        </w:rPr>
        <w:t>with</w:t>
      </w:r>
      <w:r w:rsidRPr="00AA3936">
        <w:rPr>
          <w:rFonts w:ascii="Arial" w:hAnsi="Arial" w:cs="Arial"/>
          <w:color w:val="000000"/>
          <w:sz w:val="20"/>
        </w:rPr>
        <w:t xml:space="preserve"> the judicial officer</w:t>
      </w:r>
      <w:r w:rsidR="00062A4F" w:rsidRPr="00AA3936">
        <w:rPr>
          <w:rFonts w:ascii="Arial" w:hAnsi="Arial" w:cs="Arial"/>
          <w:color w:val="000000"/>
          <w:sz w:val="20"/>
        </w:rPr>
        <w:t xml:space="preserve"> in a conversational manner.</w:t>
      </w:r>
      <w:r w:rsidR="00AA3936" w:rsidRPr="00AA3936">
        <w:rPr>
          <w:rFonts w:ascii="Arial" w:hAnsi="Arial" w:cs="Arial"/>
          <w:color w:val="000000"/>
          <w:sz w:val="20"/>
        </w:rPr>
        <w:t xml:space="preserve"> The judicial officer adopts an encouraging and empathetic approach to the conduct of hearings and </w:t>
      </w:r>
      <w:r w:rsidR="00706F2C">
        <w:rPr>
          <w:rFonts w:ascii="Arial" w:hAnsi="Arial" w:cs="Arial"/>
          <w:color w:val="000000"/>
          <w:sz w:val="20"/>
        </w:rPr>
        <w:t xml:space="preserve">to </w:t>
      </w:r>
      <w:r w:rsidR="00AA3936" w:rsidRPr="00AA3936">
        <w:rPr>
          <w:rFonts w:ascii="Arial" w:hAnsi="Arial" w:cs="Arial"/>
          <w:color w:val="000000"/>
          <w:sz w:val="20"/>
        </w:rPr>
        <w:t>communicati</w:t>
      </w:r>
      <w:r w:rsidR="00706F2C">
        <w:rPr>
          <w:rFonts w:ascii="Arial" w:hAnsi="Arial" w:cs="Arial"/>
          <w:color w:val="000000"/>
          <w:sz w:val="20"/>
        </w:rPr>
        <w:t>on</w:t>
      </w:r>
      <w:r w:rsidR="00AA3936" w:rsidRPr="00AA3936">
        <w:rPr>
          <w:rFonts w:ascii="Arial" w:hAnsi="Arial" w:cs="Arial"/>
          <w:color w:val="000000"/>
          <w:sz w:val="20"/>
        </w:rPr>
        <w:t xml:space="preserve"> with families.</w:t>
      </w:r>
    </w:p>
    <w:p w14:paraId="76C87E6F" w14:textId="3D90D6EF" w:rsidR="00062A4F" w:rsidRDefault="00062A4F">
      <w:pPr>
        <w:numPr>
          <w:ilvl w:val="0"/>
          <w:numId w:val="41"/>
        </w:numPr>
        <w:ind w:left="357" w:hanging="357"/>
        <w:jc w:val="both"/>
        <w:rPr>
          <w:rFonts w:ascii="Arial" w:hAnsi="Arial" w:cs="Arial"/>
          <w:color w:val="000000"/>
          <w:sz w:val="20"/>
        </w:rPr>
      </w:pPr>
      <w:r w:rsidRPr="00FB6D2C">
        <w:rPr>
          <w:rFonts w:ascii="Arial" w:hAnsi="Arial" w:cs="Arial"/>
          <w:b/>
          <w:bCs/>
          <w:color w:val="000000"/>
          <w:sz w:val="20"/>
        </w:rPr>
        <w:t>Fewer cases</w:t>
      </w:r>
      <w:r>
        <w:rPr>
          <w:rFonts w:ascii="Arial" w:hAnsi="Arial" w:cs="Arial"/>
          <w:color w:val="000000"/>
          <w:sz w:val="20"/>
        </w:rPr>
        <w:t xml:space="preserve"> (typically 10-12) are listed on a Marram-Ngala </w:t>
      </w:r>
      <w:proofErr w:type="spellStart"/>
      <w:r>
        <w:rPr>
          <w:rFonts w:ascii="Arial" w:hAnsi="Arial" w:cs="Arial"/>
          <w:color w:val="000000"/>
          <w:sz w:val="20"/>
        </w:rPr>
        <w:t>Ganbu</w:t>
      </w:r>
      <w:proofErr w:type="spellEnd"/>
      <w:r>
        <w:rPr>
          <w:rFonts w:ascii="Arial" w:hAnsi="Arial" w:cs="Arial"/>
          <w:color w:val="000000"/>
          <w:sz w:val="20"/>
        </w:rPr>
        <w:t xml:space="preserve"> court day than in a mainstream mention court (typically 30-50), allowing more time for each case, giving all </w:t>
      </w:r>
      <w:r w:rsidR="00AA3936">
        <w:rPr>
          <w:rFonts w:ascii="Arial" w:hAnsi="Arial" w:cs="Arial"/>
          <w:color w:val="000000"/>
          <w:sz w:val="20"/>
        </w:rPr>
        <w:t>participants</w:t>
      </w:r>
      <w:r>
        <w:rPr>
          <w:rFonts w:ascii="Arial" w:hAnsi="Arial" w:cs="Arial"/>
          <w:color w:val="000000"/>
          <w:sz w:val="20"/>
        </w:rPr>
        <w:t xml:space="preserve"> a better opportunity to be heard and enabling hearings to be conducted in a way that is less adversarial and more collaborative. The hearings focus on finding mutually agreeable solutions and place high value on decisions reached in Aboriginal Family-Led Decision Making meetings.</w:t>
      </w:r>
    </w:p>
    <w:p w14:paraId="04A756D9" w14:textId="7892534E" w:rsidR="00062A4F" w:rsidRPr="00F51496" w:rsidRDefault="00062A4F">
      <w:pPr>
        <w:numPr>
          <w:ilvl w:val="0"/>
          <w:numId w:val="41"/>
        </w:numPr>
        <w:ind w:left="357" w:hanging="357"/>
        <w:jc w:val="both"/>
        <w:rPr>
          <w:rFonts w:ascii="Arial" w:hAnsi="Arial" w:cs="Arial"/>
          <w:color w:val="000000"/>
          <w:sz w:val="20"/>
        </w:rPr>
      </w:pPr>
      <w:r>
        <w:rPr>
          <w:rFonts w:ascii="Arial" w:hAnsi="Arial" w:cs="Arial"/>
          <w:color w:val="000000"/>
          <w:sz w:val="20"/>
        </w:rPr>
        <w:t xml:space="preserve">There is a strong </w:t>
      </w:r>
      <w:r w:rsidR="00813A34">
        <w:rPr>
          <w:rFonts w:ascii="Arial" w:hAnsi="Arial" w:cs="Arial"/>
          <w:color w:val="000000"/>
          <w:sz w:val="20"/>
        </w:rPr>
        <w:t>emphasis</w:t>
      </w:r>
      <w:r>
        <w:rPr>
          <w:rFonts w:ascii="Arial" w:hAnsi="Arial" w:cs="Arial"/>
          <w:color w:val="000000"/>
          <w:sz w:val="20"/>
        </w:rPr>
        <w:t xml:space="preserve"> on ensuring that families’ needs and protective concerns are identified early and that referrals are made to appropriate Aboriginal-controlled services.</w:t>
      </w:r>
      <w:r w:rsidR="00AA3936">
        <w:rPr>
          <w:rFonts w:ascii="Arial" w:hAnsi="Arial" w:cs="Arial"/>
          <w:color w:val="000000"/>
          <w:sz w:val="20"/>
        </w:rPr>
        <w:t xml:space="preserve"> Services working with families are also invited to participate in hearings and provide input about families’ progress and needs.</w:t>
      </w:r>
    </w:p>
    <w:p w14:paraId="22BB7350" w14:textId="77777777" w:rsidR="00705C9E" w:rsidRPr="00816B30" w:rsidRDefault="00705C9E" w:rsidP="00816B30">
      <w:pPr>
        <w:jc w:val="both"/>
        <w:rPr>
          <w:rFonts w:ascii="Arial" w:hAnsi="Arial" w:cs="Arial"/>
          <w:sz w:val="20"/>
        </w:rPr>
      </w:pPr>
    </w:p>
    <w:p w14:paraId="0C438B8C" w14:textId="45A0B7AD" w:rsidR="008534CC" w:rsidRDefault="008628E2" w:rsidP="00AA3936">
      <w:pPr>
        <w:jc w:val="both"/>
        <w:rPr>
          <w:rFonts w:ascii="Arial" w:hAnsi="Arial" w:cs="Arial"/>
          <w:color w:val="000000"/>
          <w:sz w:val="20"/>
        </w:rPr>
      </w:pPr>
      <w:r w:rsidRPr="00816B30">
        <w:rPr>
          <w:rFonts w:ascii="Arial" w:hAnsi="Arial" w:cs="Arial"/>
          <w:sz w:val="20"/>
        </w:rPr>
        <w:t xml:space="preserve">Following an independent evaluation of Marram-Ngala </w:t>
      </w:r>
      <w:proofErr w:type="spellStart"/>
      <w:r w:rsidRPr="00816B30">
        <w:rPr>
          <w:rFonts w:ascii="Arial" w:hAnsi="Arial" w:cs="Arial"/>
          <w:sz w:val="20"/>
        </w:rPr>
        <w:t>Ganbu</w:t>
      </w:r>
      <w:proofErr w:type="spellEnd"/>
      <w:r w:rsidRPr="00816B30">
        <w:rPr>
          <w:rFonts w:ascii="Arial" w:hAnsi="Arial" w:cs="Arial"/>
          <w:sz w:val="20"/>
        </w:rPr>
        <w:t xml:space="preserve"> in 2019, the Koori Family Hearing day was expanded to </w:t>
      </w:r>
      <w:r w:rsidR="00816B30" w:rsidRPr="00816B30">
        <w:rPr>
          <w:rFonts w:ascii="Arial" w:hAnsi="Arial" w:cs="Arial"/>
          <w:sz w:val="20"/>
        </w:rPr>
        <w:t xml:space="preserve">the </w:t>
      </w:r>
      <w:r w:rsidR="008534CC">
        <w:rPr>
          <w:rFonts w:ascii="Arial" w:hAnsi="Arial" w:cs="Arial"/>
          <w:sz w:val="20"/>
        </w:rPr>
        <w:t xml:space="preserve">Shepparton </w:t>
      </w:r>
      <w:r w:rsidR="00816B30" w:rsidRPr="00816B30">
        <w:rPr>
          <w:rFonts w:ascii="Arial" w:hAnsi="Arial" w:cs="Arial"/>
          <w:sz w:val="20"/>
        </w:rPr>
        <w:t>Children’s Court in February 2021.</w:t>
      </w:r>
      <w:r w:rsidR="00816B30">
        <w:rPr>
          <w:rFonts w:ascii="Arial" w:hAnsi="Arial" w:cs="Arial"/>
          <w:sz w:val="20"/>
        </w:rPr>
        <w:t xml:space="preserve"> The </w:t>
      </w:r>
      <w:r w:rsidR="00AA3936">
        <w:rPr>
          <w:rFonts w:ascii="Arial" w:hAnsi="Arial" w:cs="Arial"/>
          <w:color w:val="000000"/>
          <w:sz w:val="20"/>
        </w:rPr>
        <w:t xml:space="preserve">Marram-Ngala </w:t>
      </w:r>
      <w:proofErr w:type="spellStart"/>
      <w:r w:rsidR="00AA3936">
        <w:rPr>
          <w:rFonts w:ascii="Arial" w:hAnsi="Arial" w:cs="Arial"/>
          <w:color w:val="000000"/>
          <w:sz w:val="20"/>
        </w:rPr>
        <w:t>Ganbu</w:t>
      </w:r>
      <w:proofErr w:type="spellEnd"/>
      <w:r w:rsidR="00AA3936">
        <w:rPr>
          <w:rFonts w:ascii="Arial" w:hAnsi="Arial" w:cs="Arial"/>
          <w:color w:val="000000"/>
          <w:sz w:val="20"/>
        </w:rPr>
        <w:t xml:space="preserve"> Court sits </w:t>
      </w:r>
      <w:r w:rsidR="00FB6D2C">
        <w:rPr>
          <w:rFonts w:ascii="Arial" w:hAnsi="Arial" w:cs="Arial"/>
          <w:color w:val="000000"/>
          <w:sz w:val="20"/>
        </w:rPr>
        <w:t>weekly</w:t>
      </w:r>
      <w:r w:rsidR="00816B30">
        <w:rPr>
          <w:rFonts w:ascii="Arial" w:hAnsi="Arial" w:cs="Arial"/>
          <w:color w:val="000000"/>
          <w:sz w:val="20"/>
        </w:rPr>
        <w:t xml:space="preserve"> at Broadmeadows and </w:t>
      </w:r>
      <w:r w:rsidR="004C02CF">
        <w:rPr>
          <w:rFonts w:ascii="Arial" w:hAnsi="Arial" w:cs="Arial"/>
          <w:color w:val="000000"/>
          <w:sz w:val="20"/>
        </w:rPr>
        <w:t>fortnightly</w:t>
      </w:r>
      <w:r w:rsidR="00816B30">
        <w:rPr>
          <w:rFonts w:ascii="Arial" w:hAnsi="Arial" w:cs="Arial"/>
          <w:color w:val="000000"/>
          <w:sz w:val="20"/>
        </w:rPr>
        <w:t xml:space="preserve"> at Shepparton</w:t>
      </w:r>
      <w:r w:rsidR="00AA3936">
        <w:rPr>
          <w:rFonts w:ascii="Arial" w:hAnsi="Arial" w:cs="Arial"/>
          <w:color w:val="000000"/>
          <w:sz w:val="20"/>
        </w:rPr>
        <w:t xml:space="preserve">. </w:t>
      </w:r>
      <w:r w:rsidR="008534CC">
        <w:rPr>
          <w:rFonts w:ascii="Arial" w:hAnsi="Arial" w:cs="Arial"/>
          <w:color w:val="000000"/>
          <w:sz w:val="20"/>
        </w:rPr>
        <w:t>Save that i</w:t>
      </w:r>
      <w:r w:rsidR="00FB6D2C">
        <w:rPr>
          <w:rFonts w:ascii="Arial" w:hAnsi="Arial" w:cs="Arial"/>
          <w:color w:val="000000"/>
          <w:sz w:val="20"/>
        </w:rPr>
        <w:t>t does not hear contested cases</w:t>
      </w:r>
      <w:r w:rsidR="008534CC">
        <w:rPr>
          <w:rFonts w:ascii="Arial" w:hAnsi="Arial" w:cs="Arial"/>
          <w:color w:val="000000"/>
          <w:sz w:val="20"/>
        </w:rPr>
        <w:t xml:space="preserve">, every family with a Koori child whose case is listed at Broadmeadows or Shepparton Children’s Courts is heard at MNG </w:t>
      </w:r>
      <w:r w:rsidR="004C02CF">
        <w:rPr>
          <w:rFonts w:ascii="Arial" w:hAnsi="Arial" w:cs="Arial"/>
          <w:color w:val="000000"/>
          <w:sz w:val="20"/>
        </w:rPr>
        <w:t>except for the first listing of a protection application by emergency care or unless the family wishes to opt out.</w:t>
      </w:r>
    </w:p>
    <w:p w14:paraId="164D3847" w14:textId="77777777" w:rsidR="008534CC" w:rsidRDefault="008534CC" w:rsidP="00AA3936">
      <w:pPr>
        <w:jc w:val="both"/>
        <w:rPr>
          <w:rFonts w:ascii="Arial" w:hAnsi="Arial" w:cs="Arial"/>
          <w:color w:val="000000"/>
          <w:sz w:val="20"/>
        </w:rPr>
      </w:pPr>
    </w:p>
    <w:p w14:paraId="05B64287" w14:textId="692C659C" w:rsidR="0056595B" w:rsidRPr="0068011B" w:rsidRDefault="0056595B" w:rsidP="0056595B">
      <w:pPr>
        <w:jc w:val="both"/>
        <w:rPr>
          <w:rFonts w:ascii="Arial" w:hAnsi="Arial" w:cs="Arial"/>
          <w:sz w:val="20"/>
        </w:rPr>
      </w:pPr>
      <w:r>
        <w:rPr>
          <w:rFonts w:ascii="Arial" w:hAnsi="Arial" w:cs="Arial"/>
          <w:sz w:val="20"/>
        </w:rPr>
        <w:t>P</w:t>
      </w:r>
      <w:r w:rsidRPr="0068011B">
        <w:rPr>
          <w:rFonts w:ascii="Arial" w:hAnsi="Arial" w:cs="Arial"/>
          <w:sz w:val="20"/>
        </w:rPr>
        <w:t xml:space="preserve">aragraphs </w:t>
      </w:r>
      <w:r>
        <w:rPr>
          <w:rFonts w:ascii="Arial" w:hAnsi="Arial" w:cs="Arial"/>
          <w:sz w:val="20"/>
        </w:rPr>
        <w:t>47</w:t>
      </w:r>
      <w:r w:rsidRPr="0068011B">
        <w:rPr>
          <w:rFonts w:ascii="Arial" w:hAnsi="Arial" w:cs="Arial"/>
          <w:sz w:val="20"/>
        </w:rPr>
        <w:t>-</w:t>
      </w:r>
      <w:r w:rsidR="009B5BC6">
        <w:rPr>
          <w:rFonts w:ascii="Arial" w:hAnsi="Arial" w:cs="Arial"/>
          <w:sz w:val="20"/>
        </w:rPr>
        <w:t>49 &amp; 51</w:t>
      </w:r>
      <w:r w:rsidRPr="0068011B">
        <w:rPr>
          <w:rFonts w:ascii="Arial" w:hAnsi="Arial" w:cs="Arial"/>
          <w:sz w:val="20"/>
        </w:rPr>
        <w:t xml:space="preserve"> of Practice Direction No.</w:t>
      </w:r>
      <w:r>
        <w:rPr>
          <w:rFonts w:ascii="Arial" w:hAnsi="Arial" w:cs="Arial"/>
          <w:sz w:val="20"/>
        </w:rPr>
        <w:t>1</w:t>
      </w:r>
      <w:r w:rsidRPr="0068011B">
        <w:rPr>
          <w:rFonts w:ascii="Arial" w:hAnsi="Arial" w:cs="Arial"/>
          <w:sz w:val="20"/>
        </w:rPr>
        <w:t xml:space="preserve"> of 202</w:t>
      </w:r>
      <w:r>
        <w:rPr>
          <w:rFonts w:ascii="Arial" w:hAnsi="Arial" w:cs="Arial"/>
          <w:sz w:val="20"/>
        </w:rPr>
        <w:t>5</w:t>
      </w:r>
      <w:r w:rsidRPr="0068011B">
        <w:rPr>
          <w:rFonts w:ascii="Arial" w:hAnsi="Arial" w:cs="Arial"/>
          <w:sz w:val="20"/>
        </w:rPr>
        <w:t xml:space="preserve"> – </w:t>
      </w:r>
      <w:r w:rsidRPr="0056595B">
        <w:rPr>
          <w:rFonts w:ascii="Arial" w:hAnsi="Arial" w:cs="Arial"/>
          <w:b/>
          <w:bCs/>
          <w:color w:val="000000"/>
          <w:sz w:val="20"/>
        </w:rPr>
        <w:t xml:space="preserve">Marram-Ngala </w:t>
      </w:r>
      <w:proofErr w:type="spellStart"/>
      <w:r w:rsidRPr="0056595B">
        <w:rPr>
          <w:rFonts w:ascii="Arial" w:hAnsi="Arial" w:cs="Arial"/>
          <w:b/>
          <w:bCs/>
          <w:color w:val="000000"/>
          <w:sz w:val="20"/>
        </w:rPr>
        <w:t>Ganbu</w:t>
      </w:r>
      <w:proofErr w:type="spellEnd"/>
      <w:r w:rsidRPr="0056595B">
        <w:rPr>
          <w:rFonts w:ascii="Arial" w:hAnsi="Arial" w:cs="Arial"/>
          <w:b/>
          <w:bCs/>
          <w:color w:val="000000"/>
          <w:sz w:val="20"/>
        </w:rPr>
        <w:t xml:space="preserve"> (Koori Family Hearing Day)</w:t>
      </w:r>
      <w:r>
        <w:rPr>
          <w:rFonts w:ascii="Arial" w:hAnsi="Arial" w:cs="Arial"/>
          <w:sz w:val="20"/>
        </w:rPr>
        <w:t xml:space="preserve"> – provide:</w:t>
      </w:r>
    </w:p>
    <w:p w14:paraId="3935AC18" w14:textId="74EAFD26" w:rsidR="0056595B" w:rsidRDefault="0056595B" w:rsidP="0056595B">
      <w:pPr>
        <w:spacing w:before="60"/>
        <w:ind w:left="357" w:hanging="357"/>
        <w:jc w:val="both"/>
        <w:rPr>
          <w:rFonts w:ascii="Arial" w:hAnsi="Arial" w:cs="Arial"/>
          <w:color w:val="000000"/>
          <w:sz w:val="20"/>
        </w:rPr>
      </w:pPr>
      <w:r>
        <w:rPr>
          <w:rFonts w:ascii="Arial" w:hAnsi="Arial" w:cs="Arial"/>
          <w:color w:val="000000"/>
          <w:sz w:val="20"/>
        </w:rPr>
        <w:lastRenderedPageBreak/>
        <w:t>47.</w:t>
      </w:r>
      <w:r>
        <w:rPr>
          <w:rFonts w:ascii="Arial" w:hAnsi="Arial" w:cs="Arial"/>
          <w:color w:val="000000"/>
          <w:sz w:val="20"/>
        </w:rPr>
        <w:tab/>
      </w:r>
      <w:r w:rsidRPr="0056595B">
        <w:rPr>
          <w:rFonts w:ascii="Arial" w:hAnsi="Arial" w:cs="Arial"/>
          <w:color w:val="000000"/>
          <w:sz w:val="20"/>
        </w:rPr>
        <w:t>Where an application identifies a child as Aboriginal and/or Torres Strait Islander or where a child is subsequently identified as Aboriginal and/or Torres Strait Islander the protection application will be listed before a Judicial Officer on the Koori Family Hearing Day.</w:t>
      </w:r>
      <w:r w:rsidR="00B77FB7">
        <w:rPr>
          <w:rFonts w:ascii="Arial" w:hAnsi="Arial" w:cs="Arial"/>
          <w:color w:val="000000"/>
          <w:sz w:val="20"/>
        </w:rPr>
        <w:t xml:space="preserve"> First listings of all protection applications by emergency care will remain in the general Family Division list. Subsequent listings will be adjourned to the Marram-Ngala </w:t>
      </w:r>
      <w:proofErr w:type="spellStart"/>
      <w:r w:rsidR="00B77FB7">
        <w:rPr>
          <w:rFonts w:ascii="Arial" w:hAnsi="Arial" w:cs="Arial"/>
          <w:color w:val="000000"/>
          <w:sz w:val="20"/>
        </w:rPr>
        <w:t>Ganbu</w:t>
      </w:r>
      <w:proofErr w:type="spellEnd"/>
      <w:r w:rsidR="00B77FB7">
        <w:rPr>
          <w:rFonts w:ascii="Arial" w:hAnsi="Arial" w:cs="Arial"/>
          <w:color w:val="000000"/>
          <w:sz w:val="20"/>
        </w:rPr>
        <w:t xml:space="preserve"> hearing list.</w:t>
      </w:r>
    </w:p>
    <w:p w14:paraId="75080F71" w14:textId="1F0682A0" w:rsidR="0056595B" w:rsidRDefault="0056595B" w:rsidP="0056595B">
      <w:pPr>
        <w:spacing w:before="60"/>
        <w:ind w:left="357" w:hanging="357"/>
        <w:jc w:val="both"/>
        <w:rPr>
          <w:rFonts w:ascii="Arial" w:hAnsi="Arial" w:cs="Arial"/>
          <w:color w:val="000000"/>
          <w:sz w:val="20"/>
        </w:rPr>
      </w:pPr>
      <w:r>
        <w:rPr>
          <w:rFonts w:ascii="Arial" w:hAnsi="Arial" w:cs="Arial"/>
          <w:color w:val="000000"/>
          <w:sz w:val="20"/>
        </w:rPr>
        <w:t>48.</w:t>
      </w:r>
      <w:r>
        <w:rPr>
          <w:rFonts w:ascii="Arial" w:hAnsi="Arial" w:cs="Arial"/>
          <w:color w:val="000000"/>
          <w:sz w:val="20"/>
        </w:rPr>
        <w:tab/>
      </w:r>
      <w:r w:rsidRPr="0056595B">
        <w:rPr>
          <w:rFonts w:ascii="Arial" w:hAnsi="Arial" w:cs="Arial"/>
          <w:color w:val="000000"/>
          <w:sz w:val="20"/>
        </w:rPr>
        <w:t>The Koori Services Coordinator (KSC) will be responsible for co-ordination of the Koori Family Hearing Day. The KSC will be the contact point for Koori children and their families and will provide information and referrals to relevant services in collaboration with child protection, including culturally appropriate support programs and legal services. The KSC aims to assist Koori children and families to participate fully in culturally appropriate Court processes.</w:t>
      </w:r>
    </w:p>
    <w:p w14:paraId="466699AF" w14:textId="3D78D064" w:rsidR="009B5BC6" w:rsidRDefault="009B5BC6" w:rsidP="0056595B">
      <w:pPr>
        <w:spacing w:before="60"/>
        <w:ind w:left="357" w:hanging="357"/>
        <w:jc w:val="both"/>
        <w:rPr>
          <w:rFonts w:ascii="Arial" w:hAnsi="Arial" w:cs="Arial"/>
          <w:color w:val="000000"/>
          <w:sz w:val="20"/>
        </w:rPr>
      </w:pPr>
      <w:r>
        <w:rPr>
          <w:rFonts w:ascii="Arial" w:hAnsi="Arial" w:cs="Arial"/>
          <w:color w:val="000000"/>
          <w:sz w:val="20"/>
        </w:rPr>
        <w:t>49.</w:t>
      </w:r>
      <w:r>
        <w:rPr>
          <w:rFonts w:ascii="Arial" w:hAnsi="Arial" w:cs="Arial"/>
          <w:color w:val="000000"/>
          <w:sz w:val="20"/>
        </w:rPr>
        <w:tab/>
      </w:r>
      <w:r w:rsidRPr="0056595B">
        <w:rPr>
          <w:rFonts w:ascii="Arial" w:hAnsi="Arial" w:cs="Arial"/>
          <w:color w:val="000000"/>
          <w:sz w:val="20"/>
        </w:rPr>
        <w:t xml:space="preserve">Subject to the direction of the presiding Judicial Officer, participants in the Koori Family Hearing Day will include the parties and their legal representatives, the case worker, a </w:t>
      </w:r>
      <w:proofErr w:type="spellStart"/>
      <w:r w:rsidRPr="0056595B">
        <w:rPr>
          <w:rFonts w:ascii="Arial" w:hAnsi="Arial" w:cs="Arial"/>
          <w:color w:val="000000"/>
          <w:sz w:val="20"/>
        </w:rPr>
        <w:t>Lakidjeka</w:t>
      </w:r>
      <w:proofErr w:type="spellEnd"/>
      <w:r w:rsidRPr="0056595B">
        <w:rPr>
          <w:rFonts w:ascii="Arial" w:hAnsi="Arial" w:cs="Arial"/>
          <w:color w:val="000000"/>
          <w:sz w:val="20"/>
        </w:rPr>
        <w:t>/ACSASS worker and, where appropriate, the KSC and representatives from service providers utilised by the child or family.</w:t>
      </w:r>
      <w:r w:rsidR="004538D2">
        <w:rPr>
          <w:rFonts w:ascii="Arial" w:hAnsi="Arial" w:cs="Arial"/>
          <w:color w:val="000000"/>
          <w:sz w:val="20"/>
        </w:rPr>
        <w:t xml:space="preserve"> </w:t>
      </w:r>
      <w:r w:rsidR="004538D2">
        <w:rPr>
          <w:rFonts w:ascii="Arial" w:hAnsi="Arial" w:cs="Arial"/>
          <w:sz w:val="20"/>
          <w:szCs w:val="20"/>
        </w:rPr>
        <w:t xml:space="preserve">The </w:t>
      </w:r>
      <w:proofErr w:type="spellStart"/>
      <w:r w:rsidR="004538D2">
        <w:rPr>
          <w:rFonts w:ascii="Arial" w:hAnsi="Arial" w:cs="Arial"/>
          <w:sz w:val="20"/>
          <w:szCs w:val="20"/>
        </w:rPr>
        <w:t>Lakidjeka</w:t>
      </w:r>
      <w:proofErr w:type="spellEnd"/>
      <w:r w:rsidR="004538D2">
        <w:rPr>
          <w:rFonts w:ascii="Arial" w:hAnsi="Arial" w:cs="Arial"/>
          <w:sz w:val="20"/>
          <w:szCs w:val="20"/>
        </w:rPr>
        <w:t xml:space="preserve"> Aboriginal Child Specialist Advice and Support Service (ACSASS) program provides culturally appropriate advice and consultation on decisions that determine the future of at-risk Aboriginal children.</w:t>
      </w:r>
    </w:p>
    <w:p w14:paraId="150541B4" w14:textId="1176F93F" w:rsidR="0056595B" w:rsidRDefault="009B5BC6" w:rsidP="009B5BC6">
      <w:pPr>
        <w:spacing w:before="60"/>
        <w:ind w:left="357" w:hanging="357"/>
        <w:jc w:val="both"/>
        <w:rPr>
          <w:rFonts w:ascii="Arial" w:hAnsi="Arial" w:cs="Arial"/>
          <w:color w:val="000000"/>
          <w:sz w:val="20"/>
        </w:rPr>
      </w:pPr>
      <w:r>
        <w:rPr>
          <w:rFonts w:ascii="Arial" w:hAnsi="Arial" w:cs="Arial"/>
          <w:color w:val="000000"/>
          <w:sz w:val="20"/>
        </w:rPr>
        <w:t>51.</w:t>
      </w:r>
      <w:r>
        <w:rPr>
          <w:rFonts w:ascii="Arial" w:hAnsi="Arial" w:cs="Arial"/>
          <w:color w:val="000000"/>
          <w:sz w:val="20"/>
        </w:rPr>
        <w:tab/>
      </w:r>
      <w:r w:rsidRPr="0056595B">
        <w:rPr>
          <w:rFonts w:ascii="Arial" w:hAnsi="Arial" w:cs="Arial"/>
          <w:color w:val="000000"/>
          <w:sz w:val="20"/>
        </w:rPr>
        <w:t>Where possible, child protection applications heard in the Koori Family Hearing Day will be listed before the same Judicial Officer.</w:t>
      </w:r>
    </w:p>
    <w:p w14:paraId="129929F9" w14:textId="77777777" w:rsidR="009B5BC6" w:rsidRDefault="009B5BC6" w:rsidP="009B5BC6">
      <w:pPr>
        <w:ind w:left="357" w:hanging="357"/>
        <w:jc w:val="both"/>
        <w:rPr>
          <w:rFonts w:ascii="Arial" w:hAnsi="Arial" w:cs="Arial"/>
          <w:color w:val="000000"/>
          <w:sz w:val="20"/>
        </w:rPr>
      </w:pPr>
    </w:p>
    <w:p w14:paraId="0F099E7A" w14:textId="416636D2" w:rsidR="009B5BC6" w:rsidRDefault="009B5BC6" w:rsidP="009B5BC6">
      <w:pPr>
        <w:ind w:left="357" w:hanging="357"/>
        <w:jc w:val="both"/>
        <w:rPr>
          <w:rFonts w:ascii="Arial" w:hAnsi="Arial" w:cs="Arial"/>
          <w:color w:val="000000"/>
          <w:sz w:val="20"/>
        </w:rPr>
      </w:pPr>
      <w:r>
        <w:rPr>
          <w:rFonts w:ascii="Arial" w:hAnsi="Arial" w:cs="Arial"/>
          <w:color w:val="000000"/>
          <w:sz w:val="20"/>
        </w:rPr>
        <w:t xml:space="preserve">Paragraph 50 of </w:t>
      </w:r>
      <w:r w:rsidR="00B77FB7" w:rsidRPr="0068011B">
        <w:rPr>
          <w:rFonts w:ascii="Arial" w:hAnsi="Arial" w:cs="Arial"/>
          <w:sz w:val="20"/>
        </w:rPr>
        <w:t>Practice Direction No.</w:t>
      </w:r>
      <w:r w:rsidR="00B77FB7">
        <w:rPr>
          <w:rFonts w:ascii="Arial" w:hAnsi="Arial" w:cs="Arial"/>
          <w:sz w:val="20"/>
        </w:rPr>
        <w:t>1</w:t>
      </w:r>
      <w:r w:rsidR="00B77FB7" w:rsidRPr="0068011B">
        <w:rPr>
          <w:rFonts w:ascii="Arial" w:hAnsi="Arial" w:cs="Arial"/>
          <w:sz w:val="20"/>
        </w:rPr>
        <w:t xml:space="preserve"> of 202</w:t>
      </w:r>
      <w:r w:rsidR="00B77FB7">
        <w:rPr>
          <w:rFonts w:ascii="Arial" w:hAnsi="Arial" w:cs="Arial"/>
          <w:sz w:val="20"/>
        </w:rPr>
        <w:t>5 provides:</w:t>
      </w:r>
    </w:p>
    <w:p w14:paraId="08A5EA09" w14:textId="06CEA402" w:rsidR="009B5BC6" w:rsidRDefault="00B77FB7" w:rsidP="00B77FB7">
      <w:pPr>
        <w:spacing w:before="60"/>
        <w:ind w:left="357" w:right="357"/>
        <w:jc w:val="both"/>
        <w:rPr>
          <w:rFonts w:ascii="Arial" w:hAnsi="Arial" w:cs="Arial"/>
          <w:color w:val="000000"/>
          <w:sz w:val="20"/>
        </w:rPr>
      </w:pPr>
      <w:r>
        <w:rPr>
          <w:rFonts w:ascii="Arial" w:hAnsi="Arial" w:cs="Arial"/>
          <w:sz w:val="20"/>
          <w:szCs w:val="20"/>
        </w:rPr>
        <w:t>“</w:t>
      </w:r>
      <w:r w:rsidR="009B5BC6" w:rsidRPr="00816B30">
        <w:rPr>
          <w:rFonts w:ascii="Arial" w:hAnsi="Arial" w:cs="Arial"/>
          <w:sz w:val="20"/>
          <w:szCs w:val="20"/>
        </w:rPr>
        <w:t xml:space="preserve">Subject to the direction of the presiding </w:t>
      </w:r>
      <w:r w:rsidRPr="0056595B">
        <w:rPr>
          <w:rFonts w:ascii="Arial" w:hAnsi="Arial" w:cs="Arial"/>
          <w:color w:val="000000"/>
          <w:sz w:val="20"/>
        </w:rPr>
        <w:t xml:space="preserve">Judicial Officer, proceedings in the Koori Family Hearing Day will be conducted at the bar table where all participants are </w:t>
      </w:r>
      <w:r w:rsidR="007D36F9">
        <w:rPr>
          <w:rFonts w:ascii="Arial" w:hAnsi="Arial" w:cs="Arial"/>
          <w:color w:val="000000"/>
          <w:sz w:val="20"/>
        </w:rPr>
        <w:t xml:space="preserve">[ordinarily] </w:t>
      </w:r>
      <w:r w:rsidRPr="0056595B">
        <w:rPr>
          <w:rFonts w:ascii="Arial" w:hAnsi="Arial" w:cs="Arial"/>
          <w:color w:val="000000"/>
          <w:sz w:val="20"/>
        </w:rPr>
        <w:t>seated.</w:t>
      </w:r>
      <w:r>
        <w:rPr>
          <w:rFonts w:ascii="Arial" w:hAnsi="Arial" w:cs="Arial"/>
          <w:color w:val="000000"/>
          <w:sz w:val="20"/>
        </w:rPr>
        <w:t>”</w:t>
      </w:r>
    </w:p>
    <w:p w14:paraId="7DB063BE" w14:textId="77777777" w:rsidR="007D36F9" w:rsidRDefault="007D36F9" w:rsidP="007D36F9">
      <w:pPr>
        <w:jc w:val="both"/>
        <w:rPr>
          <w:rFonts w:ascii="Arial" w:hAnsi="Arial" w:cs="Arial"/>
          <w:sz w:val="20"/>
          <w:szCs w:val="20"/>
        </w:rPr>
      </w:pPr>
    </w:p>
    <w:p w14:paraId="518BF7E4" w14:textId="77777777" w:rsidR="007D36F9" w:rsidRDefault="007D36F9" w:rsidP="007D36F9">
      <w:pPr>
        <w:jc w:val="both"/>
        <w:rPr>
          <w:rFonts w:ascii="Arial" w:hAnsi="Arial" w:cs="Arial"/>
          <w:color w:val="000000"/>
          <w:sz w:val="20"/>
        </w:rPr>
      </w:pPr>
      <w:r>
        <w:rPr>
          <w:rFonts w:ascii="Arial" w:hAnsi="Arial" w:cs="Arial"/>
          <w:color w:val="000000"/>
          <w:sz w:val="20"/>
        </w:rPr>
        <w:t xml:space="preserve">The MNG staff endeavour to invite/include relevant persons in the hearing (extending </w:t>
      </w:r>
      <w:r w:rsidRPr="00474B9C">
        <w:rPr>
          <w:rFonts w:ascii="Arial" w:hAnsi="Arial" w:cs="Arial"/>
          <w:color w:val="000000"/>
          <w:sz w:val="20"/>
        </w:rPr>
        <w:t>beyond parties to include family and support services)</w:t>
      </w:r>
      <w:r>
        <w:rPr>
          <w:rFonts w:ascii="Arial" w:hAnsi="Arial" w:cs="Arial"/>
          <w:color w:val="000000"/>
          <w:sz w:val="20"/>
        </w:rPr>
        <w:t xml:space="preserve"> and assist with seating arrangements before each hearing. </w:t>
      </w:r>
      <w:r w:rsidR="004538D2">
        <w:rPr>
          <w:rFonts w:ascii="Arial" w:hAnsi="Arial" w:cs="Arial"/>
          <w:sz w:val="20"/>
          <w:szCs w:val="20"/>
        </w:rPr>
        <w:t xml:space="preserve">Those at the bar table ordinarily include the judicial officer, the MNG staff, the parties and their legal representatives, DFFH staff and any ACSASS worker and, </w:t>
      </w:r>
      <w:r w:rsidR="004538D2" w:rsidRPr="00816B30">
        <w:rPr>
          <w:rFonts w:ascii="Arial" w:hAnsi="Arial" w:cs="Arial"/>
          <w:sz w:val="20"/>
          <w:szCs w:val="20"/>
        </w:rPr>
        <w:t>where appropriate, the KSC and representatives from service providers utilised by the child or family</w:t>
      </w:r>
      <w:r w:rsidR="004538D2">
        <w:rPr>
          <w:rFonts w:ascii="Arial" w:hAnsi="Arial" w:cs="Arial"/>
          <w:sz w:val="20"/>
          <w:szCs w:val="20"/>
        </w:rPr>
        <w:t xml:space="preserve">. Other relevant </w:t>
      </w:r>
      <w:r w:rsidR="004538D2">
        <w:rPr>
          <w:rFonts w:ascii="Arial" w:hAnsi="Arial" w:cs="Arial"/>
          <w:color w:val="000000"/>
          <w:sz w:val="20"/>
        </w:rPr>
        <w:t>persons (extended family members, support services etc) are ordinarily seated in the body of the court.</w:t>
      </w:r>
      <w:r>
        <w:rPr>
          <w:rFonts w:ascii="Arial" w:hAnsi="Arial" w:cs="Arial"/>
          <w:color w:val="000000"/>
          <w:sz w:val="20"/>
        </w:rPr>
        <w:t xml:space="preserve"> </w:t>
      </w:r>
    </w:p>
    <w:p w14:paraId="19F361BA" w14:textId="77777777" w:rsidR="007D36F9" w:rsidRDefault="007D36F9" w:rsidP="007D36F9">
      <w:pPr>
        <w:jc w:val="both"/>
        <w:rPr>
          <w:rFonts w:ascii="Arial" w:hAnsi="Arial" w:cs="Arial"/>
          <w:color w:val="000000"/>
          <w:sz w:val="20"/>
        </w:rPr>
      </w:pPr>
    </w:p>
    <w:p w14:paraId="227645AA" w14:textId="7E90F34B" w:rsidR="007D36F9" w:rsidRPr="00B80A52" w:rsidRDefault="00B80A52" w:rsidP="007D36F9">
      <w:pPr>
        <w:jc w:val="both"/>
        <w:rPr>
          <w:rFonts w:ascii="Arial" w:hAnsi="Arial" w:cs="Arial"/>
          <w:color w:val="000000"/>
          <w:sz w:val="20"/>
        </w:rPr>
      </w:pPr>
      <w:r>
        <w:rPr>
          <w:rFonts w:ascii="Arial" w:hAnsi="Arial" w:cs="Arial"/>
          <w:color w:val="000000"/>
          <w:sz w:val="20"/>
        </w:rPr>
        <w:t xml:space="preserve">In addition, </w:t>
      </w:r>
      <w:r w:rsidR="007D36F9" w:rsidRPr="007D36F9">
        <w:rPr>
          <w:rFonts w:ascii="Arial" w:hAnsi="Arial" w:cs="Arial"/>
          <w:color w:val="000000"/>
          <w:sz w:val="20"/>
        </w:rPr>
        <w:t>family violence</w:t>
      </w:r>
      <w:r>
        <w:rPr>
          <w:rFonts w:ascii="Arial" w:hAnsi="Arial" w:cs="Arial"/>
          <w:color w:val="000000"/>
          <w:sz w:val="20"/>
        </w:rPr>
        <w:t xml:space="preserve">, </w:t>
      </w:r>
      <w:r w:rsidR="007D36F9" w:rsidRPr="007D36F9">
        <w:rPr>
          <w:rFonts w:ascii="Arial" w:hAnsi="Arial" w:cs="Arial"/>
          <w:color w:val="000000"/>
          <w:sz w:val="20"/>
        </w:rPr>
        <w:t>mental health considerations or other relevant issues for one or more of the participants</w:t>
      </w:r>
      <w:r w:rsidR="007D36F9">
        <w:rPr>
          <w:rFonts w:ascii="Arial" w:hAnsi="Arial" w:cs="Arial"/>
          <w:color w:val="000000"/>
          <w:sz w:val="20"/>
        </w:rPr>
        <w:t xml:space="preserve"> </w:t>
      </w:r>
      <w:r>
        <w:rPr>
          <w:rFonts w:ascii="Arial" w:hAnsi="Arial" w:cs="Arial"/>
          <w:color w:val="000000"/>
          <w:sz w:val="20"/>
        </w:rPr>
        <w:t xml:space="preserve">sometimes require alternative arrangements to be made. Likewise, to facilitate the participation of a party who is in custody or </w:t>
      </w:r>
      <w:r w:rsidR="007D36F9">
        <w:rPr>
          <w:rFonts w:ascii="Arial" w:hAnsi="Arial" w:cs="Arial"/>
          <w:color w:val="000000"/>
          <w:sz w:val="20"/>
        </w:rPr>
        <w:t xml:space="preserve">if </w:t>
      </w:r>
      <w:r w:rsidR="007D36F9">
        <w:rPr>
          <w:rFonts w:ascii="Arial" w:hAnsi="Arial" w:cs="Arial"/>
          <w:sz w:val="20"/>
          <w:szCs w:val="20"/>
        </w:rPr>
        <w:t xml:space="preserve">an application made </w:t>
      </w:r>
      <w:r w:rsidR="009F2E45">
        <w:rPr>
          <w:rFonts w:ascii="Arial" w:hAnsi="Arial" w:cs="Arial"/>
          <w:sz w:val="20"/>
          <w:szCs w:val="20"/>
        </w:rPr>
        <w:t xml:space="preserve">for a party or a legal representative </w:t>
      </w:r>
      <w:r w:rsidR="007D36F9">
        <w:rPr>
          <w:rFonts w:ascii="Arial" w:hAnsi="Arial" w:cs="Arial"/>
          <w:sz w:val="20"/>
          <w:szCs w:val="20"/>
        </w:rPr>
        <w:t xml:space="preserve">to appear online </w:t>
      </w:r>
      <w:r w:rsidR="007D36F9">
        <w:rPr>
          <w:rFonts w:ascii="Arial" w:hAnsi="Arial" w:cs="Arial"/>
          <w:sz w:val="20"/>
        </w:rPr>
        <w:t>has been granted.</w:t>
      </w:r>
    </w:p>
    <w:p w14:paraId="40599B04" w14:textId="77777777" w:rsidR="009F2E45" w:rsidRDefault="009F2E45" w:rsidP="007D36F9">
      <w:pPr>
        <w:jc w:val="both"/>
        <w:rPr>
          <w:rFonts w:ascii="Arial" w:hAnsi="Arial" w:cs="Arial"/>
          <w:color w:val="000000"/>
          <w:sz w:val="20"/>
        </w:rPr>
      </w:pPr>
    </w:p>
    <w:p w14:paraId="71452513" w14:textId="56FF0D61" w:rsidR="0091415A" w:rsidRDefault="00E5421A" w:rsidP="00775B9E">
      <w:pPr>
        <w:spacing w:after="120"/>
        <w:jc w:val="both"/>
        <w:rPr>
          <w:rFonts w:ascii="Arial" w:hAnsi="Arial" w:cs="Arial"/>
          <w:color w:val="000000"/>
          <w:sz w:val="20"/>
        </w:rPr>
      </w:pPr>
      <w:r>
        <w:rPr>
          <w:rFonts w:ascii="Arial" w:hAnsi="Arial" w:cs="Arial"/>
          <w:color w:val="000000"/>
          <w:sz w:val="20"/>
        </w:rPr>
        <w:t>Between</w:t>
      </w:r>
      <w:r w:rsidR="00AA3936">
        <w:rPr>
          <w:rFonts w:ascii="Arial" w:hAnsi="Arial" w:cs="Arial"/>
          <w:color w:val="000000"/>
          <w:sz w:val="20"/>
        </w:rPr>
        <w:t xml:space="preserve"> its launch on 25 August 2016 </w:t>
      </w:r>
      <w:r>
        <w:rPr>
          <w:rFonts w:ascii="Arial" w:hAnsi="Arial" w:cs="Arial"/>
          <w:color w:val="000000"/>
          <w:sz w:val="20"/>
        </w:rPr>
        <w:t xml:space="preserve">and 25 July 2019 </w:t>
      </w:r>
      <w:r w:rsidR="00816B30">
        <w:rPr>
          <w:rFonts w:ascii="Arial" w:hAnsi="Arial" w:cs="Arial"/>
          <w:color w:val="000000"/>
          <w:sz w:val="20"/>
        </w:rPr>
        <w:t xml:space="preserve">the Marram-Ngala </w:t>
      </w:r>
      <w:proofErr w:type="spellStart"/>
      <w:r w:rsidR="00816B30">
        <w:rPr>
          <w:rFonts w:ascii="Arial" w:hAnsi="Arial" w:cs="Arial"/>
          <w:color w:val="000000"/>
          <w:sz w:val="20"/>
        </w:rPr>
        <w:t>Ganbu</w:t>
      </w:r>
      <w:proofErr w:type="spellEnd"/>
      <w:r w:rsidR="00816B30">
        <w:rPr>
          <w:rFonts w:ascii="Arial" w:hAnsi="Arial" w:cs="Arial"/>
          <w:color w:val="000000"/>
          <w:sz w:val="20"/>
        </w:rPr>
        <w:t xml:space="preserve"> Court </w:t>
      </w:r>
      <w:r>
        <w:rPr>
          <w:rFonts w:ascii="Arial" w:hAnsi="Arial" w:cs="Arial"/>
          <w:color w:val="000000"/>
          <w:sz w:val="20"/>
        </w:rPr>
        <w:t>dealt with</w:t>
      </w:r>
      <w:r w:rsidR="00AA3936">
        <w:rPr>
          <w:rFonts w:ascii="Arial" w:hAnsi="Arial" w:cs="Arial"/>
          <w:color w:val="000000"/>
          <w:sz w:val="20"/>
        </w:rPr>
        <w:t xml:space="preserve"> 380 cases, comprising 16½% of all </w:t>
      </w:r>
      <w:r w:rsidR="001A5C38">
        <w:rPr>
          <w:rFonts w:ascii="Arial" w:hAnsi="Arial" w:cs="Arial"/>
          <w:color w:val="000000"/>
          <w:sz w:val="20"/>
        </w:rPr>
        <w:t xml:space="preserve">Family Division </w:t>
      </w:r>
      <w:r w:rsidR="00AA3936">
        <w:rPr>
          <w:rFonts w:ascii="Arial" w:hAnsi="Arial" w:cs="Arial"/>
          <w:color w:val="000000"/>
          <w:sz w:val="20"/>
        </w:rPr>
        <w:t xml:space="preserve">cases </w:t>
      </w:r>
      <w:r w:rsidR="00706F2C">
        <w:rPr>
          <w:rFonts w:ascii="Arial" w:hAnsi="Arial" w:cs="Arial"/>
          <w:color w:val="000000"/>
          <w:sz w:val="20"/>
        </w:rPr>
        <w:t>liste</w:t>
      </w:r>
      <w:r w:rsidR="00AA3936">
        <w:rPr>
          <w:rFonts w:ascii="Arial" w:hAnsi="Arial" w:cs="Arial"/>
          <w:color w:val="000000"/>
          <w:sz w:val="20"/>
        </w:rPr>
        <w:t>d at Broadmeadows Children’s Court</w:t>
      </w:r>
      <w:r w:rsidR="006858AB">
        <w:rPr>
          <w:rFonts w:ascii="Arial" w:hAnsi="Arial" w:cs="Arial"/>
          <w:color w:val="000000"/>
          <w:sz w:val="20"/>
        </w:rPr>
        <w:t xml:space="preserve"> in that period.</w:t>
      </w:r>
      <w:r w:rsidR="008534CC">
        <w:rPr>
          <w:rFonts w:ascii="Arial" w:hAnsi="Arial" w:cs="Arial"/>
          <w:color w:val="000000"/>
          <w:sz w:val="20"/>
        </w:rPr>
        <w:t xml:space="preserve"> </w:t>
      </w:r>
      <w:r w:rsidR="000E260E">
        <w:rPr>
          <w:rFonts w:ascii="Arial" w:hAnsi="Arial" w:cs="Arial"/>
          <w:color w:val="000000"/>
          <w:sz w:val="20"/>
        </w:rPr>
        <w:t xml:space="preserve">The MNG statistics since 2019/20 are </w:t>
      </w:r>
      <w:r w:rsidR="00C445B6">
        <w:rPr>
          <w:rFonts w:ascii="Arial" w:hAnsi="Arial" w:cs="Arial"/>
          <w:color w:val="000000"/>
          <w:sz w:val="20"/>
        </w:rPr>
        <w:t>set out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80"/>
        <w:gridCol w:w="1396"/>
        <w:gridCol w:w="1375"/>
        <w:gridCol w:w="1381"/>
        <w:gridCol w:w="1396"/>
      </w:tblGrid>
      <w:tr w:rsidR="000E260E" w:rsidRPr="00870270" w14:paraId="7544F601" w14:textId="77777777" w:rsidTr="00B361C8">
        <w:tc>
          <w:tcPr>
            <w:tcW w:w="4150" w:type="dxa"/>
            <w:gridSpan w:val="3"/>
            <w:shd w:val="clear" w:color="auto" w:fill="000000"/>
          </w:tcPr>
          <w:p w14:paraId="04AC4803" w14:textId="77777777" w:rsidR="000E260E" w:rsidRPr="00870270" w:rsidRDefault="000E260E" w:rsidP="00B0242D">
            <w:pPr>
              <w:keepNext/>
              <w:keepLines/>
              <w:jc w:val="center"/>
              <w:rPr>
                <w:rFonts w:ascii="Arial" w:hAnsi="Arial" w:cs="Arial"/>
                <w:b/>
                <w:bCs/>
                <w:color w:val="FFFFFF"/>
                <w:sz w:val="22"/>
                <w:szCs w:val="28"/>
              </w:rPr>
            </w:pPr>
            <w:r w:rsidRPr="00870270">
              <w:rPr>
                <w:rFonts w:ascii="Arial" w:hAnsi="Arial" w:cs="Arial"/>
                <w:b/>
                <w:bCs/>
                <w:color w:val="FFFFFF"/>
                <w:sz w:val="22"/>
                <w:szCs w:val="28"/>
              </w:rPr>
              <w:t>BROADMEADOWS</w:t>
            </w:r>
          </w:p>
        </w:tc>
        <w:tc>
          <w:tcPr>
            <w:tcW w:w="4152" w:type="dxa"/>
            <w:gridSpan w:val="3"/>
            <w:shd w:val="clear" w:color="auto" w:fill="000000"/>
          </w:tcPr>
          <w:p w14:paraId="6053432D" w14:textId="77777777" w:rsidR="000E260E" w:rsidRPr="00870270" w:rsidRDefault="000E260E" w:rsidP="00B0242D">
            <w:pPr>
              <w:keepNext/>
              <w:keepLines/>
              <w:jc w:val="center"/>
              <w:rPr>
                <w:rFonts w:ascii="Arial" w:hAnsi="Arial" w:cs="Arial"/>
                <w:b/>
                <w:bCs/>
                <w:color w:val="FFFFFF"/>
                <w:sz w:val="22"/>
                <w:szCs w:val="28"/>
              </w:rPr>
            </w:pPr>
            <w:r w:rsidRPr="00870270">
              <w:rPr>
                <w:rFonts w:ascii="Arial" w:hAnsi="Arial" w:cs="Arial"/>
                <w:b/>
                <w:bCs/>
                <w:color w:val="FFFFFF"/>
                <w:sz w:val="22"/>
                <w:szCs w:val="28"/>
              </w:rPr>
              <w:t>SHEPPARTON</w:t>
            </w:r>
          </w:p>
        </w:tc>
      </w:tr>
      <w:tr w:rsidR="00F66746" w:rsidRPr="00870270" w14:paraId="04012EC6" w14:textId="77777777" w:rsidTr="005F5B22">
        <w:tc>
          <w:tcPr>
            <w:tcW w:w="1374" w:type="dxa"/>
            <w:tcBorders>
              <w:left w:val="single" w:sz="12" w:space="0" w:color="auto"/>
              <w:bottom w:val="single" w:sz="12" w:space="0" w:color="auto"/>
            </w:tcBorders>
            <w:shd w:val="clear" w:color="auto" w:fill="DDDDDD"/>
          </w:tcPr>
          <w:p w14:paraId="719E6A57" w14:textId="77777777" w:rsidR="00F66746" w:rsidRPr="00870270" w:rsidRDefault="00F66746" w:rsidP="00B0242D">
            <w:pPr>
              <w:keepNext/>
              <w:keepLines/>
              <w:jc w:val="center"/>
              <w:rPr>
                <w:rFonts w:ascii="Arial" w:hAnsi="Arial" w:cs="Arial"/>
                <w:color w:val="000000"/>
                <w:sz w:val="22"/>
                <w:szCs w:val="28"/>
              </w:rPr>
            </w:pPr>
            <w:r w:rsidRPr="00870270">
              <w:rPr>
                <w:rFonts w:ascii="Arial" w:hAnsi="Arial" w:cs="Arial"/>
                <w:color w:val="000000"/>
                <w:sz w:val="22"/>
                <w:szCs w:val="28"/>
              </w:rPr>
              <w:t>Year</w:t>
            </w:r>
          </w:p>
        </w:tc>
        <w:tc>
          <w:tcPr>
            <w:tcW w:w="1380" w:type="dxa"/>
            <w:tcBorders>
              <w:bottom w:val="single" w:sz="12" w:space="0" w:color="auto"/>
              <w:right w:val="single" w:sz="4" w:space="0" w:color="auto"/>
            </w:tcBorders>
            <w:shd w:val="clear" w:color="auto" w:fill="DDDDDD"/>
          </w:tcPr>
          <w:p w14:paraId="65626DAF" w14:textId="77777777" w:rsidR="00F66746" w:rsidRPr="00870270" w:rsidRDefault="00F66746" w:rsidP="00B0242D">
            <w:pPr>
              <w:keepNext/>
              <w:keepLines/>
              <w:jc w:val="center"/>
              <w:rPr>
                <w:rFonts w:ascii="Arial" w:hAnsi="Arial" w:cs="Arial"/>
                <w:color w:val="000000"/>
                <w:sz w:val="22"/>
                <w:szCs w:val="28"/>
              </w:rPr>
            </w:pPr>
            <w:r w:rsidRPr="00870270">
              <w:rPr>
                <w:rFonts w:ascii="Arial" w:hAnsi="Arial" w:cs="Arial"/>
                <w:color w:val="000000"/>
                <w:sz w:val="22"/>
                <w:szCs w:val="28"/>
              </w:rPr>
              <w:t>Number of sittings</w:t>
            </w:r>
          </w:p>
        </w:tc>
        <w:tc>
          <w:tcPr>
            <w:tcW w:w="1396" w:type="dxa"/>
            <w:tcBorders>
              <w:top w:val="nil"/>
              <w:left w:val="single" w:sz="4" w:space="0" w:color="auto"/>
              <w:bottom w:val="single" w:sz="12" w:space="0" w:color="auto"/>
              <w:right w:val="single" w:sz="12" w:space="0" w:color="auto"/>
            </w:tcBorders>
            <w:shd w:val="clear" w:color="auto" w:fill="DDDDDD"/>
          </w:tcPr>
          <w:p w14:paraId="0C16C9F0" w14:textId="77777777" w:rsidR="00F66746" w:rsidRPr="00870270" w:rsidRDefault="00F66746" w:rsidP="00B0242D">
            <w:pPr>
              <w:keepNext/>
              <w:keepLines/>
              <w:jc w:val="center"/>
              <w:rPr>
                <w:rFonts w:ascii="Arial" w:hAnsi="Arial" w:cs="Arial"/>
                <w:color w:val="000000"/>
                <w:sz w:val="22"/>
                <w:szCs w:val="28"/>
              </w:rPr>
            </w:pPr>
            <w:r w:rsidRPr="00870270">
              <w:rPr>
                <w:rFonts w:ascii="Arial" w:hAnsi="Arial" w:cs="Arial"/>
                <w:color w:val="000000"/>
                <w:sz w:val="22"/>
                <w:szCs w:val="28"/>
              </w:rPr>
              <w:t xml:space="preserve">Number of </w:t>
            </w:r>
            <w:r w:rsidR="00C445B6" w:rsidRPr="00870270">
              <w:rPr>
                <w:rFonts w:ascii="Arial" w:hAnsi="Arial" w:cs="Arial"/>
                <w:color w:val="000000"/>
                <w:sz w:val="22"/>
                <w:szCs w:val="28"/>
              </w:rPr>
              <w:t xml:space="preserve">family </w:t>
            </w:r>
            <w:r w:rsidR="000C0319" w:rsidRPr="00870270">
              <w:rPr>
                <w:rFonts w:ascii="Arial" w:hAnsi="Arial" w:cs="Arial"/>
                <w:color w:val="000000"/>
                <w:sz w:val="22"/>
                <w:szCs w:val="28"/>
              </w:rPr>
              <w:t>hearing</w:t>
            </w:r>
            <w:r w:rsidRPr="00870270">
              <w:rPr>
                <w:rFonts w:ascii="Arial" w:hAnsi="Arial" w:cs="Arial"/>
                <w:color w:val="000000"/>
                <w:sz w:val="22"/>
                <w:szCs w:val="28"/>
              </w:rPr>
              <w:t>s</w:t>
            </w:r>
            <w:r w:rsidR="006212DA" w:rsidRPr="00870270">
              <w:rPr>
                <w:rFonts w:ascii="Arial" w:hAnsi="Arial" w:cs="Arial"/>
                <w:color w:val="000000"/>
                <w:sz w:val="22"/>
                <w:szCs w:val="28"/>
              </w:rPr>
              <w:t>*</w:t>
            </w:r>
          </w:p>
        </w:tc>
        <w:tc>
          <w:tcPr>
            <w:tcW w:w="1375" w:type="dxa"/>
            <w:tcBorders>
              <w:left w:val="single" w:sz="12" w:space="0" w:color="auto"/>
              <w:bottom w:val="single" w:sz="12" w:space="0" w:color="auto"/>
            </w:tcBorders>
            <w:shd w:val="clear" w:color="auto" w:fill="DDDDDD"/>
          </w:tcPr>
          <w:p w14:paraId="614DBD39" w14:textId="77777777" w:rsidR="00F66746" w:rsidRPr="00870270" w:rsidRDefault="00F66746" w:rsidP="00B0242D">
            <w:pPr>
              <w:keepNext/>
              <w:keepLines/>
              <w:jc w:val="center"/>
              <w:rPr>
                <w:rFonts w:ascii="Arial" w:hAnsi="Arial" w:cs="Arial"/>
                <w:color w:val="000000"/>
                <w:sz w:val="22"/>
                <w:szCs w:val="28"/>
              </w:rPr>
            </w:pPr>
            <w:r w:rsidRPr="00870270">
              <w:rPr>
                <w:rFonts w:ascii="Arial" w:hAnsi="Arial" w:cs="Arial"/>
                <w:color w:val="000000"/>
                <w:sz w:val="22"/>
                <w:szCs w:val="28"/>
              </w:rPr>
              <w:t>Year</w:t>
            </w:r>
          </w:p>
        </w:tc>
        <w:tc>
          <w:tcPr>
            <w:tcW w:w="1381" w:type="dxa"/>
            <w:tcBorders>
              <w:bottom w:val="single" w:sz="12" w:space="0" w:color="auto"/>
            </w:tcBorders>
            <w:shd w:val="clear" w:color="auto" w:fill="DDDDDD"/>
          </w:tcPr>
          <w:p w14:paraId="7E612705" w14:textId="77777777" w:rsidR="00F66746" w:rsidRPr="00870270" w:rsidRDefault="00F66746" w:rsidP="00B0242D">
            <w:pPr>
              <w:keepNext/>
              <w:keepLines/>
              <w:jc w:val="center"/>
              <w:rPr>
                <w:rFonts w:ascii="Arial" w:hAnsi="Arial" w:cs="Arial"/>
                <w:color w:val="000000"/>
                <w:sz w:val="22"/>
                <w:szCs w:val="28"/>
              </w:rPr>
            </w:pPr>
            <w:r w:rsidRPr="00870270">
              <w:rPr>
                <w:rFonts w:ascii="Arial" w:hAnsi="Arial" w:cs="Arial"/>
                <w:color w:val="000000"/>
                <w:sz w:val="22"/>
                <w:szCs w:val="28"/>
              </w:rPr>
              <w:t>Number of sittings</w:t>
            </w:r>
          </w:p>
        </w:tc>
        <w:tc>
          <w:tcPr>
            <w:tcW w:w="1396" w:type="dxa"/>
            <w:tcBorders>
              <w:bottom w:val="single" w:sz="12" w:space="0" w:color="auto"/>
              <w:right w:val="single" w:sz="12" w:space="0" w:color="auto"/>
            </w:tcBorders>
            <w:shd w:val="clear" w:color="auto" w:fill="DDDDDD"/>
          </w:tcPr>
          <w:p w14:paraId="7022D98F" w14:textId="77777777" w:rsidR="00F66746" w:rsidRPr="00870270" w:rsidRDefault="00F66746" w:rsidP="00B0242D">
            <w:pPr>
              <w:keepNext/>
              <w:keepLines/>
              <w:jc w:val="center"/>
              <w:rPr>
                <w:rFonts w:ascii="Arial" w:hAnsi="Arial" w:cs="Arial"/>
                <w:color w:val="000000"/>
                <w:sz w:val="22"/>
                <w:szCs w:val="28"/>
              </w:rPr>
            </w:pPr>
            <w:r w:rsidRPr="00870270">
              <w:rPr>
                <w:rFonts w:ascii="Arial" w:hAnsi="Arial" w:cs="Arial"/>
                <w:color w:val="000000"/>
                <w:sz w:val="22"/>
                <w:szCs w:val="28"/>
              </w:rPr>
              <w:t>Number of famil</w:t>
            </w:r>
            <w:r w:rsidR="000C0319" w:rsidRPr="00870270">
              <w:rPr>
                <w:rFonts w:ascii="Arial" w:hAnsi="Arial" w:cs="Arial"/>
                <w:color w:val="000000"/>
                <w:sz w:val="22"/>
                <w:szCs w:val="28"/>
              </w:rPr>
              <w:t>y hearings</w:t>
            </w:r>
            <w:r w:rsidR="006212DA" w:rsidRPr="00870270">
              <w:rPr>
                <w:rFonts w:ascii="Arial" w:hAnsi="Arial" w:cs="Arial"/>
                <w:color w:val="000000"/>
                <w:sz w:val="22"/>
                <w:szCs w:val="28"/>
              </w:rPr>
              <w:t>*</w:t>
            </w:r>
          </w:p>
        </w:tc>
      </w:tr>
      <w:tr w:rsidR="00F66746" w:rsidRPr="00870270" w14:paraId="2069E5B5" w14:textId="77777777" w:rsidTr="005F5B22">
        <w:tc>
          <w:tcPr>
            <w:tcW w:w="1374" w:type="dxa"/>
            <w:tcBorders>
              <w:top w:val="single" w:sz="12" w:space="0" w:color="auto"/>
              <w:left w:val="single" w:sz="12" w:space="0" w:color="auto"/>
            </w:tcBorders>
          </w:tcPr>
          <w:p w14:paraId="3C6C2418" w14:textId="77777777" w:rsidR="00F66746" w:rsidRPr="00870270" w:rsidRDefault="00F66746" w:rsidP="003C0199">
            <w:pPr>
              <w:keepNext/>
              <w:keepLines/>
              <w:jc w:val="center"/>
              <w:rPr>
                <w:rFonts w:ascii="Arial" w:hAnsi="Arial" w:cs="Arial"/>
                <w:color w:val="000000"/>
                <w:sz w:val="20"/>
              </w:rPr>
            </w:pPr>
            <w:r w:rsidRPr="00870270">
              <w:rPr>
                <w:rFonts w:ascii="Arial" w:hAnsi="Arial" w:cs="Arial"/>
                <w:color w:val="000000"/>
                <w:sz w:val="20"/>
              </w:rPr>
              <w:t>2019/20</w:t>
            </w:r>
          </w:p>
        </w:tc>
        <w:tc>
          <w:tcPr>
            <w:tcW w:w="1380" w:type="dxa"/>
            <w:tcBorders>
              <w:top w:val="single" w:sz="12" w:space="0" w:color="auto"/>
              <w:right w:val="single" w:sz="4" w:space="0" w:color="auto"/>
            </w:tcBorders>
          </w:tcPr>
          <w:p w14:paraId="1BB16F1C" w14:textId="77777777" w:rsidR="00F66746" w:rsidRPr="00870270" w:rsidRDefault="006212DA" w:rsidP="003C0199">
            <w:pPr>
              <w:keepNext/>
              <w:keepLines/>
              <w:jc w:val="center"/>
              <w:rPr>
                <w:rFonts w:ascii="Arial" w:hAnsi="Arial" w:cs="Arial"/>
                <w:color w:val="000000"/>
                <w:sz w:val="20"/>
              </w:rPr>
            </w:pPr>
            <w:r w:rsidRPr="00870270">
              <w:rPr>
                <w:rFonts w:ascii="Arial" w:hAnsi="Arial" w:cs="Arial"/>
                <w:color w:val="000000"/>
                <w:sz w:val="20"/>
              </w:rPr>
              <w:t>50</w:t>
            </w:r>
          </w:p>
        </w:tc>
        <w:tc>
          <w:tcPr>
            <w:tcW w:w="1396" w:type="dxa"/>
            <w:tcBorders>
              <w:top w:val="single" w:sz="12" w:space="0" w:color="auto"/>
              <w:left w:val="single" w:sz="4" w:space="0" w:color="auto"/>
              <w:bottom w:val="single" w:sz="4" w:space="0" w:color="auto"/>
              <w:right w:val="single" w:sz="12" w:space="0" w:color="auto"/>
            </w:tcBorders>
          </w:tcPr>
          <w:p w14:paraId="0100361B" w14:textId="77777777" w:rsidR="00F66746" w:rsidRPr="00870270" w:rsidRDefault="006212DA" w:rsidP="003C0199">
            <w:pPr>
              <w:keepNext/>
              <w:keepLines/>
              <w:jc w:val="center"/>
              <w:rPr>
                <w:rFonts w:ascii="Arial" w:hAnsi="Arial" w:cs="Arial"/>
                <w:color w:val="000000"/>
                <w:sz w:val="20"/>
              </w:rPr>
            </w:pPr>
            <w:r w:rsidRPr="00870270">
              <w:rPr>
                <w:rFonts w:ascii="Arial" w:hAnsi="Arial" w:cs="Arial"/>
                <w:color w:val="000000"/>
                <w:sz w:val="20"/>
              </w:rPr>
              <w:t>502</w:t>
            </w:r>
          </w:p>
        </w:tc>
        <w:tc>
          <w:tcPr>
            <w:tcW w:w="1375" w:type="dxa"/>
            <w:tcBorders>
              <w:top w:val="single" w:sz="12" w:space="0" w:color="auto"/>
              <w:left w:val="single" w:sz="12" w:space="0" w:color="auto"/>
            </w:tcBorders>
          </w:tcPr>
          <w:p w14:paraId="00284E61" w14:textId="77777777" w:rsidR="00F66746" w:rsidRPr="00870270" w:rsidRDefault="00F66746" w:rsidP="003C0199">
            <w:pPr>
              <w:keepNext/>
              <w:keepLines/>
              <w:jc w:val="center"/>
              <w:rPr>
                <w:rFonts w:ascii="Arial" w:hAnsi="Arial" w:cs="Arial"/>
                <w:color w:val="000000"/>
                <w:sz w:val="20"/>
              </w:rPr>
            </w:pPr>
            <w:r w:rsidRPr="00870270">
              <w:rPr>
                <w:rFonts w:ascii="Arial" w:hAnsi="Arial" w:cs="Arial"/>
                <w:color w:val="000000"/>
                <w:sz w:val="20"/>
              </w:rPr>
              <w:t>2019/20</w:t>
            </w:r>
          </w:p>
        </w:tc>
        <w:tc>
          <w:tcPr>
            <w:tcW w:w="1381" w:type="dxa"/>
            <w:tcBorders>
              <w:top w:val="single" w:sz="12" w:space="0" w:color="auto"/>
            </w:tcBorders>
          </w:tcPr>
          <w:p w14:paraId="255384EE" w14:textId="77777777" w:rsidR="00F66746" w:rsidRPr="00870270" w:rsidRDefault="00F66746" w:rsidP="003C0199">
            <w:pPr>
              <w:keepNext/>
              <w:keepLines/>
              <w:jc w:val="center"/>
              <w:rPr>
                <w:rFonts w:ascii="Arial" w:hAnsi="Arial" w:cs="Arial"/>
                <w:color w:val="000000"/>
                <w:sz w:val="20"/>
              </w:rPr>
            </w:pPr>
            <w:r w:rsidRPr="00870270">
              <w:rPr>
                <w:rFonts w:ascii="Arial" w:hAnsi="Arial" w:cs="Arial"/>
                <w:color w:val="000000"/>
                <w:sz w:val="20"/>
              </w:rPr>
              <w:t>-</w:t>
            </w:r>
          </w:p>
        </w:tc>
        <w:tc>
          <w:tcPr>
            <w:tcW w:w="1396" w:type="dxa"/>
            <w:tcBorders>
              <w:top w:val="single" w:sz="12" w:space="0" w:color="auto"/>
              <w:right w:val="single" w:sz="12" w:space="0" w:color="auto"/>
            </w:tcBorders>
          </w:tcPr>
          <w:p w14:paraId="101F6B73" w14:textId="77777777" w:rsidR="00F66746" w:rsidRPr="00870270" w:rsidRDefault="00F66746" w:rsidP="003C0199">
            <w:pPr>
              <w:keepNext/>
              <w:keepLines/>
              <w:jc w:val="center"/>
              <w:rPr>
                <w:rFonts w:ascii="Arial" w:hAnsi="Arial" w:cs="Arial"/>
                <w:color w:val="000000"/>
                <w:sz w:val="20"/>
              </w:rPr>
            </w:pPr>
            <w:r w:rsidRPr="00870270">
              <w:rPr>
                <w:rFonts w:ascii="Arial" w:hAnsi="Arial" w:cs="Arial"/>
                <w:color w:val="000000"/>
                <w:sz w:val="20"/>
              </w:rPr>
              <w:t>-</w:t>
            </w:r>
          </w:p>
        </w:tc>
      </w:tr>
      <w:tr w:rsidR="00F66746" w:rsidRPr="00870270" w14:paraId="78EE94AB" w14:textId="77777777" w:rsidTr="005F5B22">
        <w:tc>
          <w:tcPr>
            <w:tcW w:w="1374" w:type="dxa"/>
            <w:tcBorders>
              <w:left w:val="single" w:sz="12" w:space="0" w:color="auto"/>
            </w:tcBorders>
          </w:tcPr>
          <w:p w14:paraId="199E1CCF" w14:textId="77777777" w:rsidR="00F66746" w:rsidRPr="00870270" w:rsidRDefault="00F66746" w:rsidP="00870270">
            <w:pPr>
              <w:jc w:val="center"/>
              <w:rPr>
                <w:rFonts w:ascii="Arial" w:hAnsi="Arial" w:cs="Arial"/>
                <w:color w:val="000000"/>
                <w:sz w:val="20"/>
              </w:rPr>
            </w:pPr>
            <w:r w:rsidRPr="00870270">
              <w:rPr>
                <w:rFonts w:ascii="Arial" w:hAnsi="Arial" w:cs="Arial"/>
                <w:color w:val="000000"/>
                <w:sz w:val="20"/>
              </w:rPr>
              <w:t>2020/21</w:t>
            </w:r>
          </w:p>
        </w:tc>
        <w:tc>
          <w:tcPr>
            <w:tcW w:w="1380" w:type="dxa"/>
            <w:tcBorders>
              <w:right w:val="single" w:sz="4" w:space="0" w:color="auto"/>
            </w:tcBorders>
          </w:tcPr>
          <w:p w14:paraId="61C3F2AF" w14:textId="77777777" w:rsidR="00F66746" w:rsidRPr="00870270" w:rsidRDefault="00C445B6" w:rsidP="00870270">
            <w:pPr>
              <w:jc w:val="center"/>
              <w:rPr>
                <w:rFonts w:ascii="Arial" w:hAnsi="Arial" w:cs="Arial"/>
                <w:color w:val="000000"/>
                <w:sz w:val="20"/>
              </w:rPr>
            </w:pPr>
            <w:r w:rsidRPr="00870270">
              <w:rPr>
                <w:rFonts w:ascii="Arial" w:hAnsi="Arial" w:cs="Arial"/>
                <w:color w:val="000000"/>
                <w:sz w:val="20"/>
              </w:rPr>
              <w:t>49</w:t>
            </w:r>
          </w:p>
        </w:tc>
        <w:tc>
          <w:tcPr>
            <w:tcW w:w="1396" w:type="dxa"/>
            <w:tcBorders>
              <w:top w:val="single" w:sz="4" w:space="0" w:color="auto"/>
              <w:left w:val="single" w:sz="4" w:space="0" w:color="auto"/>
              <w:bottom w:val="single" w:sz="4" w:space="0" w:color="auto"/>
              <w:right w:val="single" w:sz="12" w:space="0" w:color="auto"/>
            </w:tcBorders>
          </w:tcPr>
          <w:p w14:paraId="35421A56" w14:textId="77777777" w:rsidR="00F66746" w:rsidRPr="00870270" w:rsidRDefault="00C445B6" w:rsidP="00870270">
            <w:pPr>
              <w:jc w:val="center"/>
              <w:rPr>
                <w:rFonts w:ascii="Arial" w:hAnsi="Arial" w:cs="Arial"/>
                <w:color w:val="000000"/>
                <w:sz w:val="20"/>
              </w:rPr>
            </w:pPr>
            <w:r w:rsidRPr="00870270">
              <w:rPr>
                <w:rFonts w:ascii="Arial" w:hAnsi="Arial" w:cs="Arial"/>
                <w:color w:val="000000"/>
                <w:sz w:val="20"/>
              </w:rPr>
              <w:t>451</w:t>
            </w:r>
          </w:p>
        </w:tc>
        <w:tc>
          <w:tcPr>
            <w:tcW w:w="1375" w:type="dxa"/>
            <w:tcBorders>
              <w:left w:val="single" w:sz="12" w:space="0" w:color="auto"/>
            </w:tcBorders>
          </w:tcPr>
          <w:p w14:paraId="43F92B43" w14:textId="77777777" w:rsidR="00F66746" w:rsidRPr="00870270" w:rsidRDefault="00F66746" w:rsidP="00870270">
            <w:pPr>
              <w:jc w:val="center"/>
              <w:rPr>
                <w:rFonts w:ascii="Arial" w:hAnsi="Arial" w:cs="Arial"/>
                <w:color w:val="000000"/>
                <w:sz w:val="20"/>
              </w:rPr>
            </w:pPr>
            <w:r w:rsidRPr="00870270">
              <w:rPr>
                <w:rFonts w:ascii="Arial" w:hAnsi="Arial" w:cs="Arial"/>
                <w:color w:val="000000"/>
                <w:sz w:val="20"/>
              </w:rPr>
              <w:t>2020/21</w:t>
            </w:r>
          </w:p>
        </w:tc>
        <w:tc>
          <w:tcPr>
            <w:tcW w:w="1381" w:type="dxa"/>
          </w:tcPr>
          <w:p w14:paraId="48FD70E5" w14:textId="77777777" w:rsidR="00F66746" w:rsidRPr="00870270" w:rsidRDefault="00F66746" w:rsidP="00870270">
            <w:pPr>
              <w:jc w:val="center"/>
              <w:rPr>
                <w:rFonts w:ascii="Arial" w:hAnsi="Arial" w:cs="Arial"/>
                <w:color w:val="000000"/>
                <w:sz w:val="20"/>
              </w:rPr>
            </w:pPr>
            <w:r w:rsidRPr="00870270">
              <w:rPr>
                <w:rFonts w:ascii="Arial" w:hAnsi="Arial" w:cs="Arial"/>
                <w:color w:val="000000"/>
                <w:sz w:val="20"/>
              </w:rPr>
              <w:t>8</w:t>
            </w:r>
          </w:p>
        </w:tc>
        <w:tc>
          <w:tcPr>
            <w:tcW w:w="1396" w:type="dxa"/>
            <w:tcBorders>
              <w:right w:val="single" w:sz="12" w:space="0" w:color="auto"/>
            </w:tcBorders>
          </w:tcPr>
          <w:p w14:paraId="3DE0ECF0" w14:textId="77777777" w:rsidR="00F66746" w:rsidRPr="00870270" w:rsidRDefault="00F66746" w:rsidP="00870270">
            <w:pPr>
              <w:jc w:val="center"/>
              <w:rPr>
                <w:rFonts w:ascii="Arial" w:hAnsi="Arial" w:cs="Arial"/>
                <w:color w:val="000000"/>
                <w:sz w:val="20"/>
              </w:rPr>
            </w:pPr>
            <w:r w:rsidRPr="00870270">
              <w:rPr>
                <w:rFonts w:ascii="Arial" w:hAnsi="Arial" w:cs="Arial"/>
                <w:color w:val="000000"/>
                <w:sz w:val="20"/>
              </w:rPr>
              <w:t>87</w:t>
            </w:r>
          </w:p>
        </w:tc>
      </w:tr>
      <w:tr w:rsidR="00EF2931" w:rsidRPr="00870270" w14:paraId="2A3A3190" w14:textId="77777777" w:rsidTr="005F5B22">
        <w:tc>
          <w:tcPr>
            <w:tcW w:w="1374" w:type="dxa"/>
            <w:tcBorders>
              <w:left w:val="single" w:sz="12" w:space="0" w:color="auto"/>
            </w:tcBorders>
          </w:tcPr>
          <w:p w14:paraId="71C55FB4" w14:textId="6B28476E" w:rsidR="00EF2931" w:rsidRPr="00870270" w:rsidRDefault="00EF2931" w:rsidP="00870270">
            <w:pPr>
              <w:jc w:val="center"/>
              <w:rPr>
                <w:rFonts w:ascii="Arial" w:hAnsi="Arial" w:cs="Arial"/>
                <w:color w:val="000000"/>
                <w:sz w:val="20"/>
              </w:rPr>
            </w:pPr>
            <w:r>
              <w:rPr>
                <w:rFonts w:ascii="Arial" w:hAnsi="Arial" w:cs="Arial"/>
                <w:color w:val="000000"/>
                <w:sz w:val="20"/>
              </w:rPr>
              <w:t>2021/22</w:t>
            </w:r>
          </w:p>
        </w:tc>
        <w:tc>
          <w:tcPr>
            <w:tcW w:w="1380" w:type="dxa"/>
            <w:tcBorders>
              <w:right w:val="single" w:sz="4" w:space="0" w:color="auto"/>
            </w:tcBorders>
          </w:tcPr>
          <w:p w14:paraId="3BF5624B" w14:textId="290038D6" w:rsidR="00EF2931" w:rsidRPr="00870270" w:rsidRDefault="00EF2931" w:rsidP="00870270">
            <w:pPr>
              <w:jc w:val="center"/>
              <w:rPr>
                <w:rFonts w:ascii="Arial" w:hAnsi="Arial" w:cs="Arial"/>
                <w:color w:val="000000"/>
                <w:sz w:val="20"/>
              </w:rPr>
            </w:pPr>
            <w:r>
              <w:rPr>
                <w:rFonts w:ascii="Arial" w:hAnsi="Arial" w:cs="Arial"/>
                <w:color w:val="000000"/>
                <w:sz w:val="20"/>
              </w:rPr>
              <w:t>48</w:t>
            </w:r>
          </w:p>
        </w:tc>
        <w:tc>
          <w:tcPr>
            <w:tcW w:w="1396" w:type="dxa"/>
            <w:tcBorders>
              <w:top w:val="single" w:sz="4" w:space="0" w:color="auto"/>
              <w:left w:val="single" w:sz="4" w:space="0" w:color="auto"/>
              <w:bottom w:val="single" w:sz="4" w:space="0" w:color="auto"/>
              <w:right w:val="single" w:sz="12" w:space="0" w:color="auto"/>
            </w:tcBorders>
          </w:tcPr>
          <w:p w14:paraId="4FC8B249" w14:textId="766200CC" w:rsidR="00EF2931" w:rsidRPr="00870270" w:rsidRDefault="00EF2931" w:rsidP="00870270">
            <w:pPr>
              <w:jc w:val="center"/>
              <w:rPr>
                <w:rFonts w:ascii="Arial" w:hAnsi="Arial" w:cs="Arial"/>
                <w:color w:val="000000"/>
                <w:sz w:val="20"/>
              </w:rPr>
            </w:pPr>
            <w:r>
              <w:rPr>
                <w:rFonts w:ascii="Arial" w:hAnsi="Arial" w:cs="Arial"/>
                <w:color w:val="000000"/>
                <w:sz w:val="20"/>
              </w:rPr>
              <w:t>437</w:t>
            </w:r>
          </w:p>
        </w:tc>
        <w:tc>
          <w:tcPr>
            <w:tcW w:w="1375" w:type="dxa"/>
            <w:tcBorders>
              <w:left w:val="single" w:sz="12" w:space="0" w:color="auto"/>
            </w:tcBorders>
          </w:tcPr>
          <w:p w14:paraId="616C6898" w14:textId="0B48D5D6" w:rsidR="00EF2931" w:rsidRPr="00870270" w:rsidRDefault="00EF2931" w:rsidP="00870270">
            <w:pPr>
              <w:jc w:val="center"/>
              <w:rPr>
                <w:rFonts w:ascii="Arial" w:hAnsi="Arial" w:cs="Arial"/>
                <w:color w:val="000000"/>
                <w:sz w:val="20"/>
              </w:rPr>
            </w:pPr>
            <w:r>
              <w:rPr>
                <w:rFonts w:ascii="Arial" w:hAnsi="Arial" w:cs="Arial"/>
                <w:color w:val="000000"/>
                <w:sz w:val="20"/>
              </w:rPr>
              <w:t>2021/22</w:t>
            </w:r>
          </w:p>
        </w:tc>
        <w:tc>
          <w:tcPr>
            <w:tcW w:w="1381" w:type="dxa"/>
          </w:tcPr>
          <w:p w14:paraId="16F57367" w14:textId="2CA23D09" w:rsidR="00EF2931" w:rsidRPr="00870270" w:rsidRDefault="00EF2931" w:rsidP="00870270">
            <w:pPr>
              <w:jc w:val="center"/>
              <w:rPr>
                <w:rFonts w:ascii="Arial" w:hAnsi="Arial" w:cs="Arial"/>
                <w:color w:val="000000"/>
                <w:sz w:val="20"/>
              </w:rPr>
            </w:pPr>
            <w:r>
              <w:rPr>
                <w:rFonts w:ascii="Arial" w:hAnsi="Arial" w:cs="Arial"/>
                <w:color w:val="000000"/>
                <w:sz w:val="20"/>
              </w:rPr>
              <w:t>23</w:t>
            </w:r>
          </w:p>
        </w:tc>
        <w:tc>
          <w:tcPr>
            <w:tcW w:w="1396" w:type="dxa"/>
            <w:tcBorders>
              <w:right w:val="single" w:sz="12" w:space="0" w:color="auto"/>
            </w:tcBorders>
          </w:tcPr>
          <w:p w14:paraId="6158E446" w14:textId="1D118A05" w:rsidR="00EF2931" w:rsidRPr="00870270" w:rsidRDefault="00EF2931" w:rsidP="00870270">
            <w:pPr>
              <w:jc w:val="center"/>
              <w:rPr>
                <w:rFonts w:ascii="Arial" w:hAnsi="Arial" w:cs="Arial"/>
                <w:color w:val="000000"/>
                <w:sz w:val="20"/>
              </w:rPr>
            </w:pPr>
            <w:r>
              <w:rPr>
                <w:rFonts w:ascii="Arial" w:hAnsi="Arial" w:cs="Arial"/>
                <w:color w:val="000000"/>
                <w:sz w:val="20"/>
              </w:rPr>
              <w:t>263</w:t>
            </w:r>
          </w:p>
        </w:tc>
      </w:tr>
      <w:tr w:rsidR="00B361C8" w:rsidRPr="00870270" w14:paraId="44907362" w14:textId="77777777" w:rsidTr="005F5B22">
        <w:tc>
          <w:tcPr>
            <w:tcW w:w="1374" w:type="dxa"/>
            <w:tcBorders>
              <w:top w:val="single" w:sz="4" w:space="0" w:color="auto"/>
              <w:left w:val="single" w:sz="12" w:space="0" w:color="auto"/>
              <w:bottom w:val="single" w:sz="4" w:space="0" w:color="auto"/>
              <w:right w:val="single" w:sz="4" w:space="0" w:color="auto"/>
            </w:tcBorders>
          </w:tcPr>
          <w:p w14:paraId="455A103F" w14:textId="0C8A6FFC" w:rsidR="00B361C8" w:rsidRPr="00870270" w:rsidRDefault="00B361C8" w:rsidP="00F972CB">
            <w:pPr>
              <w:jc w:val="center"/>
              <w:rPr>
                <w:rFonts w:ascii="Arial" w:hAnsi="Arial" w:cs="Arial"/>
                <w:color w:val="000000"/>
                <w:sz w:val="20"/>
              </w:rPr>
            </w:pPr>
            <w:r>
              <w:rPr>
                <w:rFonts w:ascii="Arial" w:hAnsi="Arial" w:cs="Arial"/>
                <w:color w:val="000000"/>
                <w:sz w:val="20"/>
              </w:rPr>
              <w:t>2022/23</w:t>
            </w:r>
          </w:p>
        </w:tc>
        <w:tc>
          <w:tcPr>
            <w:tcW w:w="1380" w:type="dxa"/>
            <w:tcBorders>
              <w:top w:val="single" w:sz="4" w:space="0" w:color="auto"/>
              <w:left w:val="single" w:sz="4" w:space="0" w:color="auto"/>
              <w:bottom w:val="single" w:sz="4" w:space="0" w:color="auto"/>
              <w:right w:val="single" w:sz="4" w:space="0" w:color="auto"/>
            </w:tcBorders>
          </w:tcPr>
          <w:p w14:paraId="2B2E2C43" w14:textId="59B0C2D5" w:rsidR="00B361C8" w:rsidRPr="00870270" w:rsidRDefault="00B361C8" w:rsidP="00F972CB">
            <w:pPr>
              <w:jc w:val="center"/>
              <w:rPr>
                <w:rFonts w:ascii="Arial" w:hAnsi="Arial" w:cs="Arial"/>
                <w:color w:val="000000"/>
                <w:sz w:val="20"/>
              </w:rPr>
            </w:pPr>
            <w:r>
              <w:rPr>
                <w:rFonts w:ascii="Arial" w:hAnsi="Arial" w:cs="Arial"/>
                <w:color w:val="000000"/>
                <w:sz w:val="20"/>
              </w:rPr>
              <w:t>49</w:t>
            </w:r>
          </w:p>
        </w:tc>
        <w:tc>
          <w:tcPr>
            <w:tcW w:w="1396" w:type="dxa"/>
            <w:tcBorders>
              <w:top w:val="single" w:sz="4" w:space="0" w:color="auto"/>
              <w:left w:val="single" w:sz="4" w:space="0" w:color="auto"/>
              <w:bottom w:val="single" w:sz="4" w:space="0" w:color="auto"/>
              <w:right w:val="single" w:sz="12" w:space="0" w:color="auto"/>
            </w:tcBorders>
          </w:tcPr>
          <w:p w14:paraId="2564C4FB" w14:textId="47D5A1CF" w:rsidR="00B361C8" w:rsidRPr="00870270" w:rsidRDefault="00B361C8" w:rsidP="00F972CB">
            <w:pPr>
              <w:jc w:val="center"/>
              <w:rPr>
                <w:rFonts w:ascii="Arial" w:hAnsi="Arial" w:cs="Arial"/>
                <w:color w:val="000000"/>
                <w:sz w:val="20"/>
              </w:rPr>
            </w:pPr>
            <w:r>
              <w:rPr>
                <w:rFonts w:ascii="Arial" w:hAnsi="Arial" w:cs="Arial"/>
                <w:color w:val="000000"/>
                <w:sz w:val="20"/>
              </w:rPr>
              <w:t>407</w:t>
            </w:r>
          </w:p>
        </w:tc>
        <w:tc>
          <w:tcPr>
            <w:tcW w:w="1375" w:type="dxa"/>
            <w:tcBorders>
              <w:top w:val="single" w:sz="4" w:space="0" w:color="auto"/>
              <w:left w:val="single" w:sz="12" w:space="0" w:color="auto"/>
              <w:bottom w:val="single" w:sz="4" w:space="0" w:color="auto"/>
              <w:right w:val="single" w:sz="4" w:space="0" w:color="auto"/>
            </w:tcBorders>
          </w:tcPr>
          <w:p w14:paraId="25E5A554" w14:textId="2005769E" w:rsidR="00B361C8" w:rsidRPr="00870270" w:rsidRDefault="00B361C8" w:rsidP="00F972CB">
            <w:pPr>
              <w:jc w:val="center"/>
              <w:rPr>
                <w:rFonts w:ascii="Arial" w:hAnsi="Arial" w:cs="Arial"/>
                <w:color w:val="000000"/>
                <w:sz w:val="20"/>
              </w:rPr>
            </w:pPr>
            <w:r>
              <w:rPr>
                <w:rFonts w:ascii="Arial" w:hAnsi="Arial" w:cs="Arial"/>
                <w:color w:val="000000"/>
                <w:sz w:val="20"/>
              </w:rPr>
              <w:t>2022/23</w:t>
            </w:r>
          </w:p>
        </w:tc>
        <w:tc>
          <w:tcPr>
            <w:tcW w:w="1381" w:type="dxa"/>
            <w:tcBorders>
              <w:top w:val="single" w:sz="4" w:space="0" w:color="auto"/>
              <w:left w:val="single" w:sz="4" w:space="0" w:color="auto"/>
              <w:bottom w:val="single" w:sz="4" w:space="0" w:color="auto"/>
              <w:right w:val="single" w:sz="4" w:space="0" w:color="auto"/>
            </w:tcBorders>
          </w:tcPr>
          <w:p w14:paraId="760460AD" w14:textId="17F53C0B" w:rsidR="00B361C8" w:rsidRPr="00870270" w:rsidRDefault="00B361C8" w:rsidP="00F972CB">
            <w:pPr>
              <w:jc w:val="center"/>
              <w:rPr>
                <w:rFonts w:ascii="Arial" w:hAnsi="Arial" w:cs="Arial"/>
                <w:color w:val="000000"/>
                <w:sz w:val="20"/>
              </w:rPr>
            </w:pPr>
            <w:r>
              <w:rPr>
                <w:rFonts w:ascii="Arial" w:hAnsi="Arial" w:cs="Arial"/>
                <w:color w:val="000000"/>
                <w:sz w:val="20"/>
              </w:rPr>
              <w:t>25</w:t>
            </w:r>
          </w:p>
        </w:tc>
        <w:tc>
          <w:tcPr>
            <w:tcW w:w="1396" w:type="dxa"/>
            <w:tcBorders>
              <w:top w:val="single" w:sz="4" w:space="0" w:color="auto"/>
              <w:left w:val="single" w:sz="4" w:space="0" w:color="auto"/>
              <w:bottom w:val="single" w:sz="4" w:space="0" w:color="auto"/>
              <w:right w:val="single" w:sz="12" w:space="0" w:color="auto"/>
            </w:tcBorders>
          </w:tcPr>
          <w:p w14:paraId="20FDD2E6" w14:textId="565C87FB" w:rsidR="00B361C8" w:rsidRPr="00870270" w:rsidRDefault="00B361C8" w:rsidP="00F972CB">
            <w:pPr>
              <w:jc w:val="center"/>
              <w:rPr>
                <w:rFonts w:ascii="Arial" w:hAnsi="Arial" w:cs="Arial"/>
                <w:color w:val="000000"/>
                <w:sz w:val="20"/>
              </w:rPr>
            </w:pPr>
            <w:r>
              <w:rPr>
                <w:rFonts w:ascii="Arial" w:hAnsi="Arial" w:cs="Arial"/>
                <w:color w:val="000000"/>
                <w:sz w:val="20"/>
              </w:rPr>
              <w:t>226</w:t>
            </w:r>
          </w:p>
        </w:tc>
      </w:tr>
      <w:tr w:rsidR="00D567A0" w:rsidRPr="00870270" w14:paraId="525F6082" w14:textId="77777777" w:rsidTr="00A275DF">
        <w:tc>
          <w:tcPr>
            <w:tcW w:w="1374" w:type="dxa"/>
            <w:tcBorders>
              <w:top w:val="single" w:sz="4" w:space="0" w:color="auto"/>
              <w:left w:val="single" w:sz="12" w:space="0" w:color="auto"/>
              <w:bottom w:val="single" w:sz="4" w:space="0" w:color="auto"/>
              <w:right w:val="single" w:sz="4" w:space="0" w:color="auto"/>
            </w:tcBorders>
          </w:tcPr>
          <w:p w14:paraId="54397F96" w14:textId="44596D5A" w:rsidR="00D567A0" w:rsidRDefault="00D567A0" w:rsidP="00F972CB">
            <w:pPr>
              <w:jc w:val="center"/>
              <w:rPr>
                <w:rFonts w:ascii="Arial" w:hAnsi="Arial" w:cs="Arial"/>
                <w:color w:val="000000"/>
                <w:sz w:val="20"/>
              </w:rPr>
            </w:pPr>
            <w:r>
              <w:rPr>
                <w:rFonts w:ascii="Arial" w:hAnsi="Arial" w:cs="Arial"/>
                <w:color w:val="000000"/>
                <w:sz w:val="20"/>
              </w:rPr>
              <w:t>2023/24</w:t>
            </w:r>
          </w:p>
        </w:tc>
        <w:tc>
          <w:tcPr>
            <w:tcW w:w="1380" w:type="dxa"/>
            <w:tcBorders>
              <w:top w:val="single" w:sz="4" w:space="0" w:color="auto"/>
              <w:left w:val="single" w:sz="4" w:space="0" w:color="auto"/>
              <w:bottom w:val="single" w:sz="4" w:space="0" w:color="auto"/>
              <w:right w:val="single" w:sz="4" w:space="0" w:color="auto"/>
            </w:tcBorders>
          </w:tcPr>
          <w:p w14:paraId="3CE0777B" w14:textId="22A60947" w:rsidR="00D567A0" w:rsidRDefault="00D567A0" w:rsidP="00F972CB">
            <w:pPr>
              <w:jc w:val="center"/>
              <w:rPr>
                <w:rFonts w:ascii="Arial" w:hAnsi="Arial" w:cs="Arial"/>
                <w:color w:val="000000"/>
                <w:sz w:val="20"/>
              </w:rPr>
            </w:pPr>
            <w:r>
              <w:rPr>
                <w:rFonts w:ascii="Arial" w:hAnsi="Arial" w:cs="Arial"/>
                <w:color w:val="000000"/>
                <w:sz w:val="20"/>
              </w:rPr>
              <w:t>48</w:t>
            </w:r>
          </w:p>
        </w:tc>
        <w:tc>
          <w:tcPr>
            <w:tcW w:w="1396" w:type="dxa"/>
            <w:tcBorders>
              <w:top w:val="single" w:sz="4" w:space="0" w:color="auto"/>
              <w:left w:val="single" w:sz="4" w:space="0" w:color="auto"/>
              <w:bottom w:val="single" w:sz="4" w:space="0" w:color="auto"/>
              <w:right w:val="single" w:sz="12" w:space="0" w:color="auto"/>
            </w:tcBorders>
          </w:tcPr>
          <w:p w14:paraId="0A54894C" w14:textId="658EDC2F" w:rsidR="00D567A0" w:rsidRDefault="00D567A0" w:rsidP="00F972CB">
            <w:pPr>
              <w:jc w:val="center"/>
              <w:rPr>
                <w:rFonts w:ascii="Arial" w:hAnsi="Arial" w:cs="Arial"/>
                <w:color w:val="000000"/>
                <w:sz w:val="20"/>
              </w:rPr>
            </w:pPr>
            <w:r>
              <w:rPr>
                <w:rFonts w:ascii="Arial" w:hAnsi="Arial" w:cs="Arial"/>
                <w:color w:val="000000"/>
                <w:sz w:val="20"/>
              </w:rPr>
              <w:t>459</w:t>
            </w:r>
          </w:p>
        </w:tc>
        <w:tc>
          <w:tcPr>
            <w:tcW w:w="1375" w:type="dxa"/>
            <w:tcBorders>
              <w:top w:val="single" w:sz="4" w:space="0" w:color="auto"/>
              <w:left w:val="single" w:sz="12" w:space="0" w:color="auto"/>
              <w:bottom w:val="single" w:sz="4" w:space="0" w:color="auto"/>
              <w:right w:val="single" w:sz="4" w:space="0" w:color="auto"/>
            </w:tcBorders>
          </w:tcPr>
          <w:p w14:paraId="6823D364" w14:textId="06638786" w:rsidR="00D567A0" w:rsidRDefault="00D567A0" w:rsidP="00F972CB">
            <w:pPr>
              <w:jc w:val="center"/>
              <w:rPr>
                <w:rFonts w:ascii="Arial" w:hAnsi="Arial" w:cs="Arial"/>
                <w:color w:val="000000"/>
                <w:sz w:val="20"/>
              </w:rPr>
            </w:pPr>
            <w:r>
              <w:rPr>
                <w:rFonts w:ascii="Arial" w:hAnsi="Arial" w:cs="Arial"/>
                <w:color w:val="000000"/>
                <w:sz w:val="20"/>
              </w:rPr>
              <w:t>2023/24</w:t>
            </w:r>
          </w:p>
        </w:tc>
        <w:tc>
          <w:tcPr>
            <w:tcW w:w="1381" w:type="dxa"/>
            <w:tcBorders>
              <w:top w:val="single" w:sz="4" w:space="0" w:color="auto"/>
              <w:left w:val="single" w:sz="4" w:space="0" w:color="auto"/>
              <w:bottom w:val="single" w:sz="4" w:space="0" w:color="auto"/>
              <w:right w:val="single" w:sz="4" w:space="0" w:color="auto"/>
            </w:tcBorders>
          </w:tcPr>
          <w:p w14:paraId="417198AB" w14:textId="2D1A9F5E" w:rsidR="00D567A0" w:rsidRDefault="00D567A0" w:rsidP="00F972CB">
            <w:pPr>
              <w:jc w:val="center"/>
              <w:rPr>
                <w:rFonts w:ascii="Arial" w:hAnsi="Arial" w:cs="Arial"/>
                <w:color w:val="000000"/>
                <w:sz w:val="20"/>
              </w:rPr>
            </w:pPr>
            <w:r>
              <w:rPr>
                <w:rFonts w:ascii="Arial" w:hAnsi="Arial" w:cs="Arial"/>
                <w:color w:val="000000"/>
                <w:sz w:val="20"/>
              </w:rPr>
              <w:t>24</w:t>
            </w:r>
          </w:p>
        </w:tc>
        <w:tc>
          <w:tcPr>
            <w:tcW w:w="1396" w:type="dxa"/>
            <w:tcBorders>
              <w:top w:val="single" w:sz="4" w:space="0" w:color="auto"/>
              <w:left w:val="single" w:sz="4" w:space="0" w:color="auto"/>
              <w:bottom w:val="single" w:sz="4" w:space="0" w:color="auto"/>
              <w:right w:val="single" w:sz="12" w:space="0" w:color="auto"/>
            </w:tcBorders>
          </w:tcPr>
          <w:p w14:paraId="3DFA9CD5" w14:textId="13C77017" w:rsidR="00D567A0" w:rsidRDefault="00D567A0" w:rsidP="00F972CB">
            <w:pPr>
              <w:jc w:val="center"/>
              <w:rPr>
                <w:rFonts w:ascii="Arial" w:hAnsi="Arial" w:cs="Arial"/>
                <w:color w:val="000000"/>
                <w:sz w:val="20"/>
              </w:rPr>
            </w:pPr>
            <w:r>
              <w:rPr>
                <w:rFonts w:ascii="Arial" w:hAnsi="Arial" w:cs="Arial"/>
                <w:color w:val="000000"/>
                <w:sz w:val="20"/>
              </w:rPr>
              <w:t>173</w:t>
            </w:r>
          </w:p>
        </w:tc>
      </w:tr>
      <w:tr w:rsidR="00A275DF" w:rsidRPr="00870270" w14:paraId="5D7DC36B" w14:textId="77777777" w:rsidTr="00011E27">
        <w:tc>
          <w:tcPr>
            <w:tcW w:w="1374" w:type="dxa"/>
            <w:tcBorders>
              <w:top w:val="single" w:sz="4" w:space="0" w:color="auto"/>
              <w:left w:val="single" w:sz="12" w:space="0" w:color="auto"/>
              <w:bottom w:val="single" w:sz="12" w:space="0" w:color="auto"/>
              <w:right w:val="single" w:sz="4" w:space="0" w:color="auto"/>
            </w:tcBorders>
          </w:tcPr>
          <w:p w14:paraId="131DEE10" w14:textId="1A20B3F6" w:rsidR="00A275DF" w:rsidRDefault="00A275DF" w:rsidP="00F972CB">
            <w:pPr>
              <w:jc w:val="center"/>
              <w:rPr>
                <w:rFonts w:ascii="Arial" w:hAnsi="Arial" w:cs="Arial"/>
                <w:color w:val="000000"/>
                <w:sz w:val="20"/>
              </w:rPr>
            </w:pPr>
            <w:r>
              <w:rPr>
                <w:rFonts w:ascii="Arial" w:hAnsi="Arial" w:cs="Arial"/>
                <w:color w:val="000000"/>
                <w:sz w:val="20"/>
              </w:rPr>
              <w:t>2024/25</w:t>
            </w:r>
          </w:p>
        </w:tc>
        <w:tc>
          <w:tcPr>
            <w:tcW w:w="1380" w:type="dxa"/>
            <w:tcBorders>
              <w:top w:val="single" w:sz="4" w:space="0" w:color="auto"/>
              <w:left w:val="single" w:sz="4" w:space="0" w:color="auto"/>
              <w:bottom w:val="single" w:sz="12" w:space="0" w:color="auto"/>
              <w:right w:val="single" w:sz="4" w:space="0" w:color="auto"/>
            </w:tcBorders>
          </w:tcPr>
          <w:p w14:paraId="7E42907C" w14:textId="0F4A89A6" w:rsidR="00A275DF" w:rsidRDefault="00A275DF" w:rsidP="00F972CB">
            <w:pPr>
              <w:jc w:val="center"/>
              <w:rPr>
                <w:rFonts w:ascii="Arial" w:hAnsi="Arial" w:cs="Arial"/>
                <w:color w:val="000000"/>
                <w:sz w:val="20"/>
              </w:rPr>
            </w:pPr>
            <w:r>
              <w:rPr>
                <w:rFonts w:ascii="Arial" w:hAnsi="Arial" w:cs="Arial"/>
                <w:color w:val="000000"/>
                <w:sz w:val="20"/>
              </w:rPr>
              <w:t>51</w:t>
            </w:r>
          </w:p>
        </w:tc>
        <w:tc>
          <w:tcPr>
            <w:tcW w:w="1396" w:type="dxa"/>
            <w:tcBorders>
              <w:top w:val="single" w:sz="4" w:space="0" w:color="auto"/>
              <w:left w:val="single" w:sz="4" w:space="0" w:color="auto"/>
              <w:bottom w:val="single" w:sz="12" w:space="0" w:color="auto"/>
              <w:right w:val="single" w:sz="12" w:space="0" w:color="auto"/>
            </w:tcBorders>
          </w:tcPr>
          <w:p w14:paraId="5AADD97C" w14:textId="0CCC7C81" w:rsidR="00A275DF" w:rsidRDefault="00A275DF" w:rsidP="00F972CB">
            <w:pPr>
              <w:jc w:val="center"/>
              <w:rPr>
                <w:rFonts w:ascii="Arial" w:hAnsi="Arial" w:cs="Arial"/>
                <w:color w:val="000000"/>
                <w:sz w:val="20"/>
              </w:rPr>
            </w:pPr>
            <w:r>
              <w:rPr>
                <w:rFonts w:ascii="Arial" w:hAnsi="Arial" w:cs="Arial"/>
                <w:color w:val="000000"/>
                <w:sz w:val="20"/>
              </w:rPr>
              <w:t>510</w:t>
            </w:r>
          </w:p>
        </w:tc>
        <w:tc>
          <w:tcPr>
            <w:tcW w:w="1375" w:type="dxa"/>
            <w:tcBorders>
              <w:top w:val="single" w:sz="4" w:space="0" w:color="auto"/>
              <w:left w:val="single" w:sz="12" w:space="0" w:color="auto"/>
              <w:bottom w:val="single" w:sz="12" w:space="0" w:color="auto"/>
              <w:right w:val="single" w:sz="4" w:space="0" w:color="auto"/>
            </w:tcBorders>
          </w:tcPr>
          <w:p w14:paraId="5A7D4E60" w14:textId="60421F4A" w:rsidR="00A275DF" w:rsidRDefault="00A275DF" w:rsidP="00F972CB">
            <w:pPr>
              <w:jc w:val="center"/>
              <w:rPr>
                <w:rFonts w:ascii="Arial" w:hAnsi="Arial" w:cs="Arial"/>
                <w:color w:val="000000"/>
                <w:sz w:val="20"/>
              </w:rPr>
            </w:pPr>
            <w:r>
              <w:rPr>
                <w:rFonts w:ascii="Arial" w:hAnsi="Arial" w:cs="Arial"/>
                <w:color w:val="000000"/>
                <w:sz w:val="20"/>
              </w:rPr>
              <w:t>2024/25</w:t>
            </w:r>
          </w:p>
        </w:tc>
        <w:tc>
          <w:tcPr>
            <w:tcW w:w="1381" w:type="dxa"/>
            <w:tcBorders>
              <w:top w:val="single" w:sz="4" w:space="0" w:color="auto"/>
              <w:left w:val="single" w:sz="4" w:space="0" w:color="auto"/>
              <w:bottom w:val="single" w:sz="12" w:space="0" w:color="auto"/>
              <w:right w:val="single" w:sz="4" w:space="0" w:color="auto"/>
            </w:tcBorders>
          </w:tcPr>
          <w:p w14:paraId="14349B09" w14:textId="0B023B70" w:rsidR="00A275DF" w:rsidRDefault="00A275DF" w:rsidP="00F972CB">
            <w:pPr>
              <w:jc w:val="center"/>
              <w:rPr>
                <w:rFonts w:ascii="Arial" w:hAnsi="Arial" w:cs="Arial"/>
                <w:color w:val="000000"/>
                <w:sz w:val="20"/>
              </w:rPr>
            </w:pPr>
            <w:r>
              <w:rPr>
                <w:rFonts w:ascii="Arial" w:hAnsi="Arial" w:cs="Arial"/>
                <w:color w:val="000000"/>
                <w:sz w:val="20"/>
              </w:rPr>
              <w:t>25</w:t>
            </w:r>
          </w:p>
        </w:tc>
        <w:tc>
          <w:tcPr>
            <w:tcW w:w="1396" w:type="dxa"/>
            <w:tcBorders>
              <w:top w:val="single" w:sz="4" w:space="0" w:color="auto"/>
              <w:left w:val="single" w:sz="4" w:space="0" w:color="auto"/>
              <w:bottom w:val="single" w:sz="12" w:space="0" w:color="auto"/>
              <w:right w:val="single" w:sz="12" w:space="0" w:color="auto"/>
            </w:tcBorders>
          </w:tcPr>
          <w:p w14:paraId="412C59CC" w14:textId="50D72628" w:rsidR="00A275DF" w:rsidRDefault="00A275DF" w:rsidP="00F972CB">
            <w:pPr>
              <w:jc w:val="center"/>
              <w:rPr>
                <w:rFonts w:ascii="Arial" w:hAnsi="Arial" w:cs="Arial"/>
                <w:color w:val="000000"/>
                <w:sz w:val="20"/>
              </w:rPr>
            </w:pPr>
            <w:r>
              <w:rPr>
                <w:rFonts w:ascii="Arial" w:hAnsi="Arial" w:cs="Arial"/>
                <w:color w:val="000000"/>
                <w:sz w:val="20"/>
              </w:rPr>
              <w:t>264</w:t>
            </w:r>
          </w:p>
        </w:tc>
      </w:tr>
      <w:tr w:rsidR="00011E27" w:rsidRPr="00870270" w14:paraId="68886CBA" w14:textId="77777777" w:rsidTr="003C0199">
        <w:tc>
          <w:tcPr>
            <w:tcW w:w="8302" w:type="dxa"/>
            <w:gridSpan w:val="6"/>
            <w:tcBorders>
              <w:top w:val="single" w:sz="12" w:space="0" w:color="auto"/>
              <w:left w:val="single" w:sz="12" w:space="0" w:color="auto"/>
              <w:bottom w:val="single" w:sz="12" w:space="0" w:color="auto"/>
              <w:right w:val="single" w:sz="12" w:space="0" w:color="auto"/>
            </w:tcBorders>
            <w:shd w:val="clear" w:color="auto" w:fill="DDDDDD"/>
          </w:tcPr>
          <w:p w14:paraId="69D697BF" w14:textId="294D533A" w:rsidR="00011E27" w:rsidRDefault="003C0199" w:rsidP="00F972CB">
            <w:pPr>
              <w:jc w:val="center"/>
              <w:rPr>
                <w:rFonts w:ascii="Arial" w:hAnsi="Arial" w:cs="Arial"/>
                <w:color w:val="000000"/>
                <w:sz w:val="20"/>
              </w:rPr>
            </w:pPr>
            <w:r>
              <w:rPr>
                <w:rFonts w:ascii="Arial" w:hAnsi="Arial" w:cs="Arial"/>
                <w:color w:val="000000"/>
                <w:sz w:val="20"/>
              </w:rPr>
              <w:t>*Multiple children in the one family are counted as one family hearing.</w:t>
            </w:r>
          </w:p>
        </w:tc>
      </w:tr>
    </w:tbl>
    <w:p w14:paraId="3FE7B219" w14:textId="77777777" w:rsidR="00CE09D6" w:rsidRDefault="00CE09D6" w:rsidP="00F66746">
      <w:pPr>
        <w:jc w:val="both"/>
        <w:rPr>
          <w:rFonts w:ascii="Arial" w:hAnsi="Arial" w:cs="Arial"/>
          <w:sz w:val="20"/>
        </w:rPr>
      </w:pPr>
    </w:p>
    <w:p w14:paraId="2F495975" w14:textId="501E077F" w:rsidR="0035654B" w:rsidRDefault="008E4C7E" w:rsidP="0035654B">
      <w:pPr>
        <w:jc w:val="both"/>
        <w:rPr>
          <w:rFonts w:ascii="Arial" w:hAnsi="Arial" w:cs="Arial"/>
          <w:sz w:val="20"/>
        </w:rPr>
      </w:pPr>
      <w:bookmarkStart w:id="1438" w:name="_4.10_Alternative_Dispute"/>
      <w:bookmarkStart w:id="1439" w:name="_Hlk144738638"/>
      <w:bookmarkEnd w:id="1438"/>
      <w:r>
        <w:rPr>
          <w:rFonts w:ascii="Arial" w:hAnsi="Arial" w:cs="Arial"/>
          <w:sz w:val="20"/>
        </w:rPr>
        <w:t xml:space="preserve">In its second interim report – </w:t>
      </w:r>
      <w:hyperlink r:id="rId37" w:history="1">
        <w:r w:rsidRPr="001851B4">
          <w:rPr>
            <w:rStyle w:val="Hyperlink"/>
            <w:rFonts w:ascii="Arial" w:hAnsi="Arial" w:cs="Arial"/>
            <w:sz w:val="20"/>
          </w:rPr>
          <w:t>Report into Victoria’s Child Protection and Criminal Justice Systems</w:t>
        </w:r>
      </w:hyperlink>
      <w:r>
        <w:rPr>
          <w:rFonts w:ascii="Arial" w:hAnsi="Arial" w:cs="Arial"/>
          <w:sz w:val="20"/>
        </w:rPr>
        <w:t xml:space="preserve"> – tabled on 04/09/2023, the Yoorrook Justice Commission </w:t>
      </w:r>
      <w:bookmarkEnd w:id="1439"/>
      <w:r>
        <w:rPr>
          <w:rFonts w:ascii="Arial" w:hAnsi="Arial" w:cs="Arial"/>
          <w:sz w:val="20"/>
        </w:rPr>
        <w:t>recommended: “</w:t>
      </w:r>
      <w:r w:rsidR="00C31576">
        <w:rPr>
          <w:rFonts w:ascii="Arial" w:hAnsi="Arial" w:cs="Arial"/>
          <w:sz w:val="20"/>
        </w:rPr>
        <w:t>19. </w:t>
      </w:r>
      <w:r w:rsidRPr="008E4C7E">
        <w:rPr>
          <w:rFonts w:ascii="Arial" w:hAnsi="Arial" w:cs="Arial"/>
          <w:sz w:val="20"/>
        </w:rPr>
        <w:t>The</w:t>
      </w:r>
      <w:r>
        <w:rPr>
          <w:rFonts w:ascii="Arial" w:hAnsi="Arial" w:cs="Arial"/>
          <w:sz w:val="20"/>
        </w:rPr>
        <w:t> </w:t>
      </w:r>
      <w:r w:rsidRPr="008E4C7E">
        <w:rPr>
          <w:rFonts w:ascii="Arial" w:hAnsi="Arial" w:cs="Arial"/>
          <w:sz w:val="20"/>
        </w:rPr>
        <w:t>Victorian Government must</w:t>
      </w:r>
      <w:r>
        <w:rPr>
          <w:rFonts w:ascii="Arial" w:hAnsi="Arial" w:cs="Arial"/>
          <w:sz w:val="20"/>
        </w:rPr>
        <w:t xml:space="preserve"> as soon as possible expand and sufficiently resource the Marram-Ngala </w:t>
      </w:r>
      <w:proofErr w:type="spellStart"/>
      <w:r>
        <w:rPr>
          <w:rFonts w:ascii="Arial" w:hAnsi="Arial" w:cs="Arial"/>
          <w:sz w:val="20"/>
        </w:rPr>
        <w:t>Ganbu</w:t>
      </w:r>
      <w:proofErr w:type="spellEnd"/>
      <w:r>
        <w:rPr>
          <w:rFonts w:ascii="Arial" w:hAnsi="Arial" w:cs="Arial"/>
          <w:sz w:val="20"/>
        </w:rPr>
        <w:t xml:space="preserve"> (Koori Family Hearing Day) state-wide.” The reasons for this recommendation together with the reasons for recommendation 18 – that specialist Children’s Court judicial officers should determine child protection matters state-wide – are detailed on </w:t>
      </w:r>
      <w:r>
        <w:rPr>
          <w:rFonts w:ascii="Arial" w:hAnsi="Arial" w:cs="Arial"/>
          <w:sz w:val="20"/>
        </w:rPr>
        <w:lastRenderedPageBreak/>
        <w:t>pages 163-167 of the report.</w:t>
      </w:r>
      <w:r w:rsidR="0035654B">
        <w:rPr>
          <w:rFonts w:ascii="Arial" w:hAnsi="Arial" w:cs="Arial"/>
          <w:sz w:val="20"/>
        </w:rPr>
        <w:t xml:space="preserve"> In its response dated April 2024 the Victorian Government noted that it supports recommendations 18 &amp; 19 in principle.</w:t>
      </w:r>
      <w:r w:rsidR="00D567A0">
        <w:rPr>
          <w:rFonts w:ascii="Arial" w:hAnsi="Arial" w:cs="Arial"/>
          <w:sz w:val="20"/>
        </w:rPr>
        <w:t xml:space="preserve"> See </w:t>
      </w:r>
      <w:r w:rsidR="00D567A0" w:rsidRPr="00880806">
        <w:rPr>
          <w:rFonts w:ascii="Arial" w:hAnsi="Arial" w:cs="Arial"/>
          <w:b/>
          <w:bCs/>
          <w:sz w:val="20"/>
          <w:shd w:val="clear" w:color="auto" w:fill="C5E0B3"/>
        </w:rPr>
        <w:t>Part 1.7</w:t>
      </w:r>
      <w:r w:rsidR="00D567A0" w:rsidRPr="00D567A0">
        <w:rPr>
          <w:rFonts w:ascii="Arial" w:hAnsi="Arial" w:cs="Arial"/>
          <w:sz w:val="20"/>
        </w:rPr>
        <w:t xml:space="preserve"> </w:t>
      </w:r>
      <w:r w:rsidR="00D567A0">
        <w:rPr>
          <w:rFonts w:ascii="Arial" w:hAnsi="Arial" w:cs="Arial"/>
          <w:sz w:val="20"/>
        </w:rPr>
        <w:t>of the Research Materials.</w:t>
      </w:r>
    </w:p>
    <w:p w14:paraId="6B1F6A99" w14:textId="77777777" w:rsidR="0035654B" w:rsidRDefault="0035654B" w:rsidP="00132E50">
      <w:pPr>
        <w:ind w:left="363" w:hanging="363"/>
        <w:jc w:val="both"/>
        <w:rPr>
          <w:rFonts w:ascii="Arial" w:hAnsi="Arial" w:cs="Arial"/>
          <w:sz w:val="20"/>
        </w:rPr>
      </w:pPr>
    </w:p>
    <w:p w14:paraId="60635C3E" w14:textId="7635110B" w:rsidR="00011E27" w:rsidRPr="00011E27" w:rsidRDefault="005F5B22" w:rsidP="00011E27">
      <w:pPr>
        <w:jc w:val="both"/>
        <w:rPr>
          <w:rFonts w:ascii="Arial" w:hAnsi="Arial" w:cs="Arial"/>
          <w:sz w:val="20"/>
        </w:rPr>
      </w:pPr>
      <w:r>
        <w:rPr>
          <w:rFonts w:ascii="Arial" w:hAnsi="Arial" w:cs="Arial"/>
          <w:sz w:val="20"/>
        </w:rPr>
        <w:t xml:space="preserve">The Children’s Court of Victoria </w:t>
      </w:r>
      <w:r w:rsidR="004507A4">
        <w:rPr>
          <w:rFonts w:ascii="Arial" w:hAnsi="Arial" w:cs="Arial"/>
          <w:sz w:val="20"/>
        </w:rPr>
        <w:t xml:space="preserve">announced in February 2026 that it </w:t>
      </w:r>
      <w:r>
        <w:rPr>
          <w:rFonts w:ascii="Arial" w:hAnsi="Arial" w:cs="Arial"/>
          <w:sz w:val="20"/>
        </w:rPr>
        <w:t xml:space="preserve">will expand the availability of Marram-Ngala </w:t>
      </w:r>
      <w:proofErr w:type="spellStart"/>
      <w:r>
        <w:rPr>
          <w:rFonts w:ascii="Arial" w:hAnsi="Arial" w:cs="Arial"/>
          <w:sz w:val="20"/>
        </w:rPr>
        <w:t>Ganbu</w:t>
      </w:r>
      <w:proofErr w:type="spellEnd"/>
      <w:r>
        <w:rPr>
          <w:rFonts w:ascii="Arial" w:hAnsi="Arial" w:cs="Arial"/>
          <w:sz w:val="20"/>
        </w:rPr>
        <w:t xml:space="preserve"> (MNG) to all Melbourne Metropolitan venues by September 2026. This</w:t>
      </w:r>
      <w:r w:rsidR="004507A4">
        <w:rPr>
          <w:rFonts w:ascii="Arial" w:hAnsi="Arial" w:cs="Arial"/>
          <w:sz w:val="20"/>
        </w:rPr>
        <w:t xml:space="preserve"> expansion will be led by the Koori Services and Programs Team and</w:t>
      </w:r>
      <w:r>
        <w:rPr>
          <w:rFonts w:ascii="Arial" w:hAnsi="Arial" w:cs="Arial"/>
          <w:sz w:val="20"/>
        </w:rPr>
        <w:t xml:space="preserve"> represents an important step in strengthening the Court’s commitment to self-determination and the implementation of innovative approaches to better meet the needs of First Nations people.</w:t>
      </w:r>
      <w:r w:rsidR="004507A4">
        <w:rPr>
          <w:rFonts w:ascii="Arial" w:hAnsi="Arial" w:cs="Arial"/>
          <w:sz w:val="20"/>
        </w:rPr>
        <w:t xml:space="preserve"> Additional Koori staff will be recruited as part of the expansion.</w:t>
      </w:r>
    </w:p>
    <w:p w14:paraId="70B3066C" w14:textId="77777777" w:rsidR="005F5B22" w:rsidRDefault="005F5B22" w:rsidP="005F5B22">
      <w:pPr>
        <w:jc w:val="both"/>
        <w:rPr>
          <w:rFonts w:ascii="Arial" w:hAnsi="Arial" w:cs="Arial"/>
          <w:sz w:val="20"/>
        </w:rPr>
      </w:pPr>
    </w:p>
    <w:p w14:paraId="7A2291BF" w14:textId="37872E65" w:rsidR="005F5B22" w:rsidRDefault="005F5B22" w:rsidP="005F5B22">
      <w:pPr>
        <w:jc w:val="both"/>
        <w:rPr>
          <w:rFonts w:ascii="Arial" w:hAnsi="Arial" w:cs="Arial"/>
          <w:sz w:val="20"/>
        </w:rPr>
      </w:pPr>
      <w:r>
        <w:rPr>
          <w:rFonts w:ascii="Arial" w:hAnsi="Arial" w:cs="Arial"/>
          <w:sz w:val="20"/>
        </w:rPr>
        <w:t>Implementation and service delivery commencement at each location will be phased to ensure appropriate consultation</w:t>
      </w:r>
      <w:r w:rsidR="00011E27">
        <w:rPr>
          <w:rFonts w:ascii="Arial" w:hAnsi="Arial" w:cs="Arial"/>
          <w:sz w:val="20"/>
        </w:rPr>
        <w:t xml:space="preserve"> and operational planning is undertaken prior to commencement. The Court will undertake a comprehensive communication and engagement process with Aboriginal stakeholders, agencies, services and communities in each location to ensure local needs and preferences are appropriately incorporated into the ongoing service delivery model of these programs at each site.</w:t>
      </w:r>
    </w:p>
    <w:p w14:paraId="3E63A1BE" w14:textId="77777777" w:rsidR="005F5B22" w:rsidRDefault="005F5B22" w:rsidP="00132E50">
      <w:pPr>
        <w:ind w:left="363" w:hanging="363"/>
        <w:jc w:val="both"/>
        <w:rPr>
          <w:rFonts w:ascii="Arial" w:hAnsi="Arial" w:cs="Arial"/>
          <w:sz w:val="20"/>
        </w:rPr>
      </w:pPr>
    </w:p>
    <w:p w14:paraId="06B9B6ED" w14:textId="77777777" w:rsidR="00011E27" w:rsidRDefault="00011E27" w:rsidP="00011E27">
      <w:pPr>
        <w:jc w:val="both"/>
        <w:rPr>
          <w:rFonts w:ascii="Arial" w:hAnsi="Arial" w:cs="Arial"/>
          <w:sz w:val="20"/>
        </w:rPr>
      </w:pPr>
      <w:r>
        <w:rPr>
          <w:rFonts w:ascii="Arial" w:hAnsi="Arial" w:cs="Arial"/>
          <w:sz w:val="20"/>
        </w:rPr>
        <w:t>The MNG Expansion Project Timeline is as follows:</w:t>
      </w:r>
    </w:p>
    <w:p w14:paraId="1DAB5128" w14:textId="77777777" w:rsidR="00011E27" w:rsidRDefault="00011E27">
      <w:pPr>
        <w:pStyle w:val="ListParagraph"/>
        <w:numPr>
          <w:ilvl w:val="0"/>
          <w:numId w:val="114"/>
        </w:numPr>
        <w:ind w:left="357" w:hanging="357"/>
        <w:jc w:val="both"/>
        <w:rPr>
          <w:rFonts w:ascii="Arial" w:hAnsi="Arial" w:cs="Arial"/>
          <w:sz w:val="20"/>
        </w:rPr>
      </w:pPr>
      <w:r>
        <w:rPr>
          <w:rFonts w:ascii="Arial" w:hAnsi="Arial" w:cs="Arial"/>
          <w:sz w:val="20"/>
        </w:rPr>
        <w:t>June 2026: Dandenong MNG commences;</w:t>
      </w:r>
    </w:p>
    <w:p w14:paraId="505521B4" w14:textId="77777777" w:rsidR="00011E27" w:rsidRDefault="00011E27">
      <w:pPr>
        <w:pStyle w:val="ListParagraph"/>
        <w:numPr>
          <w:ilvl w:val="0"/>
          <w:numId w:val="114"/>
        </w:numPr>
        <w:ind w:left="357" w:hanging="357"/>
        <w:jc w:val="both"/>
        <w:rPr>
          <w:rFonts w:ascii="Arial" w:hAnsi="Arial" w:cs="Arial"/>
          <w:sz w:val="20"/>
        </w:rPr>
      </w:pPr>
      <w:r>
        <w:rPr>
          <w:rFonts w:ascii="Arial" w:hAnsi="Arial" w:cs="Arial"/>
          <w:sz w:val="20"/>
        </w:rPr>
        <w:t>July 2026: Wyndham and Moorabbin MNG commence;</w:t>
      </w:r>
    </w:p>
    <w:p w14:paraId="6CFADCBE" w14:textId="77777777" w:rsidR="00011E27" w:rsidRPr="00011E27" w:rsidRDefault="00011E27">
      <w:pPr>
        <w:pStyle w:val="ListParagraph"/>
        <w:numPr>
          <w:ilvl w:val="0"/>
          <w:numId w:val="114"/>
        </w:numPr>
        <w:ind w:left="357" w:hanging="357"/>
        <w:jc w:val="both"/>
        <w:rPr>
          <w:rFonts w:ascii="Arial" w:hAnsi="Arial" w:cs="Arial"/>
          <w:sz w:val="20"/>
        </w:rPr>
      </w:pPr>
      <w:r>
        <w:rPr>
          <w:rFonts w:ascii="Arial" w:hAnsi="Arial" w:cs="Arial"/>
          <w:sz w:val="20"/>
        </w:rPr>
        <w:t>September 2026: Melbourne MNG commences.</w:t>
      </w:r>
    </w:p>
    <w:p w14:paraId="43F0C4C6" w14:textId="77777777" w:rsidR="00011E27" w:rsidRPr="008E4C7E" w:rsidRDefault="00011E27" w:rsidP="00132E50">
      <w:pPr>
        <w:ind w:left="363" w:hanging="363"/>
        <w:jc w:val="both"/>
        <w:rPr>
          <w:rFonts w:ascii="Arial" w:hAnsi="Arial" w:cs="Arial"/>
          <w:sz w:val="20"/>
        </w:rPr>
      </w:pPr>
    </w:p>
    <w:p w14:paraId="62691E14" w14:textId="77777777" w:rsidR="008E4C7E" w:rsidRPr="005836D1" w:rsidRDefault="008E4C7E" w:rsidP="008E4C7E">
      <w:pPr>
        <w:jc w:val="center"/>
        <w:rPr>
          <w:rFonts w:ascii="Arial" w:hAnsi="Arial" w:cs="Arial"/>
          <w:b/>
          <w:bCs/>
          <w:szCs w:val="32"/>
        </w:rPr>
      </w:pPr>
      <w:bookmarkStart w:id="1440" w:name="B410"/>
      <w:bookmarkEnd w:id="1440"/>
      <w:r w:rsidRPr="005836D1">
        <w:rPr>
          <w:rFonts w:ascii="Arial" w:hAnsi="Arial" w:cs="Arial"/>
          <w:b/>
          <w:bCs/>
          <w:szCs w:val="32"/>
        </w:rPr>
        <w:t>THE REST OF THIS PAGE IS BLANK</w:t>
      </w:r>
    </w:p>
    <w:p w14:paraId="08574058" w14:textId="77777777" w:rsidR="005F5B22" w:rsidRDefault="005F5B22" w:rsidP="008E4C7E">
      <w:pPr>
        <w:jc w:val="both"/>
        <w:rPr>
          <w:rFonts w:ascii="Arial" w:hAnsi="Arial" w:cs="Arial"/>
          <w:sz w:val="20"/>
        </w:rPr>
      </w:pPr>
    </w:p>
    <w:p w14:paraId="33EE1DA1" w14:textId="0C413A47" w:rsidR="00132E50" w:rsidRPr="00132E50" w:rsidRDefault="008E4C7E" w:rsidP="003C0199">
      <w:pPr>
        <w:pStyle w:val="Heading2"/>
        <w:widowControl/>
        <w:tabs>
          <w:tab w:val="left" w:pos="567"/>
        </w:tabs>
        <w:spacing w:line="240" w:lineRule="auto"/>
        <w:rPr>
          <w:rFonts w:ascii="Arial" w:hAnsi="Arial" w:cs="Arial"/>
          <w:b/>
          <w:bCs/>
          <w:color w:val="000000"/>
        </w:rPr>
      </w:pPr>
      <w:bookmarkStart w:id="1441" w:name="_4.9.7_Throughput_of_1"/>
      <w:bookmarkEnd w:id="1441"/>
      <w:r>
        <w:rPr>
          <w:rFonts w:ascii="Arial" w:hAnsi="Arial" w:cs="Arial"/>
          <w:sz w:val="20"/>
        </w:rPr>
        <w:br w:type="page"/>
      </w:r>
      <w:r w:rsidR="00132E50" w:rsidRPr="00132E50">
        <w:rPr>
          <w:rFonts w:ascii="Arial" w:hAnsi="Arial" w:cs="Arial"/>
          <w:b/>
          <w:bCs/>
          <w:color w:val="000000"/>
        </w:rPr>
        <w:lastRenderedPageBreak/>
        <w:t>4.10</w:t>
      </w:r>
      <w:r w:rsidR="00132E50" w:rsidRPr="00132E50">
        <w:rPr>
          <w:rFonts w:ascii="Arial" w:hAnsi="Arial" w:cs="Arial"/>
          <w:b/>
          <w:bCs/>
          <w:color w:val="000000"/>
        </w:rPr>
        <w:tab/>
        <w:t>Alternative Dispute Resolution</w:t>
      </w:r>
    </w:p>
    <w:p w14:paraId="50F37949" w14:textId="77777777" w:rsidR="00132E50" w:rsidRPr="00132E50" w:rsidRDefault="00132E50" w:rsidP="00522630">
      <w:pPr>
        <w:jc w:val="both"/>
        <w:rPr>
          <w:rFonts w:ascii="Arial" w:hAnsi="Arial" w:cs="Arial"/>
          <w:color w:val="000000"/>
          <w:sz w:val="20"/>
        </w:rPr>
      </w:pPr>
    </w:p>
    <w:p w14:paraId="2780D085" w14:textId="03D81FAB" w:rsidR="00132E50" w:rsidRPr="00132E50" w:rsidRDefault="00522630" w:rsidP="00522630">
      <w:pPr>
        <w:jc w:val="both"/>
        <w:rPr>
          <w:rFonts w:ascii="Arial" w:hAnsi="Arial" w:cs="Arial"/>
          <w:color w:val="000000"/>
          <w:sz w:val="20"/>
        </w:rPr>
      </w:pPr>
      <w:r>
        <w:rPr>
          <w:rFonts w:ascii="Arial" w:hAnsi="Arial" w:cs="Arial"/>
          <w:color w:val="000000"/>
          <w:sz w:val="20"/>
        </w:rPr>
        <w:t xml:space="preserve">Prior to </w:t>
      </w:r>
      <w:r w:rsidR="00731A43">
        <w:rPr>
          <w:rFonts w:ascii="Arial" w:hAnsi="Arial" w:cs="Arial"/>
          <w:color w:val="000000"/>
          <w:sz w:val="20"/>
        </w:rPr>
        <w:t>20</w:t>
      </w:r>
      <w:r w:rsidR="00514537">
        <w:rPr>
          <w:rFonts w:ascii="Arial" w:hAnsi="Arial" w:cs="Arial"/>
          <w:color w:val="000000"/>
          <w:sz w:val="20"/>
        </w:rPr>
        <w:t>/</w:t>
      </w:r>
      <w:r w:rsidR="00731A43">
        <w:rPr>
          <w:rFonts w:ascii="Arial" w:hAnsi="Arial" w:cs="Arial"/>
          <w:color w:val="000000"/>
          <w:sz w:val="20"/>
        </w:rPr>
        <w:t>12</w:t>
      </w:r>
      <w:r w:rsidR="00514537">
        <w:rPr>
          <w:rFonts w:ascii="Arial" w:hAnsi="Arial" w:cs="Arial"/>
          <w:color w:val="000000"/>
          <w:sz w:val="20"/>
        </w:rPr>
        <w:t>/202</w:t>
      </w:r>
      <w:r w:rsidR="00731A43">
        <w:rPr>
          <w:rFonts w:ascii="Arial" w:hAnsi="Arial" w:cs="Arial"/>
          <w:color w:val="000000"/>
          <w:sz w:val="20"/>
        </w:rPr>
        <w:t>4</w:t>
      </w:r>
      <w:r>
        <w:rPr>
          <w:rFonts w:ascii="Arial" w:hAnsi="Arial" w:cs="Arial"/>
          <w:color w:val="000000"/>
          <w:sz w:val="20"/>
        </w:rPr>
        <w:t xml:space="preserve"> </w:t>
      </w:r>
      <w:r w:rsidR="00015C77">
        <w:rPr>
          <w:rFonts w:ascii="Arial" w:hAnsi="Arial" w:cs="Arial"/>
          <w:color w:val="000000"/>
          <w:sz w:val="20"/>
        </w:rPr>
        <w:t>t</w:t>
      </w:r>
      <w:r w:rsidR="00132E50" w:rsidRPr="00132E50">
        <w:rPr>
          <w:rFonts w:ascii="Arial" w:hAnsi="Arial" w:cs="Arial"/>
          <w:color w:val="000000"/>
          <w:sz w:val="20"/>
        </w:rPr>
        <w:t xml:space="preserve">here </w:t>
      </w:r>
      <w:r w:rsidR="00015C77">
        <w:rPr>
          <w:rFonts w:ascii="Arial" w:hAnsi="Arial" w:cs="Arial"/>
          <w:color w:val="000000"/>
          <w:sz w:val="20"/>
        </w:rPr>
        <w:t>were</w:t>
      </w:r>
      <w:r w:rsidR="00132E50" w:rsidRPr="00132E50">
        <w:rPr>
          <w:rFonts w:ascii="Arial" w:hAnsi="Arial" w:cs="Arial"/>
          <w:color w:val="000000"/>
          <w:sz w:val="20"/>
        </w:rPr>
        <w:t xml:space="preserve"> two different </w:t>
      </w:r>
      <w:r w:rsidR="00D6777A">
        <w:rPr>
          <w:rFonts w:ascii="Arial" w:hAnsi="Arial" w:cs="Arial"/>
          <w:color w:val="000000"/>
          <w:sz w:val="20"/>
        </w:rPr>
        <w:t>type</w:t>
      </w:r>
      <w:r w:rsidR="00132E50" w:rsidRPr="00132E50">
        <w:rPr>
          <w:rFonts w:ascii="Arial" w:hAnsi="Arial" w:cs="Arial"/>
          <w:color w:val="000000"/>
          <w:sz w:val="20"/>
        </w:rPr>
        <w:t>s of Alternative Dispute Resolution used in the Family Division:</w:t>
      </w:r>
    </w:p>
    <w:p w14:paraId="13CC407B" w14:textId="77777777" w:rsidR="00132E50" w:rsidRPr="00132E50" w:rsidRDefault="00132E50" w:rsidP="00753FA4">
      <w:pPr>
        <w:numPr>
          <w:ilvl w:val="0"/>
          <w:numId w:val="24"/>
        </w:numPr>
        <w:ind w:left="284" w:hanging="284"/>
        <w:jc w:val="both"/>
        <w:rPr>
          <w:rFonts w:ascii="Arial" w:hAnsi="Arial" w:cs="Arial"/>
          <w:color w:val="000000"/>
          <w:sz w:val="20"/>
        </w:rPr>
      </w:pPr>
      <w:r w:rsidRPr="00132E50">
        <w:rPr>
          <w:rFonts w:ascii="Arial" w:hAnsi="Arial" w:cs="Arial"/>
          <w:color w:val="000000"/>
          <w:sz w:val="20"/>
        </w:rPr>
        <w:t>a Conciliation Conference [‘CC’]; and</w:t>
      </w:r>
    </w:p>
    <w:p w14:paraId="1DD27113" w14:textId="77777777" w:rsidR="00132E50" w:rsidRPr="00132E50" w:rsidRDefault="00132E50">
      <w:pPr>
        <w:numPr>
          <w:ilvl w:val="0"/>
          <w:numId w:val="24"/>
        </w:numPr>
        <w:jc w:val="both"/>
        <w:rPr>
          <w:rFonts w:ascii="Arial" w:hAnsi="Arial" w:cs="Arial"/>
          <w:color w:val="000000"/>
          <w:sz w:val="20"/>
        </w:rPr>
      </w:pPr>
      <w:r w:rsidRPr="00132E50">
        <w:rPr>
          <w:rFonts w:ascii="Arial" w:hAnsi="Arial" w:cs="Arial"/>
          <w:color w:val="000000"/>
          <w:sz w:val="20"/>
        </w:rPr>
        <w:t>a Judicial Resolution Conference [‘JRC’].</w:t>
      </w:r>
    </w:p>
    <w:p w14:paraId="22BFD075" w14:textId="77777777" w:rsidR="00753FA4" w:rsidRDefault="00753FA4" w:rsidP="00132E50">
      <w:pPr>
        <w:jc w:val="both"/>
        <w:rPr>
          <w:rFonts w:ascii="Arial" w:hAnsi="Arial" w:cs="Arial"/>
          <w:color w:val="000000"/>
          <w:sz w:val="20"/>
        </w:rPr>
      </w:pPr>
    </w:p>
    <w:p w14:paraId="2D4896D5" w14:textId="43B1CFC3" w:rsidR="00132E50" w:rsidRDefault="00753FA4" w:rsidP="00132E50">
      <w:pPr>
        <w:jc w:val="both"/>
        <w:rPr>
          <w:rFonts w:ascii="Arial" w:hAnsi="Arial" w:cs="Arial"/>
          <w:color w:val="000000"/>
          <w:sz w:val="20"/>
        </w:rPr>
      </w:pPr>
      <w:r>
        <w:rPr>
          <w:rFonts w:ascii="Arial" w:hAnsi="Arial" w:cs="Arial"/>
          <w:color w:val="000000"/>
          <w:sz w:val="20"/>
        </w:rPr>
        <w:t xml:space="preserve">Since </w:t>
      </w:r>
      <w:r w:rsidR="00731A43">
        <w:rPr>
          <w:rFonts w:ascii="Arial" w:hAnsi="Arial" w:cs="Arial"/>
          <w:color w:val="000000"/>
          <w:sz w:val="20"/>
        </w:rPr>
        <w:t>20</w:t>
      </w:r>
      <w:r>
        <w:rPr>
          <w:rFonts w:ascii="Arial" w:hAnsi="Arial" w:cs="Arial"/>
          <w:color w:val="000000"/>
          <w:sz w:val="20"/>
        </w:rPr>
        <w:t>/</w:t>
      </w:r>
      <w:r w:rsidR="00731A43">
        <w:rPr>
          <w:rFonts w:ascii="Arial" w:hAnsi="Arial" w:cs="Arial"/>
          <w:color w:val="000000"/>
          <w:sz w:val="20"/>
        </w:rPr>
        <w:t>12</w:t>
      </w:r>
      <w:r>
        <w:rPr>
          <w:rFonts w:ascii="Arial" w:hAnsi="Arial" w:cs="Arial"/>
          <w:color w:val="000000"/>
          <w:sz w:val="20"/>
        </w:rPr>
        <w:t>/202</w:t>
      </w:r>
      <w:r w:rsidR="00731A43">
        <w:rPr>
          <w:rFonts w:ascii="Arial" w:hAnsi="Arial" w:cs="Arial"/>
          <w:color w:val="000000"/>
          <w:sz w:val="20"/>
        </w:rPr>
        <w:t>4</w:t>
      </w:r>
      <w:r>
        <w:rPr>
          <w:rFonts w:ascii="Arial" w:hAnsi="Arial" w:cs="Arial"/>
          <w:color w:val="000000"/>
          <w:sz w:val="20"/>
        </w:rPr>
        <w:t xml:space="preserve"> only JRCs are available. </w:t>
      </w:r>
      <w:r w:rsidR="00514537">
        <w:rPr>
          <w:rFonts w:ascii="Arial" w:hAnsi="Arial" w:cs="Arial"/>
          <w:color w:val="000000"/>
          <w:sz w:val="20"/>
        </w:rPr>
        <w:t xml:space="preserve">Although the </w:t>
      </w:r>
      <w:r>
        <w:rPr>
          <w:rFonts w:ascii="Arial" w:hAnsi="Arial" w:cs="Arial"/>
          <w:color w:val="000000"/>
          <w:sz w:val="20"/>
        </w:rPr>
        <w:t>statutory</w:t>
      </w:r>
      <w:r w:rsidR="00514537">
        <w:rPr>
          <w:rFonts w:ascii="Arial" w:hAnsi="Arial" w:cs="Arial"/>
          <w:color w:val="000000"/>
          <w:sz w:val="20"/>
        </w:rPr>
        <w:t xml:space="preserve"> basis for the conduct of CCs </w:t>
      </w:r>
      <w:r w:rsidR="00412B7F">
        <w:rPr>
          <w:rFonts w:ascii="Arial" w:hAnsi="Arial" w:cs="Arial"/>
          <w:color w:val="000000"/>
          <w:sz w:val="20"/>
        </w:rPr>
        <w:t xml:space="preserve">which is </w:t>
      </w:r>
      <w:r>
        <w:rPr>
          <w:rFonts w:ascii="Arial" w:hAnsi="Arial" w:cs="Arial"/>
          <w:color w:val="000000"/>
          <w:sz w:val="20"/>
        </w:rPr>
        <w:t xml:space="preserve">contained in ss.217-227 of the CYFA has not been </w:t>
      </w:r>
      <w:r w:rsidR="00111111">
        <w:rPr>
          <w:rFonts w:ascii="Arial" w:hAnsi="Arial" w:cs="Arial"/>
          <w:color w:val="000000"/>
          <w:sz w:val="20"/>
        </w:rPr>
        <w:t>repeal</w:t>
      </w:r>
      <w:r>
        <w:rPr>
          <w:rFonts w:ascii="Arial" w:hAnsi="Arial" w:cs="Arial"/>
          <w:color w:val="000000"/>
          <w:sz w:val="20"/>
        </w:rPr>
        <w:t xml:space="preserve">ed, the Children’s Court is no longer </w:t>
      </w:r>
      <w:r w:rsidR="00731A43">
        <w:rPr>
          <w:rFonts w:ascii="Arial" w:hAnsi="Arial" w:cs="Arial"/>
          <w:color w:val="000000"/>
          <w:sz w:val="20"/>
        </w:rPr>
        <w:t xml:space="preserve">conducting </w:t>
      </w:r>
      <w:r>
        <w:rPr>
          <w:rFonts w:ascii="Arial" w:hAnsi="Arial" w:cs="Arial"/>
          <w:color w:val="000000"/>
          <w:sz w:val="20"/>
        </w:rPr>
        <w:t>CCs.</w:t>
      </w:r>
    </w:p>
    <w:p w14:paraId="46CDA18C" w14:textId="1D411B9C" w:rsidR="00753FA4" w:rsidRDefault="00753FA4" w:rsidP="00132E50">
      <w:pPr>
        <w:jc w:val="both"/>
        <w:rPr>
          <w:rFonts w:ascii="Arial" w:hAnsi="Arial" w:cs="Arial"/>
          <w:color w:val="000000"/>
          <w:sz w:val="20"/>
        </w:rPr>
      </w:pPr>
    </w:p>
    <w:p w14:paraId="7FB76009" w14:textId="6EAF606C" w:rsidR="00753FA4" w:rsidRPr="00753FA4" w:rsidRDefault="00753FA4" w:rsidP="0037276F">
      <w:pPr>
        <w:pBdr>
          <w:left w:val="single" w:sz="12" w:space="4" w:color="FF0000"/>
          <w:right w:val="single" w:sz="12" w:space="4" w:color="FF0000"/>
        </w:pBdr>
        <w:shd w:val="clear" w:color="auto" w:fill="FF0000"/>
        <w:jc w:val="both"/>
        <w:rPr>
          <w:rFonts w:ascii="Arial" w:hAnsi="Arial" w:cs="Arial"/>
          <w:color w:val="FFFFFF" w:themeColor="background1"/>
          <w:sz w:val="20"/>
        </w:rPr>
      </w:pPr>
      <w:r w:rsidRPr="00753FA4">
        <w:rPr>
          <w:rFonts w:ascii="Arial" w:hAnsi="Arial" w:cs="Arial"/>
          <w:b/>
          <w:bCs/>
          <w:color w:val="FFFFFF" w:themeColor="background1"/>
          <w:sz w:val="20"/>
        </w:rPr>
        <w:t xml:space="preserve">SECTIONS 4.10.1 TO 4.10.9 HAVE BEEN RETAINED </w:t>
      </w:r>
      <w:r>
        <w:rPr>
          <w:rFonts w:ascii="Arial" w:hAnsi="Arial" w:cs="Arial"/>
          <w:b/>
          <w:bCs/>
          <w:color w:val="FFFFFF" w:themeColor="background1"/>
          <w:sz w:val="20"/>
        </w:rPr>
        <w:t xml:space="preserve">IN THIS PART </w:t>
      </w:r>
      <w:r w:rsidRPr="00753FA4">
        <w:rPr>
          <w:rFonts w:ascii="Arial" w:hAnsi="Arial" w:cs="Arial"/>
          <w:b/>
          <w:bCs/>
          <w:color w:val="FFFFFF" w:themeColor="background1"/>
          <w:sz w:val="20"/>
        </w:rPr>
        <w:t xml:space="preserve">FOR HISTORICAL PURPOSES BUT </w:t>
      </w:r>
      <w:r w:rsidR="00050C36">
        <w:rPr>
          <w:rFonts w:ascii="Arial" w:hAnsi="Arial" w:cs="Arial"/>
          <w:b/>
          <w:bCs/>
          <w:color w:val="FFFFFF" w:themeColor="background1"/>
          <w:sz w:val="20"/>
        </w:rPr>
        <w:t>SINCE 20/12/20</w:t>
      </w:r>
      <w:r w:rsidR="00A9471D">
        <w:rPr>
          <w:rFonts w:ascii="Arial" w:hAnsi="Arial" w:cs="Arial"/>
          <w:b/>
          <w:bCs/>
          <w:color w:val="FFFFFF" w:themeColor="background1"/>
          <w:sz w:val="20"/>
        </w:rPr>
        <w:t>2</w:t>
      </w:r>
      <w:r w:rsidR="00050C36">
        <w:rPr>
          <w:rFonts w:ascii="Arial" w:hAnsi="Arial" w:cs="Arial"/>
          <w:b/>
          <w:bCs/>
          <w:color w:val="FFFFFF" w:themeColor="background1"/>
          <w:sz w:val="20"/>
        </w:rPr>
        <w:t xml:space="preserve">4 </w:t>
      </w:r>
      <w:r>
        <w:rPr>
          <w:rFonts w:ascii="Arial" w:hAnsi="Arial" w:cs="Arial"/>
          <w:b/>
          <w:bCs/>
          <w:color w:val="FFFFFF" w:themeColor="background1"/>
          <w:sz w:val="20"/>
        </w:rPr>
        <w:t>THEY ARE NO LONGER RELEVANT TO THE OPERATION OF THE FAMILY DIVISION</w:t>
      </w:r>
      <w:r w:rsidR="00BC3004">
        <w:rPr>
          <w:rFonts w:ascii="Arial" w:hAnsi="Arial" w:cs="Arial"/>
          <w:b/>
          <w:bCs/>
          <w:color w:val="FFFFFF" w:themeColor="background1"/>
          <w:sz w:val="20"/>
        </w:rPr>
        <w:t xml:space="preserve">: SEE </w:t>
      </w:r>
      <w:r w:rsidR="00BC3004" w:rsidRPr="00BC3004">
        <w:rPr>
          <w:rFonts w:ascii="Arial" w:hAnsi="Arial" w:cs="Arial"/>
          <w:b/>
          <w:bCs/>
          <w:color w:val="000000" w:themeColor="text1"/>
          <w:sz w:val="20"/>
          <w:shd w:val="clear" w:color="auto" w:fill="C5E0B3" w:themeFill="accent6" w:themeFillTint="66"/>
        </w:rPr>
        <w:t>SECTION 4.9.3</w:t>
      </w:r>
      <w:r>
        <w:rPr>
          <w:rFonts w:ascii="Arial" w:hAnsi="Arial" w:cs="Arial"/>
          <w:b/>
          <w:bCs/>
          <w:color w:val="FFFFFF" w:themeColor="background1"/>
          <w:sz w:val="20"/>
        </w:rPr>
        <w:t>.</w:t>
      </w:r>
    </w:p>
    <w:p w14:paraId="54CF344E" w14:textId="77777777" w:rsidR="00132E50" w:rsidRPr="00132E50" w:rsidRDefault="00132E50" w:rsidP="0037276F">
      <w:pPr>
        <w:pBdr>
          <w:left w:val="single" w:sz="12" w:space="4" w:color="FF0000"/>
          <w:right w:val="single" w:sz="12" w:space="4" w:color="FF0000"/>
        </w:pBdr>
        <w:jc w:val="both"/>
        <w:rPr>
          <w:rFonts w:ascii="Arial" w:hAnsi="Arial" w:cs="Arial"/>
          <w:color w:val="000000"/>
          <w:sz w:val="20"/>
        </w:rPr>
      </w:pPr>
    </w:p>
    <w:p w14:paraId="2C1686C1" w14:textId="5BD91CDF" w:rsidR="00132E50" w:rsidRPr="00132E50" w:rsidRDefault="00132E50" w:rsidP="0037276F">
      <w:pPr>
        <w:pStyle w:val="Heading3"/>
        <w:keepNext/>
        <w:keepLines/>
        <w:pBdr>
          <w:left w:val="single" w:sz="12" w:space="4" w:color="FF0000"/>
          <w:right w:val="single" w:sz="12" w:space="4" w:color="FF0000"/>
        </w:pBdr>
        <w:spacing w:after="120" w:line="240" w:lineRule="auto"/>
        <w:rPr>
          <w:rFonts w:ascii="Arial" w:hAnsi="Arial" w:cs="Arial"/>
          <w:b/>
          <w:bCs/>
          <w:color w:val="000000"/>
          <w:sz w:val="20"/>
        </w:rPr>
      </w:pPr>
      <w:bookmarkStart w:id="1442" w:name="_4.10.1_Conciliation_Conferences"/>
      <w:bookmarkStart w:id="1443" w:name="B4101"/>
      <w:bookmarkEnd w:id="1442"/>
      <w:bookmarkEnd w:id="1443"/>
      <w:r w:rsidRPr="00132E50">
        <w:rPr>
          <w:rFonts w:ascii="Arial" w:hAnsi="Arial" w:cs="Arial"/>
          <w:b/>
          <w:bCs/>
          <w:color w:val="000000"/>
          <w:sz w:val="20"/>
        </w:rPr>
        <w:t>4.10.1</w:t>
      </w:r>
      <w:r w:rsidRPr="00132E50">
        <w:rPr>
          <w:rFonts w:ascii="Arial" w:hAnsi="Arial" w:cs="Arial"/>
          <w:b/>
          <w:bCs/>
          <w:color w:val="000000"/>
          <w:sz w:val="20"/>
        </w:rPr>
        <w:tab/>
        <w:t>Conciliation Conferences</w:t>
      </w:r>
      <w:r w:rsidR="00111111">
        <w:rPr>
          <w:rFonts w:ascii="Arial" w:hAnsi="Arial" w:cs="Arial"/>
          <w:b/>
          <w:bCs/>
          <w:color w:val="000000"/>
          <w:sz w:val="20"/>
        </w:rPr>
        <w:t xml:space="preserve"> </w:t>
      </w:r>
      <w:r w:rsidR="00111111" w:rsidRPr="00111111">
        <w:rPr>
          <w:rFonts w:ascii="Arial" w:hAnsi="Arial" w:cs="Arial"/>
          <w:b/>
          <w:bCs/>
          <w:color w:val="FFFFFF" w:themeColor="background1"/>
          <w:sz w:val="20"/>
          <w:shd w:val="clear" w:color="auto" w:fill="FF0000"/>
        </w:rPr>
        <w:t>[NO LONGER AVAILABLE]</w:t>
      </w:r>
    </w:p>
    <w:p w14:paraId="773C5B99" w14:textId="7BF5AA6B" w:rsidR="00132E50" w:rsidRPr="00132E50" w:rsidRDefault="00132E50" w:rsidP="0037276F">
      <w:pPr>
        <w:pBdr>
          <w:left w:val="single" w:sz="12" w:space="4" w:color="FF0000"/>
          <w:right w:val="single" w:sz="12" w:space="4" w:color="FF0000"/>
        </w:pBdr>
        <w:jc w:val="both"/>
        <w:rPr>
          <w:rFonts w:ascii="Arial" w:hAnsi="Arial" w:cs="Arial"/>
          <w:color w:val="000000"/>
          <w:sz w:val="20"/>
        </w:rPr>
      </w:pPr>
      <w:r w:rsidRPr="00132E50">
        <w:rPr>
          <w:rFonts w:ascii="Arial" w:hAnsi="Arial" w:cs="Arial"/>
          <w:color w:val="000000"/>
          <w:sz w:val="20"/>
        </w:rPr>
        <w:t>Sections 217-218 &amp; 220-227 of the CYFA form the statutory basis for CCs</w:t>
      </w:r>
      <w:r w:rsidR="00B87BB0">
        <w:rPr>
          <w:rFonts w:ascii="Arial" w:hAnsi="Arial" w:cs="Arial"/>
          <w:color w:val="000000"/>
          <w:sz w:val="20"/>
        </w:rPr>
        <w:t xml:space="preserve">.  These </w:t>
      </w:r>
      <w:r w:rsidR="00BC3004">
        <w:rPr>
          <w:rFonts w:ascii="Arial" w:hAnsi="Arial" w:cs="Arial"/>
          <w:color w:val="000000"/>
          <w:sz w:val="20"/>
        </w:rPr>
        <w:t>a</w:t>
      </w:r>
      <w:r w:rsidRPr="00132E50">
        <w:rPr>
          <w:rFonts w:ascii="Arial" w:hAnsi="Arial" w:cs="Arial"/>
          <w:color w:val="000000"/>
          <w:sz w:val="20"/>
        </w:rPr>
        <w:t>re court ordered conciliations presided over by one or two convenors appointed by the President of the Children’s Court.</w:t>
      </w:r>
    </w:p>
    <w:p w14:paraId="6192F357" w14:textId="77777777" w:rsidR="00B87BB0" w:rsidRPr="00132E50" w:rsidRDefault="00B87BB0" w:rsidP="0037276F">
      <w:pPr>
        <w:pBdr>
          <w:left w:val="single" w:sz="12" w:space="4" w:color="FF0000"/>
          <w:right w:val="single" w:sz="12" w:space="4" w:color="FF0000"/>
        </w:pBdr>
        <w:jc w:val="both"/>
        <w:rPr>
          <w:rFonts w:ascii="Arial" w:hAnsi="Arial" w:cs="Arial"/>
          <w:color w:val="000000"/>
          <w:sz w:val="20"/>
        </w:rPr>
      </w:pPr>
    </w:p>
    <w:p w14:paraId="5D8E4D0F" w14:textId="1A8F5E4E" w:rsidR="00B87BB0" w:rsidRPr="00B87BB0" w:rsidRDefault="00B87BB0" w:rsidP="0037276F">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 xml:space="preserve">A </w:t>
      </w:r>
      <w:r w:rsidR="003B4C54">
        <w:rPr>
          <w:rFonts w:ascii="Arial" w:hAnsi="Arial" w:cs="Arial"/>
          <w:color w:val="000000"/>
          <w:sz w:val="20"/>
        </w:rPr>
        <w:t>“</w:t>
      </w:r>
      <w:r>
        <w:rPr>
          <w:rFonts w:ascii="Arial" w:hAnsi="Arial" w:cs="Arial"/>
          <w:color w:val="000000"/>
          <w:sz w:val="20"/>
        </w:rPr>
        <w:t>conciliation conference</w:t>
      </w:r>
      <w:r w:rsidR="003B4C54">
        <w:rPr>
          <w:rFonts w:ascii="Arial" w:hAnsi="Arial" w:cs="Arial"/>
          <w:color w:val="000000"/>
          <w:sz w:val="20"/>
        </w:rPr>
        <w:t>”</w:t>
      </w:r>
      <w:r w:rsidRPr="00B87BB0">
        <w:rPr>
          <w:rFonts w:ascii="Arial" w:hAnsi="Arial" w:cs="Arial"/>
          <w:color w:val="000000"/>
          <w:sz w:val="20"/>
        </w:rPr>
        <w:t xml:space="preserve"> – first introduced in 1993</w:t>
      </w:r>
      <w:r>
        <w:rPr>
          <w:rFonts w:ascii="Arial" w:hAnsi="Arial" w:cs="Arial"/>
          <w:color w:val="000000"/>
          <w:sz w:val="20"/>
        </w:rPr>
        <w:t xml:space="preserve"> under the name “pre-hearing conference” and subsequently under the name</w:t>
      </w:r>
      <w:r w:rsidR="00DC3FFE">
        <w:rPr>
          <w:rFonts w:ascii="Arial" w:hAnsi="Arial" w:cs="Arial"/>
          <w:color w:val="000000"/>
          <w:sz w:val="20"/>
        </w:rPr>
        <w:t>s</w:t>
      </w:r>
      <w:r>
        <w:rPr>
          <w:rFonts w:ascii="Arial" w:hAnsi="Arial" w:cs="Arial"/>
          <w:color w:val="000000"/>
          <w:sz w:val="20"/>
        </w:rPr>
        <w:t xml:space="preserve"> “dispute resolution conference”</w:t>
      </w:r>
      <w:r w:rsidRPr="00B87BB0">
        <w:rPr>
          <w:rFonts w:ascii="Arial" w:hAnsi="Arial" w:cs="Arial"/>
          <w:color w:val="000000"/>
          <w:sz w:val="20"/>
        </w:rPr>
        <w:t xml:space="preserve"> </w:t>
      </w:r>
      <w:r w:rsidR="00DC3FFE">
        <w:rPr>
          <w:rFonts w:ascii="Arial" w:hAnsi="Arial" w:cs="Arial"/>
          <w:color w:val="000000"/>
          <w:sz w:val="20"/>
        </w:rPr>
        <w:t xml:space="preserve">&amp; “new model conference” </w:t>
      </w:r>
      <w:r w:rsidRPr="00B87BB0">
        <w:rPr>
          <w:rFonts w:ascii="Arial" w:hAnsi="Arial" w:cs="Arial"/>
          <w:color w:val="000000"/>
          <w:sz w:val="20"/>
        </w:rPr>
        <w:t>– provide</w:t>
      </w:r>
      <w:r w:rsidR="00BC3004">
        <w:rPr>
          <w:rFonts w:ascii="Arial" w:hAnsi="Arial" w:cs="Arial"/>
          <w:color w:val="000000"/>
          <w:sz w:val="20"/>
        </w:rPr>
        <w:t>d</w:t>
      </w:r>
      <w:r w:rsidR="003B4C54">
        <w:rPr>
          <w:rFonts w:ascii="Arial" w:hAnsi="Arial" w:cs="Arial"/>
          <w:color w:val="000000"/>
          <w:sz w:val="20"/>
        </w:rPr>
        <w:t xml:space="preserve"> a means of </w:t>
      </w:r>
      <w:r w:rsidRPr="00B87BB0">
        <w:rPr>
          <w:rFonts w:ascii="Arial" w:hAnsi="Arial" w:cs="Arial"/>
          <w:color w:val="000000"/>
          <w:sz w:val="20"/>
        </w:rPr>
        <w:t xml:space="preserve">dispute resolution </w:t>
      </w:r>
      <w:r w:rsidR="003B4C54">
        <w:rPr>
          <w:rFonts w:ascii="Arial" w:hAnsi="Arial" w:cs="Arial"/>
          <w:color w:val="000000"/>
          <w:sz w:val="20"/>
        </w:rPr>
        <w:t xml:space="preserve">alternative </w:t>
      </w:r>
      <w:r w:rsidRPr="00B87BB0">
        <w:rPr>
          <w:rFonts w:ascii="Arial" w:hAnsi="Arial" w:cs="Arial"/>
          <w:color w:val="000000"/>
          <w:sz w:val="20"/>
        </w:rPr>
        <w:t xml:space="preserve">to that provided by a traditional formal court hearing.  In particular, </w:t>
      </w:r>
      <w:r>
        <w:rPr>
          <w:rFonts w:ascii="Arial" w:hAnsi="Arial" w:cs="Arial"/>
          <w:color w:val="000000"/>
          <w:sz w:val="20"/>
        </w:rPr>
        <w:t>it</w:t>
      </w:r>
      <w:r w:rsidRPr="00B87BB0">
        <w:rPr>
          <w:rFonts w:ascii="Arial" w:hAnsi="Arial" w:cs="Arial"/>
          <w:color w:val="000000"/>
          <w:sz w:val="20"/>
        </w:rPr>
        <w:t xml:space="preserve"> </w:t>
      </w:r>
      <w:r w:rsidR="00BC3004">
        <w:rPr>
          <w:rFonts w:ascii="Arial" w:hAnsi="Arial" w:cs="Arial"/>
          <w:color w:val="000000"/>
          <w:sz w:val="20"/>
        </w:rPr>
        <w:t>gave</w:t>
      </w:r>
      <w:r w:rsidRPr="00B87BB0">
        <w:rPr>
          <w:rFonts w:ascii="Arial" w:hAnsi="Arial" w:cs="Arial"/>
          <w:color w:val="000000"/>
          <w:sz w:val="20"/>
        </w:rPr>
        <w:t xml:space="preserve"> participants a greater opportunity to be heard and to speak for</w:t>
      </w:r>
      <w:r w:rsidRPr="00B87BB0">
        <w:rPr>
          <w:rFonts w:ascii="Arial" w:hAnsi="Arial" w:cs="Arial"/>
          <w:color w:val="000000"/>
        </w:rPr>
        <w:t xml:space="preserve"> </w:t>
      </w:r>
      <w:r w:rsidRPr="00B87BB0">
        <w:rPr>
          <w:rFonts w:ascii="Arial" w:hAnsi="Arial" w:cs="Arial"/>
          <w:color w:val="000000"/>
          <w:sz w:val="20"/>
        </w:rPr>
        <w:t>themselves than d</w:t>
      </w:r>
      <w:r w:rsidR="00BC3004">
        <w:rPr>
          <w:rFonts w:ascii="Arial" w:hAnsi="Arial" w:cs="Arial"/>
          <w:color w:val="000000"/>
          <w:sz w:val="20"/>
        </w:rPr>
        <w:t>id</w:t>
      </w:r>
      <w:r w:rsidRPr="00B87BB0">
        <w:rPr>
          <w:rFonts w:ascii="Arial" w:hAnsi="Arial" w:cs="Arial"/>
          <w:color w:val="000000"/>
          <w:sz w:val="20"/>
        </w:rPr>
        <w:t xml:space="preserve"> traditional court proceedings in the adversarial environment of the courtroom.</w:t>
      </w:r>
    </w:p>
    <w:p w14:paraId="372F2D57" w14:textId="77777777" w:rsidR="00B87BB0" w:rsidRPr="00B87BB0" w:rsidRDefault="00B87BB0" w:rsidP="0037276F">
      <w:pPr>
        <w:pBdr>
          <w:left w:val="single" w:sz="12" w:space="4" w:color="FF0000"/>
          <w:right w:val="single" w:sz="12" w:space="4" w:color="FF0000"/>
        </w:pBdr>
        <w:jc w:val="both"/>
        <w:rPr>
          <w:rFonts w:ascii="Arial" w:hAnsi="Arial" w:cs="Arial"/>
          <w:color w:val="000000"/>
          <w:sz w:val="20"/>
        </w:rPr>
      </w:pPr>
    </w:p>
    <w:p w14:paraId="27EB23DF" w14:textId="2AEC56F2" w:rsidR="00132E50" w:rsidRPr="00132E50" w:rsidRDefault="00DC3FFE" w:rsidP="0037276F">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Adapted from a model developed by the Harvard Law School, t</w:t>
      </w:r>
      <w:r w:rsidR="00132E50" w:rsidRPr="00132E50">
        <w:rPr>
          <w:rFonts w:ascii="Arial" w:hAnsi="Arial" w:cs="Arial"/>
          <w:color w:val="000000"/>
          <w:sz w:val="20"/>
        </w:rPr>
        <w:t>he Court</w:t>
      </w:r>
      <w:r>
        <w:rPr>
          <w:rFonts w:ascii="Arial" w:hAnsi="Arial" w:cs="Arial"/>
          <w:color w:val="000000"/>
          <w:sz w:val="20"/>
        </w:rPr>
        <w:t xml:space="preserve">’s model for its </w:t>
      </w:r>
      <w:r w:rsidR="00984865">
        <w:rPr>
          <w:rFonts w:ascii="Arial" w:hAnsi="Arial" w:cs="Arial"/>
          <w:color w:val="000000"/>
          <w:sz w:val="20"/>
        </w:rPr>
        <w:t xml:space="preserve">former </w:t>
      </w:r>
      <w:r>
        <w:rPr>
          <w:rFonts w:ascii="Arial" w:hAnsi="Arial" w:cs="Arial"/>
          <w:color w:val="000000"/>
          <w:sz w:val="20"/>
        </w:rPr>
        <w:t>conciliation conferences</w:t>
      </w:r>
      <w:r w:rsidR="00132E50" w:rsidRPr="00132E50">
        <w:rPr>
          <w:rFonts w:ascii="Arial" w:hAnsi="Arial" w:cs="Arial"/>
          <w:color w:val="000000"/>
          <w:sz w:val="20"/>
        </w:rPr>
        <w:t>:</w:t>
      </w:r>
    </w:p>
    <w:p w14:paraId="61FD803E" w14:textId="74CEF0F3"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makes more time available for discussion in an appropriate environment;</w:t>
      </w:r>
    </w:p>
    <w:p w14:paraId="552DB752"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supports convenors to exercise appropriate authority;</w:t>
      </w:r>
    </w:p>
    <w:p w14:paraId="55DEABBD"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requires mandatory training and accreditation of convenors;</w:t>
      </w:r>
    </w:p>
    <w:p w14:paraId="5A6F6187"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requires pre-conference preparation by convenors and parties (including requiring information exchange by the parties prior to the conference);</w:t>
      </w:r>
    </w:p>
    <w:p w14:paraId="7DFD5926"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ensures that participants are better prepared for conferences;</w:t>
      </w:r>
    </w:p>
    <w:p w14:paraId="7B51F03A"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requires appropriate behaviour by all participants (including legal practitioners);</w:t>
      </w:r>
    </w:p>
    <w:p w14:paraId="1179D0CB"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 xml:space="preserve">requires that </w:t>
      </w:r>
      <w:r w:rsidR="00785D2D">
        <w:rPr>
          <w:rFonts w:ascii="Arial" w:hAnsi="Arial" w:cs="Arial"/>
          <w:color w:val="000000"/>
          <w:sz w:val="20"/>
        </w:rPr>
        <w:t>DFFH</w:t>
      </w:r>
      <w:r w:rsidRPr="00785E1A">
        <w:rPr>
          <w:rFonts w:ascii="Arial" w:hAnsi="Arial" w:cs="Arial"/>
          <w:color w:val="000000"/>
          <w:sz w:val="20"/>
        </w:rPr>
        <w:t xml:space="preserve"> has a decision-maker in attendance;</w:t>
      </w:r>
    </w:p>
    <w:p w14:paraId="3690FAC3"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reduces the time spent by families in adversarial court proceedings and by child protection practitioners in attending at Court; and</w:t>
      </w:r>
    </w:p>
    <w:p w14:paraId="72F0CF3F" w14:textId="77777777" w:rsidR="00132E50" w:rsidRPr="00785E1A" w:rsidRDefault="00132E50" w:rsidP="0037276F">
      <w:pPr>
        <w:numPr>
          <w:ilvl w:val="0"/>
          <w:numId w:val="25"/>
        </w:num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reduces Court delay.</w:t>
      </w:r>
    </w:p>
    <w:p w14:paraId="1B4B9DDF"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p>
    <w:p w14:paraId="3EF442C3" w14:textId="0D05F537" w:rsidR="00132E50" w:rsidRPr="00132E50" w:rsidRDefault="00DC3FFE" w:rsidP="0037276F">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 xml:space="preserve">In addition, the </w:t>
      </w:r>
      <w:r w:rsidR="00132E50" w:rsidRPr="00132E50">
        <w:rPr>
          <w:rFonts w:ascii="Arial" w:hAnsi="Arial" w:cs="Arial"/>
          <w:color w:val="000000"/>
          <w:sz w:val="20"/>
        </w:rPr>
        <w:t xml:space="preserve">CC model </w:t>
      </w:r>
      <w:r w:rsidR="00984865">
        <w:rPr>
          <w:rFonts w:ascii="Arial" w:hAnsi="Arial" w:cs="Arial"/>
          <w:color w:val="000000"/>
          <w:sz w:val="20"/>
        </w:rPr>
        <w:t>wa</w:t>
      </w:r>
      <w:r w:rsidR="00132E50" w:rsidRPr="00132E50">
        <w:rPr>
          <w:rFonts w:ascii="Arial" w:hAnsi="Arial" w:cs="Arial"/>
          <w:color w:val="000000"/>
          <w:sz w:val="20"/>
        </w:rPr>
        <w:t xml:space="preserve">s </w:t>
      </w:r>
      <w:r w:rsidR="00132E50" w:rsidRPr="00132E50">
        <w:rPr>
          <w:rFonts w:ascii="Arial" w:hAnsi="Arial" w:cs="Arial"/>
          <w:i/>
          <w:color w:val="000000"/>
          <w:sz w:val="20"/>
        </w:rPr>
        <w:t xml:space="preserve">strength-based. </w:t>
      </w:r>
      <w:r w:rsidR="00132E50" w:rsidRPr="00132E50">
        <w:rPr>
          <w:rFonts w:ascii="Arial" w:hAnsi="Arial" w:cs="Arial"/>
          <w:color w:val="000000"/>
          <w:sz w:val="20"/>
        </w:rPr>
        <w:t xml:space="preserve"> By allowing family strengths to be identified early in the conference, it create</w:t>
      </w:r>
      <w:r w:rsidR="00984865">
        <w:rPr>
          <w:rFonts w:ascii="Arial" w:hAnsi="Arial" w:cs="Arial"/>
          <w:color w:val="000000"/>
          <w:sz w:val="20"/>
        </w:rPr>
        <w:t>d</w:t>
      </w:r>
      <w:r w:rsidR="00132E50" w:rsidRPr="00132E50">
        <w:rPr>
          <w:rFonts w:ascii="Arial" w:hAnsi="Arial" w:cs="Arial"/>
          <w:color w:val="000000"/>
          <w:sz w:val="20"/>
        </w:rPr>
        <w:t xml:space="preserve"> a less adversarial dynamic.</w:t>
      </w:r>
    </w:p>
    <w:p w14:paraId="3BB20902" w14:textId="77777777" w:rsidR="00132E50" w:rsidRPr="00132E50" w:rsidRDefault="00132E50" w:rsidP="0037276F">
      <w:pPr>
        <w:pBdr>
          <w:left w:val="single" w:sz="12" w:space="4" w:color="FF0000"/>
          <w:right w:val="single" w:sz="12" w:space="4" w:color="FF0000"/>
        </w:pBdr>
        <w:jc w:val="both"/>
        <w:rPr>
          <w:rFonts w:ascii="Arial" w:hAnsi="Arial" w:cs="Arial"/>
          <w:color w:val="000000"/>
          <w:sz w:val="20"/>
        </w:rPr>
      </w:pPr>
    </w:p>
    <w:p w14:paraId="38106738" w14:textId="4DAF4F1E" w:rsidR="00132E50" w:rsidRPr="00132E50" w:rsidRDefault="00132E50" w:rsidP="0037276F">
      <w:pPr>
        <w:pBdr>
          <w:left w:val="single" w:sz="12" w:space="4" w:color="FF0000"/>
          <w:right w:val="single" w:sz="12" w:space="4" w:color="FF0000"/>
        </w:pBdr>
        <w:jc w:val="both"/>
        <w:rPr>
          <w:rFonts w:ascii="Arial" w:hAnsi="Arial" w:cs="Arial"/>
          <w:color w:val="000000"/>
          <w:sz w:val="20"/>
        </w:rPr>
      </w:pPr>
      <w:r w:rsidRPr="00132E50">
        <w:rPr>
          <w:rFonts w:ascii="Arial" w:hAnsi="Arial" w:cs="Arial"/>
          <w:color w:val="000000"/>
          <w:sz w:val="20"/>
        </w:rPr>
        <w:t>The developm</w:t>
      </w:r>
      <w:r w:rsidR="00DC3FFE">
        <w:rPr>
          <w:rFonts w:ascii="Arial" w:hAnsi="Arial" w:cs="Arial"/>
          <w:color w:val="000000"/>
          <w:sz w:val="20"/>
        </w:rPr>
        <w:t xml:space="preserve">ent and introduction of this </w:t>
      </w:r>
      <w:r w:rsidRPr="00132E50">
        <w:rPr>
          <w:rFonts w:ascii="Arial" w:hAnsi="Arial" w:cs="Arial"/>
          <w:color w:val="000000"/>
          <w:sz w:val="20"/>
        </w:rPr>
        <w:t xml:space="preserve">CC model was a collaborative effort involving the Court, </w:t>
      </w:r>
      <w:r w:rsidR="00785D2D">
        <w:rPr>
          <w:rFonts w:ascii="Arial" w:hAnsi="Arial" w:cs="Arial"/>
          <w:color w:val="000000"/>
          <w:sz w:val="20"/>
        </w:rPr>
        <w:t>DFFH</w:t>
      </w:r>
      <w:r w:rsidRPr="00132E50">
        <w:rPr>
          <w:rFonts w:ascii="Arial" w:hAnsi="Arial" w:cs="Arial"/>
          <w:color w:val="000000"/>
          <w:sz w:val="20"/>
        </w:rPr>
        <w:t xml:space="preserve"> and Victoria Legal Aid (VLA).  Cross-agency training of private solicitors and barristers, VLA solicitors and </w:t>
      </w:r>
      <w:r w:rsidR="00785D2D">
        <w:rPr>
          <w:rFonts w:ascii="Arial" w:hAnsi="Arial" w:cs="Arial"/>
          <w:color w:val="000000"/>
          <w:sz w:val="20"/>
        </w:rPr>
        <w:t>DFFH</w:t>
      </w:r>
      <w:r w:rsidRPr="00132E50">
        <w:rPr>
          <w:rFonts w:ascii="Arial" w:hAnsi="Arial" w:cs="Arial"/>
          <w:color w:val="000000"/>
          <w:sz w:val="20"/>
        </w:rPr>
        <w:t xml:space="preserve"> child protection practitioners and lawyers ha</w:t>
      </w:r>
      <w:r w:rsidR="00BC3004">
        <w:rPr>
          <w:rFonts w:ascii="Arial" w:hAnsi="Arial" w:cs="Arial"/>
          <w:color w:val="000000"/>
          <w:sz w:val="20"/>
        </w:rPr>
        <w:t>d</w:t>
      </w:r>
      <w:r w:rsidRPr="00132E50">
        <w:rPr>
          <w:rFonts w:ascii="Arial" w:hAnsi="Arial" w:cs="Arial"/>
          <w:color w:val="000000"/>
          <w:sz w:val="20"/>
        </w:rPr>
        <w:t xml:space="preserve"> been conducted.</w:t>
      </w:r>
    </w:p>
    <w:p w14:paraId="0877B052" w14:textId="77777777" w:rsidR="00132E50" w:rsidRPr="00132E50" w:rsidRDefault="00132E50" w:rsidP="0037276F">
      <w:pPr>
        <w:pBdr>
          <w:left w:val="single" w:sz="12" w:space="4" w:color="FF0000"/>
          <w:right w:val="single" w:sz="12" w:space="4" w:color="FF0000"/>
        </w:pBdr>
        <w:jc w:val="both"/>
        <w:rPr>
          <w:rFonts w:ascii="Arial" w:hAnsi="Arial" w:cs="Arial"/>
          <w:color w:val="000000"/>
          <w:sz w:val="20"/>
        </w:rPr>
      </w:pPr>
    </w:p>
    <w:p w14:paraId="49D0766C" w14:textId="597B0D62" w:rsidR="00132E50" w:rsidRPr="00132E50" w:rsidRDefault="00132E50" w:rsidP="0037276F">
      <w:pPr>
        <w:pBdr>
          <w:left w:val="single" w:sz="12" w:space="4" w:color="FF0000"/>
          <w:right w:val="single" w:sz="12" w:space="4" w:color="FF0000"/>
        </w:pBdr>
        <w:jc w:val="both"/>
        <w:rPr>
          <w:rFonts w:ascii="Arial" w:hAnsi="Arial" w:cs="Arial"/>
          <w:color w:val="000000"/>
          <w:sz w:val="20"/>
        </w:rPr>
      </w:pPr>
      <w:r w:rsidRPr="00132E50">
        <w:rPr>
          <w:rFonts w:ascii="Arial" w:hAnsi="Arial" w:cs="Arial"/>
          <w:color w:val="000000"/>
          <w:sz w:val="20"/>
        </w:rPr>
        <w:t>In June 2013 the Court introduced Koori Conciliation Conferences for Melbourne matters involving children of Aboriginal or Torres Strait Island</w:t>
      </w:r>
      <w:r w:rsidR="00855531">
        <w:rPr>
          <w:rFonts w:ascii="Arial" w:hAnsi="Arial" w:cs="Arial"/>
          <w:color w:val="000000"/>
          <w:sz w:val="20"/>
        </w:rPr>
        <w:t>er</w:t>
      </w:r>
      <w:r w:rsidRPr="00132E50">
        <w:rPr>
          <w:rFonts w:ascii="Arial" w:hAnsi="Arial" w:cs="Arial"/>
          <w:color w:val="000000"/>
          <w:sz w:val="20"/>
        </w:rPr>
        <w:t xml:space="preserve"> heritage. These conferences involve</w:t>
      </w:r>
      <w:r w:rsidR="00BC3004">
        <w:rPr>
          <w:rFonts w:ascii="Arial" w:hAnsi="Arial" w:cs="Arial"/>
          <w:color w:val="000000"/>
          <w:sz w:val="20"/>
        </w:rPr>
        <w:t>d</w:t>
      </w:r>
      <w:r w:rsidRPr="00132E50">
        <w:rPr>
          <w:rFonts w:ascii="Arial" w:hAnsi="Arial" w:cs="Arial"/>
          <w:color w:val="000000"/>
          <w:sz w:val="20"/>
        </w:rPr>
        <w:t xml:space="preserve"> a Koori convenor whose role is to provide appropriate cultural support and input to the process.</w:t>
      </w:r>
    </w:p>
    <w:p w14:paraId="5D5BE4AD" w14:textId="77777777" w:rsidR="00132E50" w:rsidRPr="00132E50" w:rsidRDefault="00132E50" w:rsidP="0037276F">
      <w:pPr>
        <w:pBdr>
          <w:left w:val="single" w:sz="12" w:space="4" w:color="FF0000"/>
          <w:right w:val="single" w:sz="12" w:space="4" w:color="FF0000"/>
        </w:pBdr>
        <w:jc w:val="both"/>
        <w:rPr>
          <w:rFonts w:ascii="Arial" w:hAnsi="Arial" w:cs="Arial"/>
          <w:color w:val="000000"/>
          <w:sz w:val="20"/>
        </w:rPr>
      </w:pPr>
    </w:p>
    <w:p w14:paraId="296099B7" w14:textId="77777777" w:rsidR="00132E50" w:rsidRPr="00B87BB0" w:rsidRDefault="00132E50" w:rsidP="0037276F">
      <w:pPr>
        <w:pStyle w:val="Heading3"/>
        <w:keepNext/>
        <w:keepLines/>
        <w:pBdr>
          <w:left w:val="single" w:sz="12" w:space="4" w:color="FF0000"/>
          <w:right w:val="single" w:sz="12" w:space="4" w:color="FF0000"/>
        </w:pBdr>
        <w:spacing w:after="120" w:line="240" w:lineRule="auto"/>
        <w:rPr>
          <w:rFonts w:ascii="Arial" w:hAnsi="Arial" w:cs="Arial"/>
          <w:b/>
          <w:color w:val="000000"/>
          <w:sz w:val="20"/>
        </w:rPr>
      </w:pPr>
      <w:bookmarkStart w:id="1444" w:name="_4.10.2_Jurisdiction_&amp;"/>
      <w:bookmarkStart w:id="1445" w:name="B4102"/>
      <w:bookmarkEnd w:id="1444"/>
      <w:bookmarkEnd w:id="1445"/>
      <w:r w:rsidRPr="00B87BB0">
        <w:rPr>
          <w:rFonts w:ascii="Arial" w:hAnsi="Arial" w:cs="Arial"/>
          <w:b/>
          <w:bCs/>
          <w:color w:val="000000"/>
          <w:sz w:val="20"/>
        </w:rPr>
        <w:t>4.10.2</w:t>
      </w:r>
      <w:r w:rsidRPr="00B87BB0">
        <w:rPr>
          <w:rFonts w:ascii="Arial" w:hAnsi="Arial" w:cs="Arial"/>
          <w:b/>
          <w:bCs/>
          <w:color w:val="000000"/>
          <w:sz w:val="20"/>
        </w:rPr>
        <w:tab/>
        <w:t>Jurisdiction &amp; Purpose of CC</w:t>
      </w:r>
    </w:p>
    <w:p w14:paraId="79F5C54A" w14:textId="77777777" w:rsidR="00132E50" w:rsidRPr="00B87BB0" w:rsidRDefault="00132E50" w:rsidP="0037276F">
      <w:pPr>
        <w:pBdr>
          <w:left w:val="single" w:sz="12" w:space="4" w:color="FF0000"/>
          <w:right w:val="single" w:sz="12" w:space="4" w:color="FF0000"/>
        </w:pBdr>
        <w:jc w:val="both"/>
        <w:rPr>
          <w:rFonts w:ascii="Arial" w:hAnsi="Arial" w:cs="Arial"/>
          <w:color w:val="000000"/>
          <w:sz w:val="20"/>
        </w:rPr>
      </w:pPr>
      <w:r w:rsidRPr="00B87BB0">
        <w:rPr>
          <w:rFonts w:ascii="Arial" w:hAnsi="Arial" w:cs="Arial"/>
          <w:color w:val="000000"/>
          <w:sz w:val="20"/>
        </w:rPr>
        <w:t>Under s.217(1) of the CYFA the Family Division may, on the application of a party or on its own motion, order that any application made to the Family Division under the CYFA be referred for a conciliation conference to one or two convenors appointed under s.227.</w:t>
      </w:r>
    </w:p>
    <w:p w14:paraId="649E907B"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p>
    <w:p w14:paraId="43D30429" w14:textId="77777777" w:rsidR="00132E50" w:rsidRPr="00B87BB0" w:rsidRDefault="00132E50" w:rsidP="0037276F">
      <w:pPr>
        <w:pBdr>
          <w:left w:val="single" w:sz="12" w:space="4" w:color="FF0000"/>
          <w:right w:val="single" w:sz="12" w:space="4" w:color="FF0000"/>
        </w:pBdr>
        <w:jc w:val="both"/>
        <w:rPr>
          <w:rFonts w:ascii="Arial" w:hAnsi="Arial" w:cs="Arial"/>
          <w:color w:val="000000"/>
          <w:sz w:val="20"/>
        </w:rPr>
      </w:pPr>
      <w:r w:rsidRPr="00B87BB0">
        <w:rPr>
          <w:rFonts w:ascii="Arial" w:hAnsi="Arial" w:cs="Arial"/>
          <w:color w:val="000000"/>
          <w:sz w:val="20"/>
        </w:rPr>
        <w:t xml:space="preserve">Section 217(2) of the CYFA provides that the purpose of a CC is to give the parties to the application an opportunity to agree or advise on the action that should be taken in the best </w:t>
      </w:r>
      <w:r w:rsidRPr="00B87BB0">
        <w:rPr>
          <w:rFonts w:ascii="Arial" w:hAnsi="Arial" w:cs="Arial"/>
          <w:color w:val="000000"/>
          <w:sz w:val="20"/>
        </w:rPr>
        <w:lastRenderedPageBreak/>
        <w:t>interests of the child.  Section 218 provides that the purpose of a CC is to enable the parties with the assistance of the convenor(s)-</w:t>
      </w:r>
    </w:p>
    <w:p w14:paraId="1153616E" w14:textId="77777777" w:rsidR="00132E50" w:rsidRPr="00B87BB0" w:rsidRDefault="00132E50" w:rsidP="0037276F">
      <w:pPr>
        <w:pBdr>
          <w:left w:val="single" w:sz="12" w:space="4" w:color="FF0000"/>
          <w:right w:val="single" w:sz="12" w:space="4" w:color="FF0000"/>
        </w:pBdr>
        <w:tabs>
          <w:tab w:val="left" w:pos="363"/>
        </w:tabs>
        <w:jc w:val="both"/>
        <w:rPr>
          <w:rFonts w:ascii="Arial" w:hAnsi="Arial" w:cs="Arial"/>
          <w:color w:val="000000"/>
          <w:sz w:val="20"/>
        </w:rPr>
      </w:pPr>
      <w:r w:rsidRPr="00B87BB0">
        <w:rPr>
          <w:rFonts w:ascii="Arial" w:hAnsi="Arial" w:cs="Arial"/>
          <w:color w:val="000000"/>
          <w:sz w:val="20"/>
        </w:rPr>
        <w:t>(a)</w:t>
      </w:r>
      <w:r w:rsidRPr="00B87BB0">
        <w:rPr>
          <w:rFonts w:ascii="Arial" w:hAnsi="Arial" w:cs="Arial"/>
          <w:color w:val="000000"/>
          <w:sz w:val="20"/>
        </w:rPr>
        <w:tab/>
        <w:t>to identify the issues in dispute; and</w:t>
      </w:r>
    </w:p>
    <w:p w14:paraId="46CD65D8" w14:textId="77777777" w:rsidR="00132E50" w:rsidRPr="00B87BB0" w:rsidRDefault="00132E50" w:rsidP="0037276F">
      <w:pPr>
        <w:pBdr>
          <w:left w:val="single" w:sz="12" w:space="4" w:color="FF0000"/>
          <w:right w:val="single" w:sz="12" w:space="4" w:color="FF0000"/>
        </w:pBdr>
        <w:tabs>
          <w:tab w:val="left" w:pos="363"/>
        </w:tabs>
        <w:jc w:val="both"/>
        <w:rPr>
          <w:rFonts w:ascii="Arial" w:hAnsi="Arial" w:cs="Arial"/>
          <w:color w:val="000000"/>
          <w:sz w:val="20"/>
        </w:rPr>
      </w:pPr>
      <w:r w:rsidRPr="00B87BB0">
        <w:rPr>
          <w:rFonts w:ascii="Arial" w:hAnsi="Arial" w:cs="Arial"/>
          <w:color w:val="000000"/>
          <w:sz w:val="20"/>
        </w:rPr>
        <w:t>(b)</w:t>
      </w:r>
      <w:r w:rsidRPr="00B87BB0">
        <w:rPr>
          <w:rFonts w:ascii="Arial" w:hAnsi="Arial" w:cs="Arial"/>
          <w:color w:val="000000"/>
          <w:sz w:val="20"/>
        </w:rPr>
        <w:tab/>
        <w:t>to consider alternatives; and</w:t>
      </w:r>
    </w:p>
    <w:p w14:paraId="50C8E1BD" w14:textId="77777777" w:rsidR="00132E50" w:rsidRPr="00B87BB0" w:rsidRDefault="00132E50" w:rsidP="0037276F">
      <w:pPr>
        <w:pBdr>
          <w:left w:val="single" w:sz="12" w:space="4" w:color="FF0000"/>
          <w:right w:val="single" w:sz="12" w:space="4" w:color="FF0000"/>
        </w:pBdr>
        <w:tabs>
          <w:tab w:val="left" w:pos="363"/>
        </w:tabs>
        <w:ind w:left="720" w:hanging="720"/>
        <w:jc w:val="both"/>
        <w:rPr>
          <w:rFonts w:ascii="Arial" w:hAnsi="Arial" w:cs="Arial"/>
          <w:color w:val="000000"/>
          <w:sz w:val="20"/>
        </w:rPr>
      </w:pPr>
      <w:r w:rsidRPr="00B87BB0">
        <w:rPr>
          <w:rFonts w:ascii="Arial" w:hAnsi="Arial" w:cs="Arial"/>
          <w:color w:val="000000"/>
          <w:sz w:val="20"/>
        </w:rPr>
        <w:t>(c)</w:t>
      </w:r>
      <w:r w:rsidRPr="00B87BB0">
        <w:rPr>
          <w:rFonts w:ascii="Arial" w:hAnsi="Arial" w:cs="Arial"/>
          <w:color w:val="000000"/>
          <w:sz w:val="20"/>
        </w:rPr>
        <w:tab/>
        <w:t>to try to reach an agreement as to the action to be taken in the best interests of the child.</w:t>
      </w:r>
    </w:p>
    <w:p w14:paraId="4588FA6F" w14:textId="77777777" w:rsidR="00132E50" w:rsidRPr="00B87BB0" w:rsidRDefault="00132E50" w:rsidP="0037276F">
      <w:pPr>
        <w:pBdr>
          <w:left w:val="single" w:sz="12" w:space="4" w:color="FF0000"/>
          <w:right w:val="single" w:sz="12" w:space="4" w:color="FF0000"/>
        </w:pBdr>
        <w:jc w:val="both"/>
        <w:rPr>
          <w:rFonts w:ascii="Arial" w:hAnsi="Arial" w:cs="Arial"/>
          <w:color w:val="000000"/>
          <w:sz w:val="20"/>
        </w:rPr>
      </w:pPr>
    </w:p>
    <w:p w14:paraId="32FC47F2" w14:textId="77777777" w:rsidR="00132E50" w:rsidRPr="00B87BB0" w:rsidRDefault="00132E50" w:rsidP="0037276F">
      <w:pPr>
        <w:pBdr>
          <w:left w:val="single" w:sz="12" w:space="4" w:color="FF0000"/>
          <w:right w:val="single" w:sz="12" w:space="4" w:color="FF0000"/>
        </w:pBdr>
        <w:jc w:val="both"/>
        <w:rPr>
          <w:rFonts w:ascii="Arial" w:hAnsi="Arial" w:cs="Arial"/>
          <w:color w:val="000000"/>
          <w:sz w:val="20"/>
        </w:rPr>
      </w:pPr>
      <w:r w:rsidRPr="00B87BB0">
        <w:rPr>
          <w:rFonts w:ascii="Arial" w:hAnsi="Arial" w:cs="Arial"/>
          <w:color w:val="000000"/>
          <w:sz w:val="20"/>
        </w:rPr>
        <w:t>A CC is an exercise in negotiation and joint problem solving.  It establishes a process that parties to an application (and other approved persons) meet together in an environment controlled by an independent convenor.  Through the CC process the participants, with the assistance of the convenor(s), attempt to-</w:t>
      </w:r>
    </w:p>
    <w:p w14:paraId="1360DDAB" w14:textId="77777777" w:rsidR="00132E50" w:rsidRPr="00B87BB0" w:rsidRDefault="00132E50" w:rsidP="0037276F">
      <w:pPr>
        <w:numPr>
          <w:ilvl w:val="0"/>
          <w:numId w:val="14"/>
        </w:numPr>
        <w:pBdr>
          <w:left w:val="single" w:sz="12" w:space="4" w:color="FF0000"/>
          <w:right w:val="single" w:sz="12" w:space="4" w:color="FF0000"/>
        </w:pBdr>
        <w:jc w:val="both"/>
        <w:rPr>
          <w:rFonts w:ascii="Arial" w:hAnsi="Arial" w:cs="Arial"/>
          <w:bCs/>
          <w:color w:val="000000"/>
          <w:sz w:val="20"/>
        </w:rPr>
      </w:pPr>
      <w:r w:rsidRPr="00B87BB0">
        <w:rPr>
          <w:rFonts w:ascii="Arial" w:hAnsi="Arial" w:cs="Arial"/>
          <w:bCs/>
          <w:color w:val="000000"/>
          <w:sz w:val="20"/>
        </w:rPr>
        <w:t>identify and clarify disputed issues;</w:t>
      </w:r>
    </w:p>
    <w:p w14:paraId="062498EE" w14:textId="77777777" w:rsidR="00132E50" w:rsidRPr="00B87BB0" w:rsidRDefault="00132E50" w:rsidP="0037276F">
      <w:pPr>
        <w:numPr>
          <w:ilvl w:val="0"/>
          <w:numId w:val="14"/>
        </w:numPr>
        <w:pBdr>
          <w:left w:val="single" w:sz="12" w:space="4" w:color="FF0000"/>
          <w:right w:val="single" w:sz="12" w:space="4" w:color="FF0000"/>
        </w:pBdr>
        <w:jc w:val="both"/>
        <w:rPr>
          <w:rFonts w:ascii="Arial" w:hAnsi="Arial" w:cs="Arial"/>
          <w:bCs/>
          <w:color w:val="000000"/>
          <w:sz w:val="20"/>
        </w:rPr>
      </w:pPr>
      <w:r w:rsidRPr="00B87BB0">
        <w:rPr>
          <w:rFonts w:ascii="Arial" w:hAnsi="Arial" w:cs="Arial"/>
          <w:bCs/>
          <w:color w:val="000000"/>
          <w:sz w:val="20"/>
        </w:rPr>
        <w:t>identify and clarify areas of agreement;</w:t>
      </w:r>
    </w:p>
    <w:p w14:paraId="450B9197" w14:textId="77777777" w:rsidR="00132E50" w:rsidRPr="00B87BB0" w:rsidRDefault="00132E50" w:rsidP="0037276F">
      <w:pPr>
        <w:numPr>
          <w:ilvl w:val="0"/>
          <w:numId w:val="14"/>
        </w:numPr>
        <w:pBdr>
          <w:left w:val="single" w:sz="12" w:space="4" w:color="FF0000"/>
          <w:right w:val="single" w:sz="12" w:space="4" w:color="FF0000"/>
        </w:pBdr>
        <w:jc w:val="both"/>
        <w:rPr>
          <w:rFonts w:ascii="Arial" w:hAnsi="Arial" w:cs="Arial"/>
          <w:bCs/>
          <w:color w:val="000000"/>
          <w:sz w:val="20"/>
        </w:rPr>
      </w:pPr>
      <w:r w:rsidRPr="00B87BB0">
        <w:rPr>
          <w:rFonts w:ascii="Arial" w:hAnsi="Arial" w:cs="Arial"/>
          <w:bCs/>
          <w:color w:val="000000"/>
          <w:sz w:val="20"/>
        </w:rPr>
        <w:t>develop options and consider alternatives;</w:t>
      </w:r>
    </w:p>
    <w:p w14:paraId="67DD315C" w14:textId="77777777" w:rsidR="00132E50" w:rsidRPr="00B87BB0" w:rsidRDefault="00132E50" w:rsidP="0037276F">
      <w:pPr>
        <w:numPr>
          <w:ilvl w:val="0"/>
          <w:numId w:val="14"/>
        </w:numPr>
        <w:pBdr>
          <w:left w:val="single" w:sz="12" w:space="4" w:color="FF0000"/>
          <w:right w:val="single" w:sz="12" w:space="4" w:color="FF0000"/>
        </w:pBdr>
        <w:jc w:val="both"/>
        <w:rPr>
          <w:rFonts w:ascii="Arial" w:hAnsi="Arial" w:cs="Arial"/>
          <w:bCs/>
          <w:color w:val="000000"/>
          <w:sz w:val="20"/>
        </w:rPr>
      </w:pPr>
      <w:r w:rsidRPr="00B87BB0">
        <w:rPr>
          <w:rFonts w:ascii="Arial" w:hAnsi="Arial" w:cs="Arial"/>
          <w:bCs/>
          <w:color w:val="000000"/>
          <w:sz w:val="20"/>
        </w:rPr>
        <w:t>enhance communication; and</w:t>
      </w:r>
    </w:p>
    <w:p w14:paraId="2BBB78A8" w14:textId="77777777" w:rsidR="00132E50" w:rsidRPr="00B87BB0" w:rsidRDefault="00132E50" w:rsidP="0037276F">
      <w:pPr>
        <w:numPr>
          <w:ilvl w:val="0"/>
          <w:numId w:val="14"/>
        </w:numPr>
        <w:pBdr>
          <w:left w:val="single" w:sz="12" w:space="4" w:color="FF0000"/>
          <w:right w:val="single" w:sz="12" w:space="4" w:color="FF0000"/>
        </w:pBdr>
        <w:jc w:val="both"/>
        <w:rPr>
          <w:rFonts w:ascii="Arial" w:hAnsi="Arial" w:cs="Arial"/>
          <w:bCs/>
          <w:color w:val="000000"/>
          <w:sz w:val="20"/>
        </w:rPr>
      </w:pPr>
      <w:r w:rsidRPr="00B87BB0">
        <w:rPr>
          <w:rFonts w:ascii="Arial" w:hAnsi="Arial" w:cs="Arial"/>
          <w:bCs/>
          <w:color w:val="000000"/>
          <w:sz w:val="20"/>
        </w:rPr>
        <w:t>reach agreement on issues of dispute between the parties in order to avoid – or limit the scope of – a hearing.</w:t>
      </w:r>
    </w:p>
    <w:p w14:paraId="52107D87" w14:textId="77777777" w:rsidR="007229AB" w:rsidRDefault="007229AB" w:rsidP="0037276F">
      <w:pPr>
        <w:pBdr>
          <w:left w:val="single" w:sz="12" w:space="4" w:color="FF0000"/>
          <w:right w:val="single" w:sz="12" w:space="4" w:color="FF0000"/>
        </w:pBdr>
        <w:jc w:val="both"/>
        <w:rPr>
          <w:rFonts w:ascii="Arial" w:hAnsi="Arial" w:cs="Arial"/>
          <w:b/>
          <w:bCs/>
          <w:color w:val="000000"/>
          <w:sz w:val="20"/>
        </w:rPr>
      </w:pPr>
      <w:bookmarkStart w:id="1446" w:name="_4.10.3_Convenor"/>
      <w:bookmarkEnd w:id="1446"/>
    </w:p>
    <w:p w14:paraId="5DAC7C3B" w14:textId="77777777" w:rsidR="00132E50" w:rsidRPr="00785E1A" w:rsidRDefault="00132E50" w:rsidP="0037276F">
      <w:pPr>
        <w:pBdr>
          <w:left w:val="single" w:sz="12" w:space="4" w:color="FF0000"/>
          <w:right w:val="single" w:sz="12" w:space="4" w:color="FF0000"/>
        </w:pBdr>
        <w:spacing w:after="120"/>
        <w:jc w:val="both"/>
        <w:rPr>
          <w:rFonts w:ascii="Arial" w:hAnsi="Arial" w:cs="Arial"/>
          <w:color w:val="000000"/>
          <w:sz w:val="20"/>
        </w:rPr>
      </w:pPr>
      <w:bookmarkStart w:id="1447" w:name="B4103"/>
      <w:bookmarkEnd w:id="1447"/>
      <w:r w:rsidRPr="00785E1A">
        <w:rPr>
          <w:rFonts w:ascii="Arial" w:hAnsi="Arial" w:cs="Arial"/>
          <w:b/>
          <w:bCs/>
          <w:color w:val="000000"/>
          <w:sz w:val="20"/>
        </w:rPr>
        <w:t>4.10.3</w:t>
      </w:r>
      <w:r w:rsidRPr="00785E1A">
        <w:rPr>
          <w:rFonts w:ascii="Arial" w:hAnsi="Arial" w:cs="Arial"/>
          <w:b/>
          <w:bCs/>
          <w:color w:val="000000"/>
          <w:sz w:val="20"/>
        </w:rPr>
        <w:tab/>
        <w:t>Convenor</w:t>
      </w:r>
    </w:p>
    <w:p w14:paraId="3D26DB9E" w14:textId="7FFD3942" w:rsidR="00132E50" w:rsidRPr="00D00CAA" w:rsidRDefault="00132E50" w:rsidP="0037276F">
      <w:pPr>
        <w:pBdr>
          <w:left w:val="single" w:sz="12" w:space="4" w:color="FF0000"/>
          <w:right w:val="single" w:sz="12" w:space="4" w:color="FF0000"/>
        </w:pBdr>
        <w:jc w:val="both"/>
        <w:rPr>
          <w:rFonts w:ascii="Arial" w:hAnsi="Arial" w:cs="Arial"/>
          <w:color w:val="000000"/>
          <w:sz w:val="20"/>
        </w:rPr>
      </w:pPr>
      <w:r w:rsidRPr="00D00CAA">
        <w:rPr>
          <w:rFonts w:ascii="Arial" w:hAnsi="Arial" w:cs="Arial"/>
          <w:color w:val="000000"/>
          <w:sz w:val="20"/>
        </w:rPr>
        <w:t>Under ss.227(1) &amp; 227(2) of the CY</w:t>
      </w:r>
      <w:r w:rsidR="00753FA4">
        <w:rPr>
          <w:rFonts w:ascii="Arial" w:hAnsi="Arial" w:cs="Arial"/>
          <w:color w:val="000000"/>
          <w:sz w:val="20"/>
        </w:rPr>
        <w:t>F</w:t>
      </w:r>
      <w:r w:rsidRPr="00D00CAA">
        <w:rPr>
          <w:rFonts w:ascii="Arial" w:hAnsi="Arial" w:cs="Arial"/>
          <w:color w:val="000000"/>
          <w:sz w:val="20"/>
        </w:rPr>
        <w:t xml:space="preserve">A a convenor is appointed by the President of the Children’s Court on the terms and conditions set out in the instrument of appointment.  Under s.227(3), the </w:t>
      </w:r>
      <w:r w:rsidR="00FB0C23">
        <w:rPr>
          <w:rFonts w:ascii="Arial" w:hAnsi="Arial" w:cs="Arial"/>
          <w:color w:val="000000"/>
          <w:sz w:val="20"/>
        </w:rPr>
        <w:t>President</w:t>
      </w:r>
      <w:r w:rsidRPr="00D00CAA">
        <w:rPr>
          <w:rFonts w:ascii="Arial" w:hAnsi="Arial" w:cs="Arial"/>
          <w:color w:val="000000"/>
          <w:sz w:val="20"/>
        </w:rPr>
        <w:t xml:space="preserve"> must not recommend a person for appointment as a convenor unless satisfied that the person is of good character and has appropriate qualifications and experience. Under s.227(4) the President may remove a convenor from office at any time.</w:t>
      </w:r>
    </w:p>
    <w:p w14:paraId="16C423BA" w14:textId="77777777" w:rsidR="00132E50" w:rsidRPr="00D00CAA" w:rsidRDefault="00132E50" w:rsidP="0037276F">
      <w:pPr>
        <w:pBdr>
          <w:left w:val="single" w:sz="12" w:space="4" w:color="FF0000"/>
          <w:right w:val="single" w:sz="12" w:space="4" w:color="FF0000"/>
        </w:pBdr>
        <w:jc w:val="both"/>
        <w:rPr>
          <w:rFonts w:ascii="Arial" w:hAnsi="Arial" w:cs="Arial"/>
          <w:color w:val="000000"/>
          <w:sz w:val="20"/>
        </w:rPr>
      </w:pPr>
    </w:p>
    <w:p w14:paraId="7D9B5C8D"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 xml:space="preserve">Section 227(5) provides that a convenor is not, in respect of the office of convenor, subject to the </w:t>
      </w:r>
      <w:r w:rsidRPr="00785E1A">
        <w:rPr>
          <w:rFonts w:ascii="Arial" w:hAnsi="Arial" w:cs="Arial"/>
          <w:color w:val="000000"/>
          <w:sz w:val="20"/>
          <w:u w:val="single"/>
        </w:rPr>
        <w:t>Public Administration Act 2004 (Vic)</w:t>
      </w:r>
      <w:r w:rsidRPr="00785E1A">
        <w:rPr>
          <w:rFonts w:ascii="Arial" w:hAnsi="Arial" w:cs="Arial"/>
          <w:color w:val="000000"/>
          <w:sz w:val="20"/>
        </w:rPr>
        <w:t>.</w:t>
      </w:r>
    </w:p>
    <w:p w14:paraId="4C3A8016" w14:textId="77777777" w:rsidR="00132E50" w:rsidRDefault="00132E50" w:rsidP="0037276F">
      <w:pPr>
        <w:pBdr>
          <w:left w:val="single" w:sz="12" w:space="4" w:color="FF0000"/>
          <w:right w:val="single" w:sz="12" w:space="4" w:color="FF0000"/>
        </w:pBdr>
        <w:jc w:val="both"/>
        <w:rPr>
          <w:rFonts w:ascii="Arial" w:hAnsi="Arial" w:cs="Arial"/>
          <w:color w:val="000000"/>
          <w:sz w:val="20"/>
        </w:rPr>
      </w:pPr>
    </w:p>
    <w:p w14:paraId="7B50B75C"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Section 218(2) provides that t</w:t>
      </w:r>
      <w:r w:rsidRPr="00785E1A">
        <w:rPr>
          <w:rFonts w:ascii="Arial" w:hAnsi="Arial" w:cs="Arial"/>
          <w:color w:val="000000"/>
          <w:sz w:val="20"/>
        </w:rPr>
        <w:t>he role of the convenor(s) at a</w:t>
      </w:r>
      <w:r w:rsidRPr="0090541F">
        <w:rPr>
          <w:rFonts w:ascii="Arial" w:hAnsi="Arial" w:cs="Arial"/>
          <w:color w:val="000000"/>
          <w:sz w:val="20"/>
        </w:rPr>
        <w:t xml:space="preserve"> CC </w:t>
      </w:r>
      <w:r w:rsidRPr="00785E1A">
        <w:rPr>
          <w:rFonts w:ascii="Arial" w:hAnsi="Arial" w:cs="Arial"/>
          <w:color w:val="000000"/>
          <w:sz w:val="20"/>
        </w:rPr>
        <w:t>is-</w:t>
      </w:r>
    </w:p>
    <w:p w14:paraId="62974FC9" w14:textId="77777777" w:rsidR="00132E50" w:rsidRPr="00785E1A" w:rsidRDefault="00132E50" w:rsidP="0037276F">
      <w:pPr>
        <w:pBdr>
          <w:left w:val="single" w:sz="12" w:space="4" w:color="FF0000"/>
          <w:right w:val="single" w:sz="12" w:space="4" w:color="FF0000"/>
        </w:pBdr>
        <w:tabs>
          <w:tab w:val="left" w:pos="363"/>
        </w:tabs>
        <w:jc w:val="both"/>
        <w:rPr>
          <w:rFonts w:ascii="Arial" w:hAnsi="Arial" w:cs="Arial"/>
          <w:color w:val="000000"/>
          <w:sz w:val="20"/>
        </w:rPr>
      </w:pPr>
      <w:r w:rsidRPr="00785E1A">
        <w:rPr>
          <w:rFonts w:ascii="Arial" w:hAnsi="Arial" w:cs="Arial"/>
          <w:color w:val="000000"/>
          <w:sz w:val="20"/>
        </w:rPr>
        <w:t>(a)</w:t>
      </w:r>
      <w:r w:rsidRPr="00785E1A">
        <w:rPr>
          <w:rFonts w:ascii="Arial" w:hAnsi="Arial" w:cs="Arial"/>
          <w:color w:val="000000"/>
          <w:sz w:val="20"/>
        </w:rPr>
        <w:tab/>
        <w:t>to chair the conference; and</w:t>
      </w:r>
    </w:p>
    <w:p w14:paraId="61DCCC87" w14:textId="77777777" w:rsidR="00132E50" w:rsidRPr="00785E1A" w:rsidRDefault="00132E50" w:rsidP="0037276F">
      <w:pPr>
        <w:pBdr>
          <w:left w:val="single" w:sz="12" w:space="4" w:color="FF0000"/>
          <w:right w:val="single" w:sz="12" w:space="4" w:color="FF0000"/>
        </w:pBdr>
        <w:tabs>
          <w:tab w:val="left" w:pos="363"/>
        </w:tabs>
        <w:jc w:val="both"/>
        <w:rPr>
          <w:rFonts w:ascii="Arial" w:hAnsi="Arial" w:cs="Arial"/>
          <w:color w:val="000000"/>
          <w:sz w:val="20"/>
        </w:rPr>
      </w:pPr>
      <w:r w:rsidRPr="00785E1A">
        <w:rPr>
          <w:rFonts w:ascii="Arial" w:hAnsi="Arial" w:cs="Arial"/>
          <w:color w:val="000000"/>
          <w:sz w:val="20"/>
        </w:rPr>
        <w:t>(b)</w:t>
      </w:r>
      <w:r w:rsidRPr="00785E1A">
        <w:rPr>
          <w:rFonts w:ascii="Arial" w:hAnsi="Arial" w:cs="Arial"/>
          <w:color w:val="000000"/>
          <w:sz w:val="20"/>
        </w:rPr>
        <w:tab/>
        <w:t>to advise on and determine the process to be followed for the conference; and</w:t>
      </w:r>
    </w:p>
    <w:p w14:paraId="6E9F3035" w14:textId="77777777" w:rsidR="00132E50" w:rsidRPr="00785E1A" w:rsidRDefault="00132E50" w:rsidP="0037276F">
      <w:pPr>
        <w:pBdr>
          <w:left w:val="single" w:sz="12" w:space="4" w:color="FF0000"/>
          <w:right w:val="single" w:sz="12" w:space="4" w:color="FF0000"/>
        </w:pBdr>
        <w:tabs>
          <w:tab w:val="left" w:pos="363"/>
        </w:tabs>
        <w:jc w:val="both"/>
        <w:rPr>
          <w:rFonts w:ascii="Arial" w:hAnsi="Arial" w:cs="Arial"/>
          <w:color w:val="000000"/>
          <w:sz w:val="20"/>
        </w:rPr>
      </w:pPr>
      <w:r w:rsidRPr="00785E1A">
        <w:rPr>
          <w:rFonts w:ascii="Arial" w:hAnsi="Arial" w:cs="Arial"/>
          <w:color w:val="000000"/>
          <w:sz w:val="20"/>
        </w:rPr>
        <w:t>(c)</w:t>
      </w:r>
      <w:r w:rsidRPr="00785E1A">
        <w:rPr>
          <w:rFonts w:ascii="Arial" w:hAnsi="Arial" w:cs="Arial"/>
          <w:color w:val="000000"/>
          <w:sz w:val="20"/>
        </w:rPr>
        <w:tab/>
        <w:t>to provide to the Court a written report of the conclusions reached at the conference.</w:t>
      </w:r>
    </w:p>
    <w:p w14:paraId="6C0940EF"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p>
    <w:p w14:paraId="3A0D0F61" w14:textId="77777777" w:rsidR="00132E50" w:rsidRPr="001544BF" w:rsidRDefault="00132E50" w:rsidP="0037276F">
      <w:pPr>
        <w:pStyle w:val="Heading3"/>
        <w:keepNext/>
        <w:pBdr>
          <w:left w:val="single" w:sz="12" w:space="4" w:color="FF0000"/>
          <w:right w:val="single" w:sz="12" w:space="4" w:color="FF0000"/>
        </w:pBdr>
        <w:spacing w:after="120" w:line="240" w:lineRule="auto"/>
        <w:rPr>
          <w:rFonts w:ascii="Arial" w:hAnsi="Arial" w:cs="Arial"/>
          <w:color w:val="000000"/>
          <w:sz w:val="20"/>
        </w:rPr>
      </w:pPr>
      <w:bookmarkStart w:id="1448" w:name="_4.10.4_Repeal_of"/>
      <w:bookmarkStart w:id="1449" w:name="B4104"/>
      <w:bookmarkEnd w:id="1448"/>
      <w:bookmarkEnd w:id="1449"/>
      <w:r w:rsidRPr="001544BF">
        <w:rPr>
          <w:rFonts w:ascii="Arial" w:hAnsi="Arial" w:cs="Arial"/>
          <w:b/>
          <w:bCs/>
          <w:color w:val="000000"/>
          <w:sz w:val="20"/>
        </w:rPr>
        <w:t>4.10.4</w:t>
      </w:r>
      <w:r w:rsidRPr="001544BF">
        <w:rPr>
          <w:rFonts w:ascii="Arial" w:hAnsi="Arial" w:cs="Arial"/>
          <w:b/>
          <w:bCs/>
          <w:color w:val="000000"/>
          <w:sz w:val="20"/>
        </w:rPr>
        <w:tab/>
        <w:t>Repeal of advisory conference provisions</w:t>
      </w:r>
    </w:p>
    <w:p w14:paraId="2213CE23" w14:textId="77777777" w:rsidR="00132E50" w:rsidRPr="001544BF" w:rsidRDefault="00132E50" w:rsidP="0037276F">
      <w:pPr>
        <w:pBdr>
          <w:left w:val="single" w:sz="12" w:space="4" w:color="FF0000"/>
          <w:right w:val="single" w:sz="12" w:space="4" w:color="FF0000"/>
        </w:pBdr>
        <w:jc w:val="both"/>
        <w:rPr>
          <w:rFonts w:ascii="Arial" w:hAnsi="Arial" w:cs="Arial"/>
          <w:color w:val="000000"/>
          <w:sz w:val="20"/>
        </w:rPr>
      </w:pPr>
      <w:r w:rsidRPr="001544BF">
        <w:rPr>
          <w:rFonts w:ascii="Arial" w:hAnsi="Arial" w:cs="Arial"/>
          <w:color w:val="000000"/>
          <w:sz w:val="20"/>
        </w:rPr>
        <w:t>Prior to 01/12/2013, s.217(3) of the CYFA had allowed the convenor to determine whether a conference was to be:</w:t>
      </w:r>
    </w:p>
    <w:p w14:paraId="6CD7DCA5" w14:textId="77777777" w:rsidR="00132E50" w:rsidRPr="001544BF" w:rsidRDefault="00132E50" w:rsidP="0037276F">
      <w:pPr>
        <w:numPr>
          <w:ilvl w:val="0"/>
          <w:numId w:val="35"/>
        </w:numPr>
        <w:pBdr>
          <w:left w:val="single" w:sz="12" w:space="4" w:color="FF0000"/>
          <w:right w:val="single" w:sz="12" w:space="4" w:color="FF0000"/>
        </w:pBdr>
        <w:tabs>
          <w:tab w:val="clear" w:pos="1634"/>
        </w:tabs>
        <w:ind w:left="289" w:hanging="289"/>
        <w:jc w:val="both"/>
        <w:rPr>
          <w:rFonts w:ascii="Arial" w:hAnsi="Arial" w:cs="Arial"/>
          <w:color w:val="000000"/>
          <w:sz w:val="20"/>
        </w:rPr>
      </w:pPr>
      <w:r w:rsidRPr="001544BF">
        <w:rPr>
          <w:rFonts w:ascii="Arial" w:hAnsi="Arial" w:cs="Arial"/>
          <w:color w:val="000000"/>
          <w:sz w:val="20"/>
        </w:rPr>
        <w:t>“a facilitative conference” whose primary purpose was to try to reach an agreement as to the action to be taken in the best interests of the child [s.218(1)(c)]; or</w:t>
      </w:r>
    </w:p>
    <w:p w14:paraId="30388E2B" w14:textId="77777777" w:rsidR="00132E50" w:rsidRPr="001544BF" w:rsidRDefault="00132E50" w:rsidP="0037276F">
      <w:pPr>
        <w:numPr>
          <w:ilvl w:val="0"/>
          <w:numId w:val="35"/>
        </w:numPr>
        <w:pBdr>
          <w:left w:val="single" w:sz="12" w:space="4" w:color="FF0000"/>
          <w:right w:val="single" w:sz="12" w:space="4" w:color="FF0000"/>
        </w:pBdr>
        <w:tabs>
          <w:tab w:val="clear" w:pos="1634"/>
        </w:tabs>
        <w:ind w:left="289" w:hanging="289"/>
        <w:jc w:val="both"/>
        <w:rPr>
          <w:rFonts w:ascii="Arial" w:hAnsi="Arial" w:cs="Arial"/>
          <w:color w:val="000000"/>
          <w:sz w:val="20"/>
        </w:rPr>
      </w:pPr>
      <w:r w:rsidRPr="001544BF">
        <w:rPr>
          <w:rFonts w:ascii="Arial" w:hAnsi="Arial" w:cs="Arial"/>
          <w:color w:val="000000"/>
          <w:sz w:val="20"/>
        </w:rPr>
        <w:t>“an advisory conference” whose primary purpose was to provide to the Court a written report as to the facts of the dispute and the possible outcomes of the dispute and how these outcomes might be achieved [s.219(2)(c)].</w:t>
      </w:r>
    </w:p>
    <w:p w14:paraId="04B2D494" w14:textId="77777777" w:rsidR="00132E50" w:rsidRPr="001544BF" w:rsidRDefault="00132E50" w:rsidP="0037276F">
      <w:pPr>
        <w:pBdr>
          <w:left w:val="single" w:sz="12" w:space="4" w:color="FF0000"/>
          <w:right w:val="single" w:sz="12" w:space="4" w:color="FF0000"/>
        </w:pBdr>
        <w:jc w:val="both"/>
        <w:rPr>
          <w:rFonts w:ascii="Arial" w:hAnsi="Arial" w:cs="Arial"/>
          <w:color w:val="000000"/>
          <w:sz w:val="20"/>
        </w:rPr>
      </w:pPr>
    </w:p>
    <w:p w14:paraId="5B91D3C8" w14:textId="77777777" w:rsidR="00132E50" w:rsidRPr="001544BF" w:rsidRDefault="00132E50" w:rsidP="0037276F">
      <w:pPr>
        <w:pBdr>
          <w:left w:val="single" w:sz="12" w:space="4" w:color="FF0000"/>
          <w:right w:val="single" w:sz="12" w:space="4" w:color="FF0000"/>
        </w:pBdr>
        <w:jc w:val="both"/>
        <w:rPr>
          <w:rFonts w:ascii="Arial" w:hAnsi="Arial" w:cs="Arial"/>
          <w:color w:val="000000"/>
          <w:sz w:val="20"/>
        </w:rPr>
      </w:pPr>
      <w:r w:rsidRPr="001544BF">
        <w:rPr>
          <w:rFonts w:ascii="Arial" w:hAnsi="Arial" w:cs="Arial"/>
          <w:color w:val="000000"/>
          <w:sz w:val="20"/>
        </w:rPr>
        <w:t>In practice there ha</w:t>
      </w:r>
      <w:r w:rsidR="003B4C54">
        <w:rPr>
          <w:rFonts w:ascii="Arial" w:hAnsi="Arial" w:cs="Arial"/>
          <w:color w:val="000000"/>
          <w:sz w:val="20"/>
        </w:rPr>
        <w:t>d</w:t>
      </w:r>
      <w:r w:rsidRPr="001544BF">
        <w:rPr>
          <w:rFonts w:ascii="Arial" w:hAnsi="Arial" w:cs="Arial"/>
          <w:color w:val="000000"/>
          <w:sz w:val="20"/>
        </w:rPr>
        <w:t xml:space="preserve"> been very few advisory conferences.  On 01/12/2013 the “advisory conference” provisions in ss.217(3), 219 &amp; 223(2) were repealed and the word “facilitative” was replaced by the word “conciliation” in ss.218 &amp; 223(1).</w:t>
      </w:r>
    </w:p>
    <w:p w14:paraId="04768B55"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p>
    <w:p w14:paraId="52CBF007" w14:textId="77777777" w:rsidR="00132E50" w:rsidRPr="00677920" w:rsidRDefault="00132E50" w:rsidP="0037276F">
      <w:pPr>
        <w:pStyle w:val="Heading3"/>
        <w:keepNext/>
        <w:pBdr>
          <w:left w:val="single" w:sz="12" w:space="4" w:color="FF0000"/>
          <w:right w:val="single" w:sz="12" w:space="4" w:color="FF0000"/>
        </w:pBdr>
        <w:spacing w:after="120" w:line="240" w:lineRule="auto"/>
        <w:rPr>
          <w:rFonts w:ascii="Arial" w:hAnsi="Arial" w:cs="Arial"/>
          <w:color w:val="000000"/>
          <w:sz w:val="20"/>
        </w:rPr>
      </w:pPr>
      <w:bookmarkStart w:id="1450" w:name="_4.10.5_Attendance_at"/>
      <w:bookmarkStart w:id="1451" w:name="B4105"/>
      <w:bookmarkEnd w:id="1450"/>
      <w:bookmarkEnd w:id="1451"/>
      <w:r w:rsidRPr="00677920">
        <w:rPr>
          <w:rFonts w:ascii="Arial" w:hAnsi="Arial" w:cs="Arial"/>
          <w:b/>
          <w:bCs/>
          <w:color w:val="000000"/>
          <w:sz w:val="20"/>
        </w:rPr>
        <w:t>4.10.5</w:t>
      </w:r>
      <w:r w:rsidRPr="00677920">
        <w:rPr>
          <w:rFonts w:ascii="Arial" w:hAnsi="Arial" w:cs="Arial"/>
          <w:b/>
          <w:bCs/>
          <w:color w:val="000000"/>
          <w:sz w:val="20"/>
        </w:rPr>
        <w:tab/>
        <w:t>Attendance at</w:t>
      </w:r>
      <w:r w:rsidRPr="00677920">
        <w:rPr>
          <w:rFonts w:ascii="Arial" w:hAnsi="Arial" w:cs="Arial"/>
          <w:b/>
          <w:color w:val="000000"/>
          <w:sz w:val="20"/>
        </w:rPr>
        <w:t xml:space="preserve"> CC</w:t>
      </w:r>
    </w:p>
    <w:p w14:paraId="74C42690"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r w:rsidRPr="00677920">
        <w:rPr>
          <w:rFonts w:ascii="Arial" w:hAnsi="Arial" w:cs="Arial"/>
          <w:color w:val="000000"/>
          <w:sz w:val="20"/>
        </w:rPr>
        <w:t>A conciliation conference is attended by the child's parents and a nominee of the Secretary: s.222(1).</w:t>
      </w:r>
    </w:p>
    <w:p w14:paraId="24086357"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p>
    <w:p w14:paraId="70D7D259" w14:textId="7C4550FD" w:rsidR="00132E50" w:rsidRPr="00677920" w:rsidRDefault="003A03DB" w:rsidP="0037276F">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 xml:space="preserve">Originally </w:t>
      </w:r>
      <w:r w:rsidR="00132E50" w:rsidRPr="00677920">
        <w:rPr>
          <w:rFonts w:ascii="Arial" w:hAnsi="Arial" w:cs="Arial"/>
          <w:color w:val="000000"/>
          <w:sz w:val="20"/>
        </w:rPr>
        <w:t>the Secretary ha</w:t>
      </w:r>
      <w:r w:rsidR="003B4C54">
        <w:rPr>
          <w:rFonts w:ascii="Arial" w:hAnsi="Arial" w:cs="Arial"/>
          <w:color w:val="000000"/>
          <w:sz w:val="20"/>
        </w:rPr>
        <w:t>d</w:t>
      </w:r>
      <w:r w:rsidR="00132E50" w:rsidRPr="00677920">
        <w:rPr>
          <w:rFonts w:ascii="Arial" w:hAnsi="Arial" w:cs="Arial"/>
          <w:color w:val="000000"/>
          <w:sz w:val="20"/>
        </w:rPr>
        <w:t xml:space="preserve"> generally not been legally represented, though that </w:t>
      </w:r>
      <w:r w:rsidR="003B4C54">
        <w:rPr>
          <w:rFonts w:ascii="Arial" w:hAnsi="Arial" w:cs="Arial"/>
          <w:color w:val="000000"/>
          <w:sz w:val="20"/>
        </w:rPr>
        <w:t>wa</w:t>
      </w:r>
      <w:r w:rsidR="00132E50" w:rsidRPr="00677920">
        <w:rPr>
          <w:rFonts w:ascii="Arial" w:hAnsi="Arial" w:cs="Arial"/>
          <w:color w:val="000000"/>
          <w:sz w:val="20"/>
        </w:rPr>
        <w:t>s a decision of the Secretary, not a legislative bar or something desired by the Court.  The</w:t>
      </w:r>
      <w:r>
        <w:rPr>
          <w:rFonts w:ascii="Arial" w:hAnsi="Arial" w:cs="Arial"/>
          <w:color w:val="000000"/>
          <w:sz w:val="20"/>
        </w:rPr>
        <w:t xml:space="preserve"> </w:t>
      </w:r>
      <w:r w:rsidR="00677920">
        <w:rPr>
          <w:rFonts w:ascii="Arial" w:hAnsi="Arial" w:cs="Arial"/>
          <w:color w:val="000000"/>
          <w:sz w:val="20"/>
        </w:rPr>
        <w:t xml:space="preserve">guidelines for the </w:t>
      </w:r>
      <w:r>
        <w:rPr>
          <w:rFonts w:ascii="Arial" w:hAnsi="Arial" w:cs="Arial"/>
          <w:color w:val="000000"/>
          <w:sz w:val="20"/>
        </w:rPr>
        <w:t>most recent</w:t>
      </w:r>
      <w:r w:rsidR="00132E50" w:rsidRPr="00677920">
        <w:rPr>
          <w:rFonts w:ascii="Arial" w:hAnsi="Arial" w:cs="Arial"/>
          <w:color w:val="000000"/>
          <w:sz w:val="20"/>
        </w:rPr>
        <w:t xml:space="preserve"> </w:t>
      </w:r>
      <w:r w:rsidR="00862BCE">
        <w:rPr>
          <w:rFonts w:ascii="Arial" w:hAnsi="Arial" w:cs="Arial"/>
          <w:color w:val="000000"/>
          <w:sz w:val="20"/>
        </w:rPr>
        <w:t>model</w:t>
      </w:r>
      <w:r w:rsidR="00677920">
        <w:rPr>
          <w:rFonts w:ascii="Arial" w:hAnsi="Arial" w:cs="Arial"/>
          <w:color w:val="000000"/>
          <w:sz w:val="20"/>
        </w:rPr>
        <w:t xml:space="preserve"> of </w:t>
      </w:r>
      <w:r w:rsidR="00132E50" w:rsidRPr="00677920">
        <w:rPr>
          <w:rFonts w:ascii="Arial" w:hAnsi="Arial" w:cs="Arial"/>
          <w:color w:val="000000"/>
          <w:sz w:val="20"/>
        </w:rPr>
        <w:t>conference</w:t>
      </w:r>
      <w:r w:rsidR="00677920">
        <w:rPr>
          <w:rFonts w:ascii="Arial" w:hAnsi="Arial" w:cs="Arial"/>
          <w:color w:val="000000"/>
          <w:sz w:val="20"/>
        </w:rPr>
        <w:t xml:space="preserve"> </w:t>
      </w:r>
      <w:r w:rsidR="00132E50" w:rsidRPr="00677920">
        <w:rPr>
          <w:rFonts w:ascii="Arial" w:hAnsi="Arial" w:cs="Arial"/>
          <w:color w:val="000000"/>
          <w:sz w:val="20"/>
        </w:rPr>
        <w:t>state</w:t>
      </w:r>
      <w:r w:rsidR="00CE0AB5">
        <w:rPr>
          <w:rFonts w:ascii="Arial" w:hAnsi="Arial" w:cs="Arial"/>
          <w:color w:val="000000"/>
          <w:sz w:val="20"/>
        </w:rPr>
        <w:t>d</w:t>
      </w:r>
      <w:r w:rsidR="00132E50" w:rsidRPr="00677920">
        <w:rPr>
          <w:rFonts w:ascii="Arial" w:hAnsi="Arial" w:cs="Arial"/>
          <w:color w:val="000000"/>
          <w:sz w:val="20"/>
        </w:rPr>
        <w:t xml:space="preserve"> [at p.8]: “DHS at [a conference] must be legally represented or have legal representation during the final phase of the conference to assist with negotiation and drafting of minutes.  In all circumstances DHS must have a person present at [a conference] with the necessary authority to negotiate a range of possible outcomes and make decisions that may lead to settlement.”</w:t>
      </w:r>
    </w:p>
    <w:p w14:paraId="22ADA70E" w14:textId="77777777" w:rsidR="00132E50" w:rsidRPr="00785E1A" w:rsidRDefault="00132E50" w:rsidP="0037276F">
      <w:pPr>
        <w:pBdr>
          <w:left w:val="single" w:sz="12" w:space="4" w:color="FF0000"/>
          <w:right w:val="single" w:sz="12" w:space="4" w:color="FF0000"/>
        </w:pBdr>
        <w:jc w:val="both"/>
        <w:rPr>
          <w:rFonts w:ascii="Arial" w:hAnsi="Arial" w:cs="Arial"/>
          <w:color w:val="000000"/>
          <w:sz w:val="20"/>
        </w:rPr>
      </w:pPr>
    </w:p>
    <w:p w14:paraId="7AEE8E56"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 xml:space="preserve">A legal representative of the parent may </w:t>
      </w:r>
      <w:proofErr w:type="gramStart"/>
      <w:r w:rsidRPr="00785E1A">
        <w:rPr>
          <w:rFonts w:ascii="Arial" w:hAnsi="Arial" w:cs="Arial"/>
          <w:color w:val="000000"/>
          <w:sz w:val="20"/>
        </w:rPr>
        <w:t>attend:</w:t>
      </w:r>
      <w:proofErr w:type="gramEnd"/>
      <w:r w:rsidRPr="00785E1A">
        <w:rPr>
          <w:rFonts w:ascii="Arial" w:hAnsi="Arial" w:cs="Arial"/>
          <w:color w:val="000000"/>
          <w:sz w:val="20"/>
        </w:rPr>
        <w:t xml:space="preserve"> s.222(3).  If the child is mature enough to give instructions, a separate legal representative of the child may attend: s.222(4).  If, in exceptional circumstances, the Court determines that it is in the best interests of a child who, in the opinion </w:t>
      </w:r>
      <w:r w:rsidRPr="00785E1A">
        <w:rPr>
          <w:rFonts w:ascii="Arial" w:hAnsi="Arial" w:cs="Arial"/>
          <w:color w:val="000000"/>
          <w:sz w:val="20"/>
        </w:rPr>
        <w:lastRenderedPageBreak/>
        <w:t xml:space="preserve">of the Court is not mature enough to give instructions, for the child to be legally </w:t>
      </w:r>
      <w:r w:rsidRPr="00677920">
        <w:rPr>
          <w:rFonts w:ascii="Arial" w:hAnsi="Arial" w:cs="Arial"/>
          <w:color w:val="000000"/>
          <w:sz w:val="20"/>
        </w:rPr>
        <w:t xml:space="preserve">represented at a conference, such legal representative may </w:t>
      </w:r>
      <w:proofErr w:type="gramStart"/>
      <w:r w:rsidRPr="00677920">
        <w:rPr>
          <w:rFonts w:ascii="Arial" w:hAnsi="Arial" w:cs="Arial"/>
          <w:color w:val="000000"/>
          <w:sz w:val="20"/>
        </w:rPr>
        <w:t>attend:</w:t>
      </w:r>
      <w:proofErr w:type="gramEnd"/>
      <w:r w:rsidRPr="00677920">
        <w:rPr>
          <w:rFonts w:ascii="Arial" w:hAnsi="Arial" w:cs="Arial"/>
          <w:color w:val="000000"/>
          <w:sz w:val="20"/>
        </w:rPr>
        <w:t xml:space="preserve"> s.222(5).</w:t>
      </w:r>
    </w:p>
    <w:p w14:paraId="2CD779AC" w14:textId="77777777" w:rsidR="00132E50" w:rsidRPr="00C2247C" w:rsidRDefault="00132E50" w:rsidP="0037276F">
      <w:pPr>
        <w:pBdr>
          <w:left w:val="single" w:sz="12" w:space="4" w:color="FF0000"/>
          <w:right w:val="single" w:sz="12" w:space="4" w:color="FF0000"/>
        </w:pBdr>
        <w:jc w:val="both"/>
        <w:rPr>
          <w:rFonts w:ascii="Arial" w:hAnsi="Arial" w:cs="Arial"/>
          <w:color w:val="000000"/>
          <w:sz w:val="18"/>
          <w:szCs w:val="22"/>
        </w:rPr>
      </w:pPr>
    </w:p>
    <w:p w14:paraId="61637BD9" w14:textId="70D55107" w:rsidR="00132E50" w:rsidRPr="00785E1A" w:rsidRDefault="00132E50" w:rsidP="0037276F">
      <w:p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In addition, under s.222(2), the Court may order the attendance of</w:t>
      </w:r>
      <w:r w:rsidR="00CE0AB5">
        <w:rPr>
          <w:rFonts w:ascii="Arial" w:hAnsi="Arial" w:cs="Arial"/>
          <w:color w:val="000000"/>
          <w:sz w:val="20"/>
        </w:rPr>
        <w:t>–</w:t>
      </w:r>
    </w:p>
    <w:p w14:paraId="40930ECC"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0"/>
        <w:jc w:val="both"/>
        <w:rPr>
          <w:rFonts w:ascii="Arial" w:hAnsi="Arial" w:cs="Arial"/>
          <w:color w:val="000000"/>
          <w:sz w:val="20"/>
        </w:rPr>
      </w:pPr>
      <w:r w:rsidRPr="00785E1A">
        <w:rPr>
          <w:rFonts w:ascii="Arial" w:hAnsi="Arial" w:cs="Arial"/>
          <w:color w:val="000000"/>
          <w:sz w:val="20"/>
        </w:rPr>
        <w:t>the child;</w:t>
      </w:r>
    </w:p>
    <w:p w14:paraId="64AB6F37"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0"/>
        <w:jc w:val="both"/>
        <w:rPr>
          <w:rFonts w:ascii="Arial" w:hAnsi="Arial" w:cs="Arial"/>
          <w:color w:val="000000"/>
          <w:sz w:val="20"/>
        </w:rPr>
      </w:pPr>
      <w:r w:rsidRPr="00785E1A">
        <w:rPr>
          <w:rFonts w:ascii="Arial" w:hAnsi="Arial" w:cs="Arial"/>
          <w:color w:val="000000"/>
          <w:sz w:val="20"/>
        </w:rPr>
        <w:t>his or her relative(s);</w:t>
      </w:r>
    </w:p>
    <w:p w14:paraId="1FD67948"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363" w:hanging="363"/>
        <w:jc w:val="both"/>
        <w:rPr>
          <w:rFonts w:ascii="Arial" w:hAnsi="Arial" w:cs="Arial"/>
          <w:color w:val="000000"/>
          <w:sz w:val="20"/>
        </w:rPr>
      </w:pPr>
      <w:r w:rsidRPr="00785E1A">
        <w:rPr>
          <w:rFonts w:ascii="Arial" w:hAnsi="Arial" w:cs="Arial"/>
          <w:color w:val="000000"/>
          <w:sz w:val="20"/>
        </w:rPr>
        <w:t>in the case of an Aboriginal child, a member of the child’s Aboriginal community as agreed to by the child;</w:t>
      </w:r>
    </w:p>
    <w:p w14:paraId="01F79301"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363" w:hanging="363"/>
        <w:jc w:val="both"/>
        <w:rPr>
          <w:rFonts w:ascii="Arial" w:hAnsi="Arial" w:cs="Arial"/>
          <w:color w:val="000000"/>
          <w:sz w:val="20"/>
        </w:rPr>
      </w:pPr>
      <w:r w:rsidRPr="00785E1A">
        <w:rPr>
          <w:rFonts w:ascii="Arial" w:hAnsi="Arial" w:cs="Arial"/>
          <w:color w:val="000000"/>
          <w:sz w:val="20"/>
        </w:rPr>
        <w:t>if the child’s parent is an Aboriginal person, a member of the parent’s Aboriginal community as agreed to by the parent;</w:t>
      </w:r>
    </w:p>
    <w:p w14:paraId="11CF4AA8"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363" w:hanging="363"/>
        <w:jc w:val="both"/>
        <w:rPr>
          <w:rFonts w:ascii="Arial" w:hAnsi="Arial" w:cs="Arial"/>
          <w:color w:val="000000"/>
          <w:sz w:val="20"/>
        </w:rPr>
      </w:pPr>
      <w:r w:rsidRPr="00785E1A">
        <w:rPr>
          <w:rFonts w:ascii="Arial" w:hAnsi="Arial" w:cs="Arial"/>
          <w:color w:val="000000"/>
          <w:sz w:val="20"/>
        </w:rPr>
        <w:t>in the case of a child from an ethnic background, a member of the appropriate ethnic community who is chosen or agreed to by the child or by his or her parent;</w:t>
      </w:r>
    </w:p>
    <w:p w14:paraId="586FD8D6"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363" w:hanging="363"/>
        <w:jc w:val="both"/>
        <w:rPr>
          <w:rFonts w:ascii="Arial" w:hAnsi="Arial" w:cs="Arial"/>
          <w:color w:val="000000"/>
          <w:sz w:val="20"/>
        </w:rPr>
      </w:pPr>
      <w:r w:rsidRPr="00785E1A">
        <w:rPr>
          <w:rFonts w:ascii="Arial" w:hAnsi="Arial" w:cs="Arial"/>
          <w:color w:val="000000"/>
          <w:sz w:val="20"/>
        </w:rPr>
        <w:t>if the child has a disability, an advocate for the child;</w:t>
      </w:r>
    </w:p>
    <w:p w14:paraId="55DE775C"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363" w:hanging="363"/>
        <w:jc w:val="both"/>
        <w:rPr>
          <w:rFonts w:ascii="Arial" w:hAnsi="Arial" w:cs="Arial"/>
          <w:color w:val="000000"/>
          <w:sz w:val="20"/>
        </w:rPr>
      </w:pPr>
      <w:r w:rsidRPr="00785E1A">
        <w:rPr>
          <w:rFonts w:ascii="Arial" w:hAnsi="Arial" w:cs="Arial"/>
          <w:color w:val="000000"/>
          <w:sz w:val="20"/>
        </w:rPr>
        <w:t>if the parent has a disability, an advocate for the parent;</w:t>
      </w:r>
    </w:p>
    <w:p w14:paraId="5295FAA8" w14:textId="77777777" w:rsidR="00132E50" w:rsidRPr="00785E1A" w:rsidRDefault="00132E50" w:rsidP="0037276F">
      <w:pPr>
        <w:numPr>
          <w:ilvl w:val="0"/>
          <w:numId w:val="12"/>
        </w:numPr>
        <w:pBdr>
          <w:left w:val="single" w:sz="12" w:space="4" w:color="FF0000"/>
          <w:right w:val="single" w:sz="12" w:space="4" w:color="FF0000"/>
        </w:pBdr>
        <w:tabs>
          <w:tab w:val="clear" w:pos="420"/>
          <w:tab w:val="num" w:pos="363"/>
        </w:tabs>
        <w:ind w:left="363" w:hanging="363"/>
        <w:jc w:val="both"/>
        <w:rPr>
          <w:rFonts w:ascii="Arial" w:hAnsi="Arial" w:cs="Arial"/>
          <w:color w:val="000000"/>
          <w:sz w:val="20"/>
        </w:rPr>
      </w:pPr>
      <w:r w:rsidRPr="00785E1A">
        <w:rPr>
          <w:rFonts w:ascii="Arial" w:hAnsi="Arial" w:cs="Arial"/>
          <w:color w:val="000000"/>
          <w:sz w:val="20"/>
        </w:rPr>
        <w:t>any other support person for the child requested by the child.</w:t>
      </w:r>
    </w:p>
    <w:p w14:paraId="5EBDF0FF" w14:textId="77777777" w:rsidR="00132E50" w:rsidRPr="00C2247C" w:rsidRDefault="00132E50" w:rsidP="0037276F">
      <w:pPr>
        <w:pBdr>
          <w:left w:val="single" w:sz="12" w:space="4" w:color="FF0000"/>
          <w:right w:val="single" w:sz="12" w:space="4" w:color="FF0000"/>
        </w:pBdr>
        <w:jc w:val="both"/>
        <w:rPr>
          <w:rFonts w:ascii="Arial" w:hAnsi="Arial" w:cs="Arial"/>
          <w:color w:val="000000"/>
          <w:sz w:val="18"/>
          <w:szCs w:val="22"/>
        </w:rPr>
      </w:pPr>
    </w:p>
    <w:p w14:paraId="37D34B0B" w14:textId="7EC6FED8" w:rsidR="00132E50" w:rsidRPr="00677920" w:rsidRDefault="0090541F" w:rsidP="0037276F">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 xml:space="preserve">Section </w:t>
      </w:r>
      <w:r w:rsidR="00132E50" w:rsidRPr="00677920">
        <w:rPr>
          <w:rFonts w:ascii="Arial" w:hAnsi="Arial" w:cs="Arial"/>
          <w:color w:val="000000"/>
          <w:sz w:val="20"/>
        </w:rPr>
        <w:t>226(7) of the CYFA gives the convenor(s) of a CC power to</w:t>
      </w:r>
      <w:r w:rsidR="00CE0AB5">
        <w:rPr>
          <w:rFonts w:ascii="Arial" w:hAnsi="Arial" w:cs="Arial"/>
          <w:color w:val="000000"/>
          <w:sz w:val="20"/>
        </w:rPr>
        <w:t>–</w:t>
      </w:r>
    </w:p>
    <w:p w14:paraId="3FF2A7C2"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r w:rsidRPr="00677920">
        <w:rPr>
          <w:rFonts w:ascii="Arial" w:hAnsi="Arial" w:cs="Arial"/>
          <w:color w:val="000000"/>
          <w:sz w:val="20"/>
        </w:rPr>
        <w:t>(a)</w:t>
      </w:r>
      <w:r w:rsidRPr="00677920">
        <w:rPr>
          <w:rFonts w:ascii="Arial" w:hAnsi="Arial" w:cs="Arial"/>
          <w:color w:val="000000"/>
          <w:sz w:val="20"/>
        </w:rPr>
        <w:tab/>
        <w:t>permit any other person to attend the conference;</w:t>
      </w:r>
    </w:p>
    <w:p w14:paraId="5B1A913F"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r w:rsidRPr="00677920">
        <w:rPr>
          <w:rFonts w:ascii="Arial" w:hAnsi="Arial" w:cs="Arial"/>
          <w:color w:val="000000"/>
          <w:sz w:val="20"/>
        </w:rPr>
        <w:t>(b)</w:t>
      </w:r>
      <w:r w:rsidRPr="00677920">
        <w:rPr>
          <w:rFonts w:ascii="Arial" w:hAnsi="Arial" w:cs="Arial"/>
          <w:color w:val="000000"/>
          <w:sz w:val="20"/>
        </w:rPr>
        <w:tab/>
        <w:t>specify whether, or in what manner, the person may participate in the conference;</w:t>
      </w:r>
    </w:p>
    <w:p w14:paraId="2542FA93"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r w:rsidRPr="00677920">
        <w:rPr>
          <w:rFonts w:ascii="Arial" w:hAnsi="Arial" w:cs="Arial"/>
          <w:color w:val="000000"/>
          <w:sz w:val="20"/>
        </w:rPr>
        <w:t>(c)</w:t>
      </w:r>
      <w:r w:rsidRPr="00677920">
        <w:rPr>
          <w:rFonts w:ascii="Arial" w:hAnsi="Arial" w:cs="Arial"/>
          <w:color w:val="000000"/>
          <w:sz w:val="20"/>
        </w:rPr>
        <w:tab/>
        <w:t>require the person to leave the conference at any time; and</w:t>
      </w:r>
    </w:p>
    <w:p w14:paraId="1593A755" w14:textId="77777777" w:rsidR="00132E50" w:rsidRPr="00677920" w:rsidRDefault="00132E50" w:rsidP="0037276F">
      <w:pPr>
        <w:pBdr>
          <w:left w:val="single" w:sz="12" w:space="4" w:color="FF0000"/>
          <w:right w:val="single" w:sz="12" w:space="4" w:color="FF0000"/>
        </w:pBdr>
        <w:jc w:val="both"/>
        <w:rPr>
          <w:rFonts w:ascii="Arial" w:hAnsi="Arial" w:cs="Arial"/>
          <w:color w:val="000000"/>
          <w:sz w:val="20"/>
        </w:rPr>
      </w:pPr>
      <w:r w:rsidRPr="00677920">
        <w:rPr>
          <w:rFonts w:ascii="Arial" w:hAnsi="Arial" w:cs="Arial"/>
          <w:color w:val="000000"/>
          <w:sz w:val="20"/>
        </w:rPr>
        <w:t>(d)</w:t>
      </w:r>
      <w:r w:rsidRPr="00677920">
        <w:rPr>
          <w:rFonts w:ascii="Arial" w:hAnsi="Arial" w:cs="Arial"/>
          <w:color w:val="000000"/>
          <w:sz w:val="20"/>
        </w:rPr>
        <w:tab/>
        <w:t>require that any other specified person not attend the conference.</w:t>
      </w:r>
    </w:p>
    <w:p w14:paraId="5C8717C2" w14:textId="77777777" w:rsidR="00132E50" w:rsidRPr="00C2247C" w:rsidRDefault="00132E50" w:rsidP="0037276F">
      <w:pPr>
        <w:pBdr>
          <w:left w:val="single" w:sz="12" w:space="4" w:color="FF0000"/>
          <w:right w:val="single" w:sz="12" w:space="4" w:color="FF0000"/>
        </w:pBdr>
        <w:jc w:val="both"/>
        <w:rPr>
          <w:rFonts w:ascii="Arial" w:hAnsi="Arial" w:cs="Arial"/>
          <w:color w:val="000000"/>
          <w:sz w:val="18"/>
          <w:szCs w:val="22"/>
        </w:rPr>
      </w:pPr>
    </w:p>
    <w:p w14:paraId="45A749F0" w14:textId="77777777" w:rsidR="00132E50" w:rsidRPr="00785E1A" w:rsidRDefault="00132E50" w:rsidP="0037276F">
      <w:pPr>
        <w:pStyle w:val="Heading3"/>
        <w:keepNext/>
        <w:pBdr>
          <w:left w:val="single" w:sz="12" w:space="4" w:color="FF0000"/>
          <w:right w:val="single" w:sz="12" w:space="4" w:color="FF0000"/>
        </w:pBdr>
        <w:spacing w:after="120" w:line="240" w:lineRule="auto"/>
        <w:rPr>
          <w:rFonts w:ascii="Arial" w:hAnsi="Arial" w:cs="Arial"/>
          <w:color w:val="000000"/>
          <w:sz w:val="20"/>
        </w:rPr>
      </w:pPr>
      <w:bookmarkStart w:id="1452" w:name="_4.10.6_Guidelines_&amp;"/>
      <w:bookmarkStart w:id="1453" w:name="B4106"/>
      <w:bookmarkEnd w:id="1452"/>
      <w:bookmarkEnd w:id="1453"/>
      <w:r w:rsidRPr="00785E1A">
        <w:rPr>
          <w:rFonts w:ascii="Arial" w:hAnsi="Arial" w:cs="Arial"/>
          <w:b/>
          <w:bCs/>
          <w:color w:val="000000"/>
          <w:sz w:val="20"/>
        </w:rPr>
        <w:t>4.10.6</w:t>
      </w:r>
      <w:r w:rsidRPr="00785E1A">
        <w:rPr>
          <w:rFonts w:ascii="Arial" w:hAnsi="Arial" w:cs="Arial"/>
          <w:b/>
          <w:bCs/>
          <w:color w:val="000000"/>
          <w:sz w:val="20"/>
        </w:rPr>
        <w:tab/>
        <w:t>Guidelines &amp; procedure</w:t>
      </w:r>
    </w:p>
    <w:p w14:paraId="4D4AFAA9" w14:textId="298D0BA6" w:rsidR="00384718" w:rsidRDefault="00132E50" w:rsidP="0037276F">
      <w:p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 xml:space="preserve">Section 220 of the CYFA requires a </w:t>
      </w:r>
      <w:r w:rsidRPr="00677920">
        <w:rPr>
          <w:rFonts w:ascii="Arial" w:hAnsi="Arial" w:cs="Arial"/>
          <w:color w:val="000000"/>
          <w:sz w:val="20"/>
        </w:rPr>
        <w:t>conciliation conference</w:t>
      </w:r>
      <w:r w:rsidRPr="00785E1A">
        <w:rPr>
          <w:rFonts w:ascii="Arial" w:hAnsi="Arial" w:cs="Arial"/>
          <w:color w:val="000000"/>
          <w:sz w:val="20"/>
        </w:rPr>
        <w:t xml:space="preserve"> to be conducted in accordance with any guidelines issued from time to time by the Court.</w:t>
      </w:r>
      <w:r w:rsidR="00AB3180">
        <w:rPr>
          <w:rFonts w:ascii="Arial" w:hAnsi="Arial" w:cs="Arial"/>
          <w:color w:val="000000"/>
          <w:sz w:val="20"/>
        </w:rPr>
        <w:t xml:space="preserve">  </w:t>
      </w:r>
      <w:r w:rsidR="00862BCE" w:rsidRPr="00862BCE">
        <w:rPr>
          <w:rFonts w:ascii="Arial" w:hAnsi="Arial" w:cs="Arial"/>
          <w:color w:val="000000"/>
          <w:sz w:val="20"/>
        </w:rPr>
        <w:t xml:space="preserve">The </w:t>
      </w:r>
      <w:hyperlink r:id="rId38" w:history="1">
        <w:r w:rsidR="00D70BBE" w:rsidRPr="009F7A69">
          <w:rPr>
            <w:rStyle w:val="Hyperlink"/>
            <w:rFonts w:ascii="Arial" w:hAnsi="Arial" w:cs="Arial"/>
            <w:b/>
            <w:sz w:val="20"/>
          </w:rPr>
          <w:t>GUIDELINES FOR CONCILIATION CONFERENCES</w:t>
        </w:r>
      </w:hyperlink>
      <w:r w:rsidR="00D70BBE">
        <w:rPr>
          <w:rFonts w:ascii="Arial" w:hAnsi="Arial" w:cs="Arial"/>
          <w:color w:val="000000"/>
          <w:sz w:val="20"/>
        </w:rPr>
        <w:t xml:space="preserve"> </w:t>
      </w:r>
      <w:r w:rsidRPr="00862BCE">
        <w:rPr>
          <w:rFonts w:ascii="Arial" w:hAnsi="Arial" w:cs="Arial"/>
          <w:color w:val="000000"/>
          <w:sz w:val="20"/>
        </w:rPr>
        <w:t xml:space="preserve">issued by the Court and </w:t>
      </w:r>
      <w:r w:rsidR="00731A43">
        <w:rPr>
          <w:rFonts w:ascii="Arial" w:hAnsi="Arial" w:cs="Arial"/>
          <w:color w:val="000000"/>
          <w:sz w:val="20"/>
        </w:rPr>
        <w:t xml:space="preserve">dated </w:t>
      </w:r>
      <w:r w:rsidRPr="00862BCE">
        <w:rPr>
          <w:rFonts w:ascii="Arial" w:hAnsi="Arial" w:cs="Arial"/>
          <w:color w:val="000000"/>
          <w:sz w:val="20"/>
        </w:rPr>
        <w:t>0</w:t>
      </w:r>
      <w:r w:rsidR="00D70BBE">
        <w:rPr>
          <w:rFonts w:ascii="Arial" w:hAnsi="Arial" w:cs="Arial"/>
          <w:color w:val="000000"/>
          <w:sz w:val="20"/>
        </w:rPr>
        <w:t>1</w:t>
      </w:r>
      <w:r w:rsidRPr="00862BCE">
        <w:rPr>
          <w:rFonts w:ascii="Arial" w:hAnsi="Arial" w:cs="Arial"/>
          <w:color w:val="000000"/>
          <w:sz w:val="20"/>
        </w:rPr>
        <w:t>/0</w:t>
      </w:r>
      <w:r w:rsidR="00D70BBE">
        <w:rPr>
          <w:rFonts w:ascii="Arial" w:hAnsi="Arial" w:cs="Arial"/>
          <w:color w:val="000000"/>
          <w:sz w:val="20"/>
        </w:rPr>
        <w:t>3</w:t>
      </w:r>
      <w:r w:rsidRPr="00862BCE">
        <w:rPr>
          <w:rFonts w:ascii="Arial" w:hAnsi="Arial" w:cs="Arial"/>
          <w:color w:val="000000"/>
          <w:sz w:val="20"/>
        </w:rPr>
        <w:t>/201</w:t>
      </w:r>
      <w:r w:rsidR="00D70BBE">
        <w:rPr>
          <w:rFonts w:ascii="Arial" w:hAnsi="Arial" w:cs="Arial"/>
          <w:color w:val="000000"/>
          <w:sz w:val="20"/>
        </w:rPr>
        <w:t>6</w:t>
      </w:r>
      <w:r w:rsidRPr="00862BCE">
        <w:rPr>
          <w:rFonts w:ascii="Arial" w:hAnsi="Arial" w:cs="Arial"/>
          <w:color w:val="000000"/>
          <w:sz w:val="20"/>
        </w:rPr>
        <w:t xml:space="preserve"> </w:t>
      </w:r>
      <w:r w:rsidR="00384718">
        <w:rPr>
          <w:rFonts w:ascii="Arial" w:hAnsi="Arial" w:cs="Arial"/>
          <w:color w:val="000000"/>
          <w:sz w:val="20"/>
        </w:rPr>
        <w:t xml:space="preserve">are structured </w:t>
      </w:r>
      <w:r w:rsidR="00CF1C41">
        <w:rPr>
          <w:rFonts w:ascii="Arial" w:hAnsi="Arial" w:cs="Arial"/>
          <w:color w:val="000000"/>
          <w:sz w:val="20"/>
        </w:rPr>
        <w:t>in the following way</w:t>
      </w:r>
      <w:r w:rsidR="00384718">
        <w:rPr>
          <w:rFonts w:ascii="Arial" w:hAnsi="Arial" w:cs="Arial"/>
          <w:color w:val="000000"/>
          <w:sz w:val="20"/>
        </w:rPr>
        <w:t>:</w:t>
      </w:r>
    </w:p>
    <w:p w14:paraId="507EF0D9" w14:textId="5F3C8B75" w:rsidR="00384718" w:rsidRDefault="00384718">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INTRODUCTION AND PURPOSE</w:t>
      </w:r>
    </w:p>
    <w:p w14:paraId="30BEDFB2" w14:textId="1E1057B4" w:rsidR="00384718" w:rsidRPr="00384718" w:rsidRDefault="00384718" w:rsidP="0037276F">
      <w:pPr>
        <w:pBdr>
          <w:left w:val="single" w:sz="12" w:space="4" w:color="FF0000"/>
          <w:right w:val="single" w:sz="12" w:space="4" w:color="FF0000"/>
        </w:pBdr>
        <w:shd w:val="clear" w:color="auto" w:fill="EAEAEA"/>
        <w:spacing w:before="60"/>
        <w:jc w:val="both"/>
        <w:rPr>
          <w:rFonts w:ascii="Arial" w:hAnsi="Arial" w:cs="Arial"/>
          <w:color w:val="000000"/>
          <w:sz w:val="20"/>
        </w:rPr>
      </w:pPr>
      <w:r w:rsidRPr="00384718">
        <w:rPr>
          <w:rFonts w:ascii="Arial" w:hAnsi="Arial" w:cs="Arial"/>
          <w:color w:val="000000"/>
          <w:sz w:val="20"/>
        </w:rPr>
        <w:t>A CC is intended to facilitate the early resolution of applications through a non-adversarial process.</w:t>
      </w:r>
    </w:p>
    <w:p w14:paraId="30EA8B4D" w14:textId="4383A6F6" w:rsidR="00384718" w:rsidRDefault="00384718">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PROCEDURAL MATTERS</w:t>
      </w:r>
    </w:p>
    <w:p w14:paraId="2CA90C7A" w14:textId="51345FBB" w:rsidR="00384718" w:rsidRDefault="00384718">
      <w:pPr>
        <w:pStyle w:val="ListParagraph"/>
        <w:numPr>
          <w:ilvl w:val="1"/>
          <w:numId w:val="89"/>
        </w:numPr>
        <w:pBdr>
          <w:left w:val="single" w:sz="12" w:space="4" w:color="FF0000"/>
          <w:right w:val="single" w:sz="12" w:space="4" w:color="FF0000"/>
        </w:pBdr>
        <w:spacing w:before="60"/>
        <w:ind w:left="357" w:hanging="357"/>
        <w:jc w:val="both"/>
        <w:rPr>
          <w:rFonts w:ascii="Arial" w:hAnsi="Arial" w:cs="Arial"/>
          <w:b/>
          <w:bCs/>
          <w:i/>
          <w:iCs/>
          <w:color w:val="000000"/>
          <w:sz w:val="20"/>
        </w:rPr>
      </w:pPr>
      <w:r w:rsidRPr="00384718">
        <w:rPr>
          <w:rFonts w:ascii="Arial" w:hAnsi="Arial" w:cs="Arial"/>
          <w:b/>
          <w:bCs/>
          <w:i/>
          <w:iCs/>
          <w:color w:val="000000"/>
          <w:sz w:val="20"/>
        </w:rPr>
        <w:t>When a case will be listed for CC</w:t>
      </w:r>
    </w:p>
    <w:p w14:paraId="5227640D" w14:textId="2DB9E67E" w:rsidR="004C495A" w:rsidRPr="004C495A" w:rsidRDefault="004C495A" w:rsidP="0037276F">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The Court will not order a CC in a case that appears likely to resolve expeditiously.  As a general principle, a CC should be held as early as possible in the proceedings in order to facilitate the early resolution of applications.</w:t>
      </w:r>
    </w:p>
    <w:p w14:paraId="6A9E23F3" w14:textId="129C3357" w:rsidR="00384718" w:rsidRDefault="00384718">
      <w:pPr>
        <w:pStyle w:val="ListParagraph"/>
        <w:numPr>
          <w:ilvl w:val="1"/>
          <w:numId w:val="89"/>
        </w:numPr>
        <w:pBdr>
          <w:left w:val="single" w:sz="12" w:space="4" w:color="FF0000"/>
          <w:right w:val="single" w:sz="12" w:space="4" w:color="FF0000"/>
        </w:pBdr>
        <w:spacing w:before="60"/>
        <w:ind w:left="357" w:hanging="357"/>
        <w:jc w:val="both"/>
        <w:rPr>
          <w:rFonts w:ascii="Arial" w:hAnsi="Arial" w:cs="Arial"/>
          <w:b/>
          <w:bCs/>
          <w:i/>
          <w:iCs/>
          <w:color w:val="000000"/>
          <w:sz w:val="20"/>
        </w:rPr>
      </w:pPr>
      <w:r>
        <w:rPr>
          <w:rFonts w:ascii="Arial" w:hAnsi="Arial" w:cs="Arial"/>
          <w:b/>
          <w:bCs/>
          <w:i/>
          <w:iCs/>
          <w:color w:val="000000"/>
          <w:sz w:val="20"/>
        </w:rPr>
        <w:t>Preliminary process and the role of the Conference Intake Officer</w:t>
      </w:r>
    </w:p>
    <w:p w14:paraId="0D6A4D87" w14:textId="2502D2BA" w:rsidR="00384718" w:rsidRDefault="00384718">
      <w:pPr>
        <w:pStyle w:val="ListParagraph"/>
        <w:numPr>
          <w:ilvl w:val="1"/>
          <w:numId w:val="89"/>
        </w:numPr>
        <w:pBdr>
          <w:left w:val="single" w:sz="12" w:space="4" w:color="FF0000"/>
          <w:right w:val="single" w:sz="12" w:space="4" w:color="FF0000"/>
        </w:pBdr>
        <w:ind w:left="357" w:hanging="357"/>
        <w:jc w:val="both"/>
        <w:rPr>
          <w:rFonts w:ascii="Arial" w:hAnsi="Arial" w:cs="Arial"/>
          <w:b/>
          <w:bCs/>
          <w:i/>
          <w:iCs/>
          <w:color w:val="000000"/>
          <w:sz w:val="20"/>
        </w:rPr>
      </w:pPr>
      <w:r>
        <w:rPr>
          <w:rFonts w:ascii="Arial" w:hAnsi="Arial" w:cs="Arial"/>
          <w:b/>
          <w:bCs/>
          <w:i/>
          <w:iCs/>
          <w:color w:val="000000"/>
          <w:sz w:val="20"/>
        </w:rPr>
        <w:t>Risk Assessment</w:t>
      </w:r>
    </w:p>
    <w:p w14:paraId="785AE4E9" w14:textId="3211FBF3" w:rsidR="00384718" w:rsidRDefault="00384718">
      <w:pPr>
        <w:pStyle w:val="ListParagraph"/>
        <w:numPr>
          <w:ilvl w:val="1"/>
          <w:numId w:val="89"/>
        </w:numPr>
        <w:pBdr>
          <w:left w:val="single" w:sz="12" w:space="4" w:color="FF0000"/>
          <w:right w:val="single" w:sz="12" w:space="4" w:color="FF0000"/>
        </w:pBdr>
        <w:ind w:left="357" w:hanging="357"/>
        <w:jc w:val="both"/>
        <w:rPr>
          <w:rFonts w:ascii="Arial" w:hAnsi="Arial" w:cs="Arial"/>
          <w:b/>
          <w:bCs/>
          <w:i/>
          <w:iCs/>
          <w:color w:val="000000"/>
          <w:sz w:val="20"/>
        </w:rPr>
      </w:pPr>
      <w:r>
        <w:rPr>
          <w:rFonts w:ascii="Arial" w:hAnsi="Arial" w:cs="Arial"/>
          <w:b/>
          <w:bCs/>
          <w:i/>
          <w:iCs/>
          <w:color w:val="000000"/>
          <w:sz w:val="20"/>
        </w:rPr>
        <w:t>Information Exchange</w:t>
      </w:r>
    </w:p>
    <w:p w14:paraId="76FB5ECF" w14:textId="3719436D" w:rsidR="00384718" w:rsidRPr="00384718" w:rsidRDefault="00384718">
      <w:pPr>
        <w:pStyle w:val="ListParagraph"/>
        <w:numPr>
          <w:ilvl w:val="1"/>
          <w:numId w:val="89"/>
        </w:numPr>
        <w:pBdr>
          <w:left w:val="single" w:sz="12" w:space="4" w:color="FF0000"/>
          <w:right w:val="single" w:sz="12" w:space="4" w:color="FF0000"/>
        </w:pBdr>
        <w:ind w:left="357" w:hanging="357"/>
        <w:jc w:val="both"/>
        <w:rPr>
          <w:rFonts w:ascii="Arial" w:hAnsi="Arial" w:cs="Arial"/>
          <w:b/>
          <w:bCs/>
          <w:i/>
          <w:iCs/>
          <w:color w:val="000000"/>
          <w:sz w:val="20"/>
        </w:rPr>
      </w:pPr>
      <w:r>
        <w:rPr>
          <w:rFonts w:ascii="Arial" w:hAnsi="Arial" w:cs="Arial"/>
          <w:b/>
          <w:bCs/>
          <w:i/>
          <w:iCs/>
          <w:color w:val="000000"/>
          <w:sz w:val="20"/>
        </w:rPr>
        <w:t>Some general matters</w:t>
      </w:r>
    </w:p>
    <w:p w14:paraId="30EED3FA" w14:textId="77777777" w:rsidR="00384718" w:rsidRPr="00FA0894" w:rsidRDefault="00384718">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ROLE OF CONVENOR</w:t>
      </w:r>
    </w:p>
    <w:p w14:paraId="258B0010" w14:textId="0773EFC0" w:rsidR="004C495A" w:rsidRPr="004C495A" w:rsidRDefault="004C495A" w:rsidP="001C101D">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The convenor is an independent chairperson acting with the authority of the Court and is responsible for controlling the proceedings and ensuring that each participant has the opportunity to participate fully.</w:t>
      </w:r>
    </w:p>
    <w:p w14:paraId="24887860" w14:textId="323A1E39" w:rsidR="004C495A" w:rsidRPr="00FA0894" w:rsidRDefault="004C495A">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R</w:t>
      </w:r>
      <w:r>
        <w:rPr>
          <w:rFonts w:ascii="Arial" w:hAnsi="Arial" w:cs="Arial"/>
          <w:b/>
          <w:bCs/>
          <w:color w:val="000000"/>
          <w:sz w:val="20"/>
        </w:rPr>
        <w:t>ESPONSIBILIES OF ALL PARTICIPANTS</w:t>
      </w:r>
    </w:p>
    <w:p w14:paraId="227EBA31" w14:textId="2C72E986" w:rsidR="004C495A" w:rsidRDefault="004C495A" w:rsidP="009F6F8E">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All participants must-</w:t>
      </w:r>
    </w:p>
    <w:p w14:paraId="4F759039" w14:textId="05A8A00D" w:rsidR="004C495A" w:rsidRDefault="004C495A">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respect the authority of the convenor;</w:t>
      </w:r>
    </w:p>
    <w:p w14:paraId="7B37D7EB" w14:textId="54A9B3CD" w:rsidR="004C495A" w:rsidRDefault="004C495A">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respect the roles and responsibilities of all other participants;</w:t>
      </w:r>
    </w:p>
    <w:p w14:paraId="0D6393FF" w14:textId="2A8C1576" w:rsidR="004C495A" w:rsidRPr="004C495A" w:rsidRDefault="004C495A">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consider the options for resolving the protective concerns.</w:t>
      </w:r>
    </w:p>
    <w:p w14:paraId="1516A4FD" w14:textId="27AADB3E" w:rsidR="004C495A" w:rsidRPr="00FA0894" w:rsidRDefault="004C495A">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R</w:t>
      </w:r>
      <w:r>
        <w:rPr>
          <w:rFonts w:ascii="Arial" w:hAnsi="Arial" w:cs="Arial"/>
          <w:b/>
          <w:bCs/>
          <w:color w:val="000000"/>
          <w:sz w:val="20"/>
        </w:rPr>
        <w:t>ESPONSIBILIES OF LAWYERS</w:t>
      </w:r>
    </w:p>
    <w:p w14:paraId="723DE9D3" w14:textId="045B0799" w:rsidR="004C495A" w:rsidRDefault="004C495A" w:rsidP="00A9471D">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In a CC lawyers adopt a non-adversarial role by representing a client in facilitated negotiations that take place in a problem-solving environment.</w:t>
      </w:r>
    </w:p>
    <w:p w14:paraId="333F3B7E" w14:textId="365E5E27" w:rsidR="004C495A" w:rsidRDefault="004C495A" w:rsidP="00A9471D">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In addition to the responsibilities listed in section 4 of these Guidelines, a lawyer must</w:t>
      </w:r>
      <w:r w:rsidR="00C2247C">
        <w:rPr>
          <w:rFonts w:ascii="Arial" w:hAnsi="Arial" w:cs="Arial"/>
          <w:color w:val="000000"/>
          <w:sz w:val="20"/>
        </w:rPr>
        <w:t>-</w:t>
      </w:r>
    </w:p>
    <w:p w14:paraId="4C40352B" w14:textId="234D265F" w:rsidR="004C495A"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have regard to these Guidelines</w:t>
      </w:r>
      <w:r w:rsidR="004C495A">
        <w:rPr>
          <w:rFonts w:ascii="Arial" w:hAnsi="Arial" w:cs="Arial"/>
          <w:color w:val="000000"/>
          <w:sz w:val="20"/>
        </w:rPr>
        <w:t>;</w:t>
      </w:r>
    </w:p>
    <w:p w14:paraId="564493A7" w14:textId="5838DD65" w:rsidR="004C495A"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be available for the CC at the time arranged and for the whole of the conference</w:t>
      </w:r>
      <w:r w:rsidR="004C495A">
        <w:rPr>
          <w:rFonts w:ascii="Arial" w:hAnsi="Arial" w:cs="Arial"/>
          <w:color w:val="000000"/>
          <w:sz w:val="20"/>
        </w:rPr>
        <w:t>;</w:t>
      </w:r>
    </w:p>
    <w:p w14:paraId="1FE15020" w14:textId="18B2F1CB" w:rsidR="004C495A"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encourage the client to participate directly and contribute to the process;</w:t>
      </w:r>
    </w:p>
    <w:p w14:paraId="23F2B225" w14:textId="4D673B1E" w:rsidR="00CF1C41"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endeavour to manage the behaviour of the client if required;</w:t>
      </w:r>
    </w:p>
    <w:p w14:paraId="0C53C32C" w14:textId="51A07889" w:rsidR="00CF1C41" w:rsidRPr="004C495A"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reality test any proposals and provide realistic advice on settlement options.</w:t>
      </w:r>
    </w:p>
    <w:p w14:paraId="2903250A" w14:textId="0215E441" w:rsidR="00CF1C41" w:rsidRPr="00FA0894" w:rsidRDefault="00CF1C41">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R</w:t>
      </w:r>
      <w:r>
        <w:rPr>
          <w:rFonts w:ascii="Arial" w:hAnsi="Arial" w:cs="Arial"/>
          <w:b/>
          <w:bCs/>
          <w:color w:val="000000"/>
          <w:sz w:val="20"/>
        </w:rPr>
        <w:t>OLE OF CHILD PROTECTION PRACTITIONERS &amp; RESPONSIBILITIES OF DFFH</w:t>
      </w:r>
    </w:p>
    <w:p w14:paraId="1A59A952" w14:textId="6225A106" w:rsidR="00CF1C41" w:rsidRDefault="00CF1C41" w:rsidP="00C77E50">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lastRenderedPageBreak/>
        <w:t>In a CC child protection practitioners adopt a non-adversarial role which is to promote the child’s safety and best interests through facilitate negotiations that take place in a problem-solving environment.</w:t>
      </w:r>
    </w:p>
    <w:p w14:paraId="7CC175E5" w14:textId="2F6DF900" w:rsidR="00CF1C41" w:rsidRDefault="00CF1C41" w:rsidP="00C77E50">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In addition to the responsibilities listed in section 4 of these Guidelines, a child protection practitioner must-</w:t>
      </w:r>
    </w:p>
    <w:p w14:paraId="24D4C5FF" w14:textId="77777777" w:rsidR="00CF1C41"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have regard to these Guidelines;</w:t>
      </w:r>
    </w:p>
    <w:p w14:paraId="11BC83CF" w14:textId="03679C13" w:rsidR="00CF1C41"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attend the CC well prepared and clear about the matters that need to be discussed;</w:t>
      </w:r>
    </w:p>
    <w:p w14:paraId="08194A35" w14:textId="7ADC4094" w:rsidR="00CF1C41"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maintain flexibility in decision-making in response to proposals put by or on behalf of family members.</w:t>
      </w:r>
    </w:p>
    <w:p w14:paraId="78B0A90D" w14:textId="651BF4AF" w:rsidR="00CF1C41" w:rsidRDefault="00CF1C41" w:rsidP="00C77E50">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DFFH must-</w:t>
      </w:r>
    </w:p>
    <w:p w14:paraId="2C524F4F" w14:textId="0E5A8C47" w:rsidR="00CF1C41"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be represented by a lawyer or a person authorised in writing by the President to appear on behalf of DFFH;</w:t>
      </w:r>
    </w:p>
    <w:p w14:paraId="1E96FD88" w14:textId="440B5CD8" w:rsidR="00CF1C41" w:rsidRPr="004C495A" w:rsidRDefault="00CF1C41">
      <w:pPr>
        <w:pStyle w:val="ListParagraph"/>
        <w:numPr>
          <w:ilvl w:val="0"/>
          <w:numId w:val="90"/>
        </w:numPr>
        <w:pBdr>
          <w:left w:val="single" w:sz="12" w:space="4" w:color="FF0000"/>
          <w:right w:val="single" w:sz="12" w:space="4" w:color="FF0000"/>
        </w:pBdr>
        <w:shd w:val="clear" w:color="auto" w:fill="EAEAEA"/>
        <w:ind w:left="357" w:hanging="357"/>
        <w:jc w:val="both"/>
        <w:rPr>
          <w:rFonts w:ascii="Arial" w:hAnsi="Arial" w:cs="Arial"/>
          <w:color w:val="000000"/>
          <w:sz w:val="20"/>
        </w:rPr>
      </w:pPr>
      <w:r>
        <w:rPr>
          <w:rFonts w:ascii="Arial" w:hAnsi="Arial" w:cs="Arial"/>
          <w:color w:val="000000"/>
          <w:sz w:val="20"/>
        </w:rPr>
        <w:t>have a person present at the CC who has personal knowledge of the matter, has met family members prior to the CC and has the necessary authority to negotiate a range of possible outcomes and make decisions that may lead to settlement.</w:t>
      </w:r>
    </w:p>
    <w:p w14:paraId="1942B7C8" w14:textId="7CC4A677" w:rsidR="008A7768" w:rsidRPr="00FA0894" w:rsidRDefault="008A7768">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sidRPr="00FA0894">
        <w:rPr>
          <w:rFonts w:ascii="Arial" w:hAnsi="Arial" w:cs="Arial"/>
          <w:b/>
          <w:bCs/>
          <w:color w:val="000000"/>
          <w:sz w:val="20"/>
        </w:rPr>
        <w:t>R</w:t>
      </w:r>
      <w:r>
        <w:rPr>
          <w:rFonts w:ascii="Arial" w:hAnsi="Arial" w:cs="Arial"/>
          <w:b/>
          <w:bCs/>
          <w:color w:val="000000"/>
          <w:sz w:val="20"/>
        </w:rPr>
        <w:t>OLE OF FAMILY AND COMMUNITY MEMBERS</w:t>
      </w:r>
    </w:p>
    <w:p w14:paraId="2F912483" w14:textId="025A1AE0" w:rsidR="008A7768" w:rsidRDefault="001373A1" w:rsidP="00C77E50">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At the discretion of the convenor, family or community members may contribute to the resolution of protective concerns or act as a support to the family.  However, they are not permitted to act as an advocate for one party against another.</w:t>
      </w:r>
    </w:p>
    <w:p w14:paraId="2CF5AA9C" w14:textId="5286E2A8" w:rsidR="001373A1" w:rsidRPr="00FA0894" w:rsidRDefault="001373A1">
      <w:pPr>
        <w:numPr>
          <w:ilvl w:val="0"/>
          <w:numId w:val="89"/>
        </w:numPr>
        <w:pBdr>
          <w:left w:val="single" w:sz="12" w:space="4" w:color="FF0000"/>
          <w:right w:val="single" w:sz="12" w:space="4" w:color="FF0000"/>
        </w:pBdr>
        <w:spacing w:before="60"/>
        <w:ind w:left="357" w:hanging="357"/>
        <w:jc w:val="center"/>
        <w:rPr>
          <w:rFonts w:ascii="Arial" w:hAnsi="Arial" w:cs="Arial"/>
          <w:b/>
          <w:bCs/>
          <w:color w:val="000000"/>
          <w:sz w:val="20"/>
        </w:rPr>
      </w:pPr>
      <w:r>
        <w:rPr>
          <w:rFonts w:ascii="Arial" w:hAnsi="Arial" w:cs="Arial"/>
          <w:b/>
          <w:bCs/>
          <w:color w:val="000000"/>
          <w:sz w:val="20"/>
        </w:rPr>
        <w:t>CC REPORT</w:t>
      </w:r>
    </w:p>
    <w:p w14:paraId="679EFAB6" w14:textId="20BCACDA" w:rsidR="001373A1" w:rsidRDefault="001373A1" w:rsidP="00C77E50">
      <w:pPr>
        <w:pStyle w:val="ListParagraph"/>
        <w:pBdr>
          <w:left w:val="single" w:sz="12" w:space="4" w:color="FF0000"/>
          <w:right w:val="single" w:sz="12" w:space="4" w:color="FF0000"/>
        </w:pBdr>
        <w:shd w:val="clear" w:color="auto" w:fill="EAEAEA"/>
        <w:spacing w:before="60"/>
        <w:ind w:left="0"/>
        <w:jc w:val="both"/>
        <w:rPr>
          <w:rFonts w:ascii="Arial" w:hAnsi="Arial" w:cs="Arial"/>
          <w:color w:val="000000"/>
          <w:sz w:val="20"/>
        </w:rPr>
      </w:pPr>
      <w:r>
        <w:rPr>
          <w:rFonts w:ascii="Arial" w:hAnsi="Arial" w:cs="Arial"/>
          <w:color w:val="000000"/>
          <w:sz w:val="20"/>
        </w:rPr>
        <w:t xml:space="preserve">The convenor will provide to the Court a written report of the conclusion reached at the </w:t>
      </w:r>
      <w:r w:rsidR="00B36E3A">
        <w:rPr>
          <w:rFonts w:ascii="Arial" w:hAnsi="Arial" w:cs="Arial"/>
          <w:color w:val="000000"/>
          <w:sz w:val="20"/>
        </w:rPr>
        <w:t>CC together with the minutes of any proposed orders agreed to by the parties.</w:t>
      </w:r>
    </w:p>
    <w:p w14:paraId="1C97D6A0" w14:textId="77777777" w:rsidR="00132E50" w:rsidRPr="00C2247C" w:rsidRDefault="00132E50" w:rsidP="00C77E50">
      <w:pPr>
        <w:pBdr>
          <w:left w:val="single" w:sz="12" w:space="4" w:color="FF0000"/>
          <w:right w:val="single" w:sz="12" w:space="4" w:color="FF0000"/>
        </w:pBdr>
        <w:jc w:val="both"/>
        <w:rPr>
          <w:rFonts w:ascii="Arial" w:hAnsi="Arial" w:cs="Arial"/>
          <w:color w:val="000000"/>
          <w:sz w:val="20"/>
        </w:rPr>
      </w:pPr>
    </w:p>
    <w:p w14:paraId="08118275" w14:textId="17CB3D32" w:rsidR="00132E50" w:rsidRPr="00862BCE" w:rsidRDefault="00132E50" w:rsidP="00C77E50">
      <w:pPr>
        <w:pBdr>
          <w:left w:val="single" w:sz="12" w:space="4" w:color="FF0000"/>
          <w:right w:val="single" w:sz="12" w:space="4" w:color="FF0000"/>
        </w:pBdr>
        <w:jc w:val="both"/>
        <w:rPr>
          <w:rFonts w:ascii="Arial" w:hAnsi="Arial" w:cs="Arial"/>
          <w:color w:val="000000"/>
          <w:sz w:val="20"/>
        </w:rPr>
      </w:pPr>
      <w:r w:rsidRPr="00862BCE">
        <w:rPr>
          <w:rFonts w:ascii="Arial" w:hAnsi="Arial" w:cs="Arial"/>
          <w:color w:val="000000"/>
          <w:sz w:val="20"/>
        </w:rPr>
        <w:t xml:space="preserve">Annexed to these guidelines are </w:t>
      </w:r>
      <w:r w:rsidR="00C2247C">
        <w:rPr>
          <w:rFonts w:ascii="Arial" w:hAnsi="Arial" w:cs="Arial"/>
          <w:color w:val="000000"/>
          <w:sz w:val="20"/>
        </w:rPr>
        <w:t>the following proforma documents</w:t>
      </w:r>
      <w:r w:rsidRPr="00862BCE">
        <w:rPr>
          <w:rFonts w:ascii="Arial" w:hAnsi="Arial" w:cs="Arial"/>
          <w:color w:val="000000"/>
          <w:sz w:val="20"/>
        </w:rPr>
        <w:t>:</w:t>
      </w:r>
    </w:p>
    <w:p w14:paraId="33BCE371" w14:textId="275C747D" w:rsidR="00132E50" w:rsidRPr="00862BCE" w:rsidRDefault="00132E50" w:rsidP="00C77E50">
      <w:pPr>
        <w:numPr>
          <w:ilvl w:val="0"/>
          <w:numId w:val="26"/>
        </w:numPr>
        <w:pBdr>
          <w:left w:val="single" w:sz="12" w:space="4" w:color="FF0000"/>
          <w:right w:val="single" w:sz="12" w:space="4" w:color="FF0000"/>
        </w:pBdr>
        <w:tabs>
          <w:tab w:val="clear" w:pos="720"/>
        </w:tabs>
        <w:ind w:left="357" w:hanging="357"/>
        <w:jc w:val="both"/>
        <w:rPr>
          <w:rFonts w:ascii="Arial" w:hAnsi="Arial" w:cs="Arial"/>
          <w:color w:val="000000"/>
          <w:sz w:val="20"/>
        </w:rPr>
      </w:pPr>
      <w:r w:rsidRPr="00862BCE">
        <w:rPr>
          <w:rFonts w:ascii="Arial" w:hAnsi="Arial" w:cs="Arial"/>
          <w:color w:val="000000"/>
          <w:sz w:val="20"/>
        </w:rPr>
        <w:t xml:space="preserve">CC Addendum report </w:t>
      </w:r>
      <w:r w:rsidR="00C2247C">
        <w:rPr>
          <w:rFonts w:ascii="Arial" w:hAnsi="Arial" w:cs="Arial"/>
          <w:color w:val="000000"/>
          <w:sz w:val="20"/>
        </w:rPr>
        <w:t xml:space="preserve">(in a short form) </w:t>
      </w:r>
      <w:r w:rsidRPr="00862BCE">
        <w:rPr>
          <w:rFonts w:ascii="Arial" w:hAnsi="Arial" w:cs="Arial"/>
          <w:color w:val="000000"/>
          <w:sz w:val="20"/>
        </w:rPr>
        <w:t xml:space="preserve">to be </w:t>
      </w:r>
      <w:r w:rsidR="00C2247C">
        <w:rPr>
          <w:rFonts w:ascii="Arial" w:hAnsi="Arial" w:cs="Arial"/>
          <w:color w:val="000000"/>
          <w:sz w:val="20"/>
        </w:rPr>
        <w:t>completed</w:t>
      </w:r>
      <w:r w:rsidRPr="00862BCE">
        <w:rPr>
          <w:rFonts w:ascii="Arial" w:hAnsi="Arial" w:cs="Arial"/>
          <w:color w:val="000000"/>
          <w:sz w:val="20"/>
        </w:rPr>
        <w:t xml:space="preserve"> by </w:t>
      </w:r>
      <w:r w:rsidR="00785D2D">
        <w:rPr>
          <w:rFonts w:ascii="Arial" w:hAnsi="Arial" w:cs="Arial"/>
          <w:color w:val="000000"/>
          <w:sz w:val="20"/>
        </w:rPr>
        <w:t>DFFH</w:t>
      </w:r>
    </w:p>
    <w:p w14:paraId="0F0F5D29" w14:textId="2A254F41" w:rsidR="00C2247C" w:rsidRDefault="00C2247C" w:rsidP="00C77E50">
      <w:pPr>
        <w:numPr>
          <w:ilvl w:val="0"/>
          <w:numId w:val="26"/>
        </w:numPr>
        <w:pBdr>
          <w:left w:val="single" w:sz="12" w:space="4" w:color="FF0000"/>
          <w:right w:val="single" w:sz="12" w:space="4" w:color="FF0000"/>
        </w:pBdr>
        <w:tabs>
          <w:tab w:val="clear" w:pos="720"/>
        </w:tabs>
        <w:ind w:left="357" w:hanging="357"/>
        <w:jc w:val="both"/>
        <w:rPr>
          <w:rFonts w:ascii="Arial" w:hAnsi="Arial" w:cs="Arial"/>
          <w:color w:val="000000"/>
          <w:sz w:val="20"/>
        </w:rPr>
      </w:pPr>
      <w:r w:rsidRPr="00862BCE">
        <w:rPr>
          <w:rFonts w:ascii="Arial" w:hAnsi="Arial" w:cs="Arial"/>
          <w:color w:val="000000"/>
          <w:sz w:val="20"/>
        </w:rPr>
        <w:t xml:space="preserve">Information Exchange Document to be </w:t>
      </w:r>
      <w:r>
        <w:rPr>
          <w:rFonts w:ascii="Arial" w:hAnsi="Arial" w:cs="Arial"/>
          <w:color w:val="000000"/>
          <w:sz w:val="20"/>
        </w:rPr>
        <w:t>completed</w:t>
      </w:r>
      <w:r w:rsidRPr="00862BCE">
        <w:rPr>
          <w:rFonts w:ascii="Arial" w:hAnsi="Arial" w:cs="Arial"/>
          <w:color w:val="000000"/>
          <w:sz w:val="20"/>
        </w:rPr>
        <w:t xml:space="preserve"> by </w:t>
      </w:r>
      <w:r>
        <w:rPr>
          <w:rFonts w:ascii="Arial" w:hAnsi="Arial" w:cs="Arial"/>
          <w:color w:val="000000"/>
          <w:sz w:val="20"/>
        </w:rPr>
        <w:t>lawyers representing children, parents and other joined parties</w:t>
      </w:r>
    </w:p>
    <w:p w14:paraId="54C76B48" w14:textId="5B89ED4B" w:rsidR="00C2247C" w:rsidRDefault="00C2247C" w:rsidP="00C77E50">
      <w:pPr>
        <w:numPr>
          <w:ilvl w:val="0"/>
          <w:numId w:val="26"/>
        </w:numPr>
        <w:pBdr>
          <w:left w:val="single" w:sz="12" w:space="4" w:color="FF0000"/>
          <w:right w:val="single" w:sz="12" w:space="4" w:color="FF0000"/>
        </w:pBdr>
        <w:tabs>
          <w:tab w:val="clear" w:pos="720"/>
        </w:tabs>
        <w:ind w:left="357" w:hanging="357"/>
        <w:jc w:val="both"/>
        <w:rPr>
          <w:rFonts w:ascii="Arial" w:hAnsi="Arial" w:cs="Arial"/>
          <w:color w:val="000000"/>
          <w:sz w:val="20"/>
        </w:rPr>
      </w:pPr>
      <w:r w:rsidRPr="00862BCE">
        <w:rPr>
          <w:rFonts w:ascii="Arial" w:hAnsi="Arial" w:cs="Arial"/>
          <w:color w:val="000000"/>
          <w:sz w:val="20"/>
        </w:rPr>
        <w:t xml:space="preserve">Information Exchange Document to be </w:t>
      </w:r>
      <w:r>
        <w:rPr>
          <w:rFonts w:ascii="Arial" w:hAnsi="Arial" w:cs="Arial"/>
          <w:color w:val="000000"/>
          <w:sz w:val="20"/>
        </w:rPr>
        <w:t>completed</w:t>
      </w:r>
      <w:r w:rsidRPr="00862BCE">
        <w:rPr>
          <w:rFonts w:ascii="Arial" w:hAnsi="Arial" w:cs="Arial"/>
          <w:color w:val="000000"/>
          <w:sz w:val="20"/>
        </w:rPr>
        <w:t xml:space="preserve"> by</w:t>
      </w:r>
      <w:r>
        <w:rPr>
          <w:rFonts w:ascii="Arial" w:hAnsi="Arial" w:cs="Arial"/>
          <w:color w:val="000000"/>
          <w:sz w:val="20"/>
        </w:rPr>
        <w:t xml:space="preserve"> best interests lawyers appointed under s.524(4) CYFA</w:t>
      </w:r>
    </w:p>
    <w:p w14:paraId="6EC67D27" w14:textId="42A7217E" w:rsidR="00C2247C" w:rsidRPr="00862BCE" w:rsidRDefault="00C2247C" w:rsidP="00C77E50">
      <w:pPr>
        <w:numPr>
          <w:ilvl w:val="0"/>
          <w:numId w:val="26"/>
        </w:numPr>
        <w:pBdr>
          <w:left w:val="single" w:sz="12" w:space="4" w:color="FF0000"/>
          <w:right w:val="single" w:sz="12" w:space="4" w:color="FF0000"/>
        </w:pBdr>
        <w:tabs>
          <w:tab w:val="clear" w:pos="720"/>
        </w:tabs>
        <w:ind w:left="357" w:hanging="357"/>
        <w:jc w:val="both"/>
        <w:rPr>
          <w:rFonts w:ascii="Arial" w:hAnsi="Arial" w:cs="Arial"/>
          <w:color w:val="000000"/>
          <w:sz w:val="20"/>
        </w:rPr>
      </w:pPr>
      <w:r w:rsidRPr="00862BCE">
        <w:rPr>
          <w:rFonts w:ascii="Arial" w:hAnsi="Arial" w:cs="Arial"/>
          <w:color w:val="000000"/>
          <w:sz w:val="20"/>
        </w:rPr>
        <w:t xml:space="preserve">Information Exchange Document to be </w:t>
      </w:r>
      <w:r>
        <w:rPr>
          <w:rFonts w:ascii="Arial" w:hAnsi="Arial" w:cs="Arial"/>
          <w:color w:val="000000"/>
          <w:sz w:val="20"/>
        </w:rPr>
        <w:t>completed</w:t>
      </w:r>
      <w:r w:rsidRPr="00862BCE">
        <w:rPr>
          <w:rFonts w:ascii="Arial" w:hAnsi="Arial" w:cs="Arial"/>
          <w:color w:val="000000"/>
          <w:sz w:val="20"/>
        </w:rPr>
        <w:t xml:space="preserve"> by</w:t>
      </w:r>
      <w:r>
        <w:rPr>
          <w:rFonts w:ascii="Arial" w:hAnsi="Arial" w:cs="Arial"/>
          <w:color w:val="000000"/>
          <w:sz w:val="20"/>
        </w:rPr>
        <w:t xml:space="preserve"> self-represented parties.</w:t>
      </w:r>
    </w:p>
    <w:p w14:paraId="26A47AFF" w14:textId="77777777" w:rsidR="00C2247C" w:rsidRPr="00C2247C" w:rsidRDefault="00C2247C" w:rsidP="00C77E50">
      <w:pPr>
        <w:pBdr>
          <w:left w:val="single" w:sz="12" w:space="4" w:color="FF0000"/>
          <w:right w:val="single" w:sz="12" w:space="4" w:color="FF0000"/>
        </w:pBdr>
        <w:jc w:val="both"/>
        <w:rPr>
          <w:rFonts w:ascii="Arial" w:hAnsi="Arial" w:cs="Arial"/>
          <w:color w:val="000000"/>
          <w:sz w:val="20"/>
        </w:rPr>
      </w:pPr>
    </w:p>
    <w:p w14:paraId="6497A9D4" w14:textId="77777777" w:rsidR="00132E50" w:rsidRPr="00862BCE" w:rsidRDefault="00132E50" w:rsidP="00C77E50">
      <w:pPr>
        <w:pStyle w:val="Heading3"/>
        <w:keepNext/>
        <w:pBdr>
          <w:left w:val="single" w:sz="12" w:space="4" w:color="FF0000"/>
          <w:right w:val="single" w:sz="12" w:space="4" w:color="FF0000"/>
        </w:pBdr>
        <w:spacing w:after="120" w:line="240" w:lineRule="auto"/>
        <w:rPr>
          <w:rFonts w:ascii="Arial" w:hAnsi="Arial" w:cs="Arial"/>
          <w:color w:val="000000"/>
          <w:sz w:val="20"/>
        </w:rPr>
      </w:pPr>
      <w:bookmarkStart w:id="1454" w:name="_4.10.7_Reports_&amp;"/>
      <w:bookmarkStart w:id="1455" w:name="B4107"/>
      <w:bookmarkEnd w:id="1454"/>
      <w:bookmarkEnd w:id="1455"/>
      <w:r w:rsidRPr="00862BCE">
        <w:rPr>
          <w:rFonts w:ascii="Arial" w:hAnsi="Arial" w:cs="Arial"/>
          <w:b/>
          <w:bCs/>
          <w:color w:val="000000"/>
          <w:sz w:val="20"/>
        </w:rPr>
        <w:t>4.10.7</w:t>
      </w:r>
      <w:r w:rsidRPr="00862BCE">
        <w:rPr>
          <w:rFonts w:ascii="Arial" w:hAnsi="Arial" w:cs="Arial"/>
          <w:b/>
          <w:bCs/>
          <w:color w:val="000000"/>
          <w:sz w:val="20"/>
        </w:rPr>
        <w:tab/>
        <w:t>Reports &amp; Confidentiality</w:t>
      </w:r>
    </w:p>
    <w:p w14:paraId="295B1264" w14:textId="77777777" w:rsidR="00132E50" w:rsidRPr="00862BCE" w:rsidRDefault="00132E50" w:rsidP="00C77E50">
      <w:pPr>
        <w:pBdr>
          <w:left w:val="single" w:sz="12" w:space="4" w:color="FF0000"/>
          <w:right w:val="single" w:sz="12" w:space="4" w:color="FF0000"/>
        </w:pBdr>
        <w:jc w:val="both"/>
        <w:rPr>
          <w:rFonts w:ascii="Arial" w:hAnsi="Arial" w:cs="Arial"/>
          <w:color w:val="000000"/>
          <w:sz w:val="20"/>
        </w:rPr>
      </w:pPr>
      <w:r w:rsidRPr="00862BCE">
        <w:rPr>
          <w:rFonts w:ascii="Arial" w:hAnsi="Arial" w:cs="Arial"/>
          <w:color w:val="000000"/>
          <w:sz w:val="20"/>
        </w:rPr>
        <w:t xml:space="preserve">Section 223 of the CYFA provides that a written report made by a convenor under either s.218 or s.219 is admissible in the proceedings of the Family Division in respect of the child who is the subject of the </w:t>
      </w:r>
      <w:r w:rsidR="00D6777A">
        <w:rPr>
          <w:rFonts w:ascii="Arial" w:hAnsi="Arial" w:cs="Arial"/>
          <w:color w:val="000000"/>
          <w:sz w:val="20"/>
        </w:rPr>
        <w:t>CC</w:t>
      </w:r>
      <w:r w:rsidRPr="00862BCE">
        <w:rPr>
          <w:rFonts w:ascii="Arial" w:hAnsi="Arial" w:cs="Arial"/>
          <w:color w:val="000000"/>
          <w:sz w:val="20"/>
        </w:rPr>
        <w:t>.  Section 224 empowers the Court to consider such report in determining what order or finding to make in respect of the application.</w:t>
      </w:r>
    </w:p>
    <w:p w14:paraId="25DD6125" w14:textId="77777777" w:rsidR="00132E50" w:rsidRPr="00C2247C" w:rsidRDefault="00132E50" w:rsidP="00C77E50">
      <w:pPr>
        <w:pBdr>
          <w:left w:val="single" w:sz="12" w:space="4" w:color="FF0000"/>
          <w:right w:val="single" w:sz="12" w:space="4" w:color="FF0000"/>
        </w:pBdr>
        <w:jc w:val="both"/>
        <w:rPr>
          <w:rFonts w:ascii="Arial" w:hAnsi="Arial" w:cs="Arial"/>
          <w:color w:val="000000"/>
          <w:sz w:val="20"/>
        </w:rPr>
      </w:pPr>
    </w:p>
    <w:p w14:paraId="38E4819D" w14:textId="77777777" w:rsidR="00132E50" w:rsidRPr="00862BCE" w:rsidRDefault="00132E50" w:rsidP="00C77E50">
      <w:pPr>
        <w:pBdr>
          <w:left w:val="single" w:sz="12" w:space="4" w:color="FF0000"/>
          <w:right w:val="single" w:sz="12" w:space="4" w:color="FF0000"/>
        </w:pBdr>
        <w:jc w:val="both"/>
        <w:rPr>
          <w:rFonts w:ascii="Arial" w:hAnsi="Arial" w:cs="Arial"/>
          <w:color w:val="000000"/>
          <w:sz w:val="20"/>
        </w:rPr>
      </w:pPr>
      <w:r w:rsidRPr="00862BCE">
        <w:rPr>
          <w:rFonts w:ascii="Arial" w:hAnsi="Arial" w:cs="Arial"/>
          <w:color w:val="000000"/>
          <w:sz w:val="20"/>
        </w:rPr>
        <w:t>Save for the report provided by the convenor(s), the proceedings of a CC are confidential.  Evidence of anything said or done or admissions made at a CC is only admissible in court proceedings if the court grants leave or all the parties to the CC consent: s.226(1).  A court may only grant such leave if satisfied that it is necessary to do so to ensure the safety and well-being of the child: s.226(2).  This rarely happens.</w:t>
      </w:r>
    </w:p>
    <w:p w14:paraId="314D2E37" w14:textId="77777777" w:rsidR="00132E50" w:rsidRPr="00C2247C" w:rsidRDefault="00132E50" w:rsidP="00C77E50">
      <w:pPr>
        <w:pBdr>
          <w:left w:val="single" w:sz="12" w:space="4" w:color="FF0000"/>
          <w:right w:val="single" w:sz="12" w:space="4" w:color="FF0000"/>
        </w:pBdr>
        <w:jc w:val="both"/>
        <w:rPr>
          <w:rFonts w:ascii="Arial" w:hAnsi="Arial" w:cs="Arial"/>
          <w:color w:val="000000"/>
          <w:sz w:val="20"/>
        </w:rPr>
      </w:pPr>
    </w:p>
    <w:p w14:paraId="78F2C713" w14:textId="77777777" w:rsidR="00132E50" w:rsidRPr="00785E1A" w:rsidRDefault="00132E50" w:rsidP="00C77E50">
      <w:pPr>
        <w:pStyle w:val="Heading3"/>
        <w:keepNext/>
        <w:keepLines/>
        <w:pBdr>
          <w:left w:val="single" w:sz="12" w:space="4" w:color="FF0000"/>
          <w:right w:val="single" w:sz="12" w:space="4" w:color="FF0000"/>
        </w:pBdr>
        <w:spacing w:after="120" w:line="240" w:lineRule="auto"/>
        <w:rPr>
          <w:rFonts w:ascii="Arial" w:hAnsi="Arial" w:cs="Arial"/>
          <w:color w:val="000000"/>
          <w:sz w:val="20"/>
        </w:rPr>
      </w:pPr>
      <w:bookmarkStart w:id="1456" w:name="_4.10.8_Court_orders"/>
      <w:bookmarkStart w:id="1457" w:name="B4108"/>
      <w:bookmarkEnd w:id="1456"/>
      <w:bookmarkEnd w:id="1457"/>
      <w:r w:rsidRPr="00785E1A">
        <w:rPr>
          <w:rFonts w:ascii="Arial" w:hAnsi="Arial" w:cs="Arial"/>
          <w:b/>
          <w:bCs/>
          <w:color w:val="000000"/>
          <w:sz w:val="20"/>
        </w:rPr>
        <w:t>4.10.8</w:t>
      </w:r>
      <w:r w:rsidRPr="00785E1A">
        <w:rPr>
          <w:rFonts w:ascii="Arial" w:hAnsi="Arial" w:cs="Arial"/>
          <w:b/>
          <w:bCs/>
          <w:color w:val="000000"/>
          <w:sz w:val="20"/>
        </w:rPr>
        <w:tab/>
        <w:t>Court orders</w:t>
      </w:r>
    </w:p>
    <w:p w14:paraId="14CC0E9A" w14:textId="56CE8BF7" w:rsidR="00132E50" w:rsidRPr="00785E1A" w:rsidRDefault="00132E50" w:rsidP="00C77E50">
      <w:p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A convenor has no power to make Family Division orders.  A</w:t>
      </w:r>
      <w:r w:rsidR="00D6777A">
        <w:rPr>
          <w:rFonts w:ascii="Arial" w:hAnsi="Arial" w:cs="Arial"/>
          <w:color w:val="000000"/>
          <w:sz w:val="20"/>
        </w:rPr>
        <w:t>t the end of the conference</w:t>
      </w:r>
      <w:r w:rsidRPr="00785E1A">
        <w:rPr>
          <w:rFonts w:ascii="Arial" w:hAnsi="Arial" w:cs="Arial"/>
          <w:color w:val="000000"/>
          <w:sz w:val="20"/>
        </w:rPr>
        <w:t xml:space="preserve"> the case </w:t>
      </w:r>
      <w:r w:rsidR="00CE0AB5">
        <w:rPr>
          <w:rFonts w:ascii="Arial" w:hAnsi="Arial" w:cs="Arial"/>
          <w:color w:val="000000"/>
          <w:sz w:val="20"/>
        </w:rPr>
        <w:t>r</w:t>
      </w:r>
      <w:r w:rsidRPr="00785E1A">
        <w:rPr>
          <w:rFonts w:ascii="Arial" w:hAnsi="Arial" w:cs="Arial"/>
          <w:color w:val="000000"/>
          <w:sz w:val="20"/>
        </w:rPr>
        <w:t>eturned to co</w:t>
      </w:r>
      <w:r w:rsidR="00D6777A">
        <w:rPr>
          <w:rFonts w:ascii="Arial" w:hAnsi="Arial" w:cs="Arial"/>
          <w:color w:val="000000"/>
          <w:sz w:val="20"/>
        </w:rPr>
        <w:t xml:space="preserve">urt and a judicial officer </w:t>
      </w:r>
      <w:r w:rsidRPr="00785E1A">
        <w:rPr>
          <w:rFonts w:ascii="Arial" w:hAnsi="Arial" w:cs="Arial"/>
          <w:color w:val="000000"/>
          <w:sz w:val="20"/>
        </w:rPr>
        <w:t>ma</w:t>
      </w:r>
      <w:r w:rsidR="00CE0AB5">
        <w:rPr>
          <w:rFonts w:ascii="Arial" w:hAnsi="Arial" w:cs="Arial"/>
          <w:color w:val="000000"/>
          <w:sz w:val="20"/>
        </w:rPr>
        <w:t>de</w:t>
      </w:r>
      <w:r w:rsidRPr="00785E1A">
        <w:rPr>
          <w:rFonts w:ascii="Arial" w:hAnsi="Arial" w:cs="Arial"/>
          <w:color w:val="000000"/>
          <w:sz w:val="20"/>
        </w:rPr>
        <w:t xml:space="preserve"> the appropriate orders.  These </w:t>
      </w:r>
      <w:r w:rsidR="00CE0AB5">
        <w:rPr>
          <w:rFonts w:ascii="Arial" w:hAnsi="Arial" w:cs="Arial"/>
          <w:color w:val="000000"/>
          <w:sz w:val="20"/>
        </w:rPr>
        <w:t>were</w:t>
      </w:r>
      <w:r w:rsidRPr="00785E1A">
        <w:rPr>
          <w:rFonts w:ascii="Arial" w:hAnsi="Arial" w:cs="Arial"/>
          <w:color w:val="000000"/>
          <w:sz w:val="20"/>
        </w:rPr>
        <w:t xml:space="preserve"> usually, though not always, the orders to which all of the parties at the conference ha</w:t>
      </w:r>
      <w:r w:rsidR="00CE0AB5">
        <w:rPr>
          <w:rFonts w:ascii="Arial" w:hAnsi="Arial" w:cs="Arial"/>
          <w:color w:val="000000"/>
          <w:sz w:val="20"/>
        </w:rPr>
        <w:t>d</w:t>
      </w:r>
      <w:r w:rsidRPr="00785E1A">
        <w:rPr>
          <w:rFonts w:ascii="Arial" w:hAnsi="Arial" w:cs="Arial"/>
          <w:color w:val="000000"/>
          <w:sz w:val="20"/>
        </w:rPr>
        <w:t xml:space="preserve"> agreed </w:t>
      </w:r>
      <w:r w:rsidR="00C2247C">
        <w:rPr>
          <w:rFonts w:ascii="Arial" w:hAnsi="Arial" w:cs="Arial"/>
          <w:color w:val="000000"/>
          <w:sz w:val="20"/>
        </w:rPr>
        <w:t>–</w:t>
      </w:r>
      <w:r w:rsidRPr="00785E1A">
        <w:rPr>
          <w:rFonts w:ascii="Arial" w:hAnsi="Arial" w:cs="Arial"/>
          <w:color w:val="000000"/>
          <w:sz w:val="20"/>
        </w:rPr>
        <w:t xml:space="preserve"> or</w:t>
      </w:r>
      <w:r w:rsidR="00C2247C">
        <w:rPr>
          <w:rFonts w:ascii="Arial" w:hAnsi="Arial" w:cs="Arial"/>
          <w:color w:val="000000"/>
          <w:sz w:val="20"/>
        </w:rPr>
        <w:t xml:space="preserve"> </w:t>
      </w:r>
      <w:r w:rsidRPr="00785E1A">
        <w:rPr>
          <w:rFonts w:ascii="Arial" w:hAnsi="Arial" w:cs="Arial"/>
          <w:color w:val="000000"/>
          <w:sz w:val="20"/>
        </w:rPr>
        <w:t>at least ha</w:t>
      </w:r>
      <w:r w:rsidR="00CE0AB5">
        <w:rPr>
          <w:rFonts w:ascii="Arial" w:hAnsi="Arial" w:cs="Arial"/>
          <w:color w:val="000000"/>
          <w:sz w:val="20"/>
        </w:rPr>
        <w:t>d</w:t>
      </w:r>
      <w:r w:rsidRPr="00785E1A">
        <w:rPr>
          <w:rFonts w:ascii="Arial" w:hAnsi="Arial" w:cs="Arial"/>
          <w:color w:val="000000"/>
          <w:sz w:val="20"/>
        </w:rPr>
        <w:t xml:space="preserve"> agreed not to oppose.  Sometimes, but rarely, the Court </w:t>
      </w:r>
      <w:r w:rsidR="00CE0AB5">
        <w:rPr>
          <w:rFonts w:ascii="Arial" w:hAnsi="Arial" w:cs="Arial"/>
          <w:color w:val="000000"/>
          <w:sz w:val="20"/>
        </w:rPr>
        <w:t>wa</w:t>
      </w:r>
      <w:r w:rsidRPr="00785E1A">
        <w:rPr>
          <w:rFonts w:ascii="Arial" w:hAnsi="Arial" w:cs="Arial"/>
          <w:color w:val="000000"/>
          <w:sz w:val="20"/>
        </w:rPr>
        <w:t xml:space="preserve">s not prepared to endorse the parties' agreement. Occasionally this </w:t>
      </w:r>
      <w:r w:rsidR="00CE0AB5">
        <w:rPr>
          <w:rFonts w:ascii="Arial" w:hAnsi="Arial" w:cs="Arial"/>
          <w:color w:val="000000"/>
          <w:sz w:val="20"/>
        </w:rPr>
        <w:t>was</w:t>
      </w:r>
      <w:r w:rsidRPr="00785E1A">
        <w:rPr>
          <w:rFonts w:ascii="Arial" w:hAnsi="Arial" w:cs="Arial"/>
          <w:color w:val="000000"/>
          <w:sz w:val="20"/>
        </w:rPr>
        <w:t xml:space="preserve"> because the Court consider</w:t>
      </w:r>
      <w:r w:rsidR="00CE0AB5">
        <w:rPr>
          <w:rFonts w:ascii="Arial" w:hAnsi="Arial" w:cs="Arial"/>
          <w:color w:val="000000"/>
          <w:sz w:val="20"/>
        </w:rPr>
        <w:t>ed</w:t>
      </w:r>
      <w:r w:rsidRPr="00785E1A">
        <w:rPr>
          <w:rFonts w:ascii="Arial" w:hAnsi="Arial" w:cs="Arial"/>
          <w:color w:val="000000"/>
          <w:sz w:val="20"/>
        </w:rPr>
        <w:t xml:space="preserve"> it has no power in law to make the orders sought or because the Court consider</w:t>
      </w:r>
      <w:r w:rsidR="00CE0AB5">
        <w:rPr>
          <w:rFonts w:ascii="Arial" w:hAnsi="Arial" w:cs="Arial"/>
          <w:color w:val="000000"/>
          <w:sz w:val="20"/>
        </w:rPr>
        <w:t>ed</w:t>
      </w:r>
      <w:r w:rsidRPr="00785E1A">
        <w:rPr>
          <w:rFonts w:ascii="Arial" w:hAnsi="Arial" w:cs="Arial"/>
          <w:color w:val="000000"/>
          <w:sz w:val="20"/>
        </w:rPr>
        <w:t xml:space="preserve"> that the orders sought </w:t>
      </w:r>
      <w:r w:rsidR="00CE0AB5">
        <w:rPr>
          <w:rFonts w:ascii="Arial" w:hAnsi="Arial" w:cs="Arial"/>
          <w:color w:val="000000"/>
          <w:sz w:val="20"/>
        </w:rPr>
        <w:t>we</w:t>
      </w:r>
      <w:r w:rsidRPr="00785E1A">
        <w:rPr>
          <w:rFonts w:ascii="Arial" w:hAnsi="Arial" w:cs="Arial"/>
          <w:color w:val="000000"/>
          <w:sz w:val="20"/>
        </w:rPr>
        <w:t>re not in the best interests of an absent party, usually a child.</w:t>
      </w:r>
    </w:p>
    <w:p w14:paraId="7358F698" w14:textId="77777777" w:rsidR="00132E50" w:rsidRPr="00785E1A" w:rsidRDefault="00132E50" w:rsidP="00C77E50">
      <w:pPr>
        <w:pBdr>
          <w:left w:val="single" w:sz="12" w:space="4" w:color="FF0000"/>
          <w:right w:val="single" w:sz="12" w:space="4" w:color="FF0000"/>
        </w:pBdr>
        <w:jc w:val="both"/>
        <w:rPr>
          <w:rFonts w:ascii="Arial" w:hAnsi="Arial" w:cs="Arial"/>
          <w:b/>
          <w:bCs/>
          <w:color w:val="000000"/>
          <w:sz w:val="20"/>
        </w:rPr>
      </w:pPr>
    </w:p>
    <w:p w14:paraId="36F91E74" w14:textId="77777777" w:rsidR="00132E50" w:rsidRPr="00785E1A" w:rsidRDefault="00132E50" w:rsidP="00C77E50">
      <w:pPr>
        <w:pStyle w:val="Heading3"/>
        <w:keepNext/>
        <w:keepLines/>
        <w:widowControl/>
        <w:pBdr>
          <w:left w:val="single" w:sz="12" w:space="4" w:color="FF0000"/>
          <w:right w:val="single" w:sz="12" w:space="4" w:color="FF0000"/>
        </w:pBdr>
        <w:spacing w:after="120" w:line="240" w:lineRule="auto"/>
        <w:rPr>
          <w:rFonts w:ascii="Arial" w:hAnsi="Arial" w:cs="Arial"/>
          <w:color w:val="000000"/>
          <w:sz w:val="20"/>
        </w:rPr>
      </w:pPr>
      <w:bookmarkStart w:id="1458" w:name="_4.10.9_Statistics"/>
      <w:bookmarkStart w:id="1459" w:name="B4109"/>
      <w:bookmarkEnd w:id="1458"/>
      <w:bookmarkEnd w:id="1459"/>
      <w:r w:rsidRPr="00785E1A">
        <w:rPr>
          <w:rFonts w:ascii="Arial" w:hAnsi="Arial" w:cs="Arial"/>
          <w:b/>
          <w:bCs/>
          <w:color w:val="000000"/>
          <w:sz w:val="20"/>
        </w:rPr>
        <w:t>4.10.9</w:t>
      </w:r>
      <w:r w:rsidRPr="00785E1A">
        <w:rPr>
          <w:rFonts w:ascii="Arial" w:hAnsi="Arial" w:cs="Arial"/>
          <w:b/>
          <w:bCs/>
          <w:color w:val="000000"/>
          <w:sz w:val="20"/>
        </w:rPr>
        <w:tab/>
        <w:t>Statistics</w:t>
      </w:r>
    </w:p>
    <w:p w14:paraId="0E121E16" w14:textId="77777777" w:rsidR="00132E50" w:rsidRDefault="00132E50" w:rsidP="00C77E50">
      <w:pPr>
        <w:pBdr>
          <w:left w:val="single" w:sz="12" w:space="4" w:color="FF0000"/>
          <w:right w:val="single" w:sz="12" w:space="4" w:color="FF0000"/>
        </w:pBdr>
        <w:jc w:val="both"/>
        <w:rPr>
          <w:rFonts w:ascii="Arial" w:hAnsi="Arial" w:cs="Arial"/>
          <w:color w:val="000000"/>
          <w:sz w:val="20"/>
        </w:rPr>
      </w:pPr>
      <w:r w:rsidRPr="00785E1A">
        <w:rPr>
          <w:rFonts w:ascii="Arial" w:hAnsi="Arial" w:cs="Arial"/>
          <w:color w:val="000000"/>
          <w:sz w:val="20"/>
        </w:rPr>
        <w:t xml:space="preserve">Between 1999-2000 &amp; 2009-2010 the settlement rate </w:t>
      </w:r>
      <w:r w:rsidR="00FC191C">
        <w:rPr>
          <w:rFonts w:ascii="Arial" w:hAnsi="Arial" w:cs="Arial"/>
          <w:color w:val="000000"/>
          <w:sz w:val="20"/>
        </w:rPr>
        <w:t xml:space="preserve">for conferences based on </w:t>
      </w:r>
      <w:r w:rsidR="003B4C54">
        <w:rPr>
          <w:rFonts w:ascii="Arial" w:hAnsi="Arial" w:cs="Arial"/>
          <w:color w:val="000000"/>
          <w:sz w:val="20"/>
        </w:rPr>
        <w:t>earlier model</w:t>
      </w:r>
      <w:r w:rsidR="00FC191C">
        <w:rPr>
          <w:rFonts w:ascii="Arial" w:hAnsi="Arial" w:cs="Arial"/>
          <w:color w:val="000000"/>
          <w:sz w:val="20"/>
        </w:rPr>
        <w:t>s</w:t>
      </w:r>
      <w:r w:rsidR="003B4C54">
        <w:rPr>
          <w:rFonts w:ascii="Arial" w:hAnsi="Arial" w:cs="Arial"/>
          <w:color w:val="000000"/>
          <w:sz w:val="20"/>
        </w:rPr>
        <w:t xml:space="preserve"> </w:t>
      </w:r>
      <w:r w:rsidRPr="00785E1A">
        <w:rPr>
          <w:rFonts w:ascii="Arial" w:hAnsi="Arial" w:cs="Arial"/>
          <w:color w:val="000000"/>
          <w:sz w:val="20"/>
        </w:rPr>
        <w:t>ha</w:t>
      </w:r>
      <w:r w:rsidR="00D6777A">
        <w:rPr>
          <w:rFonts w:ascii="Arial" w:hAnsi="Arial" w:cs="Arial"/>
          <w:color w:val="000000"/>
          <w:sz w:val="20"/>
        </w:rPr>
        <w:t>d</w:t>
      </w:r>
      <w:r w:rsidRPr="00785E1A">
        <w:rPr>
          <w:rFonts w:ascii="Arial" w:hAnsi="Arial" w:cs="Arial"/>
          <w:color w:val="000000"/>
          <w:sz w:val="20"/>
        </w:rPr>
        <w:t xml:space="preserve"> varied between 28% &amp; 36%.  There appears to </w:t>
      </w:r>
      <w:r w:rsidR="003B4C54">
        <w:rPr>
          <w:rFonts w:ascii="Arial" w:hAnsi="Arial" w:cs="Arial"/>
          <w:color w:val="000000"/>
          <w:sz w:val="20"/>
        </w:rPr>
        <w:t xml:space="preserve">have </w:t>
      </w:r>
      <w:r w:rsidRPr="00785E1A">
        <w:rPr>
          <w:rFonts w:ascii="Arial" w:hAnsi="Arial" w:cs="Arial"/>
          <w:color w:val="000000"/>
          <w:sz w:val="20"/>
        </w:rPr>
        <w:t>be</w:t>
      </w:r>
      <w:r w:rsidR="003B4C54">
        <w:rPr>
          <w:rFonts w:ascii="Arial" w:hAnsi="Arial" w:cs="Arial"/>
          <w:color w:val="000000"/>
          <w:sz w:val="20"/>
        </w:rPr>
        <w:t>en</w:t>
      </w:r>
      <w:r w:rsidRPr="00785E1A">
        <w:rPr>
          <w:rFonts w:ascii="Arial" w:hAnsi="Arial" w:cs="Arial"/>
          <w:color w:val="000000"/>
          <w:sz w:val="20"/>
        </w:rPr>
        <w:t xml:space="preserve"> little difference between the settlement rates in Melbourne and in country regions.</w:t>
      </w:r>
    </w:p>
    <w:p w14:paraId="6818F294" w14:textId="77777777" w:rsidR="003B4C54" w:rsidRPr="00D6777A" w:rsidRDefault="003B4C54" w:rsidP="00132E50">
      <w:pPr>
        <w:jc w:val="both"/>
        <w:rPr>
          <w:rFonts w:ascii="Arial" w:hAnsi="Arial" w:cs="Arial"/>
          <w:b/>
          <w:bCs/>
          <w:color w:val="000000"/>
          <w:sz w:val="20"/>
        </w:rPr>
      </w:pPr>
    </w:p>
    <w:p w14:paraId="201F07A3" w14:textId="1EBCCB1A" w:rsidR="003B4C54" w:rsidRDefault="00132E50" w:rsidP="00C77E50">
      <w:pPr>
        <w:pBdr>
          <w:left w:val="single" w:sz="12" w:space="4" w:color="FF0000"/>
          <w:right w:val="single" w:sz="12" w:space="4" w:color="FF0000"/>
        </w:pBdr>
        <w:jc w:val="both"/>
        <w:rPr>
          <w:rFonts w:ascii="Arial" w:hAnsi="Arial" w:cs="Arial"/>
          <w:color w:val="000000"/>
          <w:sz w:val="20"/>
        </w:rPr>
      </w:pPr>
      <w:r w:rsidRPr="00D6777A">
        <w:rPr>
          <w:rFonts w:ascii="Arial" w:hAnsi="Arial" w:cs="Arial"/>
          <w:color w:val="000000"/>
          <w:sz w:val="20"/>
        </w:rPr>
        <w:lastRenderedPageBreak/>
        <w:t xml:space="preserve">The </w:t>
      </w:r>
      <w:r w:rsidR="00111111">
        <w:rPr>
          <w:rFonts w:ascii="Arial" w:hAnsi="Arial" w:cs="Arial"/>
          <w:color w:val="000000"/>
          <w:sz w:val="20"/>
        </w:rPr>
        <w:t xml:space="preserve">latest </w:t>
      </w:r>
      <w:r w:rsidRPr="00D6777A">
        <w:rPr>
          <w:rFonts w:ascii="Arial" w:hAnsi="Arial" w:cs="Arial"/>
          <w:color w:val="000000"/>
          <w:sz w:val="20"/>
        </w:rPr>
        <w:t xml:space="preserve">conciliation conference </w:t>
      </w:r>
      <w:r w:rsidR="00D6777A">
        <w:rPr>
          <w:rFonts w:ascii="Arial" w:hAnsi="Arial" w:cs="Arial"/>
          <w:color w:val="000000"/>
          <w:sz w:val="20"/>
        </w:rPr>
        <w:t xml:space="preserve">model </w:t>
      </w:r>
      <w:r w:rsidRPr="00D6777A">
        <w:rPr>
          <w:rFonts w:ascii="Arial" w:hAnsi="Arial" w:cs="Arial"/>
          <w:color w:val="000000"/>
          <w:sz w:val="20"/>
        </w:rPr>
        <w:t>project was subject to evaluation for the first 18</w:t>
      </w:r>
      <w:r w:rsidR="003B4C54">
        <w:rPr>
          <w:rFonts w:ascii="Arial" w:hAnsi="Arial" w:cs="Arial"/>
          <w:color w:val="000000"/>
          <w:sz w:val="20"/>
        </w:rPr>
        <w:t> </w:t>
      </w:r>
      <w:r w:rsidRPr="00D6777A">
        <w:rPr>
          <w:rFonts w:ascii="Arial" w:hAnsi="Arial" w:cs="Arial"/>
          <w:color w:val="000000"/>
          <w:sz w:val="20"/>
        </w:rPr>
        <w:t xml:space="preserve">months.  Feedback from family members and professional participants was </w:t>
      </w:r>
      <w:r w:rsidR="00522630">
        <w:rPr>
          <w:rFonts w:ascii="Arial" w:hAnsi="Arial" w:cs="Arial"/>
          <w:color w:val="000000"/>
          <w:sz w:val="20"/>
        </w:rPr>
        <w:t>very</w:t>
      </w:r>
      <w:r w:rsidRPr="00D6777A">
        <w:rPr>
          <w:rFonts w:ascii="Arial" w:hAnsi="Arial" w:cs="Arial"/>
          <w:color w:val="000000"/>
          <w:sz w:val="20"/>
        </w:rPr>
        <w:t xml:space="preserve"> positive. The first CC involving the </w:t>
      </w:r>
      <w:r w:rsidR="003A03DB">
        <w:rPr>
          <w:rFonts w:ascii="Arial" w:hAnsi="Arial" w:cs="Arial"/>
          <w:color w:val="000000"/>
          <w:sz w:val="20"/>
        </w:rPr>
        <w:t>latest</w:t>
      </w:r>
      <w:r w:rsidRPr="00D6777A">
        <w:rPr>
          <w:rFonts w:ascii="Arial" w:hAnsi="Arial" w:cs="Arial"/>
          <w:color w:val="000000"/>
          <w:sz w:val="20"/>
        </w:rPr>
        <w:t xml:space="preserve"> m</w:t>
      </w:r>
      <w:r w:rsidR="003B4C54">
        <w:rPr>
          <w:rFonts w:ascii="Arial" w:hAnsi="Arial" w:cs="Arial"/>
          <w:color w:val="000000"/>
          <w:sz w:val="20"/>
        </w:rPr>
        <w:t>odel was conducted on 24/08/</w:t>
      </w:r>
      <w:r w:rsidRPr="00D6777A">
        <w:rPr>
          <w:rFonts w:ascii="Arial" w:hAnsi="Arial" w:cs="Arial"/>
          <w:color w:val="000000"/>
          <w:sz w:val="20"/>
        </w:rPr>
        <w:t xml:space="preserve">2010 and </w:t>
      </w:r>
      <w:r w:rsidR="003B4C54">
        <w:rPr>
          <w:rFonts w:ascii="Arial" w:hAnsi="Arial" w:cs="Arial"/>
          <w:color w:val="000000"/>
          <w:sz w:val="20"/>
        </w:rPr>
        <w:t>6804</w:t>
      </w:r>
      <w:r w:rsidR="009970EC">
        <w:rPr>
          <w:rFonts w:ascii="Arial" w:hAnsi="Arial" w:cs="Arial"/>
          <w:color w:val="000000"/>
          <w:sz w:val="20"/>
        </w:rPr>
        <w:t> </w:t>
      </w:r>
      <w:r w:rsidR="003B4C54">
        <w:rPr>
          <w:rFonts w:ascii="Arial" w:hAnsi="Arial" w:cs="Arial"/>
          <w:color w:val="000000"/>
          <w:sz w:val="20"/>
        </w:rPr>
        <w:t xml:space="preserve">CCs have been conducted state-wide up to 15/02/2016.  Between </w:t>
      </w:r>
      <w:r w:rsidR="00FC191C">
        <w:rPr>
          <w:rFonts w:ascii="Arial" w:hAnsi="Arial" w:cs="Arial"/>
          <w:color w:val="000000"/>
          <w:sz w:val="20"/>
        </w:rPr>
        <w:t>01/11/2013 &amp; 31/01/2016 a total of 4774 CCs have been run state-wide.  Of these:</w:t>
      </w:r>
    </w:p>
    <w:p w14:paraId="6174B2F5" w14:textId="77777777" w:rsidR="00D6777A" w:rsidRDefault="00FC191C" w:rsidP="00C77E50">
      <w:pPr>
        <w:numPr>
          <w:ilvl w:val="0"/>
          <w:numId w:val="36"/>
        </w:numPr>
        <w:pBdr>
          <w:left w:val="single" w:sz="12" w:space="4" w:color="FF0000"/>
          <w:right w:val="single" w:sz="12" w:space="4" w:color="FF0000"/>
        </w:pBdr>
        <w:tabs>
          <w:tab w:val="clear" w:pos="1574"/>
        </w:tabs>
        <w:ind w:left="289" w:hanging="289"/>
        <w:jc w:val="both"/>
        <w:rPr>
          <w:rFonts w:ascii="Arial" w:hAnsi="Arial" w:cs="Arial"/>
          <w:color w:val="000000"/>
          <w:sz w:val="20"/>
        </w:rPr>
      </w:pPr>
      <w:r>
        <w:rPr>
          <w:rFonts w:ascii="Arial" w:hAnsi="Arial" w:cs="Arial"/>
          <w:color w:val="000000"/>
          <w:sz w:val="20"/>
        </w:rPr>
        <w:t>46</w:t>
      </w:r>
      <w:r w:rsidR="00132E50" w:rsidRPr="00D6777A">
        <w:rPr>
          <w:rFonts w:ascii="Arial" w:hAnsi="Arial" w:cs="Arial"/>
          <w:color w:val="000000"/>
          <w:sz w:val="20"/>
        </w:rPr>
        <w:t xml:space="preserve">% have resulted in </w:t>
      </w:r>
      <w:r>
        <w:rPr>
          <w:rFonts w:ascii="Arial" w:hAnsi="Arial" w:cs="Arial"/>
          <w:color w:val="000000"/>
          <w:sz w:val="20"/>
        </w:rPr>
        <w:t xml:space="preserve">full </w:t>
      </w:r>
      <w:r w:rsidR="00132E50" w:rsidRPr="00D6777A">
        <w:rPr>
          <w:rFonts w:ascii="Arial" w:hAnsi="Arial" w:cs="Arial"/>
          <w:color w:val="000000"/>
          <w:sz w:val="20"/>
        </w:rPr>
        <w:t>settlement</w:t>
      </w:r>
      <w:r w:rsidR="00D6777A">
        <w:rPr>
          <w:rFonts w:ascii="Arial" w:hAnsi="Arial" w:cs="Arial"/>
          <w:color w:val="000000"/>
          <w:sz w:val="20"/>
        </w:rPr>
        <w:t>;</w:t>
      </w:r>
    </w:p>
    <w:p w14:paraId="55024A6D" w14:textId="77777777" w:rsidR="00FC191C" w:rsidRDefault="00FC191C" w:rsidP="00C77E50">
      <w:pPr>
        <w:numPr>
          <w:ilvl w:val="0"/>
          <w:numId w:val="36"/>
        </w:numPr>
        <w:pBdr>
          <w:left w:val="single" w:sz="12" w:space="4" w:color="FF0000"/>
          <w:right w:val="single" w:sz="12" w:space="4" w:color="FF0000"/>
        </w:pBdr>
        <w:tabs>
          <w:tab w:val="clear" w:pos="1574"/>
        </w:tabs>
        <w:ind w:left="289" w:hanging="289"/>
        <w:jc w:val="both"/>
        <w:rPr>
          <w:rFonts w:ascii="Arial" w:hAnsi="Arial" w:cs="Arial"/>
          <w:color w:val="000000"/>
          <w:sz w:val="20"/>
        </w:rPr>
      </w:pPr>
      <w:r>
        <w:rPr>
          <w:rFonts w:ascii="Arial" w:hAnsi="Arial" w:cs="Arial"/>
          <w:color w:val="000000"/>
          <w:sz w:val="20"/>
        </w:rPr>
        <w:t>36% have been partially settled and have resulted in interim protection orders, further CCs or mentions; and</w:t>
      </w:r>
    </w:p>
    <w:p w14:paraId="53EE273D" w14:textId="77777777" w:rsidR="00132E50" w:rsidRPr="00D6777A" w:rsidRDefault="00FC191C" w:rsidP="00C77E50">
      <w:pPr>
        <w:numPr>
          <w:ilvl w:val="0"/>
          <w:numId w:val="36"/>
        </w:numPr>
        <w:pBdr>
          <w:left w:val="single" w:sz="12" w:space="4" w:color="FF0000"/>
          <w:right w:val="single" w:sz="12" w:space="4" w:color="FF0000"/>
        </w:pBdr>
        <w:tabs>
          <w:tab w:val="clear" w:pos="1574"/>
        </w:tabs>
        <w:ind w:left="289" w:hanging="289"/>
        <w:jc w:val="both"/>
        <w:rPr>
          <w:rFonts w:ascii="Arial" w:hAnsi="Arial" w:cs="Arial"/>
          <w:color w:val="000000"/>
          <w:sz w:val="20"/>
        </w:rPr>
      </w:pPr>
      <w:r>
        <w:rPr>
          <w:rFonts w:ascii="Arial" w:hAnsi="Arial" w:cs="Arial"/>
          <w:color w:val="000000"/>
          <w:sz w:val="20"/>
        </w:rPr>
        <w:t>18</w:t>
      </w:r>
      <w:r w:rsidR="00132E50" w:rsidRPr="00D6777A">
        <w:rPr>
          <w:rFonts w:ascii="Arial" w:hAnsi="Arial" w:cs="Arial"/>
          <w:color w:val="000000"/>
          <w:sz w:val="20"/>
        </w:rPr>
        <w:t xml:space="preserve">% have been adjourned for </w:t>
      </w:r>
      <w:r>
        <w:rPr>
          <w:rFonts w:ascii="Arial" w:hAnsi="Arial" w:cs="Arial"/>
          <w:color w:val="000000"/>
          <w:sz w:val="20"/>
        </w:rPr>
        <w:t>f</w:t>
      </w:r>
      <w:r w:rsidR="00D6777A">
        <w:rPr>
          <w:rFonts w:ascii="Arial" w:hAnsi="Arial" w:cs="Arial"/>
          <w:color w:val="000000"/>
          <w:sz w:val="20"/>
        </w:rPr>
        <w:t>irst d</w:t>
      </w:r>
      <w:r w:rsidR="00132E50" w:rsidRPr="00D6777A">
        <w:rPr>
          <w:rFonts w:ascii="Arial" w:hAnsi="Arial" w:cs="Arial"/>
          <w:color w:val="000000"/>
          <w:sz w:val="20"/>
        </w:rPr>
        <w:t xml:space="preserve">irections </w:t>
      </w:r>
      <w:r w:rsidR="00D6777A">
        <w:rPr>
          <w:rFonts w:ascii="Arial" w:hAnsi="Arial" w:cs="Arial"/>
          <w:color w:val="000000"/>
          <w:sz w:val="20"/>
        </w:rPr>
        <w:t>h</w:t>
      </w:r>
      <w:r w:rsidR="00132E50" w:rsidRPr="00D6777A">
        <w:rPr>
          <w:rFonts w:ascii="Arial" w:hAnsi="Arial" w:cs="Arial"/>
          <w:color w:val="000000"/>
          <w:sz w:val="20"/>
        </w:rPr>
        <w:t xml:space="preserve">earing or </w:t>
      </w:r>
      <w:r>
        <w:rPr>
          <w:rFonts w:ascii="Arial" w:hAnsi="Arial" w:cs="Arial"/>
          <w:color w:val="000000"/>
          <w:sz w:val="20"/>
        </w:rPr>
        <w:t>d</w:t>
      </w:r>
      <w:r w:rsidR="00D6777A">
        <w:rPr>
          <w:rFonts w:ascii="Arial" w:hAnsi="Arial" w:cs="Arial"/>
          <w:color w:val="000000"/>
          <w:sz w:val="20"/>
        </w:rPr>
        <w:t xml:space="preserve">irections hearing &amp; </w:t>
      </w:r>
      <w:r w:rsidR="00132E50" w:rsidRPr="00D6777A">
        <w:rPr>
          <w:rFonts w:ascii="Arial" w:hAnsi="Arial" w:cs="Arial"/>
          <w:color w:val="000000"/>
          <w:sz w:val="20"/>
        </w:rPr>
        <w:t>contest.</w:t>
      </w:r>
    </w:p>
    <w:p w14:paraId="56823DCB" w14:textId="77777777" w:rsidR="003B4C54" w:rsidRDefault="003B4C54" w:rsidP="00C77E50">
      <w:pPr>
        <w:pBdr>
          <w:left w:val="single" w:sz="12" w:space="4" w:color="FF0000"/>
          <w:right w:val="single" w:sz="12" w:space="4" w:color="FF0000"/>
        </w:pBdr>
        <w:jc w:val="both"/>
        <w:rPr>
          <w:rFonts w:ascii="Arial" w:hAnsi="Arial" w:cs="Arial"/>
          <w:color w:val="000000"/>
          <w:sz w:val="20"/>
        </w:rPr>
      </w:pPr>
    </w:p>
    <w:p w14:paraId="5D896B83" w14:textId="02D15725" w:rsidR="00DD004D" w:rsidRDefault="00DD004D" w:rsidP="00C77E50">
      <w:pPr>
        <w:pBdr>
          <w:left w:val="single" w:sz="12" w:space="4" w:color="FF0000"/>
          <w:right w:val="single" w:sz="12" w:space="4" w:color="FF0000"/>
        </w:pBdr>
        <w:jc w:val="both"/>
        <w:rPr>
          <w:rFonts w:ascii="Arial" w:hAnsi="Arial" w:cs="Arial"/>
          <w:color w:val="000000"/>
          <w:sz w:val="20"/>
        </w:rPr>
      </w:pPr>
      <w:r>
        <w:rPr>
          <w:rFonts w:ascii="Arial" w:hAnsi="Arial" w:cs="Arial"/>
          <w:color w:val="000000"/>
          <w:sz w:val="20"/>
        </w:rPr>
        <w:t xml:space="preserve">The CC statistics for </w:t>
      </w:r>
      <w:r w:rsidR="00522630">
        <w:rPr>
          <w:rFonts w:ascii="Arial" w:hAnsi="Arial" w:cs="Arial"/>
          <w:color w:val="000000"/>
          <w:sz w:val="20"/>
        </w:rPr>
        <w:t>2018/19, 2019/20 &amp; 2020/21</w:t>
      </w:r>
      <w:r>
        <w:rPr>
          <w:rFonts w:ascii="Arial" w:hAnsi="Arial" w:cs="Arial"/>
          <w:color w:val="000000"/>
          <w:sz w:val="20"/>
        </w:rPr>
        <w:t xml:space="preserve"> are </w:t>
      </w:r>
      <w:r w:rsidR="009E6FE8">
        <w:rPr>
          <w:rFonts w:ascii="Arial" w:hAnsi="Arial" w:cs="Arial"/>
          <w:color w:val="000000"/>
          <w:sz w:val="20"/>
        </w:rPr>
        <w:t>in the following tables.  The METROPOLITAN figures are from Melbourne, Moorabbin &amp; Broadmeadows Children’s Courts.</w:t>
      </w:r>
    </w:p>
    <w:p w14:paraId="7BEE6777" w14:textId="77777777" w:rsidR="00DD004D" w:rsidRDefault="00DD004D" w:rsidP="00C77E50">
      <w:pPr>
        <w:pBdr>
          <w:left w:val="single" w:sz="12" w:space="4" w:color="FF0000"/>
          <w:right w:val="single" w:sz="12" w:space="4" w:color="FF0000"/>
        </w:pBd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611"/>
        <w:gridCol w:w="1696"/>
        <w:gridCol w:w="1696"/>
        <w:gridCol w:w="1483"/>
      </w:tblGrid>
      <w:tr w:rsidR="00DD004D" w:rsidRPr="00870270" w14:paraId="3AD3D7DD" w14:textId="77777777" w:rsidTr="00870270">
        <w:tc>
          <w:tcPr>
            <w:tcW w:w="1705" w:type="dxa"/>
            <w:shd w:val="clear" w:color="auto" w:fill="000000"/>
          </w:tcPr>
          <w:p w14:paraId="04042922" w14:textId="77777777" w:rsidR="00DD004D" w:rsidRPr="00870270" w:rsidRDefault="00DD004D" w:rsidP="00870270">
            <w:pPr>
              <w:spacing w:before="120"/>
              <w:jc w:val="center"/>
              <w:rPr>
                <w:rFonts w:ascii="Arial" w:hAnsi="Arial" w:cs="Arial"/>
                <w:b/>
                <w:bCs/>
                <w:color w:val="FFFFFF"/>
                <w:szCs w:val="32"/>
              </w:rPr>
            </w:pPr>
            <w:r w:rsidRPr="00870270">
              <w:rPr>
                <w:rFonts w:ascii="Arial" w:hAnsi="Arial" w:cs="Arial"/>
                <w:b/>
                <w:bCs/>
                <w:color w:val="FFFFFF"/>
                <w:szCs w:val="32"/>
              </w:rPr>
              <w:t>2018/19</w:t>
            </w:r>
          </w:p>
        </w:tc>
        <w:tc>
          <w:tcPr>
            <w:tcW w:w="1705" w:type="dxa"/>
          </w:tcPr>
          <w:p w14:paraId="2EAABC38" w14:textId="77777777" w:rsidR="00DD004D" w:rsidRPr="00870270" w:rsidRDefault="0011018E" w:rsidP="00870270">
            <w:pPr>
              <w:spacing w:before="40"/>
              <w:jc w:val="center"/>
              <w:rPr>
                <w:rFonts w:ascii="Arial" w:hAnsi="Arial" w:cs="Arial"/>
                <w:b/>
                <w:bCs/>
                <w:color w:val="000000"/>
                <w:sz w:val="20"/>
              </w:rPr>
            </w:pPr>
            <w:r w:rsidRPr="00870270">
              <w:rPr>
                <w:rFonts w:ascii="Arial" w:hAnsi="Arial" w:cs="Arial"/>
                <w:b/>
                <w:bCs/>
                <w:color w:val="000000"/>
                <w:sz w:val="20"/>
              </w:rPr>
              <w:t>CCs CONDUCTED</w:t>
            </w:r>
          </w:p>
        </w:tc>
        <w:tc>
          <w:tcPr>
            <w:tcW w:w="1706" w:type="dxa"/>
          </w:tcPr>
          <w:p w14:paraId="67037307" w14:textId="77777777" w:rsidR="00DD004D" w:rsidRPr="00870270" w:rsidRDefault="0011018E" w:rsidP="00870270">
            <w:pPr>
              <w:spacing w:before="120"/>
              <w:jc w:val="both"/>
              <w:rPr>
                <w:rFonts w:ascii="Arial" w:hAnsi="Arial" w:cs="Arial"/>
                <w:b/>
                <w:bCs/>
                <w:color w:val="000000"/>
                <w:sz w:val="20"/>
              </w:rPr>
            </w:pPr>
            <w:r w:rsidRPr="00870270">
              <w:rPr>
                <w:rFonts w:ascii="Arial" w:hAnsi="Arial" w:cs="Arial"/>
                <w:b/>
                <w:bCs/>
                <w:color w:val="000000"/>
                <w:sz w:val="20"/>
              </w:rPr>
              <w:t>SETTLEMENTS</w:t>
            </w:r>
          </w:p>
        </w:tc>
        <w:tc>
          <w:tcPr>
            <w:tcW w:w="1706" w:type="dxa"/>
          </w:tcPr>
          <w:p w14:paraId="0A60C6B6" w14:textId="77777777" w:rsidR="00DD004D" w:rsidRPr="00870270" w:rsidRDefault="0011018E" w:rsidP="00870270">
            <w:pPr>
              <w:spacing w:before="40"/>
              <w:jc w:val="center"/>
              <w:rPr>
                <w:rFonts w:ascii="Arial" w:hAnsi="Arial" w:cs="Arial"/>
                <w:b/>
                <w:bCs/>
                <w:color w:val="000000"/>
                <w:sz w:val="20"/>
              </w:rPr>
            </w:pPr>
            <w:r w:rsidRPr="00870270">
              <w:rPr>
                <w:rFonts w:ascii="Arial" w:hAnsi="Arial" w:cs="Arial"/>
                <w:b/>
                <w:bCs/>
                <w:color w:val="000000"/>
                <w:sz w:val="20"/>
              </w:rPr>
              <w:t>PARTIAL SETTLEMENTS</w:t>
            </w:r>
          </w:p>
        </w:tc>
        <w:tc>
          <w:tcPr>
            <w:tcW w:w="1706" w:type="dxa"/>
          </w:tcPr>
          <w:p w14:paraId="3DB3EE90" w14:textId="77777777" w:rsidR="00DD004D" w:rsidRPr="00870270" w:rsidRDefault="0011018E" w:rsidP="00870270">
            <w:pPr>
              <w:jc w:val="center"/>
              <w:rPr>
                <w:rFonts w:ascii="Arial" w:hAnsi="Arial" w:cs="Arial"/>
                <w:b/>
                <w:bCs/>
                <w:color w:val="000000"/>
                <w:sz w:val="16"/>
                <w:szCs w:val="20"/>
              </w:rPr>
            </w:pPr>
            <w:r w:rsidRPr="00870270">
              <w:rPr>
                <w:rFonts w:ascii="Arial" w:hAnsi="Arial" w:cs="Arial"/>
                <w:b/>
                <w:bCs/>
                <w:color w:val="000000"/>
                <w:sz w:val="16"/>
                <w:szCs w:val="20"/>
              </w:rPr>
              <w:t>CCs LEADING TO DIRECTIONS HEARINGS</w:t>
            </w:r>
          </w:p>
        </w:tc>
      </w:tr>
      <w:tr w:rsidR="00DD004D" w:rsidRPr="00870270" w14:paraId="5A2836ED" w14:textId="77777777" w:rsidTr="00870270">
        <w:tc>
          <w:tcPr>
            <w:tcW w:w="1705" w:type="dxa"/>
          </w:tcPr>
          <w:p w14:paraId="6C0D130C" w14:textId="77777777" w:rsidR="00DD004D" w:rsidRPr="00870270" w:rsidRDefault="00DD004D" w:rsidP="00870270">
            <w:pPr>
              <w:jc w:val="center"/>
              <w:rPr>
                <w:rFonts w:ascii="Arial" w:hAnsi="Arial" w:cs="Arial"/>
                <w:b/>
                <w:bCs/>
                <w:color w:val="000000"/>
                <w:sz w:val="20"/>
              </w:rPr>
            </w:pPr>
            <w:r w:rsidRPr="00870270">
              <w:rPr>
                <w:rFonts w:ascii="Arial" w:hAnsi="Arial" w:cs="Arial"/>
                <w:b/>
                <w:bCs/>
                <w:color w:val="000000"/>
                <w:sz w:val="20"/>
              </w:rPr>
              <w:t>ME</w:t>
            </w:r>
            <w:r w:rsidR="009E6FE8" w:rsidRPr="00870270">
              <w:rPr>
                <w:rFonts w:ascii="Arial" w:hAnsi="Arial" w:cs="Arial"/>
                <w:b/>
                <w:bCs/>
                <w:color w:val="000000"/>
                <w:sz w:val="20"/>
              </w:rPr>
              <w:t>TROPOLITAN</w:t>
            </w:r>
          </w:p>
        </w:tc>
        <w:tc>
          <w:tcPr>
            <w:tcW w:w="1705" w:type="dxa"/>
          </w:tcPr>
          <w:p w14:paraId="4CA0A46D"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1826</w:t>
            </w:r>
          </w:p>
        </w:tc>
        <w:tc>
          <w:tcPr>
            <w:tcW w:w="1706" w:type="dxa"/>
          </w:tcPr>
          <w:p w14:paraId="49D0C72F"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612</w:t>
            </w:r>
          </w:p>
        </w:tc>
        <w:tc>
          <w:tcPr>
            <w:tcW w:w="1706" w:type="dxa"/>
          </w:tcPr>
          <w:p w14:paraId="69762AE4"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655</w:t>
            </w:r>
          </w:p>
        </w:tc>
        <w:tc>
          <w:tcPr>
            <w:tcW w:w="1706" w:type="dxa"/>
          </w:tcPr>
          <w:p w14:paraId="75585E57"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559</w:t>
            </w:r>
          </w:p>
        </w:tc>
      </w:tr>
      <w:tr w:rsidR="00DD004D" w:rsidRPr="00870270" w14:paraId="16E921D7" w14:textId="77777777" w:rsidTr="00870270">
        <w:tc>
          <w:tcPr>
            <w:tcW w:w="1705" w:type="dxa"/>
          </w:tcPr>
          <w:p w14:paraId="53CFFDBC" w14:textId="77777777" w:rsidR="00DD004D" w:rsidRPr="00870270" w:rsidRDefault="00DD004D" w:rsidP="00870270">
            <w:pPr>
              <w:jc w:val="center"/>
              <w:rPr>
                <w:rFonts w:ascii="Arial" w:hAnsi="Arial" w:cs="Arial"/>
                <w:b/>
                <w:bCs/>
                <w:color w:val="000000"/>
                <w:sz w:val="20"/>
              </w:rPr>
            </w:pPr>
            <w:r w:rsidRPr="00870270">
              <w:rPr>
                <w:rFonts w:ascii="Arial" w:hAnsi="Arial" w:cs="Arial"/>
                <w:b/>
                <w:bCs/>
                <w:color w:val="000000"/>
                <w:sz w:val="20"/>
              </w:rPr>
              <w:t>REGIONAL</w:t>
            </w:r>
          </w:p>
        </w:tc>
        <w:tc>
          <w:tcPr>
            <w:tcW w:w="1705" w:type="dxa"/>
          </w:tcPr>
          <w:p w14:paraId="6D45F4C1"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1449</w:t>
            </w:r>
          </w:p>
        </w:tc>
        <w:tc>
          <w:tcPr>
            <w:tcW w:w="1706" w:type="dxa"/>
          </w:tcPr>
          <w:p w14:paraId="2FCB79B0"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674</w:t>
            </w:r>
          </w:p>
        </w:tc>
        <w:tc>
          <w:tcPr>
            <w:tcW w:w="1706" w:type="dxa"/>
          </w:tcPr>
          <w:p w14:paraId="2C082C3B"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536</w:t>
            </w:r>
          </w:p>
        </w:tc>
        <w:tc>
          <w:tcPr>
            <w:tcW w:w="1706" w:type="dxa"/>
          </w:tcPr>
          <w:p w14:paraId="50959E5C" w14:textId="77777777" w:rsidR="00DD004D" w:rsidRPr="00870270" w:rsidRDefault="0011018E" w:rsidP="00870270">
            <w:pPr>
              <w:jc w:val="center"/>
              <w:rPr>
                <w:rFonts w:ascii="Arial" w:hAnsi="Arial" w:cs="Arial"/>
                <w:color w:val="000000"/>
                <w:sz w:val="20"/>
              </w:rPr>
            </w:pPr>
            <w:r w:rsidRPr="00870270">
              <w:rPr>
                <w:rFonts w:ascii="Arial" w:hAnsi="Arial" w:cs="Arial"/>
                <w:color w:val="000000"/>
                <w:sz w:val="20"/>
              </w:rPr>
              <w:t>239</w:t>
            </w:r>
          </w:p>
        </w:tc>
      </w:tr>
      <w:tr w:rsidR="0011018E" w:rsidRPr="00870270" w14:paraId="26809274" w14:textId="77777777" w:rsidTr="00870270">
        <w:tc>
          <w:tcPr>
            <w:tcW w:w="1705" w:type="dxa"/>
            <w:shd w:val="clear" w:color="auto" w:fill="000000"/>
          </w:tcPr>
          <w:p w14:paraId="08C3F699" w14:textId="77777777" w:rsidR="00DD004D" w:rsidRPr="00870270" w:rsidRDefault="00DD004D" w:rsidP="00870270">
            <w:pPr>
              <w:jc w:val="center"/>
              <w:rPr>
                <w:rFonts w:ascii="Arial" w:hAnsi="Arial" w:cs="Arial"/>
                <w:b/>
                <w:bCs/>
                <w:color w:val="FFFFFF"/>
                <w:sz w:val="20"/>
              </w:rPr>
            </w:pPr>
            <w:r w:rsidRPr="00870270">
              <w:rPr>
                <w:rFonts w:ascii="Arial" w:hAnsi="Arial" w:cs="Arial"/>
                <w:b/>
                <w:bCs/>
                <w:color w:val="FFFFFF"/>
                <w:sz w:val="20"/>
              </w:rPr>
              <w:t>TOTAL</w:t>
            </w:r>
          </w:p>
        </w:tc>
        <w:tc>
          <w:tcPr>
            <w:tcW w:w="1705" w:type="dxa"/>
            <w:shd w:val="clear" w:color="auto" w:fill="000000"/>
          </w:tcPr>
          <w:p w14:paraId="60D7F59D" w14:textId="77777777" w:rsidR="00DD004D" w:rsidRPr="00870270" w:rsidRDefault="0011018E" w:rsidP="00870270">
            <w:pPr>
              <w:jc w:val="center"/>
              <w:rPr>
                <w:rFonts w:ascii="Arial" w:hAnsi="Arial" w:cs="Arial"/>
                <w:b/>
                <w:bCs/>
                <w:color w:val="FFFFFF"/>
                <w:sz w:val="20"/>
              </w:rPr>
            </w:pPr>
            <w:r w:rsidRPr="00870270">
              <w:rPr>
                <w:rFonts w:ascii="Arial" w:hAnsi="Arial" w:cs="Arial"/>
                <w:b/>
                <w:bCs/>
                <w:color w:val="FFFFFF"/>
                <w:sz w:val="20"/>
              </w:rPr>
              <w:t>3275</w:t>
            </w:r>
          </w:p>
        </w:tc>
        <w:tc>
          <w:tcPr>
            <w:tcW w:w="1706" w:type="dxa"/>
            <w:shd w:val="clear" w:color="auto" w:fill="000000"/>
          </w:tcPr>
          <w:p w14:paraId="57F6846A" w14:textId="77777777" w:rsidR="00DD004D" w:rsidRPr="00870270" w:rsidRDefault="0011018E" w:rsidP="00870270">
            <w:pPr>
              <w:jc w:val="center"/>
              <w:rPr>
                <w:rFonts w:ascii="Arial" w:hAnsi="Arial" w:cs="Arial"/>
                <w:b/>
                <w:bCs/>
                <w:color w:val="FFFFFF"/>
                <w:sz w:val="20"/>
              </w:rPr>
            </w:pPr>
            <w:r w:rsidRPr="00870270">
              <w:rPr>
                <w:rFonts w:ascii="Arial" w:hAnsi="Arial" w:cs="Arial"/>
                <w:b/>
                <w:bCs/>
                <w:color w:val="FFFFFF"/>
                <w:sz w:val="20"/>
              </w:rPr>
              <w:t>1286</w:t>
            </w:r>
          </w:p>
        </w:tc>
        <w:tc>
          <w:tcPr>
            <w:tcW w:w="1706" w:type="dxa"/>
            <w:shd w:val="clear" w:color="auto" w:fill="000000"/>
          </w:tcPr>
          <w:p w14:paraId="2742C46E" w14:textId="77777777" w:rsidR="00DD004D" w:rsidRPr="00870270" w:rsidRDefault="0011018E" w:rsidP="00870270">
            <w:pPr>
              <w:jc w:val="center"/>
              <w:rPr>
                <w:rFonts w:ascii="Arial" w:hAnsi="Arial" w:cs="Arial"/>
                <w:b/>
                <w:bCs/>
                <w:color w:val="FFFFFF"/>
                <w:sz w:val="20"/>
              </w:rPr>
            </w:pPr>
            <w:r w:rsidRPr="00870270">
              <w:rPr>
                <w:rFonts w:ascii="Arial" w:hAnsi="Arial" w:cs="Arial"/>
                <w:b/>
                <w:bCs/>
                <w:color w:val="FFFFFF"/>
                <w:sz w:val="20"/>
              </w:rPr>
              <w:t>1191</w:t>
            </w:r>
          </w:p>
        </w:tc>
        <w:tc>
          <w:tcPr>
            <w:tcW w:w="1706" w:type="dxa"/>
            <w:shd w:val="clear" w:color="auto" w:fill="000000"/>
          </w:tcPr>
          <w:p w14:paraId="47767558" w14:textId="77777777" w:rsidR="00DD004D" w:rsidRPr="00870270" w:rsidRDefault="0011018E" w:rsidP="00870270">
            <w:pPr>
              <w:jc w:val="center"/>
              <w:rPr>
                <w:rFonts w:ascii="Arial" w:hAnsi="Arial" w:cs="Arial"/>
                <w:b/>
                <w:bCs/>
                <w:color w:val="FFFFFF"/>
                <w:sz w:val="20"/>
              </w:rPr>
            </w:pPr>
            <w:r w:rsidRPr="00870270">
              <w:rPr>
                <w:rFonts w:ascii="Arial" w:hAnsi="Arial" w:cs="Arial"/>
                <w:b/>
                <w:bCs/>
                <w:color w:val="FFFFFF"/>
                <w:sz w:val="20"/>
              </w:rPr>
              <w:t>798</w:t>
            </w:r>
          </w:p>
        </w:tc>
      </w:tr>
    </w:tbl>
    <w:p w14:paraId="2D7F2BAE" w14:textId="77777777" w:rsidR="0011018E" w:rsidRDefault="0011018E" w:rsidP="0011018E">
      <w:pP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611"/>
        <w:gridCol w:w="1696"/>
        <w:gridCol w:w="1696"/>
        <w:gridCol w:w="1483"/>
      </w:tblGrid>
      <w:tr w:rsidR="0011018E" w:rsidRPr="00870270" w14:paraId="628153FA" w14:textId="77777777" w:rsidTr="00870270">
        <w:tc>
          <w:tcPr>
            <w:tcW w:w="1705" w:type="dxa"/>
            <w:shd w:val="clear" w:color="auto" w:fill="000000"/>
          </w:tcPr>
          <w:p w14:paraId="02BB8D41" w14:textId="77777777" w:rsidR="0011018E" w:rsidRPr="00870270" w:rsidRDefault="0011018E" w:rsidP="00870270">
            <w:pPr>
              <w:spacing w:before="120"/>
              <w:jc w:val="center"/>
              <w:rPr>
                <w:rFonts w:ascii="Arial" w:hAnsi="Arial" w:cs="Arial"/>
                <w:b/>
                <w:bCs/>
                <w:color w:val="FFFFFF"/>
                <w:szCs w:val="32"/>
              </w:rPr>
            </w:pPr>
            <w:r w:rsidRPr="00870270">
              <w:rPr>
                <w:rFonts w:ascii="Arial" w:hAnsi="Arial" w:cs="Arial"/>
                <w:b/>
                <w:bCs/>
                <w:color w:val="FFFFFF"/>
                <w:szCs w:val="32"/>
              </w:rPr>
              <w:t>2019/20</w:t>
            </w:r>
          </w:p>
        </w:tc>
        <w:tc>
          <w:tcPr>
            <w:tcW w:w="1705" w:type="dxa"/>
          </w:tcPr>
          <w:p w14:paraId="70269E53" w14:textId="77777777" w:rsidR="0011018E" w:rsidRPr="00870270" w:rsidRDefault="0011018E" w:rsidP="00870270">
            <w:pPr>
              <w:spacing w:before="40"/>
              <w:jc w:val="center"/>
              <w:rPr>
                <w:rFonts w:ascii="Arial" w:hAnsi="Arial" w:cs="Arial"/>
                <w:b/>
                <w:bCs/>
                <w:color w:val="000000"/>
                <w:sz w:val="20"/>
              </w:rPr>
            </w:pPr>
            <w:r w:rsidRPr="00870270">
              <w:rPr>
                <w:rFonts w:ascii="Arial" w:hAnsi="Arial" w:cs="Arial"/>
                <w:b/>
                <w:bCs/>
                <w:color w:val="000000"/>
                <w:sz w:val="20"/>
              </w:rPr>
              <w:t>CCs CONDUCTED</w:t>
            </w:r>
          </w:p>
        </w:tc>
        <w:tc>
          <w:tcPr>
            <w:tcW w:w="1706" w:type="dxa"/>
          </w:tcPr>
          <w:p w14:paraId="1494BA56" w14:textId="77777777" w:rsidR="0011018E" w:rsidRPr="00870270" w:rsidRDefault="0011018E" w:rsidP="00870270">
            <w:pPr>
              <w:spacing w:before="120"/>
              <w:jc w:val="both"/>
              <w:rPr>
                <w:rFonts w:ascii="Arial" w:hAnsi="Arial" w:cs="Arial"/>
                <w:b/>
                <w:bCs/>
                <w:color w:val="000000"/>
                <w:sz w:val="20"/>
              </w:rPr>
            </w:pPr>
            <w:r w:rsidRPr="00870270">
              <w:rPr>
                <w:rFonts w:ascii="Arial" w:hAnsi="Arial" w:cs="Arial"/>
                <w:b/>
                <w:bCs/>
                <w:color w:val="000000"/>
                <w:sz w:val="20"/>
              </w:rPr>
              <w:t>SETTLEMENTS</w:t>
            </w:r>
          </w:p>
        </w:tc>
        <w:tc>
          <w:tcPr>
            <w:tcW w:w="1706" w:type="dxa"/>
          </w:tcPr>
          <w:p w14:paraId="28BD3A1A" w14:textId="77777777" w:rsidR="0011018E" w:rsidRPr="00870270" w:rsidRDefault="0011018E" w:rsidP="00870270">
            <w:pPr>
              <w:spacing w:before="40"/>
              <w:jc w:val="center"/>
              <w:rPr>
                <w:rFonts w:ascii="Arial" w:hAnsi="Arial" w:cs="Arial"/>
                <w:b/>
                <w:bCs/>
                <w:color w:val="000000"/>
                <w:sz w:val="20"/>
              </w:rPr>
            </w:pPr>
            <w:r w:rsidRPr="00870270">
              <w:rPr>
                <w:rFonts w:ascii="Arial" w:hAnsi="Arial" w:cs="Arial"/>
                <w:b/>
                <w:bCs/>
                <w:color w:val="000000"/>
                <w:sz w:val="20"/>
              </w:rPr>
              <w:t>PARTIAL SETTLEMENTS</w:t>
            </w:r>
          </w:p>
        </w:tc>
        <w:tc>
          <w:tcPr>
            <w:tcW w:w="1706" w:type="dxa"/>
          </w:tcPr>
          <w:p w14:paraId="7E6ACE82" w14:textId="77777777" w:rsidR="0011018E" w:rsidRPr="00870270" w:rsidRDefault="0011018E" w:rsidP="00870270">
            <w:pPr>
              <w:jc w:val="center"/>
              <w:rPr>
                <w:rFonts w:ascii="Arial" w:hAnsi="Arial" w:cs="Arial"/>
                <w:b/>
                <w:bCs/>
                <w:color w:val="000000"/>
                <w:sz w:val="16"/>
                <w:szCs w:val="20"/>
              </w:rPr>
            </w:pPr>
            <w:r w:rsidRPr="00870270">
              <w:rPr>
                <w:rFonts w:ascii="Arial" w:hAnsi="Arial" w:cs="Arial"/>
                <w:b/>
                <w:bCs/>
                <w:color w:val="000000"/>
                <w:sz w:val="16"/>
                <w:szCs w:val="20"/>
              </w:rPr>
              <w:t>CCs LEADING TO DIRECTIONS HEARINGS</w:t>
            </w:r>
          </w:p>
        </w:tc>
      </w:tr>
      <w:tr w:rsidR="0011018E" w:rsidRPr="00870270" w14:paraId="73F0E3E2" w14:textId="77777777" w:rsidTr="00870270">
        <w:tc>
          <w:tcPr>
            <w:tcW w:w="1705" w:type="dxa"/>
          </w:tcPr>
          <w:p w14:paraId="167F7650" w14:textId="77777777" w:rsidR="0011018E" w:rsidRPr="00870270" w:rsidRDefault="009E6FE8" w:rsidP="00870270">
            <w:pPr>
              <w:jc w:val="center"/>
              <w:rPr>
                <w:rFonts w:ascii="Arial" w:hAnsi="Arial" w:cs="Arial"/>
                <w:b/>
                <w:bCs/>
                <w:color w:val="000000"/>
                <w:sz w:val="20"/>
              </w:rPr>
            </w:pPr>
            <w:r w:rsidRPr="00870270">
              <w:rPr>
                <w:rFonts w:ascii="Arial" w:hAnsi="Arial" w:cs="Arial"/>
                <w:b/>
                <w:bCs/>
                <w:color w:val="000000"/>
                <w:sz w:val="20"/>
              </w:rPr>
              <w:t>METROPOLITAN</w:t>
            </w:r>
          </w:p>
        </w:tc>
        <w:tc>
          <w:tcPr>
            <w:tcW w:w="1705" w:type="dxa"/>
          </w:tcPr>
          <w:p w14:paraId="32EAA265"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1826</w:t>
            </w:r>
          </w:p>
        </w:tc>
        <w:tc>
          <w:tcPr>
            <w:tcW w:w="1706" w:type="dxa"/>
          </w:tcPr>
          <w:p w14:paraId="6E64D388"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617</w:t>
            </w:r>
          </w:p>
        </w:tc>
        <w:tc>
          <w:tcPr>
            <w:tcW w:w="1706" w:type="dxa"/>
          </w:tcPr>
          <w:p w14:paraId="2D13F641"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617</w:t>
            </w:r>
          </w:p>
        </w:tc>
        <w:tc>
          <w:tcPr>
            <w:tcW w:w="1706" w:type="dxa"/>
          </w:tcPr>
          <w:p w14:paraId="71DADA2D"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582</w:t>
            </w:r>
          </w:p>
        </w:tc>
      </w:tr>
      <w:tr w:rsidR="0011018E" w:rsidRPr="00870270" w14:paraId="7114E94B" w14:textId="77777777" w:rsidTr="00870270">
        <w:tc>
          <w:tcPr>
            <w:tcW w:w="1705" w:type="dxa"/>
          </w:tcPr>
          <w:p w14:paraId="7B6358E6" w14:textId="77777777" w:rsidR="0011018E" w:rsidRPr="00870270" w:rsidRDefault="0011018E" w:rsidP="00870270">
            <w:pPr>
              <w:jc w:val="center"/>
              <w:rPr>
                <w:rFonts w:ascii="Arial" w:hAnsi="Arial" w:cs="Arial"/>
                <w:b/>
                <w:bCs/>
                <w:color w:val="000000"/>
                <w:sz w:val="20"/>
              </w:rPr>
            </w:pPr>
            <w:r w:rsidRPr="00870270">
              <w:rPr>
                <w:rFonts w:ascii="Arial" w:hAnsi="Arial" w:cs="Arial"/>
                <w:b/>
                <w:bCs/>
                <w:color w:val="000000"/>
                <w:sz w:val="20"/>
              </w:rPr>
              <w:t>REGIONAL</w:t>
            </w:r>
          </w:p>
        </w:tc>
        <w:tc>
          <w:tcPr>
            <w:tcW w:w="1705" w:type="dxa"/>
          </w:tcPr>
          <w:p w14:paraId="2D565CE0"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1444</w:t>
            </w:r>
          </w:p>
        </w:tc>
        <w:tc>
          <w:tcPr>
            <w:tcW w:w="1706" w:type="dxa"/>
          </w:tcPr>
          <w:p w14:paraId="6535D7D0"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659</w:t>
            </w:r>
          </w:p>
        </w:tc>
        <w:tc>
          <w:tcPr>
            <w:tcW w:w="1706" w:type="dxa"/>
          </w:tcPr>
          <w:p w14:paraId="5DA5299E"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515</w:t>
            </w:r>
          </w:p>
        </w:tc>
        <w:tc>
          <w:tcPr>
            <w:tcW w:w="1706" w:type="dxa"/>
          </w:tcPr>
          <w:p w14:paraId="243A712F"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270</w:t>
            </w:r>
          </w:p>
        </w:tc>
      </w:tr>
      <w:tr w:rsidR="009E6FE8" w:rsidRPr="00870270" w14:paraId="1E4D4DB5" w14:textId="77777777" w:rsidTr="00870270">
        <w:tc>
          <w:tcPr>
            <w:tcW w:w="1705" w:type="dxa"/>
            <w:shd w:val="clear" w:color="auto" w:fill="000000"/>
          </w:tcPr>
          <w:p w14:paraId="4A46DE8D" w14:textId="77777777" w:rsidR="0011018E" w:rsidRPr="00870270" w:rsidRDefault="0011018E" w:rsidP="00870270">
            <w:pPr>
              <w:jc w:val="center"/>
              <w:rPr>
                <w:rFonts w:ascii="Arial" w:hAnsi="Arial" w:cs="Arial"/>
                <w:b/>
                <w:bCs/>
                <w:color w:val="FFFFFF"/>
                <w:sz w:val="20"/>
              </w:rPr>
            </w:pPr>
            <w:r w:rsidRPr="00870270">
              <w:rPr>
                <w:rFonts w:ascii="Arial" w:hAnsi="Arial" w:cs="Arial"/>
                <w:b/>
                <w:bCs/>
                <w:color w:val="FFFFFF"/>
                <w:sz w:val="20"/>
              </w:rPr>
              <w:t>TOTAL</w:t>
            </w:r>
          </w:p>
        </w:tc>
        <w:tc>
          <w:tcPr>
            <w:tcW w:w="1705" w:type="dxa"/>
            <w:shd w:val="clear" w:color="auto" w:fill="000000"/>
          </w:tcPr>
          <w:p w14:paraId="1BD4AE40"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3260</w:t>
            </w:r>
          </w:p>
        </w:tc>
        <w:tc>
          <w:tcPr>
            <w:tcW w:w="1706" w:type="dxa"/>
            <w:shd w:val="clear" w:color="auto" w:fill="000000"/>
          </w:tcPr>
          <w:p w14:paraId="492D9DB9"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1276</w:t>
            </w:r>
          </w:p>
        </w:tc>
        <w:tc>
          <w:tcPr>
            <w:tcW w:w="1706" w:type="dxa"/>
            <w:shd w:val="clear" w:color="auto" w:fill="000000"/>
          </w:tcPr>
          <w:p w14:paraId="76089F31"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1132</w:t>
            </w:r>
          </w:p>
        </w:tc>
        <w:tc>
          <w:tcPr>
            <w:tcW w:w="1706" w:type="dxa"/>
            <w:shd w:val="clear" w:color="auto" w:fill="000000"/>
          </w:tcPr>
          <w:p w14:paraId="43D0049A"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852</w:t>
            </w:r>
          </w:p>
        </w:tc>
      </w:tr>
    </w:tbl>
    <w:p w14:paraId="16AAD05B" w14:textId="77777777" w:rsidR="0011018E" w:rsidRDefault="0011018E" w:rsidP="0011018E">
      <w:pP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617"/>
        <w:gridCol w:w="1697"/>
        <w:gridCol w:w="1697"/>
        <w:gridCol w:w="1475"/>
      </w:tblGrid>
      <w:tr w:rsidR="0011018E" w:rsidRPr="00870270" w14:paraId="26D39C8B" w14:textId="77777777" w:rsidTr="00870270">
        <w:tc>
          <w:tcPr>
            <w:tcW w:w="1816" w:type="dxa"/>
            <w:shd w:val="clear" w:color="auto" w:fill="000000"/>
          </w:tcPr>
          <w:p w14:paraId="3207DDFE" w14:textId="77777777" w:rsidR="0011018E" w:rsidRPr="00870270" w:rsidRDefault="009E6FE8" w:rsidP="00870270">
            <w:pPr>
              <w:spacing w:before="120"/>
              <w:jc w:val="center"/>
              <w:rPr>
                <w:rFonts w:ascii="Arial" w:hAnsi="Arial" w:cs="Arial"/>
                <w:b/>
                <w:bCs/>
                <w:color w:val="FFFFFF"/>
                <w:szCs w:val="32"/>
              </w:rPr>
            </w:pPr>
            <w:r w:rsidRPr="00870270">
              <w:rPr>
                <w:rFonts w:ascii="Arial" w:hAnsi="Arial" w:cs="Arial"/>
                <w:b/>
                <w:bCs/>
                <w:color w:val="FFFFFF"/>
                <w:szCs w:val="32"/>
              </w:rPr>
              <w:t>2020/21</w:t>
            </w:r>
          </w:p>
        </w:tc>
        <w:tc>
          <w:tcPr>
            <w:tcW w:w="1676" w:type="dxa"/>
          </w:tcPr>
          <w:p w14:paraId="72DC362F" w14:textId="77777777" w:rsidR="0011018E" w:rsidRPr="00870270" w:rsidRDefault="0011018E" w:rsidP="00870270">
            <w:pPr>
              <w:spacing w:before="40"/>
              <w:jc w:val="center"/>
              <w:rPr>
                <w:rFonts w:ascii="Arial" w:hAnsi="Arial" w:cs="Arial"/>
                <w:b/>
                <w:bCs/>
                <w:color w:val="000000"/>
                <w:sz w:val="20"/>
              </w:rPr>
            </w:pPr>
            <w:r w:rsidRPr="00870270">
              <w:rPr>
                <w:rFonts w:ascii="Arial" w:hAnsi="Arial" w:cs="Arial"/>
                <w:b/>
                <w:bCs/>
                <w:color w:val="000000"/>
                <w:sz w:val="20"/>
              </w:rPr>
              <w:t>CCs CONDUCTED</w:t>
            </w:r>
          </w:p>
        </w:tc>
        <w:tc>
          <w:tcPr>
            <w:tcW w:w="1703" w:type="dxa"/>
          </w:tcPr>
          <w:p w14:paraId="05178BE9" w14:textId="77777777" w:rsidR="0011018E" w:rsidRPr="00870270" w:rsidRDefault="0011018E" w:rsidP="00870270">
            <w:pPr>
              <w:spacing w:before="120"/>
              <w:jc w:val="both"/>
              <w:rPr>
                <w:rFonts w:ascii="Arial" w:hAnsi="Arial" w:cs="Arial"/>
                <w:b/>
                <w:bCs/>
                <w:color w:val="000000"/>
                <w:sz w:val="20"/>
              </w:rPr>
            </w:pPr>
            <w:r w:rsidRPr="00870270">
              <w:rPr>
                <w:rFonts w:ascii="Arial" w:hAnsi="Arial" w:cs="Arial"/>
                <w:b/>
                <w:bCs/>
                <w:color w:val="000000"/>
                <w:sz w:val="20"/>
              </w:rPr>
              <w:t>SETTLEMENTS</w:t>
            </w:r>
          </w:p>
        </w:tc>
        <w:tc>
          <w:tcPr>
            <w:tcW w:w="1703" w:type="dxa"/>
          </w:tcPr>
          <w:p w14:paraId="735F0D3C" w14:textId="77777777" w:rsidR="0011018E" w:rsidRPr="00870270" w:rsidRDefault="0011018E" w:rsidP="00870270">
            <w:pPr>
              <w:spacing w:before="40"/>
              <w:jc w:val="center"/>
              <w:rPr>
                <w:rFonts w:ascii="Arial" w:hAnsi="Arial" w:cs="Arial"/>
                <w:b/>
                <w:bCs/>
                <w:color w:val="000000"/>
                <w:sz w:val="20"/>
              </w:rPr>
            </w:pPr>
            <w:r w:rsidRPr="00870270">
              <w:rPr>
                <w:rFonts w:ascii="Arial" w:hAnsi="Arial" w:cs="Arial"/>
                <w:b/>
                <w:bCs/>
                <w:color w:val="000000"/>
                <w:sz w:val="20"/>
              </w:rPr>
              <w:t>PARTIAL SETTLEMENTS</w:t>
            </w:r>
          </w:p>
        </w:tc>
        <w:tc>
          <w:tcPr>
            <w:tcW w:w="1630" w:type="dxa"/>
          </w:tcPr>
          <w:p w14:paraId="208B9B5A" w14:textId="77777777" w:rsidR="0011018E" w:rsidRPr="00870270" w:rsidRDefault="0011018E" w:rsidP="00870270">
            <w:pPr>
              <w:jc w:val="center"/>
              <w:rPr>
                <w:rFonts w:ascii="Arial" w:hAnsi="Arial" w:cs="Arial"/>
                <w:b/>
                <w:bCs/>
                <w:color w:val="000000"/>
                <w:sz w:val="16"/>
                <w:szCs w:val="20"/>
              </w:rPr>
            </w:pPr>
            <w:r w:rsidRPr="00870270">
              <w:rPr>
                <w:rFonts w:ascii="Arial" w:hAnsi="Arial" w:cs="Arial"/>
                <w:b/>
                <w:bCs/>
                <w:color w:val="000000"/>
                <w:sz w:val="16"/>
                <w:szCs w:val="20"/>
              </w:rPr>
              <w:t xml:space="preserve">CCs LEADING TO </w:t>
            </w:r>
            <w:r w:rsidR="009E6FE8" w:rsidRPr="00870270">
              <w:rPr>
                <w:rFonts w:ascii="Arial" w:hAnsi="Arial" w:cs="Arial"/>
                <w:b/>
                <w:bCs/>
                <w:color w:val="000000"/>
                <w:sz w:val="16"/>
                <w:szCs w:val="20"/>
              </w:rPr>
              <w:t>READINESS</w:t>
            </w:r>
            <w:r w:rsidRPr="00870270">
              <w:rPr>
                <w:rFonts w:ascii="Arial" w:hAnsi="Arial" w:cs="Arial"/>
                <w:b/>
                <w:bCs/>
                <w:color w:val="000000"/>
                <w:sz w:val="16"/>
                <w:szCs w:val="20"/>
              </w:rPr>
              <w:t xml:space="preserve"> HEARINGS</w:t>
            </w:r>
          </w:p>
        </w:tc>
      </w:tr>
      <w:tr w:rsidR="0011018E" w:rsidRPr="00870270" w14:paraId="67707016" w14:textId="77777777" w:rsidTr="00870270">
        <w:tc>
          <w:tcPr>
            <w:tcW w:w="1816" w:type="dxa"/>
          </w:tcPr>
          <w:p w14:paraId="1F2959F6" w14:textId="77777777" w:rsidR="0011018E" w:rsidRPr="00870270" w:rsidRDefault="009E6FE8" w:rsidP="00870270">
            <w:pPr>
              <w:jc w:val="center"/>
              <w:rPr>
                <w:rFonts w:ascii="Arial" w:hAnsi="Arial" w:cs="Arial"/>
                <w:b/>
                <w:bCs/>
                <w:color w:val="000000"/>
                <w:sz w:val="20"/>
              </w:rPr>
            </w:pPr>
            <w:r w:rsidRPr="00870270">
              <w:rPr>
                <w:rFonts w:ascii="Arial" w:hAnsi="Arial" w:cs="Arial"/>
                <w:b/>
                <w:bCs/>
                <w:color w:val="000000"/>
                <w:sz w:val="20"/>
              </w:rPr>
              <w:t>METROPOLITAN</w:t>
            </w:r>
          </w:p>
        </w:tc>
        <w:tc>
          <w:tcPr>
            <w:tcW w:w="1676" w:type="dxa"/>
          </w:tcPr>
          <w:p w14:paraId="106D0790"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1628</w:t>
            </w:r>
          </w:p>
        </w:tc>
        <w:tc>
          <w:tcPr>
            <w:tcW w:w="1703" w:type="dxa"/>
          </w:tcPr>
          <w:p w14:paraId="41C7E6F2"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537</w:t>
            </w:r>
          </w:p>
        </w:tc>
        <w:tc>
          <w:tcPr>
            <w:tcW w:w="1703" w:type="dxa"/>
          </w:tcPr>
          <w:p w14:paraId="2CF39E44"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554</w:t>
            </w:r>
          </w:p>
        </w:tc>
        <w:tc>
          <w:tcPr>
            <w:tcW w:w="1630" w:type="dxa"/>
          </w:tcPr>
          <w:p w14:paraId="190B7411"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537</w:t>
            </w:r>
          </w:p>
        </w:tc>
      </w:tr>
      <w:tr w:rsidR="0011018E" w:rsidRPr="00870270" w14:paraId="3FFC0D32" w14:textId="77777777" w:rsidTr="00870270">
        <w:tc>
          <w:tcPr>
            <w:tcW w:w="1816" w:type="dxa"/>
          </w:tcPr>
          <w:p w14:paraId="5F88F9DF" w14:textId="77777777" w:rsidR="0011018E" w:rsidRPr="00870270" w:rsidRDefault="0011018E" w:rsidP="00870270">
            <w:pPr>
              <w:jc w:val="center"/>
              <w:rPr>
                <w:rFonts w:ascii="Arial" w:hAnsi="Arial" w:cs="Arial"/>
                <w:b/>
                <w:bCs/>
                <w:color w:val="000000"/>
                <w:sz w:val="20"/>
              </w:rPr>
            </w:pPr>
            <w:r w:rsidRPr="00870270">
              <w:rPr>
                <w:rFonts w:ascii="Arial" w:hAnsi="Arial" w:cs="Arial"/>
                <w:b/>
                <w:bCs/>
                <w:color w:val="000000"/>
                <w:sz w:val="20"/>
              </w:rPr>
              <w:t>REGIONAL</w:t>
            </w:r>
          </w:p>
        </w:tc>
        <w:tc>
          <w:tcPr>
            <w:tcW w:w="1676" w:type="dxa"/>
          </w:tcPr>
          <w:p w14:paraId="24E6BFD9"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1360</w:t>
            </w:r>
          </w:p>
        </w:tc>
        <w:tc>
          <w:tcPr>
            <w:tcW w:w="1703" w:type="dxa"/>
          </w:tcPr>
          <w:p w14:paraId="435AA785"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653</w:t>
            </w:r>
          </w:p>
        </w:tc>
        <w:tc>
          <w:tcPr>
            <w:tcW w:w="1703" w:type="dxa"/>
          </w:tcPr>
          <w:p w14:paraId="07D9824B"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394</w:t>
            </w:r>
          </w:p>
        </w:tc>
        <w:tc>
          <w:tcPr>
            <w:tcW w:w="1630" w:type="dxa"/>
          </w:tcPr>
          <w:p w14:paraId="3E683D14" w14:textId="77777777" w:rsidR="0011018E" w:rsidRPr="00870270" w:rsidRDefault="009E6FE8" w:rsidP="00870270">
            <w:pPr>
              <w:jc w:val="center"/>
              <w:rPr>
                <w:rFonts w:ascii="Arial" w:hAnsi="Arial" w:cs="Arial"/>
                <w:color w:val="000000"/>
                <w:sz w:val="20"/>
              </w:rPr>
            </w:pPr>
            <w:r w:rsidRPr="00870270">
              <w:rPr>
                <w:rFonts w:ascii="Arial" w:hAnsi="Arial" w:cs="Arial"/>
                <w:color w:val="000000"/>
                <w:sz w:val="20"/>
              </w:rPr>
              <w:t>313</w:t>
            </w:r>
          </w:p>
        </w:tc>
      </w:tr>
      <w:tr w:rsidR="009E6FE8" w:rsidRPr="00870270" w14:paraId="712B43E4" w14:textId="77777777" w:rsidTr="00870270">
        <w:tc>
          <w:tcPr>
            <w:tcW w:w="1816" w:type="dxa"/>
            <w:shd w:val="clear" w:color="auto" w:fill="000000"/>
          </w:tcPr>
          <w:p w14:paraId="43930457" w14:textId="77777777" w:rsidR="0011018E" w:rsidRPr="00870270" w:rsidRDefault="0011018E" w:rsidP="00870270">
            <w:pPr>
              <w:jc w:val="center"/>
              <w:rPr>
                <w:rFonts w:ascii="Arial" w:hAnsi="Arial" w:cs="Arial"/>
                <w:b/>
                <w:bCs/>
                <w:color w:val="FFFFFF"/>
                <w:sz w:val="20"/>
              </w:rPr>
            </w:pPr>
            <w:r w:rsidRPr="00870270">
              <w:rPr>
                <w:rFonts w:ascii="Arial" w:hAnsi="Arial" w:cs="Arial"/>
                <w:b/>
                <w:bCs/>
                <w:color w:val="FFFFFF"/>
                <w:sz w:val="20"/>
              </w:rPr>
              <w:t>TOTAL</w:t>
            </w:r>
          </w:p>
        </w:tc>
        <w:tc>
          <w:tcPr>
            <w:tcW w:w="1676" w:type="dxa"/>
            <w:shd w:val="clear" w:color="auto" w:fill="000000"/>
          </w:tcPr>
          <w:p w14:paraId="7A1A5AE3"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2988</w:t>
            </w:r>
          </w:p>
        </w:tc>
        <w:tc>
          <w:tcPr>
            <w:tcW w:w="1703" w:type="dxa"/>
            <w:shd w:val="clear" w:color="auto" w:fill="000000"/>
          </w:tcPr>
          <w:p w14:paraId="601DBC23" w14:textId="77777777" w:rsidR="0011018E" w:rsidRPr="00870270" w:rsidRDefault="0011018E" w:rsidP="00870270">
            <w:pPr>
              <w:jc w:val="center"/>
              <w:rPr>
                <w:rFonts w:ascii="Arial" w:hAnsi="Arial" w:cs="Arial"/>
                <w:b/>
                <w:bCs/>
                <w:color w:val="FFFFFF"/>
                <w:sz w:val="20"/>
              </w:rPr>
            </w:pPr>
            <w:r w:rsidRPr="00870270">
              <w:rPr>
                <w:rFonts w:ascii="Arial" w:hAnsi="Arial" w:cs="Arial"/>
                <w:b/>
                <w:bCs/>
                <w:color w:val="FFFFFF"/>
                <w:sz w:val="20"/>
              </w:rPr>
              <w:t>1</w:t>
            </w:r>
            <w:r w:rsidR="009E6FE8" w:rsidRPr="00870270">
              <w:rPr>
                <w:rFonts w:ascii="Arial" w:hAnsi="Arial" w:cs="Arial"/>
                <w:b/>
                <w:bCs/>
                <w:color w:val="FFFFFF"/>
                <w:sz w:val="20"/>
              </w:rPr>
              <w:t>190</w:t>
            </w:r>
          </w:p>
        </w:tc>
        <w:tc>
          <w:tcPr>
            <w:tcW w:w="1703" w:type="dxa"/>
            <w:shd w:val="clear" w:color="auto" w:fill="000000"/>
          </w:tcPr>
          <w:p w14:paraId="6FC76659"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948</w:t>
            </w:r>
          </w:p>
        </w:tc>
        <w:tc>
          <w:tcPr>
            <w:tcW w:w="1630" w:type="dxa"/>
            <w:shd w:val="clear" w:color="auto" w:fill="000000"/>
          </w:tcPr>
          <w:p w14:paraId="4FAE6A27" w14:textId="77777777" w:rsidR="0011018E" w:rsidRPr="00870270" w:rsidRDefault="009E6FE8" w:rsidP="00870270">
            <w:pPr>
              <w:jc w:val="center"/>
              <w:rPr>
                <w:rFonts w:ascii="Arial" w:hAnsi="Arial" w:cs="Arial"/>
                <w:b/>
                <w:bCs/>
                <w:color w:val="FFFFFF"/>
                <w:sz w:val="20"/>
              </w:rPr>
            </w:pPr>
            <w:r w:rsidRPr="00870270">
              <w:rPr>
                <w:rFonts w:ascii="Arial" w:hAnsi="Arial" w:cs="Arial"/>
                <w:b/>
                <w:bCs/>
                <w:color w:val="FFFFFF"/>
                <w:sz w:val="20"/>
              </w:rPr>
              <w:t>850</w:t>
            </w:r>
          </w:p>
        </w:tc>
      </w:tr>
    </w:tbl>
    <w:p w14:paraId="4988D952" w14:textId="3E4EC54C" w:rsidR="00CF31FB" w:rsidRDefault="00CF31FB" w:rsidP="00CF31FB">
      <w:pPr>
        <w:jc w:val="both"/>
        <w:rPr>
          <w:rFonts w:ascii="Arial" w:hAnsi="Arial" w:cs="Arial"/>
          <w:color w:val="000000"/>
          <w:sz w:val="20"/>
        </w:rPr>
      </w:pPr>
    </w:p>
    <w:p w14:paraId="6EF3D437" w14:textId="56CF3305" w:rsidR="00CF31FB" w:rsidRDefault="00CF31FB" w:rsidP="00CF31FB">
      <w:pPr>
        <w:spacing w:after="120"/>
        <w:jc w:val="both"/>
        <w:rPr>
          <w:rFonts w:ascii="Arial" w:hAnsi="Arial" w:cs="Arial"/>
          <w:color w:val="000000"/>
          <w:sz w:val="20"/>
        </w:rPr>
      </w:pPr>
      <w:r>
        <w:rPr>
          <w:rFonts w:ascii="Arial" w:hAnsi="Arial" w:cs="Arial"/>
          <w:color w:val="000000"/>
          <w:sz w:val="20"/>
        </w:rPr>
        <w:t xml:space="preserve">State-wide conciliation conferences outcomes </w:t>
      </w:r>
      <w:r w:rsidR="00522630">
        <w:rPr>
          <w:rFonts w:ascii="Arial" w:hAnsi="Arial" w:cs="Arial"/>
          <w:color w:val="000000"/>
          <w:sz w:val="20"/>
        </w:rPr>
        <w:t>we</w:t>
      </w:r>
      <w:r>
        <w:rPr>
          <w:rFonts w:ascii="Arial" w:hAnsi="Arial" w:cs="Arial"/>
          <w:color w:val="000000"/>
          <w:sz w:val="20"/>
        </w:rPr>
        <w:t>re as follows:</w:t>
      </w:r>
    </w:p>
    <w:tbl>
      <w:tblPr>
        <w:tblStyle w:val="TableGrid"/>
        <w:tblW w:w="0" w:type="auto"/>
        <w:tblLook w:val="04A0" w:firstRow="1" w:lastRow="0" w:firstColumn="1" w:lastColumn="0" w:noHBand="0" w:noVBand="1"/>
      </w:tblPr>
      <w:tblGrid>
        <w:gridCol w:w="2034"/>
        <w:gridCol w:w="2100"/>
        <w:gridCol w:w="2084"/>
        <w:gridCol w:w="2084"/>
      </w:tblGrid>
      <w:tr w:rsidR="00CF31FB" w14:paraId="5F4B336E" w14:textId="77777777" w:rsidTr="000142BA">
        <w:tc>
          <w:tcPr>
            <w:tcW w:w="2132" w:type="dxa"/>
            <w:tcBorders>
              <w:bottom w:val="single" w:sz="4" w:space="0" w:color="FFFFFF" w:themeColor="background1"/>
            </w:tcBorders>
            <w:shd w:val="clear" w:color="auto" w:fill="000000" w:themeFill="text1"/>
          </w:tcPr>
          <w:p w14:paraId="6BCCC084" w14:textId="77777777" w:rsidR="00CF31FB" w:rsidRDefault="00CF31FB" w:rsidP="00CF31FB">
            <w:pPr>
              <w:jc w:val="center"/>
              <w:rPr>
                <w:rFonts w:ascii="Arial" w:hAnsi="Arial" w:cs="Arial"/>
                <w:color w:val="000000"/>
                <w:sz w:val="20"/>
              </w:rPr>
            </w:pPr>
          </w:p>
        </w:tc>
        <w:tc>
          <w:tcPr>
            <w:tcW w:w="2132" w:type="dxa"/>
            <w:shd w:val="clear" w:color="auto" w:fill="000000" w:themeFill="text1"/>
          </w:tcPr>
          <w:p w14:paraId="29026697" w14:textId="184CBE27" w:rsidR="00CF31FB" w:rsidRPr="000142BA" w:rsidRDefault="000142BA" w:rsidP="000142BA">
            <w:pPr>
              <w:jc w:val="center"/>
              <w:rPr>
                <w:rFonts w:ascii="Arial" w:hAnsi="Arial" w:cs="Arial"/>
                <w:b/>
                <w:bCs/>
                <w:color w:val="FFFFFF" w:themeColor="background1"/>
                <w:sz w:val="20"/>
              </w:rPr>
            </w:pPr>
            <w:r w:rsidRPr="000142BA">
              <w:rPr>
                <w:rFonts w:ascii="Arial" w:hAnsi="Arial" w:cs="Arial"/>
                <w:b/>
                <w:bCs/>
                <w:color w:val="FFFFFF" w:themeColor="background1"/>
                <w:sz w:val="20"/>
              </w:rPr>
              <w:t>CONFERENCES CONDUCTED</w:t>
            </w:r>
          </w:p>
        </w:tc>
        <w:tc>
          <w:tcPr>
            <w:tcW w:w="2132" w:type="dxa"/>
            <w:shd w:val="clear" w:color="auto" w:fill="000000" w:themeFill="text1"/>
          </w:tcPr>
          <w:p w14:paraId="5401F1CD" w14:textId="77777777" w:rsidR="00CF31FB" w:rsidRPr="000142BA" w:rsidRDefault="000142BA" w:rsidP="000142BA">
            <w:pPr>
              <w:jc w:val="center"/>
              <w:rPr>
                <w:rFonts w:ascii="Arial" w:hAnsi="Arial" w:cs="Arial"/>
                <w:b/>
                <w:bCs/>
                <w:color w:val="FFFFFF" w:themeColor="background1"/>
                <w:sz w:val="20"/>
              </w:rPr>
            </w:pPr>
            <w:r w:rsidRPr="000142BA">
              <w:rPr>
                <w:rFonts w:ascii="Arial" w:hAnsi="Arial" w:cs="Arial"/>
                <w:b/>
                <w:bCs/>
                <w:color w:val="FFFFFF" w:themeColor="background1"/>
                <w:sz w:val="20"/>
              </w:rPr>
              <w:t>FULL SETTLEMENT</w:t>
            </w:r>
          </w:p>
          <w:p w14:paraId="5C267237" w14:textId="7DDC616D" w:rsidR="000142BA" w:rsidRPr="000142BA" w:rsidRDefault="000142BA" w:rsidP="000142BA">
            <w:pPr>
              <w:jc w:val="center"/>
              <w:rPr>
                <w:rFonts w:ascii="Arial" w:hAnsi="Arial" w:cs="Arial"/>
                <w:b/>
                <w:bCs/>
                <w:color w:val="FFFFFF" w:themeColor="background1"/>
                <w:sz w:val="20"/>
              </w:rPr>
            </w:pPr>
            <w:r w:rsidRPr="000142BA">
              <w:rPr>
                <w:rFonts w:ascii="Arial" w:hAnsi="Arial" w:cs="Arial"/>
                <w:b/>
                <w:bCs/>
                <w:color w:val="FFFFFF" w:themeColor="background1"/>
                <w:sz w:val="20"/>
              </w:rPr>
              <w:t>ACHIEVED</w:t>
            </w:r>
          </w:p>
        </w:tc>
        <w:tc>
          <w:tcPr>
            <w:tcW w:w="2132" w:type="dxa"/>
            <w:shd w:val="clear" w:color="auto" w:fill="000000" w:themeFill="text1"/>
          </w:tcPr>
          <w:p w14:paraId="49F88D22" w14:textId="7B6B81BE" w:rsidR="00CF31FB" w:rsidRPr="000142BA" w:rsidRDefault="000142BA" w:rsidP="000142BA">
            <w:pPr>
              <w:jc w:val="center"/>
              <w:rPr>
                <w:rFonts w:ascii="Arial" w:hAnsi="Arial" w:cs="Arial"/>
                <w:b/>
                <w:bCs/>
                <w:color w:val="FFFFFF" w:themeColor="background1"/>
                <w:sz w:val="20"/>
              </w:rPr>
            </w:pPr>
            <w:r w:rsidRPr="000142BA">
              <w:rPr>
                <w:rFonts w:ascii="Arial" w:hAnsi="Arial" w:cs="Arial"/>
                <w:b/>
                <w:bCs/>
                <w:color w:val="FFFFFF" w:themeColor="background1"/>
                <w:sz w:val="20"/>
              </w:rPr>
              <w:t>SETTLEMENT RATE</w:t>
            </w:r>
          </w:p>
        </w:tc>
      </w:tr>
      <w:tr w:rsidR="00CF31FB" w14:paraId="31E9AD14" w14:textId="77777777" w:rsidTr="000142BA">
        <w:tc>
          <w:tcPr>
            <w:tcW w:w="213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14:paraId="6300FA3F" w14:textId="3151D556" w:rsidR="00CF31FB" w:rsidRPr="00CF31FB" w:rsidRDefault="00CF31FB" w:rsidP="00CF31FB">
            <w:pPr>
              <w:jc w:val="center"/>
              <w:rPr>
                <w:rFonts w:ascii="Arial" w:hAnsi="Arial" w:cs="Arial"/>
                <w:b/>
                <w:bCs/>
                <w:color w:val="FFFFFF" w:themeColor="background1"/>
                <w:sz w:val="20"/>
              </w:rPr>
            </w:pPr>
            <w:r w:rsidRPr="00CF31FB">
              <w:rPr>
                <w:rFonts w:ascii="Arial" w:hAnsi="Arial" w:cs="Arial"/>
                <w:b/>
                <w:bCs/>
                <w:color w:val="FFFFFF" w:themeColor="background1"/>
                <w:sz w:val="20"/>
              </w:rPr>
              <w:t>2019/20</w:t>
            </w:r>
          </w:p>
        </w:tc>
        <w:tc>
          <w:tcPr>
            <w:tcW w:w="2132" w:type="dxa"/>
            <w:tcBorders>
              <w:left w:val="single" w:sz="4" w:space="0" w:color="FFFFFF" w:themeColor="background1"/>
            </w:tcBorders>
          </w:tcPr>
          <w:p w14:paraId="378D2352" w14:textId="094FB79F" w:rsidR="00CF31FB" w:rsidRDefault="000142BA" w:rsidP="000142BA">
            <w:pPr>
              <w:jc w:val="center"/>
              <w:rPr>
                <w:rFonts w:ascii="Arial" w:hAnsi="Arial" w:cs="Arial"/>
                <w:color w:val="000000"/>
                <w:sz w:val="20"/>
              </w:rPr>
            </w:pPr>
            <w:r>
              <w:rPr>
                <w:rFonts w:ascii="Arial" w:hAnsi="Arial" w:cs="Arial"/>
                <w:color w:val="000000"/>
                <w:sz w:val="20"/>
              </w:rPr>
              <w:t>3260</w:t>
            </w:r>
          </w:p>
        </w:tc>
        <w:tc>
          <w:tcPr>
            <w:tcW w:w="2132" w:type="dxa"/>
          </w:tcPr>
          <w:p w14:paraId="3C90D1DD" w14:textId="61209CFE" w:rsidR="00CF31FB" w:rsidRDefault="000142BA" w:rsidP="000142BA">
            <w:pPr>
              <w:jc w:val="center"/>
              <w:rPr>
                <w:rFonts w:ascii="Arial" w:hAnsi="Arial" w:cs="Arial"/>
                <w:color w:val="000000"/>
                <w:sz w:val="20"/>
              </w:rPr>
            </w:pPr>
            <w:r>
              <w:rPr>
                <w:rFonts w:ascii="Arial" w:hAnsi="Arial" w:cs="Arial"/>
                <w:color w:val="000000"/>
                <w:sz w:val="20"/>
              </w:rPr>
              <w:t>1276</w:t>
            </w:r>
          </w:p>
        </w:tc>
        <w:tc>
          <w:tcPr>
            <w:tcW w:w="2132" w:type="dxa"/>
          </w:tcPr>
          <w:p w14:paraId="1ACFD34B" w14:textId="096AD639" w:rsidR="00CF31FB" w:rsidRDefault="000142BA" w:rsidP="000142BA">
            <w:pPr>
              <w:jc w:val="center"/>
              <w:rPr>
                <w:rFonts w:ascii="Arial" w:hAnsi="Arial" w:cs="Arial"/>
                <w:color w:val="000000"/>
                <w:sz w:val="20"/>
              </w:rPr>
            </w:pPr>
            <w:r>
              <w:rPr>
                <w:rFonts w:ascii="Arial" w:hAnsi="Arial" w:cs="Arial"/>
                <w:color w:val="000000"/>
                <w:sz w:val="20"/>
              </w:rPr>
              <w:t>39%</w:t>
            </w:r>
          </w:p>
        </w:tc>
      </w:tr>
      <w:tr w:rsidR="000142BA" w14:paraId="2D2C9764" w14:textId="77777777" w:rsidTr="000142BA">
        <w:tc>
          <w:tcPr>
            <w:tcW w:w="2132" w:type="dxa"/>
            <w:vMerge w:val="restart"/>
            <w:tcBorders>
              <w:top w:val="nil"/>
            </w:tcBorders>
            <w:shd w:val="clear" w:color="auto" w:fill="000000" w:themeFill="text1"/>
          </w:tcPr>
          <w:p w14:paraId="6CA1A105" w14:textId="61CE8939" w:rsidR="000142BA" w:rsidRPr="000142BA" w:rsidRDefault="000142BA" w:rsidP="00CF31FB">
            <w:pPr>
              <w:jc w:val="center"/>
              <w:rPr>
                <w:rFonts w:ascii="Arial" w:hAnsi="Arial" w:cs="Arial"/>
                <w:b/>
                <w:bCs/>
                <w:color w:val="FFFFFF" w:themeColor="background1"/>
                <w:sz w:val="20"/>
              </w:rPr>
            </w:pPr>
            <w:r w:rsidRPr="000142BA">
              <w:rPr>
                <w:rFonts w:ascii="Arial" w:hAnsi="Arial" w:cs="Arial"/>
                <w:b/>
                <w:bCs/>
                <w:color w:val="FFFFFF" w:themeColor="background1"/>
                <w:sz w:val="20"/>
              </w:rPr>
              <w:t>2020/21</w:t>
            </w:r>
          </w:p>
        </w:tc>
        <w:tc>
          <w:tcPr>
            <w:tcW w:w="2132" w:type="dxa"/>
          </w:tcPr>
          <w:p w14:paraId="0FAB24F8" w14:textId="7E58D26B" w:rsidR="000142BA" w:rsidRDefault="000142BA" w:rsidP="000142BA">
            <w:pPr>
              <w:jc w:val="center"/>
              <w:rPr>
                <w:rFonts w:ascii="Arial" w:hAnsi="Arial" w:cs="Arial"/>
                <w:color w:val="000000"/>
                <w:sz w:val="20"/>
              </w:rPr>
            </w:pPr>
            <w:r>
              <w:rPr>
                <w:rFonts w:ascii="Arial" w:hAnsi="Arial" w:cs="Arial"/>
                <w:color w:val="000000"/>
                <w:sz w:val="20"/>
              </w:rPr>
              <w:t>2988</w:t>
            </w:r>
          </w:p>
        </w:tc>
        <w:tc>
          <w:tcPr>
            <w:tcW w:w="2132" w:type="dxa"/>
          </w:tcPr>
          <w:p w14:paraId="33B60427" w14:textId="42E28FC5" w:rsidR="000142BA" w:rsidRDefault="000142BA" w:rsidP="000142BA">
            <w:pPr>
              <w:jc w:val="center"/>
              <w:rPr>
                <w:rFonts w:ascii="Arial" w:hAnsi="Arial" w:cs="Arial"/>
                <w:color w:val="000000"/>
                <w:sz w:val="20"/>
              </w:rPr>
            </w:pPr>
            <w:r>
              <w:rPr>
                <w:rFonts w:ascii="Arial" w:hAnsi="Arial" w:cs="Arial"/>
                <w:color w:val="000000"/>
                <w:sz w:val="20"/>
              </w:rPr>
              <w:t>1190</w:t>
            </w:r>
          </w:p>
        </w:tc>
        <w:tc>
          <w:tcPr>
            <w:tcW w:w="2132" w:type="dxa"/>
          </w:tcPr>
          <w:p w14:paraId="68CA1FA3" w14:textId="0D6000D2" w:rsidR="000142BA" w:rsidRDefault="000142BA" w:rsidP="000142BA">
            <w:pPr>
              <w:jc w:val="center"/>
              <w:rPr>
                <w:rFonts w:ascii="Arial" w:hAnsi="Arial" w:cs="Arial"/>
                <w:color w:val="000000"/>
                <w:sz w:val="20"/>
              </w:rPr>
            </w:pPr>
            <w:r>
              <w:rPr>
                <w:rFonts w:ascii="Arial" w:hAnsi="Arial" w:cs="Arial"/>
                <w:color w:val="000000"/>
                <w:sz w:val="20"/>
              </w:rPr>
              <w:t>40%</w:t>
            </w:r>
          </w:p>
        </w:tc>
      </w:tr>
      <w:tr w:rsidR="000142BA" w14:paraId="57B50412" w14:textId="77777777" w:rsidTr="000142BA">
        <w:tc>
          <w:tcPr>
            <w:tcW w:w="2132" w:type="dxa"/>
            <w:vMerge/>
            <w:shd w:val="clear" w:color="auto" w:fill="000000" w:themeFill="text1"/>
          </w:tcPr>
          <w:p w14:paraId="4D34B7A9" w14:textId="77777777" w:rsidR="000142BA" w:rsidRPr="000142BA" w:rsidRDefault="000142BA" w:rsidP="00CF31FB">
            <w:pPr>
              <w:jc w:val="center"/>
              <w:rPr>
                <w:rFonts w:ascii="Arial" w:hAnsi="Arial" w:cs="Arial"/>
                <w:b/>
                <w:bCs/>
                <w:color w:val="FFFFFF" w:themeColor="background1"/>
                <w:sz w:val="20"/>
              </w:rPr>
            </w:pPr>
          </w:p>
        </w:tc>
        <w:tc>
          <w:tcPr>
            <w:tcW w:w="6396" w:type="dxa"/>
            <w:gridSpan w:val="3"/>
            <w:shd w:val="clear" w:color="auto" w:fill="000000" w:themeFill="text1"/>
          </w:tcPr>
          <w:p w14:paraId="5BF4C1A0" w14:textId="41E64BF4" w:rsidR="000142BA" w:rsidRPr="000142BA" w:rsidRDefault="000142BA" w:rsidP="000142BA">
            <w:pPr>
              <w:jc w:val="both"/>
              <w:rPr>
                <w:rFonts w:ascii="Arial" w:hAnsi="Arial" w:cs="Arial"/>
                <w:color w:val="FFFFFF" w:themeColor="background1"/>
                <w:sz w:val="20"/>
              </w:rPr>
            </w:pPr>
            <w:r w:rsidRPr="000142BA">
              <w:rPr>
                <w:rFonts w:ascii="Arial" w:hAnsi="Arial" w:cs="Arial"/>
                <w:color w:val="FFFFFF" w:themeColor="background1"/>
                <w:sz w:val="20"/>
              </w:rPr>
              <w:t>All CCs in this reporting period were conducted online with families being supported by the Court to participate using online hearing software.  Over 20,000 people participated in 2,988 CCs state-wide.</w:t>
            </w:r>
          </w:p>
        </w:tc>
      </w:tr>
      <w:tr w:rsidR="000142BA" w14:paraId="49742EF1" w14:textId="77777777" w:rsidTr="00CF31FB">
        <w:tc>
          <w:tcPr>
            <w:tcW w:w="2132" w:type="dxa"/>
            <w:vMerge w:val="restart"/>
            <w:shd w:val="clear" w:color="auto" w:fill="000000" w:themeFill="text1"/>
          </w:tcPr>
          <w:p w14:paraId="74B378FA" w14:textId="4FF2D5E9" w:rsidR="000142BA" w:rsidRPr="000142BA" w:rsidRDefault="000142BA" w:rsidP="00CF31FB">
            <w:pPr>
              <w:jc w:val="center"/>
              <w:rPr>
                <w:rFonts w:ascii="Arial" w:hAnsi="Arial" w:cs="Arial"/>
                <w:b/>
                <w:bCs/>
                <w:color w:val="FFFFFF" w:themeColor="background1"/>
                <w:sz w:val="20"/>
              </w:rPr>
            </w:pPr>
            <w:r w:rsidRPr="000142BA">
              <w:rPr>
                <w:rFonts w:ascii="Arial" w:hAnsi="Arial" w:cs="Arial"/>
                <w:b/>
                <w:bCs/>
                <w:color w:val="FFFFFF" w:themeColor="background1"/>
                <w:sz w:val="20"/>
              </w:rPr>
              <w:t>2021/22</w:t>
            </w:r>
          </w:p>
        </w:tc>
        <w:tc>
          <w:tcPr>
            <w:tcW w:w="2132" w:type="dxa"/>
          </w:tcPr>
          <w:p w14:paraId="24350AC1" w14:textId="7385CEE1" w:rsidR="000142BA" w:rsidRDefault="000142BA" w:rsidP="000142BA">
            <w:pPr>
              <w:jc w:val="center"/>
              <w:rPr>
                <w:rFonts w:ascii="Arial" w:hAnsi="Arial" w:cs="Arial"/>
                <w:color w:val="000000"/>
                <w:sz w:val="20"/>
              </w:rPr>
            </w:pPr>
            <w:r>
              <w:rPr>
                <w:rFonts w:ascii="Arial" w:hAnsi="Arial" w:cs="Arial"/>
                <w:color w:val="000000"/>
                <w:sz w:val="20"/>
              </w:rPr>
              <w:t>3170</w:t>
            </w:r>
          </w:p>
        </w:tc>
        <w:tc>
          <w:tcPr>
            <w:tcW w:w="2132" w:type="dxa"/>
          </w:tcPr>
          <w:p w14:paraId="21EA5260" w14:textId="22EF0F8F" w:rsidR="000142BA" w:rsidRDefault="000142BA" w:rsidP="000142BA">
            <w:pPr>
              <w:jc w:val="center"/>
              <w:rPr>
                <w:rFonts w:ascii="Arial" w:hAnsi="Arial" w:cs="Arial"/>
                <w:color w:val="000000"/>
                <w:sz w:val="20"/>
              </w:rPr>
            </w:pPr>
            <w:r>
              <w:rPr>
                <w:rFonts w:ascii="Arial" w:hAnsi="Arial" w:cs="Arial"/>
                <w:color w:val="000000"/>
                <w:sz w:val="20"/>
              </w:rPr>
              <w:t>1332</w:t>
            </w:r>
          </w:p>
        </w:tc>
        <w:tc>
          <w:tcPr>
            <w:tcW w:w="2132" w:type="dxa"/>
          </w:tcPr>
          <w:p w14:paraId="3566F28F" w14:textId="7A08D0F3" w:rsidR="000142BA" w:rsidRDefault="000142BA" w:rsidP="000142BA">
            <w:pPr>
              <w:jc w:val="center"/>
              <w:rPr>
                <w:rFonts w:ascii="Arial" w:hAnsi="Arial" w:cs="Arial"/>
                <w:color w:val="000000"/>
                <w:sz w:val="20"/>
              </w:rPr>
            </w:pPr>
            <w:r>
              <w:rPr>
                <w:rFonts w:ascii="Arial" w:hAnsi="Arial" w:cs="Arial"/>
                <w:color w:val="000000"/>
                <w:sz w:val="20"/>
              </w:rPr>
              <w:t>42%</w:t>
            </w:r>
          </w:p>
        </w:tc>
      </w:tr>
      <w:tr w:rsidR="000142BA" w14:paraId="15232C62" w14:textId="77777777" w:rsidTr="000142BA">
        <w:tc>
          <w:tcPr>
            <w:tcW w:w="2132" w:type="dxa"/>
            <w:vMerge/>
            <w:shd w:val="clear" w:color="auto" w:fill="000000" w:themeFill="text1"/>
          </w:tcPr>
          <w:p w14:paraId="4C22F91A" w14:textId="77777777" w:rsidR="000142BA" w:rsidRPr="000142BA" w:rsidRDefault="000142BA" w:rsidP="00CF31FB">
            <w:pPr>
              <w:jc w:val="center"/>
              <w:rPr>
                <w:rFonts w:ascii="Arial" w:hAnsi="Arial" w:cs="Arial"/>
                <w:b/>
                <w:bCs/>
                <w:color w:val="FFFFFF" w:themeColor="background1"/>
                <w:sz w:val="20"/>
              </w:rPr>
            </w:pPr>
          </w:p>
        </w:tc>
        <w:tc>
          <w:tcPr>
            <w:tcW w:w="6396" w:type="dxa"/>
            <w:gridSpan w:val="3"/>
            <w:shd w:val="clear" w:color="auto" w:fill="000000" w:themeFill="text1"/>
          </w:tcPr>
          <w:p w14:paraId="535F96A5" w14:textId="5F07A435" w:rsidR="000142BA" w:rsidRPr="000142BA" w:rsidRDefault="000142BA" w:rsidP="000142BA">
            <w:pPr>
              <w:jc w:val="both"/>
              <w:rPr>
                <w:rFonts w:ascii="Arial" w:hAnsi="Arial" w:cs="Arial"/>
                <w:color w:val="FFFFFF" w:themeColor="background1"/>
                <w:sz w:val="20"/>
              </w:rPr>
            </w:pPr>
            <w:r w:rsidRPr="000142BA">
              <w:rPr>
                <w:rFonts w:ascii="Arial" w:hAnsi="Arial" w:cs="Arial"/>
                <w:color w:val="FFFFFF" w:themeColor="background1"/>
                <w:sz w:val="20"/>
              </w:rPr>
              <w:t>Over 21,000 people participated in 3,170 CCs state-wide.  On average, 7 people participated in each conference.</w:t>
            </w:r>
          </w:p>
        </w:tc>
      </w:tr>
    </w:tbl>
    <w:p w14:paraId="16F84284" w14:textId="77777777" w:rsidR="00AC3236" w:rsidRPr="002F7CE3" w:rsidRDefault="00AC3236" w:rsidP="00AC3236">
      <w:pPr>
        <w:jc w:val="both"/>
        <w:rPr>
          <w:rFonts w:ascii="Arial" w:hAnsi="Arial" w:cs="Arial"/>
          <w:color w:val="000000"/>
          <w:sz w:val="18"/>
          <w:szCs w:val="22"/>
        </w:rPr>
      </w:pPr>
    </w:p>
    <w:tbl>
      <w:tblPr>
        <w:tblStyle w:val="TableGrid"/>
        <w:tblW w:w="0" w:type="auto"/>
        <w:tblLook w:val="04A0" w:firstRow="1" w:lastRow="0" w:firstColumn="1" w:lastColumn="0" w:noHBand="0" w:noVBand="1"/>
      </w:tblPr>
      <w:tblGrid>
        <w:gridCol w:w="1054"/>
        <w:gridCol w:w="2415"/>
        <w:gridCol w:w="2415"/>
        <w:gridCol w:w="2418"/>
      </w:tblGrid>
      <w:tr w:rsidR="00AC3236" w:rsidRPr="00826542" w14:paraId="5B6F64FD" w14:textId="77777777" w:rsidTr="000F573F">
        <w:tc>
          <w:tcPr>
            <w:tcW w:w="8302" w:type="dxa"/>
            <w:gridSpan w:val="4"/>
            <w:shd w:val="clear" w:color="auto" w:fill="000000" w:themeFill="text1"/>
          </w:tcPr>
          <w:p w14:paraId="4D1C8D8E" w14:textId="77777777" w:rsidR="00AC3236" w:rsidRPr="00826542" w:rsidRDefault="00AC3236" w:rsidP="000F573F">
            <w:pPr>
              <w:jc w:val="center"/>
              <w:rPr>
                <w:rFonts w:ascii="Arial" w:hAnsi="Arial" w:cs="Arial"/>
                <w:b/>
                <w:bCs/>
                <w:color w:val="FFFFFF" w:themeColor="background1"/>
                <w:sz w:val="20"/>
              </w:rPr>
            </w:pPr>
            <w:r w:rsidRPr="00826542">
              <w:rPr>
                <w:rFonts w:ascii="Arial" w:hAnsi="Arial" w:cs="Arial"/>
                <w:b/>
                <w:bCs/>
                <w:color w:val="FFFFFF" w:themeColor="background1"/>
                <w:sz w:val="20"/>
              </w:rPr>
              <w:t>STATE-WIDE CONCILIATION CONFERENCES</w:t>
            </w:r>
          </w:p>
        </w:tc>
      </w:tr>
      <w:tr w:rsidR="00AC3236" w14:paraId="4D4391B9" w14:textId="77777777" w:rsidTr="00AC3236">
        <w:tc>
          <w:tcPr>
            <w:tcW w:w="1054" w:type="dxa"/>
            <w:shd w:val="clear" w:color="auto" w:fill="DDDDDD"/>
          </w:tcPr>
          <w:p w14:paraId="5B822708" w14:textId="77777777" w:rsidR="00AC3236" w:rsidRDefault="00AC3236" w:rsidP="000F573F">
            <w:pPr>
              <w:jc w:val="center"/>
              <w:rPr>
                <w:rFonts w:ascii="Arial" w:hAnsi="Arial" w:cs="Arial"/>
                <w:color w:val="000000"/>
                <w:sz w:val="20"/>
              </w:rPr>
            </w:pPr>
          </w:p>
        </w:tc>
        <w:tc>
          <w:tcPr>
            <w:tcW w:w="2415" w:type="dxa"/>
            <w:shd w:val="clear" w:color="auto" w:fill="DDDDDD"/>
          </w:tcPr>
          <w:p w14:paraId="2B20580A" w14:textId="77777777" w:rsidR="00AC3236" w:rsidRPr="00FC237B" w:rsidRDefault="00AC3236" w:rsidP="000F573F">
            <w:pPr>
              <w:jc w:val="center"/>
              <w:rPr>
                <w:rFonts w:ascii="Arial" w:hAnsi="Arial" w:cs="Arial"/>
                <w:b/>
                <w:bCs/>
                <w:color w:val="000000"/>
                <w:sz w:val="20"/>
              </w:rPr>
            </w:pPr>
            <w:r w:rsidRPr="00FC237B">
              <w:rPr>
                <w:rFonts w:ascii="Arial" w:hAnsi="Arial" w:cs="Arial"/>
                <w:b/>
                <w:bCs/>
                <w:color w:val="000000"/>
                <w:sz w:val="20"/>
              </w:rPr>
              <w:t>Conferences conducted</w:t>
            </w:r>
          </w:p>
        </w:tc>
        <w:tc>
          <w:tcPr>
            <w:tcW w:w="2415" w:type="dxa"/>
            <w:shd w:val="clear" w:color="auto" w:fill="DDDDDD"/>
          </w:tcPr>
          <w:p w14:paraId="12DE5452" w14:textId="77777777" w:rsidR="00AC3236" w:rsidRPr="00FC237B" w:rsidRDefault="00AC3236" w:rsidP="000F573F">
            <w:pPr>
              <w:jc w:val="center"/>
              <w:rPr>
                <w:rFonts w:ascii="Arial" w:hAnsi="Arial" w:cs="Arial"/>
                <w:b/>
                <w:bCs/>
                <w:color w:val="000000"/>
                <w:sz w:val="20"/>
              </w:rPr>
            </w:pPr>
            <w:r w:rsidRPr="00FC237B">
              <w:rPr>
                <w:rFonts w:ascii="Arial" w:hAnsi="Arial" w:cs="Arial"/>
                <w:b/>
                <w:bCs/>
                <w:color w:val="000000"/>
                <w:sz w:val="20"/>
              </w:rPr>
              <w:t>Conferences achieving full settlement</w:t>
            </w:r>
          </w:p>
        </w:tc>
        <w:tc>
          <w:tcPr>
            <w:tcW w:w="2418" w:type="dxa"/>
            <w:shd w:val="clear" w:color="auto" w:fill="DDDDDD"/>
          </w:tcPr>
          <w:p w14:paraId="76559BB6" w14:textId="77777777" w:rsidR="00AC3236" w:rsidRPr="00FC237B" w:rsidRDefault="00AC3236" w:rsidP="000F573F">
            <w:pPr>
              <w:jc w:val="center"/>
              <w:rPr>
                <w:rFonts w:ascii="Arial" w:hAnsi="Arial" w:cs="Arial"/>
                <w:b/>
                <w:bCs/>
                <w:color w:val="000000"/>
                <w:sz w:val="20"/>
              </w:rPr>
            </w:pPr>
            <w:r w:rsidRPr="00FC237B">
              <w:rPr>
                <w:rFonts w:ascii="Arial" w:hAnsi="Arial" w:cs="Arial"/>
                <w:b/>
                <w:bCs/>
                <w:color w:val="000000"/>
                <w:sz w:val="20"/>
              </w:rPr>
              <w:t>Full settlement rate</w:t>
            </w:r>
          </w:p>
        </w:tc>
      </w:tr>
      <w:tr w:rsidR="00AC3236" w14:paraId="49C5B5C7" w14:textId="77777777" w:rsidTr="00AC3236">
        <w:tc>
          <w:tcPr>
            <w:tcW w:w="1054" w:type="dxa"/>
          </w:tcPr>
          <w:p w14:paraId="343A42BF" w14:textId="77777777" w:rsidR="00AC3236" w:rsidRDefault="00AC3236" w:rsidP="000F573F">
            <w:pPr>
              <w:jc w:val="both"/>
              <w:rPr>
                <w:rFonts w:ascii="Arial" w:hAnsi="Arial" w:cs="Arial"/>
                <w:color w:val="000000"/>
                <w:sz w:val="20"/>
              </w:rPr>
            </w:pPr>
            <w:r>
              <w:rPr>
                <w:rFonts w:ascii="Arial" w:hAnsi="Arial" w:cs="Arial"/>
                <w:color w:val="000000"/>
                <w:sz w:val="20"/>
              </w:rPr>
              <w:t>2020/21</w:t>
            </w:r>
          </w:p>
        </w:tc>
        <w:tc>
          <w:tcPr>
            <w:tcW w:w="2415" w:type="dxa"/>
          </w:tcPr>
          <w:p w14:paraId="3A1F5960" w14:textId="77777777" w:rsidR="00AC3236" w:rsidRDefault="00AC3236" w:rsidP="000F573F">
            <w:pPr>
              <w:jc w:val="center"/>
              <w:rPr>
                <w:rFonts w:ascii="Arial" w:hAnsi="Arial" w:cs="Arial"/>
                <w:color w:val="000000"/>
                <w:sz w:val="20"/>
              </w:rPr>
            </w:pPr>
            <w:r>
              <w:rPr>
                <w:rFonts w:ascii="Arial" w:hAnsi="Arial" w:cs="Arial"/>
                <w:color w:val="000000"/>
                <w:sz w:val="20"/>
              </w:rPr>
              <w:t>2988</w:t>
            </w:r>
          </w:p>
        </w:tc>
        <w:tc>
          <w:tcPr>
            <w:tcW w:w="2415" w:type="dxa"/>
          </w:tcPr>
          <w:p w14:paraId="5FB4965C" w14:textId="77777777" w:rsidR="00AC3236" w:rsidRDefault="00AC3236" w:rsidP="000F573F">
            <w:pPr>
              <w:jc w:val="center"/>
              <w:rPr>
                <w:rFonts w:ascii="Arial" w:hAnsi="Arial" w:cs="Arial"/>
                <w:color w:val="000000"/>
                <w:sz w:val="20"/>
              </w:rPr>
            </w:pPr>
            <w:r>
              <w:rPr>
                <w:rFonts w:ascii="Arial" w:hAnsi="Arial" w:cs="Arial"/>
                <w:color w:val="000000"/>
                <w:sz w:val="20"/>
              </w:rPr>
              <w:t>1190</w:t>
            </w:r>
          </w:p>
        </w:tc>
        <w:tc>
          <w:tcPr>
            <w:tcW w:w="2418" w:type="dxa"/>
          </w:tcPr>
          <w:p w14:paraId="2DF92323" w14:textId="77777777" w:rsidR="00AC3236" w:rsidRDefault="00AC3236" w:rsidP="000F573F">
            <w:pPr>
              <w:jc w:val="center"/>
              <w:rPr>
                <w:rFonts w:ascii="Arial" w:hAnsi="Arial" w:cs="Arial"/>
                <w:color w:val="000000"/>
                <w:sz w:val="20"/>
              </w:rPr>
            </w:pPr>
            <w:r>
              <w:rPr>
                <w:rFonts w:ascii="Arial" w:hAnsi="Arial" w:cs="Arial"/>
                <w:color w:val="000000"/>
                <w:sz w:val="20"/>
              </w:rPr>
              <w:t>40%</w:t>
            </w:r>
          </w:p>
        </w:tc>
      </w:tr>
      <w:tr w:rsidR="00AC3236" w14:paraId="45037BA6" w14:textId="77777777" w:rsidTr="00AC3236">
        <w:tc>
          <w:tcPr>
            <w:tcW w:w="1054" w:type="dxa"/>
          </w:tcPr>
          <w:p w14:paraId="40DB78BF" w14:textId="77777777" w:rsidR="00AC3236" w:rsidRDefault="00AC3236" w:rsidP="000F573F">
            <w:pPr>
              <w:jc w:val="both"/>
              <w:rPr>
                <w:rFonts w:ascii="Arial" w:hAnsi="Arial" w:cs="Arial"/>
                <w:color w:val="000000"/>
                <w:sz w:val="20"/>
              </w:rPr>
            </w:pPr>
            <w:r>
              <w:rPr>
                <w:rFonts w:ascii="Arial" w:hAnsi="Arial" w:cs="Arial"/>
                <w:color w:val="000000"/>
                <w:sz w:val="20"/>
              </w:rPr>
              <w:t>2021/22</w:t>
            </w:r>
          </w:p>
        </w:tc>
        <w:tc>
          <w:tcPr>
            <w:tcW w:w="2415" w:type="dxa"/>
          </w:tcPr>
          <w:p w14:paraId="3EB40EFA" w14:textId="77777777" w:rsidR="00AC3236" w:rsidRDefault="00AC3236" w:rsidP="000F573F">
            <w:pPr>
              <w:jc w:val="center"/>
              <w:rPr>
                <w:rFonts w:ascii="Arial" w:hAnsi="Arial" w:cs="Arial"/>
                <w:color w:val="000000"/>
                <w:sz w:val="20"/>
              </w:rPr>
            </w:pPr>
            <w:r>
              <w:rPr>
                <w:rFonts w:ascii="Arial" w:hAnsi="Arial" w:cs="Arial"/>
                <w:color w:val="000000"/>
                <w:sz w:val="20"/>
              </w:rPr>
              <w:t>3170</w:t>
            </w:r>
          </w:p>
        </w:tc>
        <w:tc>
          <w:tcPr>
            <w:tcW w:w="2415" w:type="dxa"/>
          </w:tcPr>
          <w:p w14:paraId="1CAF73A0" w14:textId="77777777" w:rsidR="00AC3236" w:rsidRDefault="00AC3236" w:rsidP="000F573F">
            <w:pPr>
              <w:jc w:val="center"/>
              <w:rPr>
                <w:rFonts w:ascii="Arial" w:hAnsi="Arial" w:cs="Arial"/>
                <w:color w:val="000000"/>
                <w:sz w:val="20"/>
              </w:rPr>
            </w:pPr>
            <w:r>
              <w:rPr>
                <w:rFonts w:ascii="Arial" w:hAnsi="Arial" w:cs="Arial"/>
                <w:color w:val="000000"/>
                <w:sz w:val="20"/>
              </w:rPr>
              <w:t>1332</w:t>
            </w:r>
          </w:p>
        </w:tc>
        <w:tc>
          <w:tcPr>
            <w:tcW w:w="2418" w:type="dxa"/>
          </w:tcPr>
          <w:p w14:paraId="11F37CB2" w14:textId="77777777" w:rsidR="00AC3236" w:rsidRDefault="00AC3236" w:rsidP="000F573F">
            <w:pPr>
              <w:jc w:val="center"/>
              <w:rPr>
                <w:rFonts w:ascii="Arial" w:hAnsi="Arial" w:cs="Arial"/>
                <w:color w:val="000000"/>
                <w:sz w:val="20"/>
              </w:rPr>
            </w:pPr>
            <w:r>
              <w:rPr>
                <w:rFonts w:ascii="Arial" w:hAnsi="Arial" w:cs="Arial"/>
                <w:color w:val="000000"/>
                <w:sz w:val="20"/>
              </w:rPr>
              <w:t>42%</w:t>
            </w:r>
          </w:p>
        </w:tc>
      </w:tr>
      <w:tr w:rsidR="00AC3236" w14:paraId="74199BF7" w14:textId="77777777" w:rsidTr="00AC3236">
        <w:tc>
          <w:tcPr>
            <w:tcW w:w="1054" w:type="dxa"/>
          </w:tcPr>
          <w:p w14:paraId="31AB77FB" w14:textId="77777777" w:rsidR="00AC3236" w:rsidRDefault="00AC3236" w:rsidP="000F573F">
            <w:pPr>
              <w:jc w:val="both"/>
              <w:rPr>
                <w:rFonts w:ascii="Arial" w:hAnsi="Arial" w:cs="Arial"/>
                <w:color w:val="000000"/>
                <w:sz w:val="20"/>
              </w:rPr>
            </w:pPr>
            <w:r>
              <w:rPr>
                <w:rFonts w:ascii="Arial" w:hAnsi="Arial" w:cs="Arial"/>
                <w:color w:val="000000"/>
                <w:sz w:val="20"/>
              </w:rPr>
              <w:t>2022/23</w:t>
            </w:r>
          </w:p>
        </w:tc>
        <w:tc>
          <w:tcPr>
            <w:tcW w:w="2415" w:type="dxa"/>
          </w:tcPr>
          <w:p w14:paraId="1A26A882" w14:textId="77777777" w:rsidR="00AC3236" w:rsidRDefault="00AC3236" w:rsidP="000F573F">
            <w:pPr>
              <w:jc w:val="center"/>
              <w:rPr>
                <w:rFonts w:ascii="Arial" w:hAnsi="Arial" w:cs="Arial"/>
                <w:color w:val="000000"/>
                <w:sz w:val="20"/>
              </w:rPr>
            </w:pPr>
            <w:r>
              <w:rPr>
                <w:rFonts w:ascii="Arial" w:hAnsi="Arial" w:cs="Arial"/>
                <w:color w:val="000000"/>
                <w:sz w:val="20"/>
              </w:rPr>
              <w:t>2798</w:t>
            </w:r>
          </w:p>
        </w:tc>
        <w:tc>
          <w:tcPr>
            <w:tcW w:w="2415" w:type="dxa"/>
          </w:tcPr>
          <w:p w14:paraId="581B5246" w14:textId="77777777" w:rsidR="00AC3236" w:rsidRDefault="00AC3236" w:rsidP="000F573F">
            <w:pPr>
              <w:jc w:val="center"/>
              <w:rPr>
                <w:rFonts w:ascii="Arial" w:hAnsi="Arial" w:cs="Arial"/>
                <w:color w:val="000000"/>
                <w:sz w:val="20"/>
              </w:rPr>
            </w:pPr>
            <w:r>
              <w:rPr>
                <w:rFonts w:ascii="Arial" w:hAnsi="Arial" w:cs="Arial"/>
                <w:color w:val="000000"/>
                <w:sz w:val="20"/>
              </w:rPr>
              <w:t>1175</w:t>
            </w:r>
          </w:p>
        </w:tc>
        <w:tc>
          <w:tcPr>
            <w:tcW w:w="2418" w:type="dxa"/>
          </w:tcPr>
          <w:p w14:paraId="2B303979" w14:textId="77777777" w:rsidR="00AC3236" w:rsidRDefault="00AC3236" w:rsidP="000F573F">
            <w:pPr>
              <w:jc w:val="center"/>
              <w:rPr>
                <w:rFonts w:ascii="Arial" w:hAnsi="Arial" w:cs="Arial"/>
                <w:color w:val="000000"/>
                <w:sz w:val="20"/>
              </w:rPr>
            </w:pPr>
            <w:r>
              <w:rPr>
                <w:rFonts w:ascii="Arial" w:hAnsi="Arial" w:cs="Arial"/>
                <w:color w:val="000000"/>
                <w:sz w:val="20"/>
              </w:rPr>
              <w:t>42%</w:t>
            </w:r>
          </w:p>
        </w:tc>
      </w:tr>
      <w:tr w:rsidR="00D47EBD" w14:paraId="4D35297D" w14:textId="77777777" w:rsidTr="00AC3236">
        <w:tc>
          <w:tcPr>
            <w:tcW w:w="1054" w:type="dxa"/>
          </w:tcPr>
          <w:p w14:paraId="503791FB" w14:textId="7CED628F" w:rsidR="00D47EBD" w:rsidRDefault="00D47EBD" w:rsidP="000F573F">
            <w:pPr>
              <w:jc w:val="both"/>
              <w:rPr>
                <w:rFonts w:ascii="Arial" w:hAnsi="Arial" w:cs="Arial"/>
                <w:color w:val="000000"/>
                <w:sz w:val="20"/>
              </w:rPr>
            </w:pPr>
            <w:r>
              <w:rPr>
                <w:rFonts w:ascii="Arial" w:hAnsi="Arial" w:cs="Arial"/>
                <w:color w:val="000000"/>
                <w:sz w:val="20"/>
              </w:rPr>
              <w:t>2023/24</w:t>
            </w:r>
          </w:p>
        </w:tc>
        <w:tc>
          <w:tcPr>
            <w:tcW w:w="2415" w:type="dxa"/>
          </w:tcPr>
          <w:p w14:paraId="7EE83374" w14:textId="3D7EA3FF" w:rsidR="00D47EBD" w:rsidRDefault="00D47EBD" w:rsidP="000F573F">
            <w:pPr>
              <w:jc w:val="center"/>
              <w:rPr>
                <w:rFonts w:ascii="Arial" w:hAnsi="Arial" w:cs="Arial"/>
                <w:color w:val="000000"/>
                <w:sz w:val="20"/>
              </w:rPr>
            </w:pPr>
            <w:r>
              <w:rPr>
                <w:rFonts w:ascii="Arial" w:hAnsi="Arial" w:cs="Arial"/>
                <w:color w:val="000000"/>
                <w:sz w:val="20"/>
              </w:rPr>
              <w:t>2325</w:t>
            </w:r>
          </w:p>
        </w:tc>
        <w:tc>
          <w:tcPr>
            <w:tcW w:w="2415" w:type="dxa"/>
          </w:tcPr>
          <w:p w14:paraId="2D0AF136" w14:textId="4E004CCD" w:rsidR="00D47EBD" w:rsidRDefault="00D47EBD" w:rsidP="000F573F">
            <w:pPr>
              <w:jc w:val="center"/>
              <w:rPr>
                <w:rFonts w:ascii="Arial" w:hAnsi="Arial" w:cs="Arial"/>
                <w:color w:val="000000"/>
                <w:sz w:val="20"/>
              </w:rPr>
            </w:pPr>
            <w:r>
              <w:rPr>
                <w:rFonts w:ascii="Arial" w:hAnsi="Arial" w:cs="Arial"/>
                <w:color w:val="000000"/>
                <w:sz w:val="20"/>
              </w:rPr>
              <w:t>977</w:t>
            </w:r>
          </w:p>
        </w:tc>
        <w:tc>
          <w:tcPr>
            <w:tcW w:w="2418" w:type="dxa"/>
          </w:tcPr>
          <w:p w14:paraId="17D47910" w14:textId="5F3C4447" w:rsidR="00D47EBD" w:rsidRDefault="00D47EBD" w:rsidP="000F573F">
            <w:pPr>
              <w:jc w:val="center"/>
              <w:rPr>
                <w:rFonts w:ascii="Arial" w:hAnsi="Arial" w:cs="Arial"/>
                <w:color w:val="000000"/>
                <w:sz w:val="20"/>
              </w:rPr>
            </w:pPr>
            <w:r>
              <w:rPr>
                <w:rFonts w:ascii="Arial" w:hAnsi="Arial" w:cs="Arial"/>
                <w:color w:val="000000"/>
                <w:sz w:val="20"/>
              </w:rPr>
              <w:t>42%</w:t>
            </w:r>
          </w:p>
        </w:tc>
      </w:tr>
    </w:tbl>
    <w:p w14:paraId="5DEB47C2" w14:textId="77777777" w:rsidR="00AC3236" w:rsidRPr="008E4C7E" w:rsidRDefault="00AC3236" w:rsidP="00AC3236">
      <w:pPr>
        <w:ind w:left="363" w:hanging="363"/>
        <w:jc w:val="both"/>
        <w:rPr>
          <w:rFonts w:ascii="Arial" w:hAnsi="Arial" w:cs="Arial"/>
          <w:sz w:val="20"/>
        </w:rPr>
      </w:pPr>
    </w:p>
    <w:p w14:paraId="7185C056" w14:textId="77777777" w:rsidR="00EC3E40" w:rsidRPr="00785E1A" w:rsidRDefault="00EC3E40" w:rsidP="00AC3236">
      <w:pPr>
        <w:pStyle w:val="Heading3"/>
        <w:keepNext/>
        <w:keepLines/>
        <w:widowControl/>
        <w:spacing w:after="120" w:line="240" w:lineRule="auto"/>
        <w:rPr>
          <w:rFonts w:ascii="Arial" w:hAnsi="Arial" w:cs="Arial"/>
          <w:color w:val="000000"/>
          <w:sz w:val="20"/>
        </w:rPr>
      </w:pPr>
      <w:bookmarkStart w:id="1460" w:name="_4.10.10__Judicial"/>
      <w:bookmarkStart w:id="1461" w:name="B41010"/>
      <w:bookmarkEnd w:id="1460"/>
      <w:bookmarkEnd w:id="1461"/>
      <w:r w:rsidRPr="00785E1A">
        <w:rPr>
          <w:rFonts w:ascii="Arial" w:hAnsi="Arial" w:cs="Arial"/>
          <w:b/>
          <w:bCs/>
          <w:color w:val="000000"/>
          <w:sz w:val="20"/>
        </w:rPr>
        <w:t>4.10.</w:t>
      </w:r>
      <w:r w:rsidR="000E530E" w:rsidRPr="00785E1A">
        <w:rPr>
          <w:rFonts w:ascii="Arial" w:hAnsi="Arial" w:cs="Arial"/>
          <w:b/>
          <w:bCs/>
          <w:color w:val="000000"/>
          <w:sz w:val="20"/>
        </w:rPr>
        <w:t>10</w:t>
      </w:r>
      <w:r w:rsidRPr="00785E1A">
        <w:rPr>
          <w:rFonts w:ascii="Arial" w:hAnsi="Arial" w:cs="Arial"/>
          <w:b/>
          <w:bCs/>
          <w:color w:val="000000"/>
          <w:sz w:val="20"/>
        </w:rPr>
        <w:tab/>
      </w:r>
      <w:r w:rsidRPr="00785E1A">
        <w:rPr>
          <w:rFonts w:ascii="Arial" w:hAnsi="Arial" w:cs="Arial"/>
          <w:b/>
          <w:bCs/>
          <w:color w:val="000000"/>
          <w:sz w:val="20"/>
        </w:rPr>
        <w:tab/>
        <w:t>Judicial Resolution Conferences</w:t>
      </w:r>
    </w:p>
    <w:p w14:paraId="33309B81" w14:textId="74530BF3" w:rsidR="007D7E39" w:rsidRDefault="005623CD" w:rsidP="007D7E39">
      <w:pPr>
        <w:jc w:val="both"/>
        <w:rPr>
          <w:rFonts w:ascii="Arial" w:hAnsi="Arial" w:cs="Arial"/>
          <w:color w:val="000000"/>
          <w:sz w:val="20"/>
        </w:rPr>
      </w:pPr>
      <w:r w:rsidRPr="00785E1A">
        <w:rPr>
          <w:rFonts w:ascii="Arial" w:hAnsi="Arial" w:cs="Arial"/>
          <w:bCs/>
          <w:color w:val="000000"/>
          <w:sz w:val="20"/>
        </w:rPr>
        <w:t xml:space="preserve">The </w:t>
      </w:r>
      <w:r w:rsidRPr="00785E1A">
        <w:rPr>
          <w:rFonts w:ascii="Arial" w:hAnsi="Arial" w:cs="Arial"/>
          <w:bCs/>
          <w:color w:val="000000"/>
          <w:sz w:val="20"/>
          <w:u w:val="single"/>
        </w:rPr>
        <w:t xml:space="preserve">Courts Legislation Amendment (Judicial Resolution Conference) Act 2009 (Vic) </w:t>
      </w:r>
      <w:r w:rsidRPr="00785E1A">
        <w:rPr>
          <w:rFonts w:ascii="Arial" w:hAnsi="Arial" w:cs="Arial"/>
          <w:bCs/>
          <w:color w:val="000000"/>
          <w:sz w:val="20"/>
        </w:rPr>
        <w:t>[No.50/2009] came into operation on 14/09/2009.  That Act amended the CYFA by adding sections</w:t>
      </w:r>
      <w:r w:rsidR="00D47EBD">
        <w:rPr>
          <w:rFonts w:ascii="Arial" w:hAnsi="Arial" w:cs="Arial"/>
          <w:bCs/>
          <w:color w:val="000000"/>
          <w:sz w:val="20"/>
        </w:rPr>
        <w:t>:</w:t>
      </w:r>
    </w:p>
    <w:p w14:paraId="6ACA6BDE" w14:textId="77777777" w:rsidR="005623CD" w:rsidRDefault="005623CD">
      <w:pPr>
        <w:numPr>
          <w:ilvl w:val="0"/>
          <w:numId w:val="52"/>
        </w:numPr>
        <w:ind w:left="357" w:hanging="357"/>
        <w:rPr>
          <w:rFonts w:ascii="Arial" w:hAnsi="Arial" w:cs="Arial"/>
          <w:sz w:val="20"/>
          <w:szCs w:val="20"/>
        </w:rPr>
      </w:pPr>
      <w:r w:rsidRPr="007D7E39">
        <w:rPr>
          <w:rFonts w:ascii="Arial" w:hAnsi="Arial" w:cs="Arial"/>
          <w:sz w:val="20"/>
          <w:szCs w:val="20"/>
        </w:rPr>
        <w:t>to make provision for the conduct of judicial resolution conferences in the Family Division of the Children’s Court by the President and magistrates; and</w:t>
      </w:r>
    </w:p>
    <w:p w14:paraId="729912D7" w14:textId="77777777" w:rsidR="007D7E39" w:rsidRPr="007D7E39" w:rsidRDefault="007D7E39">
      <w:pPr>
        <w:numPr>
          <w:ilvl w:val="0"/>
          <w:numId w:val="52"/>
        </w:numPr>
        <w:ind w:left="357" w:hanging="357"/>
        <w:rPr>
          <w:rFonts w:ascii="Arial" w:hAnsi="Arial" w:cs="Arial"/>
          <w:sz w:val="20"/>
          <w:szCs w:val="20"/>
        </w:rPr>
      </w:pPr>
      <w:r w:rsidRPr="007D7E39">
        <w:rPr>
          <w:rFonts w:ascii="Arial" w:hAnsi="Arial" w:cs="Arial"/>
          <w:sz w:val="20"/>
          <w:szCs w:val="20"/>
        </w:rPr>
        <w:lastRenderedPageBreak/>
        <w:t>to clarify that judicial immunity applies to the President and magistrates when carrying out judicial resolution conferences.</w:t>
      </w:r>
    </w:p>
    <w:p w14:paraId="7574B139" w14:textId="77777777" w:rsidR="005623CD" w:rsidRPr="00785E1A" w:rsidRDefault="005623CD" w:rsidP="005623CD">
      <w:pPr>
        <w:pStyle w:val="Heading3"/>
        <w:spacing w:line="240" w:lineRule="auto"/>
        <w:rPr>
          <w:rFonts w:ascii="Arial" w:hAnsi="Arial" w:cs="Arial"/>
          <w:bCs/>
          <w:color w:val="000000"/>
          <w:sz w:val="20"/>
        </w:rPr>
      </w:pPr>
    </w:p>
    <w:p w14:paraId="18BFBFEF" w14:textId="68B67509" w:rsidR="007D7E39" w:rsidRDefault="005623CD" w:rsidP="007D7E39">
      <w:pPr>
        <w:jc w:val="both"/>
        <w:rPr>
          <w:rFonts w:ascii="Arial" w:hAnsi="Arial" w:cs="Arial"/>
          <w:color w:val="000000"/>
          <w:sz w:val="20"/>
        </w:rPr>
      </w:pPr>
      <w:r w:rsidRPr="00785E1A">
        <w:rPr>
          <w:rFonts w:ascii="Arial" w:hAnsi="Arial" w:cs="Arial"/>
          <w:bCs/>
          <w:color w:val="000000"/>
          <w:sz w:val="20"/>
        </w:rPr>
        <w:t>Under s.3(1) of the CYFA [as amended] “judicial resolution conference” [hereinafter ‘JRC’] means a resolution process in the Family Division of the Court  which is presided over by the President or a magistrate for the purposes of negotiating a settlement of a dispute including, but not limited to-</w:t>
      </w:r>
    </w:p>
    <w:p w14:paraId="0F3300C7" w14:textId="77777777" w:rsidR="005623CD" w:rsidRPr="007D7E39" w:rsidRDefault="005623CD" w:rsidP="007D7E39">
      <w:pPr>
        <w:rPr>
          <w:rFonts w:ascii="Arial" w:hAnsi="Arial" w:cs="Arial"/>
          <w:sz w:val="20"/>
          <w:szCs w:val="20"/>
        </w:rPr>
      </w:pPr>
      <w:r w:rsidRPr="007D7E39">
        <w:rPr>
          <w:rFonts w:ascii="Arial" w:hAnsi="Arial" w:cs="Arial"/>
          <w:sz w:val="20"/>
          <w:szCs w:val="20"/>
        </w:rPr>
        <w:t>(i)</w:t>
      </w:r>
      <w:r w:rsidRPr="007D7E39">
        <w:rPr>
          <w:rFonts w:ascii="Arial" w:hAnsi="Arial" w:cs="Arial"/>
          <w:sz w:val="20"/>
          <w:szCs w:val="20"/>
        </w:rPr>
        <w:tab/>
        <w:t>mediation; or</w:t>
      </w:r>
    </w:p>
    <w:p w14:paraId="32B19AAD" w14:textId="77777777" w:rsidR="007D7E39" w:rsidRPr="007D7E39" w:rsidRDefault="005623CD" w:rsidP="007D7E39">
      <w:pPr>
        <w:rPr>
          <w:rFonts w:ascii="Arial" w:hAnsi="Arial" w:cs="Arial"/>
          <w:sz w:val="20"/>
          <w:szCs w:val="20"/>
        </w:rPr>
      </w:pPr>
      <w:r w:rsidRPr="00785E1A">
        <w:rPr>
          <w:rFonts w:ascii="Arial" w:hAnsi="Arial" w:cs="Arial"/>
          <w:bCs/>
          <w:color w:val="000000"/>
          <w:sz w:val="20"/>
        </w:rPr>
        <w:t>(ii)</w:t>
      </w:r>
      <w:r w:rsidRPr="00785E1A">
        <w:rPr>
          <w:rFonts w:ascii="Arial" w:hAnsi="Arial" w:cs="Arial"/>
          <w:bCs/>
          <w:color w:val="000000"/>
          <w:sz w:val="20"/>
        </w:rPr>
        <w:tab/>
        <w:t>early neutral evaluation; or</w:t>
      </w:r>
    </w:p>
    <w:p w14:paraId="6287A428" w14:textId="77777777" w:rsidR="007D7E39" w:rsidRPr="007D7E39" w:rsidRDefault="005623CD" w:rsidP="007D7E39">
      <w:pPr>
        <w:rPr>
          <w:rFonts w:ascii="Arial" w:hAnsi="Arial" w:cs="Arial"/>
          <w:sz w:val="20"/>
          <w:szCs w:val="20"/>
        </w:rPr>
      </w:pPr>
      <w:r w:rsidRPr="00785E1A">
        <w:rPr>
          <w:rFonts w:ascii="Arial" w:hAnsi="Arial" w:cs="Arial"/>
          <w:bCs/>
          <w:color w:val="000000"/>
          <w:sz w:val="20"/>
        </w:rPr>
        <w:t>(iii)</w:t>
      </w:r>
      <w:r w:rsidRPr="00785E1A">
        <w:rPr>
          <w:rFonts w:ascii="Arial" w:hAnsi="Arial" w:cs="Arial"/>
          <w:bCs/>
          <w:color w:val="000000"/>
          <w:sz w:val="20"/>
        </w:rPr>
        <w:tab/>
        <w:t>settlement conference; or</w:t>
      </w:r>
    </w:p>
    <w:p w14:paraId="08B16D0C" w14:textId="77777777" w:rsidR="007D7E39" w:rsidRPr="007D7E39" w:rsidRDefault="005623CD" w:rsidP="007D7E39">
      <w:pPr>
        <w:rPr>
          <w:rFonts w:ascii="Arial" w:hAnsi="Arial" w:cs="Arial"/>
          <w:sz w:val="20"/>
          <w:szCs w:val="20"/>
        </w:rPr>
      </w:pPr>
      <w:r w:rsidRPr="00785E1A">
        <w:rPr>
          <w:rFonts w:ascii="Arial" w:hAnsi="Arial" w:cs="Arial"/>
          <w:bCs/>
          <w:color w:val="000000"/>
          <w:sz w:val="20"/>
        </w:rPr>
        <w:t>(iv)</w:t>
      </w:r>
      <w:r w:rsidRPr="00785E1A">
        <w:rPr>
          <w:rFonts w:ascii="Arial" w:hAnsi="Arial" w:cs="Arial"/>
          <w:bCs/>
          <w:color w:val="000000"/>
          <w:sz w:val="20"/>
        </w:rPr>
        <w:tab/>
        <w:t>conciliation.</w:t>
      </w:r>
    </w:p>
    <w:p w14:paraId="19B12906" w14:textId="77777777" w:rsidR="005623CD" w:rsidRPr="00785E1A" w:rsidRDefault="005623CD" w:rsidP="005623CD">
      <w:pPr>
        <w:pStyle w:val="Heading3"/>
        <w:spacing w:line="240" w:lineRule="auto"/>
        <w:rPr>
          <w:rFonts w:ascii="Arial" w:hAnsi="Arial" w:cs="Arial"/>
          <w:bCs/>
          <w:color w:val="000000"/>
          <w:sz w:val="20"/>
        </w:rPr>
      </w:pPr>
    </w:p>
    <w:p w14:paraId="3C7F7F7B" w14:textId="77777777" w:rsidR="00BE5170" w:rsidRDefault="005623CD" w:rsidP="00BE5170">
      <w:pPr>
        <w:jc w:val="both"/>
        <w:rPr>
          <w:rFonts w:ascii="Arial" w:hAnsi="Arial" w:cs="Arial"/>
          <w:color w:val="000000"/>
          <w:sz w:val="20"/>
        </w:rPr>
      </w:pPr>
      <w:r w:rsidRPr="00785E1A">
        <w:rPr>
          <w:rFonts w:ascii="Arial" w:hAnsi="Arial" w:cs="Arial"/>
          <w:bCs/>
          <w:color w:val="000000"/>
          <w:sz w:val="20"/>
        </w:rPr>
        <w:t>Section 527A(1) of the CYFA provides that no evidence is admissible at the hearing of any proceeding in the Family Division of anything said or done by any person in the course of the conduct of a JRC unless the court otherwise orders, having regard to the interests of justice and fairness.  However, it is noteworthy that s.527A(1) does not provide any bar to the admissibility in any other court process of anything said or done by a person in the course of a JRC.  So, for instance, an admission made at a JRC by a parent of the use of drugs would not be privileged in a criminal prosecution in another court.  Section 527A(2) provides that the President or a magistrate is not compellable to give evidence in any proceeding of anything said or done or arising from the conduct of a JRC.  Section 527B gives the President or a magistrate conducting a JRC the same protection and immunity as a justice of the Supreme Court.</w:t>
      </w:r>
    </w:p>
    <w:p w14:paraId="085D671E" w14:textId="77777777" w:rsidR="005623CD" w:rsidRPr="00785E1A" w:rsidRDefault="005623CD" w:rsidP="005623CD">
      <w:pPr>
        <w:pStyle w:val="Heading3"/>
        <w:spacing w:line="240" w:lineRule="auto"/>
        <w:rPr>
          <w:rFonts w:ascii="Arial" w:hAnsi="Arial" w:cs="Arial"/>
          <w:bCs/>
          <w:color w:val="000000"/>
          <w:sz w:val="20"/>
        </w:rPr>
      </w:pPr>
    </w:p>
    <w:p w14:paraId="0249A5EC" w14:textId="77777777" w:rsidR="00BE5170" w:rsidRDefault="005623CD" w:rsidP="00BE5170">
      <w:pPr>
        <w:jc w:val="both"/>
        <w:rPr>
          <w:rFonts w:ascii="Arial" w:hAnsi="Arial" w:cs="Arial"/>
          <w:color w:val="000000"/>
          <w:sz w:val="20"/>
        </w:rPr>
      </w:pPr>
      <w:r w:rsidRPr="00785E1A">
        <w:rPr>
          <w:rFonts w:ascii="Arial" w:hAnsi="Arial" w:cs="Arial"/>
          <w:color w:val="000000"/>
          <w:sz w:val="20"/>
        </w:rPr>
        <w:t>Section 588(1)(b) of the CYFA empowers the President, together with two or more magistrates for the Court, jointly to make rules for or with respect to judicial resolution conferences, including but not limited to the practice and procedure of the Court in relation to judicial resolution conferences.  As yet no such rules have been made.</w:t>
      </w:r>
    </w:p>
    <w:p w14:paraId="5E6EEECD" w14:textId="77777777" w:rsidR="005623CD" w:rsidRPr="00785E1A" w:rsidRDefault="005623CD" w:rsidP="005623CD">
      <w:pPr>
        <w:pStyle w:val="Heading3"/>
        <w:spacing w:line="240" w:lineRule="auto"/>
        <w:rPr>
          <w:rFonts w:ascii="Arial" w:hAnsi="Arial" w:cs="Arial"/>
          <w:bCs/>
          <w:color w:val="000000"/>
          <w:sz w:val="20"/>
        </w:rPr>
      </w:pPr>
    </w:p>
    <w:p w14:paraId="60CC24C9" w14:textId="6B2DC96E" w:rsidR="00BE5170" w:rsidRDefault="005623CD" w:rsidP="00BE5170">
      <w:pPr>
        <w:jc w:val="both"/>
        <w:rPr>
          <w:rFonts w:ascii="Arial" w:hAnsi="Arial" w:cs="Arial"/>
          <w:color w:val="000000"/>
          <w:sz w:val="20"/>
        </w:rPr>
      </w:pPr>
      <w:r w:rsidRPr="00785E1A">
        <w:rPr>
          <w:rFonts w:ascii="Arial" w:hAnsi="Arial" w:cs="Arial"/>
          <w:bCs/>
          <w:color w:val="000000"/>
          <w:sz w:val="20"/>
        </w:rPr>
        <w:t xml:space="preserve">There is no reason why a JRC could not be conducted at any time between the commencement and the final determination of a case in the Family Division of the Court.  </w:t>
      </w:r>
      <w:r w:rsidR="00FB0C23">
        <w:rPr>
          <w:rFonts w:ascii="Arial" w:hAnsi="Arial" w:cs="Arial"/>
          <w:bCs/>
          <w:color w:val="000000"/>
          <w:sz w:val="20"/>
        </w:rPr>
        <w:t>T</w:t>
      </w:r>
      <w:r w:rsidRPr="00785E1A">
        <w:rPr>
          <w:rFonts w:ascii="Arial" w:hAnsi="Arial" w:cs="Arial"/>
          <w:bCs/>
          <w:color w:val="000000"/>
          <w:sz w:val="20"/>
        </w:rPr>
        <w:t>he</w:t>
      </w:r>
      <w:r w:rsidR="00FB0C23">
        <w:rPr>
          <w:rFonts w:ascii="Arial" w:hAnsi="Arial" w:cs="Arial"/>
          <w:bCs/>
          <w:color w:val="000000"/>
          <w:sz w:val="20"/>
        </w:rPr>
        <w:t> </w:t>
      </w:r>
      <w:r w:rsidRPr="00785E1A">
        <w:rPr>
          <w:rFonts w:ascii="Arial" w:hAnsi="Arial" w:cs="Arial"/>
          <w:bCs/>
          <w:color w:val="000000"/>
          <w:sz w:val="20"/>
        </w:rPr>
        <w:t>President has not yet issued any formal guidelines as to the preferred position of a JRC in the flow-chart of hearing types.  However it should be noted that for many years the Court has conducted Directions Hearing</w:t>
      </w:r>
      <w:r w:rsidR="008C1264">
        <w:rPr>
          <w:rFonts w:ascii="Arial" w:hAnsi="Arial" w:cs="Arial"/>
          <w:bCs/>
          <w:color w:val="000000"/>
          <w:sz w:val="20"/>
        </w:rPr>
        <w:t>s</w:t>
      </w:r>
      <w:r w:rsidRPr="00785E1A">
        <w:rPr>
          <w:rFonts w:ascii="Arial" w:hAnsi="Arial" w:cs="Arial"/>
          <w:bCs/>
          <w:color w:val="000000"/>
          <w:sz w:val="20"/>
        </w:rPr>
        <w:t xml:space="preserve"> </w:t>
      </w:r>
      <w:r w:rsidR="008C1264">
        <w:rPr>
          <w:rFonts w:ascii="Arial" w:hAnsi="Arial" w:cs="Arial"/>
          <w:bCs/>
          <w:color w:val="000000"/>
          <w:sz w:val="20"/>
        </w:rPr>
        <w:t xml:space="preserve">&amp; Readiness Hearings </w:t>
      </w:r>
      <w:r w:rsidRPr="00785E1A">
        <w:rPr>
          <w:rFonts w:ascii="Arial" w:hAnsi="Arial" w:cs="Arial"/>
          <w:bCs/>
          <w:color w:val="000000"/>
          <w:sz w:val="20"/>
        </w:rPr>
        <w:t>which are sometimes in the nature of a mini-JRC.</w:t>
      </w:r>
    </w:p>
    <w:p w14:paraId="12AC1C99" w14:textId="77777777" w:rsidR="00411866" w:rsidRPr="00785E1A" w:rsidRDefault="00411866">
      <w:pPr>
        <w:jc w:val="both"/>
        <w:rPr>
          <w:rFonts w:ascii="Arial" w:hAnsi="Arial" w:cs="Arial"/>
          <w:color w:val="000000"/>
        </w:rPr>
      </w:pPr>
    </w:p>
    <w:p w14:paraId="6FD1CA6F" w14:textId="77777777" w:rsidR="00693223" w:rsidRDefault="00693223" w:rsidP="00BB1A34">
      <w:pPr>
        <w:pStyle w:val="Heading2"/>
        <w:keepNext/>
        <w:keepLines/>
        <w:tabs>
          <w:tab w:val="left" w:pos="567"/>
        </w:tabs>
        <w:spacing w:line="240" w:lineRule="auto"/>
        <w:rPr>
          <w:rFonts w:ascii="Arial" w:hAnsi="Arial" w:cs="Arial"/>
          <w:b/>
          <w:bCs/>
        </w:rPr>
      </w:pPr>
      <w:bookmarkStart w:id="1462" w:name="_4.11_Children's_Court"/>
      <w:bookmarkStart w:id="1463" w:name="B411"/>
      <w:bookmarkStart w:id="1464" w:name="_Toc30649085"/>
      <w:bookmarkStart w:id="1465" w:name="_Toc30649161"/>
      <w:bookmarkStart w:id="1466" w:name="_Toc30649424"/>
      <w:bookmarkStart w:id="1467" w:name="_Toc30649749"/>
      <w:bookmarkStart w:id="1468" w:name="_Toc30651693"/>
      <w:bookmarkStart w:id="1469" w:name="_Toc30652683"/>
      <w:bookmarkStart w:id="1470" w:name="_Toc30652779"/>
      <w:bookmarkStart w:id="1471" w:name="_Toc30654129"/>
      <w:bookmarkStart w:id="1472" w:name="_Toc30654486"/>
      <w:bookmarkStart w:id="1473" w:name="_Toc30655105"/>
      <w:bookmarkStart w:id="1474" w:name="_Toc30655362"/>
      <w:bookmarkStart w:id="1475" w:name="_Toc30657040"/>
      <w:bookmarkStart w:id="1476" w:name="_Toc30661789"/>
      <w:bookmarkStart w:id="1477" w:name="_Toc30666477"/>
      <w:bookmarkStart w:id="1478" w:name="_Toc30666707"/>
      <w:bookmarkStart w:id="1479" w:name="_Toc30667882"/>
      <w:bookmarkStart w:id="1480" w:name="_Toc30669260"/>
      <w:bookmarkStart w:id="1481" w:name="_Toc30671476"/>
      <w:bookmarkStart w:id="1482" w:name="_Toc30674003"/>
      <w:bookmarkStart w:id="1483" w:name="_Toc30691225"/>
      <w:bookmarkStart w:id="1484" w:name="_Toc30691598"/>
      <w:bookmarkStart w:id="1485" w:name="_Toc30691978"/>
      <w:bookmarkStart w:id="1486" w:name="_Toc30692737"/>
      <w:bookmarkStart w:id="1487" w:name="_Toc30693116"/>
      <w:bookmarkStart w:id="1488" w:name="_Toc30693494"/>
      <w:bookmarkStart w:id="1489" w:name="_Toc30693872"/>
      <w:bookmarkStart w:id="1490" w:name="_Toc30694253"/>
      <w:bookmarkStart w:id="1491" w:name="_Toc30698842"/>
      <w:bookmarkStart w:id="1492" w:name="_Toc30699220"/>
      <w:bookmarkStart w:id="1493" w:name="_Toc30699605"/>
      <w:bookmarkStart w:id="1494" w:name="_Toc30700760"/>
      <w:bookmarkStart w:id="1495" w:name="_Toc30701147"/>
      <w:bookmarkStart w:id="1496" w:name="_Toc30743756"/>
      <w:bookmarkStart w:id="1497" w:name="_Toc30754579"/>
      <w:bookmarkStart w:id="1498" w:name="_Toc30757019"/>
      <w:bookmarkStart w:id="1499" w:name="_Toc30757567"/>
      <w:bookmarkStart w:id="1500" w:name="_Toc30757967"/>
      <w:bookmarkStart w:id="1501" w:name="_Toc30762728"/>
      <w:bookmarkStart w:id="1502" w:name="_Toc30767382"/>
      <w:bookmarkStart w:id="1503" w:name="_Toc34823397"/>
      <w:bookmarkEnd w:id="1462"/>
      <w:bookmarkEnd w:id="1463"/>
      <w:r>
        <w:rPr>
          <w:rFonts w:ascii="Arial" w:hAnsi="Arial" w:cs="Arial"/>
          <w:b/>
          <w:bCs/>
        </w:rPr>
        <w:t>4.1</w:t>
      </w:r>
      <w:r w:rsidR="002E5754">
        <w:rPr>
          <w:rFonts w:ascii="Arial" w:hAnsi="Arial" w:cs="Arial"/>
          <w:b/>
          <w:bCs/>
        </w:rPr>
        <w:t>1</w:t>
      </w:r>
      <w:r>
        <w:rPr>
          <w:rFonts w:ascii="Arial" w:hAnsi="Arial" w:cs="Arial"/>
          <w:b/>
          <w:bCs/>
        </w:rPr>
        <w:tab/>
        <w:t>Children's Court &amp; Family Court compared &amp; contrasted</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5E4FEEA5" w14:textId="77777777" w:rsidR="00693223" w:rsidRDefault="00693223" w:rsidP="00BB1A34">
      <w:pPr>
        <w:keepNext/>
        <w:keepLines/>
        <w:widowControl w:val="0"/>
        <w:rPr>
          <w:rFonts w:ascii="Arial" w:hAnsi="Arial" w:cs="Arial"/>
        </w:rPr>
      </w:pPr>
    </w:p>
    <w:p w14:paraId="3B83268E" w14:textId="77777777" w:rsidR="00693223" w:rsidRDefault="00693223" w:rsidP="00BB1A34">
      <w:pPr>
        <w:pStyle w:val="Heading3"/>
        <w:keepNext/>
        <w:keepLines/>
        <w:spacing w:after="120" w:line="240" w:lineRule="auto"/>
        <w:rPr>
          <w:rFonts w:ascii="Arial" w:hAnsi="Arial" w:cs="Arial"/>
          <w:sz w:val="20"/>
        </w:rPr>
      </w:pPr>
      <w:bookmarkStart w:id="1504" w:name="_4.11.1__Public"/>
      <w:bookmarkStart w:id="1505" w:name="B4111"/>
      <w:bookmarkStart w:id="1506" w:name="_Toc30743757"/>
      <w:bookmarkStart w:id="1507" w:name="_Toc30754580"/>
      <w:bookmarkStart w:id="1508" w:name="_Toc30757020"/>
      <w:bookmarkStart w:id="1509" w:name="_Toc30757568"/>
      <w:bookmarkStart w:id="1510" w:name="_Toc30757968"/>
      <w:bookmarkStart w:id="1511" w:name="_Toc30762729"/>
      <w:bookmarkStart w:id="1512" w:name="_Toc30767383"/>
      <w:bookmarkStart w:id="1513" w:name="_Toc34823398"/>
      <w:bookmarkEnd w:id="1504"/>
      <w:bookmarkEnd w:id="1505"/>
      <w:r>
        <w:rPr>
          <w:rFonts w:ascii="Arial" w:hAnsi="Arial" w:cs="Arial"/>
          <w:b/>
          <w:bCs/>
          <w:sz w:val="20"/>
        </w:rPr>
        <w:t>4.1</w:t>
      </w:r>
      <w:r w:rsidR="002E5754">
        <w:rPr>
          <w:rFonts w:ascii="Arial" w:hAnsi="Arial" w:cs="Arial"/>
          <w:b/>
          <w:bCs/>
          <w:sz w:val="20"/>
        </w:rPr>
        <w:t>1</w:t>
      </w:r>
      <w:r>
        <w:rPr>
          <w:rFonts w:ascii="Arial" w:hAnsi="Arial" w:cs="Arial"/>
          <w:b/>
          <w:bCs/>
          <w:sz w:val="20"/>
        </w:rPr>
        <w:t>.1</w:t>
      </w:r>
      <w:r w:rsidR="00D0471A">
        <w:rPr>
          <w:rFonts w:ascii="Arial" w:hAnsi="Arial" w:cs="Arial"/>
          <w:b/>
          <w:bCs/>
          <w:sz w:val="20"/>
        </w:rPr>
        <w:tab/>
      </w:r>
      <w:r>
        <w:rPr>
          <w:rFonts w:ascii="Arial" w:hAnsi="Arial" w:cs="Arial"/>
          <w:b/>
          <w:bCs/>
          <w:sz w:val="20"/>
        </w:rPr>
        <w:tab/>
        <w:t>Public law versus private law</w:t>
      </w:r>
      <w:bookmarkEnd w:id="1506"/>
      <w:bookmarkEnd w:id="1507"/>
      <w:bookmarkEnd w:id="1508"/>
      <w:bookmarkEnd w:id="1509"/>
      <w:bookmarkEnd w:id="1510"/>
      <w:bookmarkEnd w:id="1511"/>
      <w:bookmarkEnd w:id="1512"/>
      <w:bookmarkEnd w:id="1513"/>
    </w:p>
    <w:p w14:paraId="316ADDAB" w14:textId="77777777" w:rsidR="00693223" w:rsidRDefault="00693223">
      <w:pPr>
        <w:widowControl w:val="0"/>
        <w:jc w:val="both"/>
        <w:rPr>
          <w:rFonts w:ascii="Arial" w:hAnsi="Arial" w:cs="Arial"/>
          <w:sz w:val="20"/>
        </w:rPr>
      </w:pPr>
      <w:r>
        <w:rPr>
          <w:rFonts w:ascii="Arial" w:hAnsi="Arial" w:cs="Arial"/>
          <w:sz w:val="20"/>
        </w:rPr>
        <w:t xml:space="preserve">Proceedings in the Family Division of the Children's Court are essentially </w:t>
      </w:r>
      <w:r>
        <w:rPr>
          <w:rFonts w:ascii="Arial" w:hAnsi="Arial" w:cs="Arial"/>
          <w:b/>
          <w:bCs/>
          <w:sz w:val="20"/>
        </w:rPr>
        <w:t>public law</w:t>
      </w:r>
      <w:r>
        <w:rPr>
          <w:rFonts w:ascii="Arial" w:hAnsi="Arial" w:cs="Arial"/>
          <w:sz w:val="20"/>
        </w:rPr>
        <w:t xml:space="preserve"> proceedings.  Except at the commencement of an IRD application, the State, in the form of the Department of </w:t>
      </w:r>
      <w:r w:rsidR="009A1245">
        <w:rPr>
          <w:rFonts w:ascii="Arial" w:hAnsi="Arial" w:cs="Arial"/>
          <w:sz w:val="20"/>
          <w:szCs w:val="20"/>
        </w:rPr>
        <w:t>Families, Fairness and Housing</w:t>
      </w:r>
      <w:r>
        <w:rPr>
          <w:rFonts w:ascii="Arial" w:hAnsi="Arial" w:cs="Arial"/>
          <w:sz w:val="20"/>
        </w:rPr>
        <w:t>, is always a party.  The primary purpose of the Court is to provide for the protection of children.</w:t>
      </w:r>
    </w:p>
    <w:p w14:paraId="6BC6B8EB" w14:textId="77777777" w:rsidR="00693223" w:rsidRDefault="00693223">
      <w:pPr>
        <w:widowControl w:val="0"/>
        <w:jc w:val="both"/>
        <w:rPr>
          <w:rFonts w:ascii="Arial" w:hAnsi="Arial" w:cs="Arial"/>
          <w:sz w:val="20"/>
        </w:rPr>
      </w:pPr>
    </w:p>
    <w:p w14:paraId="41B0FA5E" w14:textId="77777777" w:rsidR="00693223" w:rsidRDefault="00693223">
      <w:pPr>
        <w:keepLines/>
        <w:widowControl w:val="0"/>
        <w:jc w:val="both"/>
        <w:rPr>
          <w:rFonts w:ascii="Arial" w:hAnsi="Arial" w:cs="Arial"/>
          <w:sz w:val="20"/>
        </w:rPr>
      </w:pPr>
      <w:r>
        <w:rPr>
          <w:rFonts w:ascii="Arial" w:hAnsi="Arial" w:cs="Arial"/>
          <w:sz w:val="20"/>
        </w:rPr>
        <w:t xml:space="preserve">By contrast, proceedings in the Family Court of Australia and the Federal Magistrates' Service are essentially </w:t>
      </w:r>
      <w:r>
        <w:rPr>
          <w:rFonts w:ascii="Arial" w:hAnsi="Arial" w:cs="Arial"/>
          <w:b/>
          <w:bCs/>
          <w:sz w:val="20"/>
        </w:rPr>
        <w:t>private law</w:t>
      </w:r>
      <w:r>
        <w:rPr>
          <w:rFonts w:ascii="Arial" w:hAnsi="Arial" w:cs="Arial"/>
          <w:sz w:val="20"/>
        </w:rPr>
        <w:t xml:space="preserve"> proceedings, the primary purpose of which is to resolve intra-familial disputes.  The State, in the form of the Department, may intervene in a case if there are protective concerns, but this is comparatively uncommon.</w:t>
      </w:r>
    </w:p>
    <w:p w14:paraId="3D81D0AD" w14:textId="77777777" w:rsidR="00693223" w:rsidRDefault="00693223">
      <w:pPr>
        <w:widowControl w:val="0"/>
        <w:rPr>
          <w:rFonts w:ascii="Arial" w:hAnsi="Arial" w:cs="Arial"/>
          <w:sz w:val="20"/>
        </w:rPr>
      </w:pPr>
    </w:p>
    <w:p w14:paraId="382F3F3C" w14:textId="77777777" w:rsidR="00693223" w:rsidRDefault="00693223" w:rsidP="009970EC">
      <w:pPr>
        <w:pStyle w:val="Heading3"/>
        <w:keepNext/>
        <w:keepLines/>
        <w:widowControl/>
        <w:spacing w:after="120" w:line="240" w:lineRule="auto"/>
        <w:rPr>
          <w:rFonts w:ascii="Arial" w:hAnsi="Arial" w:cs="Arial"/>
          <w:sz w:val="20"/>
        </w:rPr>
      </w:pPr>
      <w:bookmarkStart w:id="1514" w:name="_4.11.2__Responsibilities"/>
      <w:bookmarkStart w:id="1515" w:name="B4112"/>
      <w:bookmarkStart w:id="1516" w:name="_Toc30649086"/>
      <w:bookmarkStart w:id="1517" w:name="_Toc30649162"/>
      <w:bookmarkStart w:id="1518" w:name="_Toc30649425"/>
      <w:bookmarkStart w:id="1519" w:name="_Toc30649750"/>
      <w:bookmarkStart w:id="1520" w:name="_Toc30651694"/>
      <w:bookmarkStart w:id="1521" w:name="_Toc30652684"/>
      <w:bookmarkStart w:id="1522" w:name="_Toc30652780"/>
      <w:bookmarkStart w:id="1523" w:name="_Toc30654130"/>
      <w:bookmarkStart w:id="1524" w:name="_Toc30654487"/>
      <w:bookmarkStart w:id="1525" w:name="_Toc30655106"/>
      <w:bookmarkStart w:id="1526" w:name="_Toc30655363"/>
      <w:bookmarkStart w:id="1527" w:name="_Toc30657041"/>
      <w:bookmarkStart w:id="1528" w:name="_Toc30661790"/>
      <w:bookmarkStart w:id="1529" w:name="_Toc30666478"/>
      <w:bookmarkStart w:id="1530" w:name="_Toc30666708"/>
      <w:bookmarkStart w:id="1531" w:name="_Toc30667883"/>
      <w:bookmarkStart w:id="1532" w:name="_Toc30669261"/>
      <w:bookmarkStart w:id="1533" w:name="_Toc30671477"/>
      <w:bookmarkStart w:id="1534" w:name="_Toc30674004"/>
      <w:bookmarkStart w:id="1535" w:name="_Toc30691226"/>
      <w:bookmarkStart w:id="1536" w:name="_Toc30691599"/>
      <w:bookmarkStart w:id="1537" w:name="_Toc30691979"/>
      <w:bookmarkStart w:id="1538" w:name="_Toc30692738"/>
      <w:bookmarkStart w:id="1539" w:name="_Toc30693117"/>
      <w:bookmarkStart w:id="1540" w:name="_Toc30693495"/>
      <w:bookmarkStart w:id="1541" w:name="_Toc30693873"/>
      <w:bookmarkStart w:id="1542" w:name="_Toc30694254"/>
      <w:bookmarkStart w:id="1543" w:name="_Toc30698843"/>
      <w:bookmarkStart w:id="1544" w:name="_Toc30699221"/>
      <w:bookmarkStart w:id="1545" w:name="_Toc30699606"/>
      <w:bookmarkStart w:id="1546" w:name="_Toc30700761"/>
      <w:bookmarkStart w:id="1547" w:name="_Toc30701148"/>
      <w:bookmarkStart w:id="1548" w:name="_Toc30743758"/>
      <w:bookmarkStart w:id="1549" w:name="_Toc30754581"/>
      <w:bookmarkStart w:id="1550" w:name="_Toc30757021"/>
      <w:bookmarkStart w:id="1551" w:name="_Toc30757569"/>
      <w:bookmarkStart w:id="1552" w:name="_Toc30757969"/>
      <w:bookmarkStart w:id="1553" w:name="_Toc30762730"/>
      <w:bookmarkStart w:id="1554" w:name="_Toc30767384"/>
      <w:bookmarkStart w:id="1555" w:name="_Toc34823399"/>
      <w:bookmarkEnd w:id="1514"/>
      <w:bookmarkEnd w:id="1515"/>
      <w:r>
        <w:rPr>
          <w:rFonts w:ascii="Arial" w:hAnsi="Arial" w:cs="Arial"/>
          <w:b/>
          <w:bCs/>
          <w:sz w:val="20"/>
        </w:rPr>
        <w:t>4.1</w:t>
      </w:r>
      <w:r w:rsidR="002E5754">
        <w:rPr>
          <w:rFonts w:ascii="Arial" w:hAnsi="Arial" w:cs="Arial"/>
          <w:b/>
          <w:bCs/>
          <w:sz w:val="20"/>
        </w:rPr>
        <w:t>1</w:t>
      </w:r>
      <w:r>
        <w:rPr>
          <w:rFonts w:ascii="Arial" w:hAnsi="Arial" w:cs="Arial"/>
          <w:b/>
          <w:bCs/>
          <w:sz w:val="20"/>
        </w:rPr>
        <w:t>.2</w:t>
      </w:r>
      <w:r w:rsidR="00D0471A">
        <w:rPr>
          <w:rFonts w:ascii="Arial" w:hAnsi="Arial" w:cs="Arial"/>
          <w:b/>
          <w:bCs/>
          <w:sz w:val="20"/>
        </w:rPr>
        <w:tab/>
      </w:r>
      <w:r>
        <w:rPr>
          <w:rFonts w:ascii="Arial" w:hAnsi="Arial" w:cs="Arial"/>
          <w:b/>
          <w:bCs/>
          <w:sz w:val="20"/>
        </w:rPr>
        <w:tab/>
        <w:t>Responsibilities and obligations of the Family Court to children</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14:paraId="0799B818" w14:textId="77777777" w:rsidR="00693223" w:rsidRDefault="00693223">
      <w:pPr>
        <w:widowControl w:val="0"/>
        <w:jc w:val="both"/>
        <w:rPr>
          <w:rFonts w:ascii="Arial" w:hAnsi="Arial" w:cs="Arial"/>
          <w:sz w:val="20"/>
        </w:rPr>
      </w:pPr>
      <w:r>
        <w:rPr>
          <w:rFonts w:ascii="Arial" w:hAnsi="Arial" w:cs="Arial"/>
          <w:sz w:val="20"/>
        </w:rPr>
        <w:t xml:space="preserve">Nevertheless, the Family Court's responsibilities and obligations to children within its purview are </w:t>
      </w:r>
      <w:r w:rsidR="009E77AD">
        <w:rPr>
          <w:rFonts w:ascii="Arial" w:hAnsi="Arial" w:cs="Arial"/>
          <w:sz w:val="20"/>
        </w:rPr>
        <w:t>general</w:t>
      </w:r>
      <w:r>
        <w:rPr>
          <w:rFonts w:ascii="Arial" w:hAnsi="Arial" w:cs="Arial"/>
          <w:sz w:val="20"/>
        </w:rPr>
        <w:t>ly the same as those of the Children's Court</w:t>
      </w:r>
      <w:r w:rsidR="009E77AD">
        <w:rPr>
          <w:rFonts w:ascii="Arial" w:hAnsi="Arial" w:cs="Arial"/>
          <w:sz w:val="20"/>
        </w:rPr>
        <w:t>, namely to treat the best interests of the child as paramount</w:t>
      </w:r>
      <w:r>
        <w:rPr>
          <w:rFonts w:ascii="Arial" w:hAnsi="Arial" w:cs="Arial"/>
          <w:sz w:val="20"/>
        </w:rPr>
        <w:t xml:space="preserve">.  The </w:t>
      </w:r>
      <w:r w:rsidR="009E77AD">
        <w:rPr>
          <w:rFonts w:ascii="Arial" w:hAnsi="Arial" w:cs="Arial"/>
          <w:sz w:val="20"/>
        </w:rPr>
        <w:t>Family Court’s responsibilities and obligations were previously</w:t>
      </w:r>
      <w:r>
        <w:rPr>
          <w:rFonts w:ascii="Arial" w:hAnsi="Arial" w:cs="Arial"/>
          <w:sz w:val="20"/>
        </w:rPr>
        <w:t xml:space="preserve"> set out in ss.68F &amp; 68L(1) of the Family Law Act 1975 (</w:t>
      </w:r>
      <w:proofErr w:type="spellStart"/>
      <w:r>
        <w:rPr>
          <w:rFonts w:ascii="Arial" w:hAnsi="Arial" w:cs="Arial"/>
          <w:sz w:val="20"/>
        </w:rPr>
        <w:t>Cth</w:t>
      </w:r>
      <w:proofErr w:type="spellEnd"/>
      <w:r>
        <w:rPr>
          <w:rFonts w:ascii="Arial" w:hAnsi="Arial" w:cs="Arial"/>
          <w:sz w:val="20"/>
        </w:rPr>
        <w:t xml:space="preserve">) and were summarized in </w:t>
      </w:r>
      <w:r>
        <w:rPr>
          <w:rFonts w:ascii="Arial" w:hAnsi="Arial" w:cs="Arial"/>
          <w:i/>
          <w:iCs/>
          <w:sz w:val="20"/>
        </w:rPr>
        <w:t>B and B</w:t>
      </w:r>
      <w:r>
        <w:rPr>
          <w:rFonts w:ascii="Arial" w:hAnsi="Arial" w:cs="Arial"/>
          <w:sz w:val="20"/>
        </w:rPr>
        <w:t xml:space="preserve"> (1993) FLC 92-271 as follows:</w:t>
      </w:r>
    </w:p>
    <w:p w14:paraId="2F381549" w14:textId="77777777" w:rsidR="00693223" w:rsidRDefault="00693223" w:rsidP="00BA6FBE">
      <w:pPr>
        <w:keepNext/>
        <w:keepLines/>
        <w:numPr>
          <w:ilvl w:val="0"/>
          <w:numId w:val="3"/>
        </w:numPr>
        <w:ind w:left="284" w:hanging="284"/>
        <w:jc w:val="both"/>
        <w:rPr>
          <w:rFonts w:ascii="Arial" w:hAnsi="Arial" w:cs="Arial"/>
          <w:sz w:val="20"/>
        </w:rPr>
      </w:pPr>
      <w:r>
        <w:rPr>
          <w:rFonts w:ascii="Arial" w:hAnsi="Arial" w:cs="Arial"/>
          <w:sz w:val="20"/>
        </w:rPr>
        <w:t>to protect the rights of children and promote their welfare;</w:t>
      </w:r>
    </w:p>
    <w:p w14:paraId="15955D93" w14:textId="77777777" w:rsidR="00693223" w:rsidRDefault="00693223" w:rsidP="00BA6FBE">
      <w:pPr>
        <w:keepNext/>
        <w:keepLines/>
        <w:numPr>
          <w:ilvl w:val="0"/>
          <w:numId w:val="3"/>
        </w:numPr>
        <w:ind w:left="284" w:hanging="284"/>
        <w:jc w:val="both"/>
        <w:rPr>
          <w:rFonts w:ascii="Arial" w:hAnsi="Arial" w:cs="Arial"/>
          <w:sz w:val="20"/>
        </w:rPr>
      </w:pPr>
      <w:r>
        <w:rPr>
          <w:rFonts w:ascii="Arial" w:hAnsi="Arial" w:cs="Arial"/>
          <w:sz w:val="20"/>
        </w:rPr>
        <w:t>to regard the welfare of the child as the paramount consideration;</w:t>
      </w:r>
    </w:p>
    <w:p w14:paraId="1E3391E4" w14:textId="77777777" w:rsidR="00693223" w:rsidRDefault="00693223" w:rsidP="00BA6FBE">
      <w:pPr>
        <w:numPr>
          <w:ilvl w:val="0"/>
          <w:numId w:val="3"/>
        </w:numPr>
        <w:jc w:val="both"/>
        <w:rPr>
          <w:rFonts w:ascii="Arial" w:hAnsi="Arial" w:cs="Arial"/>
          <w:sz w:val="20"/>
        </w:rPr>
      </w:pPr>
      <w:r>
        <w:rPr>
          <w:rFonts w:ascii="Arial" w:hAnsi="Arial" w:cs="Arial"/>
          <w:sz w:val="20"/>
        </w:rPr>
        <w:t>to protect the child from abuse, ill-treatment or exposure or subjection to behaviour which psychologically harms the child;</w:t>
      </w:r>
    </w:p>
    <w:p w14:paraId="3B70A83A" w14:textId="77777777" w:rsidR="00693223" w:rsidRDefault="00693223" w:rsidP="00BA6FBE">
      <w:pPr>
        <w:numPr>
          <w:ilvl w:val="0"/>
          <w:numId w:val="3"/>
        </w:numPr>
        <w:jc w:val="both"/>
        <w:rPr>
          <w:rFonts w:ascii="Arial" w:hAnsi="Arial" w:cs="Arial"/>
          <w:sz w:val="20"/>
        </w:rPr>
      </w:pPr>
      <w:r>
        <w:rPr>
          <w:rFonts w:ascii="Arial" w:hAnsi="Arial" w:cs="Arial"/>
          <w:sz w:val="20"/>
        </w:rPr>
        <w:lastRenderedPageBreak/>
        <w:t>to notify the relevant child welfare authorities of any abuse or ill-treatment, or exposure to behaviour which may psychologically harm the child, or of any suspicion that this has occurred or may occur, and the basis for that suspicion.</w:t>
      </w:r>
    </w:p>
    <w:p w14:paraId="6BF28F16" w14:textId="77777777" w:rsidR="00693223" w:rsidRDefault="009E77AD">
      <w:pPr>
        <w:rPr>
          <w:rFonts w:ascii="Arial" w:hAnsi="Arial" w:cs="Arial"/>
          <w:sz w:val="20"/>
        </w:rPr>
      </w:pPr>
      <w:r>
        <w:rPr>
          <w:rFonts w:ascii="Arial" w:hAnsi="Arial" w:cs="Arial"/>
          <w:sz w:val="20"/>
        </w:rPr>
        <w:t xml:space="preserve">See now, </w:t>
      </w:r>
      <w:r w:rsidRPr="009E77AD">
        <w:rPr>
          <w:rFonts w:ascii="Arial" w:hAnsi="Arial" w:cs="Arial"/>
          <w:i/>
          <w:sz w:val="20"/>
        </w:rPr>
        <w:t>inter alia</w:t>
      </w:r>
      <w:r>
        <w:rPr>
          <w:rFonts w:ascii="Arial" w:hAnsi="Arial" w:cs="Arial"/>
          <w:sz w:val="20"/>
        </w:rPr>
        <w:t xml:space="preserve">, ss.60B, s.60CA, 60CB, 60CC, 60G(2), </w:t>
      </w:r>
      <w:r w:rsidR="000F4CD8">
        <w:rPr>
          <w:rFonts w:ascii="Arial" w:hAnsi="Arial" w:cs="Arial"/>
          <w:sz w:val="20"/>
        </w:rPr>
        <w:t xml:space="preserve">63F(2), 63F(6), 68R of the </w:t>
      </w:r>
      <w:smartTag w:uri="urn:schemas-microsoft-com:office:smarttags" w:element="place">
        <w:smartTag w:uri="urn:schemas-microsoft-com:office:smarttags" w:element="State">
          <w:r w:rsidR="000F4CD8">
            <w:rPr>
              <w:rFonts w:ascii="Arial" w:hAnsi="Arial" w:cs="Arial"/>
              <w:sz w:val="20"/>
            </w:rPr>
            <w:t>FLA</w:t>
          </w:r>
        </w:smartTag>
      </w:smartTag>
      <w:r w:rsidR="000F4CD8">
        <w:rPr>
          <w:rFonts w:ascii="Arial" w:hAnsi="Arial" w:cs="Arial"/>
          <w:sz w:val="20"/>
        </w:rPr>
        <w:t xml:space="preserve"> as amended by Act No.46 of 2006.</w:t>
      </w:r>
    </w:p>
    <w:p w14:paraId="53682CE9" w14:textId="77777777" w:rsidR="009E77AD" w:rsidRDefault="009E77AD">
      <w:pPr>
        <w:rPr>
          <w:rFonts w:ascii="Arial" w:hAnsi="Arial" w:cs="Arial"/>
          <w:sz w:val="20"/>
        </w:rPr>
      </w:pPr>
    </w:p>
    <w:p w14:paraId="5E8FD277" w14:textId="77777777" w:rsidR="00693223" w:rsidRDefault="00693223">
      <w:pPr>
        <w:jc w:val="both"/>
        <w:rPr>
          <w:rFonts w:ascii="Arial" w:hAnsi="Arial" w:cs="Arial"/>
          <w:sz w:val="20"/>
        </w:rPr>
      </w:pPr>
      <w:r>
        <w:rPr>
          <w:rFonts w:ascii="Arial" w:hAnsi="Arial" w:cs="Arial"/>
          <w:sz w:val="20"/>
        </w:rPr>
        <w:t xml:space="preserve">In </w:t>
      </w:r>
      <w:r>
        <w:rPr>
          <w:rFonts w:ascii="Arial" w:hAnsi="Arial" w:cs="Arial"/>
          <w:i/>
          <w:iCs/>
          <w:sz w:val="20"/>
        </w:rPr>
        <w:t>B and B</w:t>
      </w:r>
      <w:r>
        <w:rPr>
          <w:rFonts w:ascii="Arial" w:hAnsi="Arial" w:cs="Arial"/>
          <w:sz w:val="20"/>
        </w:rPr>
        <w:t xml:space="preserve">, the Family Court also recognised the obligation placed on </w:t>
      </w:r>
      <w:smartTag w:uri="urn:schemas-microsoft-com:office:smarttags" w:element="place">
        <w:smartTag w:uri="urn:schemas-microsoft-com:office:smarttags" w:element="country-region">
          <w:r>
            <w:rPr>
              <w:rFonts w:ascii="Arial" w:hAnsi="Arial" w:cs="Arial"/>
              <w:sz w:val="20"/>
            </w:rPr>
            <w:t>Australia</w:t>
          </w:r>
        </w:smartTag>
      </w:smartTag>
      <w:r>
        <w:rPr>
          <w:rFonts w:ascii="Arial" w:hAnsi="Arial" w:cs="Arial"/>
          <w:sz w:val="20"/>
        </w:rPr>
        <w:t xml:space="preserve">, by its accession to the </w:t>
      </w:r>
      <w:r>
        <w:rPr>
          <w:rFonts w:ascii="Arial" w:hAnsi="Arial" w:cs="Arial"/>
          <w:i/>
          <w:iCs/>
          <w:sz w:val="20"/>
        </w:rPr>
        <w:t>United Nations Convention on the Rights of the Child</w:t>
      </w:r>
      <w:r>
        <w:rPr>
          <w:rFonts w:ascii="Arial" w:hAnsi="Arial" w:cs="Arial"/>
          <w:sz w:val="20"/>
        </w:rPr>
        <w:t>, to</w:t>
      </w:r>
    </w:p>
    <w:p w14:paraId="4E8A07AE" w14:textId="77777777" w:rsidR="00693223" w:rsidRDefault="00693223">
      <w:pPr>
        <w:ind w:left="454" w:right="454"/>
        <w:jc w:val="both"/>
        <w:rPr>
          <w:rFonts w:ascii="Arial" w:hAnsi="Arial" w:cs="Arial"/>
          <w:sz w:val="20"/>
        </w:rPr>
      </w:pPr>
      <w:r>
        <w:rPr>
          <w:rFonts w:ascii="Arial" w:hAnsi="Arial" w:cs="Arial"/>
          <w:sz w:val="20"/>
        </w:rPr>
        <w:t>"take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care of the child." Article 19.1</w:t>
      </w:r>
    </w:p>
    <w:p w14:paraId="20557FFF" w14:textId="77777777" w:rsidR="00693223" w:rsidRDefault="00693223">
      <w:pPr>
        <w:rPr>
          <w:rFonts w:ascii="Arial" w:hAnsi="Arial" w:cs="Arial"/>
          <w:sz w:val="20"/>
        </w:rPr>
      </w:pPr>
    </w:p>
    <w:p w14:paraId="0B1C0EB1" w14:textId="77777777" w:rsidR="00693223" w:rsidRDefault="00693223">
      <w:pPr>
        <w:pStyle w:val="Heading3"/>
        <w:keepNext/>
        <w:keepLines/>
        <w:spacing w:after="120" w:line="240" w:lineRule="auto"/>
        <w:rPr>
          <w:rFonts w:ascii="Arial" w:hAnsi="Arial" w:cs="Arial"/>
          <w:sz w:val="20"/>
        </w:rPr>
      </w:pPr>
      <w:bookmarkStart w:id="1556" w:name="_4.11.3__Notification"/>
      <w:bookmarkStart w:id="1557" w:name="B4113"/>
      <w:bookmarkStart w:id="1558" w:name="_Toc30655107"/>
      <w:bookmarkStart w:id="1559" w:name="_Toc30655364"/>
      <w:bookmarkStart w:id="1560" w:name="_Toc30657042"/>
      <w:bookmarkStart w:id="1561" w:name="_Toc30661791"/>
      <w:bookmarkStart w:id="1562" w:name="_Toc30666479"/>
      <w:bookmarkStart w:id="1563" w:name="_Toc30666709"/>
      <w:bookmarkStart w:id="1564" w:name="_Toc30667884"/>
      <w:bookmarkStart w:id="1565" w:name="_Toc30669262"/>
      <w:bookmarkStart w:id="1566" w:name="_Toc30671478"/>
      <w:bookmarkStart w:id="1567" w:name="_Toc30674005"/>
      <w:bookmarkStart w:id="1568" w:name="_Toc30691227"/>
      <w:bookmarkStart w:id="1569" w:name="_Toc30691600"/>
      <w:bookmarkStart w:id="1570" w:name="_Toc30691980"/>
      <w:bookmarkStart w:id="1571" w:name="_Toc30692739"/>
      <w:bookmarkStart w:id="1572" w:name="_Toc30693118"/>
      <w:bookmarkStart w:id="1573" w:name="_Toc30693496"/>
      <w:bookmarkStart w:id="1574" w:name="_Toc30693874"/>
      <w:bookmarkStart w:id="1575" w:name="_Toc30694255"/>
      <w:bookmarkStart w:id="1576" w:name="_Toc30698844"/>
      <w:bookmarkStart w:id="1577" w:name="_Toc30699222"/>
      <w:bookmarkStart w:id="1578" w:name="_Toc30699607"/>
      <w:bookmarkStart w:id="1579" w:name="_Toc30700762"/>
      <w:bookmarkStart w:id="1580" w:name="_Toc30701149"/>
      <w:bookmarkStart w:id="1581" w:name="_Toc30743759"/>
      <w:bookmarkStart w:id="1582" w:name="_Toc30754582"/>
      <w:bookmarkStart w:id="1583" w:name="_Toc30757022"/>
      <w:bookmarkStart w:id="1584" w:name="_Toc30757570"/>
      <w:bookmarkStart w:id="1585" w:name="_Toc30757970"/>
      <w:bookmarkStart w:id="1586" w:name="_Toc30762731"/>
      <w:bookmarkStart w:id="1587" w:name="_Toc30767385"/>
      <w:bookmarkStart w:id="1588" w:name="_Toc34823400"/>
      <w:bookmarkEnd w:id="1556"/>
      <w:bookmarkEnd w:id="1557"/>
      <w:r>
        <w:rPr>
          <w:rFonts w:ascii="Arial" w:hAnsi="Arial" w:cs="Arial"/>
          <w:b/>
          <w:bCs/>
          <w:sz w:val="20"/>
        </w:rPr>
        <w:t>4.1</w:t>
      </w:r>
      <w:r w:rsidR="002E5754">
        <w:rPr>
          <w:rFonts w:ascii="Arial" w:hAnsi="Arial" w:cs="Arial"/>
          <w:b/>
          <w:bCs/>
          <w:sz w:val="20"/>
        </w:rPr>
        <w:t>1</w:t>
      </w:r>
      <w:r>
        <w:rPr>
          <w:rFonts w:ascii="Arial" w:hAnsi="Arial" w:cs="Arial"/>
          <w:b/>
          <w:bCs/>
          <w:sz w:val="20"/>
        </w:rPr>
        <w:t>.3</w:t>
      </w:r>
      <w:r w:rsidR="00D0471A">
        <w:rPr>
          <w:rFonts w:ascii="Arial" w:hAnsi="Arial" w:cs="Arial"/>
          <w:b/>
          <w:bCs/>
          <w:sz w:val="20"/>
        </w:rPr>
        <w:tab/>
      </w:r>
      <w:r w:rsidR="00C4725F">
        <w:rPr>
          <w:rFonts w:ascii="Arial" w:hAnsi="Arial" w:cs="Arial"/>
          <w:b/>
          <w:bCs/>
          <w:sz w:val="20"/>
        </w:rPr>
        <w:tab/>
      </w:r>
      <w:r>
        <w:rPr>
          <w:rFonts w:ascii="Arial" w:hAnsi="Arial" w:cs="Arial"/>
          <w:b/>
          <w:bCs/>
          <w:sz w:val="20"/>
        </w:rPr>
        <w:t>Notification by the Family Court to State welfare authorities</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14:paraId="4E6C407E" w14:textId="77777777" w:rsidR="00693223" w:rsidRDefault="00693223" w:rsidP="00733EAB">
      <w:pPr>
        <w:keepNext/>
        <w:keepLines/>
        <w:jc w:val="both"/>
        <w:rPr>
          <w:rFonts w:ascii="Arial" w:hAnsi="Arial" w:cs="Arial"/>
          <w:sz w:val="20"/>
        </w:rPr>
      </w:pPr>
      <w:r>
        <w:rPr>
          <w:rFonts w:ascii="Arial" w:hAnsi="Arial" w:cs="Arial"/>
          <w:sz w:val="20"/>
        </w:rPr>
        <w:t>Where it is alleged by one or more parties with proceedings before the Family Court that a child is being abused or is at risk of being abused, the Family Court must notify the State welfare authorities of the allegation.  Members of the Court who suspect abuse must also report their suspicions to the relevant State welfare authorities.</w:t>
      </w:r>
    </w:p>
    <w:p w14:paraId="29F2F159" w14:textId="77777777" w:rsidR="00693223" w:rsidRDefault="00693223">
      <w:pPr>
        <w:rPr>
          <w:rFonts w:ascii="Arial" w:hAnsi="Arial" w:cs="Arial"/>
          <w:sz w:val="20"/>
        </w:rPr>
      </w:pPr>
    </w:p>
    <w:p w14:paraId="6821B96C" w14:textId="77777777" w:rsidR="00693223" w:rsidRDefault="00693223" w:rsidP="009E77AD">
      <w:pPr>
        <w:pStyle w:val="Heading3"/>
        <w:keepNext/>
        <w:keepLines/>
        <w:spacing w:after="120" w:line="240" w:lineRule="auto"/>
        <w:rPr>
          <w:rFonts w:ascii="Arial" w:hAnsi="Arial" w:cs="Arial"/>
          <w:sz w:val="20"/>
        </w:rPr>
      </w:pPr>
      <w:bookmarkStart w:id="1589" w:name="_4.11.4__Representation"/>
      <w:bookmarkStart w:id="1590" w:name="B4114"/>
      <w:bookmarkStart w:id="1591" w:name="_Toc30743760"/>
      <w:bookmarkStart w:id="1592" w:name="_Toc30754583"/>
      <w:bookmarkStart w:id="1593" w:name="_Toc30757023"/>
      <w:bookmarkStart w:id="1594" w:name="_Toc30757571"/>
      <w:bookmarkStart w:id="1595" w:name="_Toc30757971"/>
      <w:bookmarkStart w:id="1596" w:name="_Toc30762732"/>
      <w:bookmarkStart w:id="1597" w:name="_Toc30767386"/>
      <w:bookmarkStart w:id="1598" w:name="_Toc34823401"/>
      <w:bookmarkEnd w:id="1589"/>
      <w:bookmarkEnd w:id="1590"/>
      <w:r>
        <w:rPr>
          <w:rFonts w:ascii="Arial" w:hAnsi="Arial" w:cs="Arial"/>
          <w:b/>
          <w:bCs/>
          <w:sz w:val="20"/>
        </w:rPr>
        <w:t>4.1</w:t>
      </w:r>
      <w:r w:rsidR="002E5754">
        <w:rPr>
          <w:rFonts w:ascii="Arial" w:hAnsi="Arial" w:cs="Arial"/>
          <w:b/>
          <w:bCs/>
          <w:sz w:val="20"/>
        </w:rPr>
        <w:t>1</w:t>
      </w:r>
      <w:r>
        <w:rPr>
          <w:rFonts w:ascii="Arial" w:hAnsi="Arial" w:cs="Arial"/>
          <w:b/>
          <w:bCs/>
          <w:sz w:val="20"/>
        </w:rPr>
        <w:t>.4</w:t>
      </w:r>
      <w:r w:rsidR="00D0471A">
        <w:rPr>
          <w:rFonts w:ascii="Arial" w:hAnsi="Arial" w:cs="Arial"/>
          <w:b/>
          <w:bCs/>
          <w:sz w:val="20"/>
        </w:rPr>
        <w:tab/>
      </w:r>
      <w:r>
        <w:rPr>
          <w:rFonts w:ascii="Arial" w:hAnsi="Arial" w:cs="Arial"/>
          <w:b/>
          <w:bCs/>
          <w:sz w:val="20"/>
        </w:rPr>
        <w:tab/>
        <w:t>Representation of children</w:t>
      </w:r>
      <w:bookmarkEnd w:id="1591"/>
      <w:bookmarkEnd w:id="1592"/>
      <w:bookmarkEnd w:id="1593"/>
      <w:bookmarkEnd w:id="1594"/>
      <w:bookmarkEnd w:id="1595"/>
      <w:bookmarkEnd w:id="1596"/>
      <w:bookmarkEnd w:id="1597"/>
      <w:bookmarkEnd w:id="1598"/>
    </w:p>
    <w:p w14:paraId="70D3591F" w14:textId="77777777" w:rsidR="00693223" w:rsidRPr="00C87CED" w:rsidRDefault="00693223" w:rsidP="009E77AD">
      <w:pPr>
        <w:keepNext/>
        <w:keepLines/>
        <w:ind w:left="397" w:hanging="397"/>
        <w:rPr>
          <w:rFonts w:ascii="Arial" w:hAnsi="Arial" w:cs="Arial"/>
          <w:sz w:val="20"/>
          <w:szCs w:val="20"/>
        </w:rPr>
      </w:pPr>
      <w:r w:rsidRPr="00C87CED">
        <w:rPr>
          <w:rFonts w:ascii="Arial" w:hAnsi="Arial" w:cs="Arial"/>
          <w:sz w:val="20"/>
          <w:szCs w:val="20"/>
        </w:rPr>
        <w:t xml:space="preserve">See                    </w:t>
      </w:r>
      <w:hyperlink w:anchor="_4.7_Representation_of" w:history="1">
        <w:r w:rsidRPr="00C87CED">
          <w:rPr>
            <w:rStyle w:val="Hyperlink"/>
            <w:rFonts w:ascii="Arial" w:hAnsi="Arial" w:cs="Arial"/>
            <w:sz w:val="20"/>
            <w:szCs w:val="20"/>
          </w:rPr>
          <w:t>4.7</w:t>
        </w:r>
        <w:r w:rsidRPr="00C87CED">
          <w:rPr>
            <w:rStyle w:val="Hyperlink"/>
            <w:rFonts w:ascii="Arial" w:hAnsi="Arial" w:cs="Arial"/>
            <w:sz w:val="20"/>
            <w:szCs w:val="20"/>
          </w:rPr>
          <w:tab/>
          <w:t>Representation of children in the Family Division of the Court</w:t>
        </w:r>
      </w:hyperlink>
      <w:r w:rsidRPr="00C87CED">
        <w:rPr>
          <w:rFonts w:ascii="Arial" w:hAnsi="Arial" w:cs="Arial"/>
          <w:sz w:val="20"/>
          <w:szCs w:val="20"/>
        </w:rPr>
        <w:t xml:space="preserve"> </w:t>
      </w:r>
    </w:p>
    <w:p w14:paraId="770EE1E2" w14:textId="77777777" w:rsidR="00693223" w:rsidRPr="00C87CED" w:rsidRDefault="00693223">
      <w:pPr>
        <w:ind w:left="397" w:hanging="397"/>
        <w:rPr>
          <w:rFonts w:ascii="Arial" w:hAnsi="Arial" w:cs="Arial"/>
          <w:sz w:val="20"/>
          <w:szCs w:val="20"/>
        </w:rPr>
      </w:pPr>
      <w:r w:rsidRPr="00C87CED">
        <w:rPr>
          <w:rFonts w:ascii="Arial" w:hAnsi="Arial" w:cs="Arial"/>
          <w:sz w:val="20"/>
          <w:szCs w:val="20"/>
        </w:rPr>
        <w:t xml:space="preserve">and in particular </w:t>
      </w:r>
      <w:hyperlink w:anchor="_4.7.6_Child_representation" w:history="1">
        <w:r w:rsidRPr="00C87CED">
          <w:rPr>
            <w:rStyle w:val="Hyperlink"/>
            <w:rFonts w:ascii="Arial" w:hAnsi="Arial" w:cs="Arial"/>
            <w:sz w:val="20"/>
            <w:szCs w:val="20"/>
          </w:rPr>
          <w:t>4.7.</w:t>
        </w:r>
        <w:r w:rsidR="00E55025" w:rsidRPr="00C87CED">
          <w:rPr>
            <w:rStyle w:val="Hyperlink"/>
            <w:rFonts w:ascii="Arial" w:hAnsi="Arial" w:cs="Arial"/>
            <w:sz w:val="20"/>
            <w:szCs w:val="20"/>
          </w:rPr>
          <w:t>6</w:t>
        </w:r>
        <w:r w:rsidRPr="00C87CED">
          <w:rPr>
            <w:rStyle w:val="Hyperlink"/>
            <w:rFonts w:ascii="Arial" w:hAnsi="Arial" w:cs="Arial"/>
            <w:sz w:val="20"/>
            <w:szCs w:val="20"/>
          </w:rPr>
          <w:tab/>
          <w:t>Child representation in Children’s Court and Family Court compared</w:t>
        </w:r>
      </w:hyperlink>
      <w:r w:rsidRPr="00C87CED">
        <w:rPr>
          <w:rFonts w:ascii="Arial" w:hAnsi="Arial" w:cs="Arial"/>
          <w:sz w:val="20"/>
          <w:szCs w:val="20"/>
        </w:rPr>
        <w:t>.</w:t>
      </w:r>
    </w:p>
    <w:p w14:paraId="10FCA366" w14:textId="77777777" w:rsidR="00693223" w:rsidRPr="00C87CED" w:rsidRDefault="00693223">
      <w:pPr>
        <w:rPr>
          <w:rFonts w:ascii="Arial" w:hAnsi="Arial" w:cs="Arial"/>
          <w:sz w:val="20"/>
          <w:szCs w:val="20"/>
        </w:rPr>
      </w:pPr>
      <w:r w:rsidRPr="00C87CED">
        <w:rPr>
          <w:rFonts w:ascii="Arial" w:hAnsi="Arial" w:cs="Arial"/>
          <w:sz w:val="20"/>
          <w:szCs w:val="20"/>
        </w:rPr>
        <w:t xml:space="preserve">See also the website of the Family Court of Australia </w:t>
      </w:r>
      <w:hyperlink r:id="rId39" w:history="1">
        <w:r w:rsidRPr="00C87CED">
          <w:rPr>
            <w:rStyle w:val="Hyperlink"/>
            <w:rFonts w:ascii="Arial" w:hAnsi="Arial" w:cs="Arial"/>
            <w:sz w:val="20"/>
            <w:szCs w:val="20"/>
          </w:rPr>
          <w:t>http://www.familycourt.gov.au</w:t>
        </w:r>
      </w:hyperlink>
      <w:r w:rsidRPr="00C87CED">
        <w:rPr>
          <w:rFonts w:ascii="Arial" w:hAnsi="Arial" w:cs="Arial"/>
          <w:sz w:val="20"/>
          <w:szCs w:val="20"/>
        </w:rPr>
        <w:t>.</w:t>
      </w:r>
    </w:p>
    <w:p w14:paraId="4715431E" w14:textId="77777777" w:rsidR="00693223" w:rsidRDefault="00693223">
      <w:pPr>
        <w:rPr>
          <w:rFonts w:ascii="Arial" w:hAnsi="Arial" w:cs="Arial"/>
          <w:sz w:val="20"/>
        </w:rPr>
      </w:pPr>
    </w:p>
    <w:p w14:paraId="15BC9F2E" w14:textId="77777777" w:rsidR="00693223" w:rsidRDefault="00693223">
      <w:pPr>
        <w:pStyle w:val="Heading3"/>
        <w:keepNext/>
        <w:keepLines/>
        <w:spacing w:after="120" w:line="240" w:lineRule="auto"/>
        <w:rPr>
          <w:rFonts w:ascii="Arial" w:hAnsi="Arial" w:cs="Arial"/>
          <w:sz w:val="20"/>
        </w:rPr>
      </w:pPr>
      <w:bookmarkStart w:id="1599" w:name="_4.11.5__Priority"/>
      <w:bookmarkStart w:id="1600" w:name="B4115"/>
      <w:bookmarkStart w:id="1601" w:name="_Toc30743761"/>
      <w:bookmarkStart w:id="1602" w:name="_Toc30754584"/>
      <w:bookmarkStart w:id="1603" w:name="_Toc30757024"/>
      <w:bookmarkStart w:id="1604" w:name="_Toc30757572"/>
      <w:bookmarkStart w:id="1605" w:name="_Toc30757972"/>
      <w:bookmarkStart w:id="1606" w:name="_Toc30762733"/>
      <w:bookmarkStart w:id="1607" w:name="_Toc30767387"/>
      <w:bookmarkStart w:id="1608" w:name="_Toc34823402"/>
      <w:bookmarkStart w:id="1609" w:name="_Toc60400038"/>
      <w:bookmarkStart w:id="1610" w:name="_Toc60396205"/>
      <w:bookmarkEnd w:id="1599"/>
      <w:bookmarkEnd w:id="1600"/>
      <w:r>
        <w:rPr>
          <w:rFonts w:ascii="Arial" w:hAnsi="Arial" w:cs="Arial"/>
          <w:b/>
          <w:bCs/>
          <w:sz w:val="20"/>
        </w:rPr>
        <w:t>4.1</w:t>
      </w:r>
      <w:r w:rsidR="002E5754">
        <w:rPr>
          <w:rFonts w:ascii="Arial" w:hAnsi="Arial" w:cs="Arial"/>
          <w:b/>
          <w:bCs/>
          <w:sz w:val="20"/>
        </w:rPr>
        <w:t>1</w:t>
      </w:r>
      <w:r>
        <w:rPr>
          <w:rFonts w:ascii="Arial" w:hAnsi="Arial" w:cs="Arial"/>
          <w:b/>
          <w:bCs/>
          <w:sz w:val="20"/>
        </w:rPr>
        <w:t>.5</w:t>
      </w:r>
      <w:r w:rsidR="00D0471A">
        <w:rPr>
          <w:rFonts w:ascii="Arial" w:hAnsi="Arial" w:cs="Arial"/>
          <w:b/>
          <w:bCs/>
          <w:sz w:val="20"/>
        </w:rPr>
        <w:tab/>
      </w:r>
      <w:r>
        <w:rPr>
          <w:rFonts w:ascii="Arial" w:hAnsi="Arial" w:cs="Arial"/>
          <w:b/>
          <w:bCs/>
          <w:sz w:val="20"/>
        </w:rPr>
        <w:tab/>
        <w:t>Priority of orders</w:t>
      </w:r>
      <w:bookmarkEnd w:id="1601"/>
      <w:bookmarkEnd w:id="1602"/>
      <w:bookmarkEnd w:id="1603"/>
      <w:bookmarkEnd w:id="1604"/>
      <w:bookmarkEnd w:id="1605"/>
      <w:bookmarkEnd w:id="1606"/>
      <w:bookmarkEnd w:id="1607"/>
      <w:bookmarkEnd w:id="1608"/>
      <w:bookmarkEnd w:id="1609"/>
    </w:p>
    <w:p w14:paraId="003373EB" w14:textId="77777777" w:rsidR="00693223" w:rsidRDefault="00693223">
      <w:pPr>
        <w:jc w:val="both"/>
        <w:rPr>
          <w:rFonts w:ascii="Arial" w:hAnsi="Arial" w:cs="Arial"/>
          <w:sz w:val="20"/>
        </w:rPr>
      </w:pPr>
      <w:r>
        <w:rPr>
          <w:rFonts w:ascii="Arial" w:hAnsi="Arial" w:cs="Arial"/>
          <w:sz w:val="20"/>
        </w:rPr>
        <w:t>In the writer's opinion it is tolerably clear that a protection order takes precedence over a conflicting order under the Family Law Act 1975 (</w:t>
      </w:r>
      <w:proofErr w:type="spellStart"/>
      <w:r>
        <w:rPr>
          <w:rFonts w:ascii="Arial" w:hAnsi="Arial" w:cs="Arial"/>
          <w:sz w:val="20"/>
        </w:rPr>
        <w:t>Cth</w:t>
      </w:r>
      <w:proofErr w:type="spellEnd"/>
      <w:r>
        <w:rPr>
          <w:rFonts w:ascii="Arial" w:hAnsi="Arial" w:cs="Arial"/>
          <w:sz w:val="20"/>
        </w:rPr>
        <w:t xml:space="preserve">) [as amended] ('the </w:t>
      </w:r>
      <w:smartTag w:uri="urn:schemas-microsoft-com:office:smarttags" w:element="place">
        <w:smartTag w:uri="urn:schemas-microsoft-com:office:smarttags" w:element="State">
          <w:r>
            <w:rPr>
              <w:rFonts w:ascii="Arial" w:hAnsi="Arial" w:cs="Arial"/>
              <w:sz w:val="20"/>
            </w:rPr>
            <w:t>FLA</w:t>
          </w:r>
        </w:smartTag>
      </w:smartTag>
      <w:r>
        <w:rPr>
          <w:rFonts w:ascii="Arial" w:hAnsi="Arial" w:cs="Arial"/>
          <w:sz w:val="20"/>
        </w:rPr>
        <w:t xml:space="preserve">') whichever order was made first.  The situation in </w:t>
      </w:r>
      <w:smartTag w:uri="urn:schemas-microsoft-com:office:smarttags" w:element="State">
        <w:r>
          <w:rPr>
            <w:rFonts w:ascii="Arial" w:hAnsi="Arial" w:cs="Arial"/>
            <w:sz w:val="20"/>
          </w:rPr>
          <w:t>Victoria</w:t>
        </w:r>
      </w:smartTag>
      <w:r>
        <w:rPr>
          <w:rFonts w:ascii="Arial" w:hAnsi="Arial" w:cs="Arial"/>
          <w:sz w:val="20"/>
        </w:rPr>
        <w:t xml:space="preserve"> is now regulated by s.69ZK of the </w:t>
      </w:r>
      <w:smartTag w:uri="urn:schemas-microsoft-com:office:smarttags" w:element="place">
        <w:smartTag w:uri="urn:schemas-microsoft-com:office:smarttags" w:element="State">
          <w:r>
            <w:rPr>
              <w:rFonts w:ascii="Arial" w:hAnsi="Arial" w:cs="Arial"/>
              <w:sz w:val="20"/>
            </w:rPr>
            <w:t>FLA</w:t>
          </w:r>
        </w:smartTag>
      </w:smartTag>
      <w:r>
        <w:rPr>
          <w:rFonts w:ascii="Arial" w:hAnsi="Arial" w:cs="Arial"/>
          <w:sz w:val="20"/>
        </w:rPr>
        <w:t xml:space="preserve"> rather than its predecessor s.60H [but see pp.1682-1701 of CCH Australian Family Law Court Handbook].  In any event, although there are some differences between the old provisions and the new, each expressly provide for the continued operation of certain State orders and each has </w:t>
      </w:r>
      <w:r w:rsidR="003400E4">
        <w:rPr>
          <w:rFonts w:ascii="Arial" w:hAnsi="Arial" w:cs="Arial"/>
          <w:sz w:val="20"/>
        </w:rPr>
        <w:t>two</w:t>
      </w:r>
      <w:r>
        <w:rPr>
          <w:rFonts w:ascii="Arial" w:hAnsi="Arial" w:cs="Arial"/>
          <w:sz w:val="20"/>
        </w:rPr>
        <w:t xml:space="preserve"> basic limbs:</w:t>
      </w:r>
    </w:p>
    <w:p w14:paraId="50F2A76E" w14:textId="77777777" w:rsidR="00693223" w:rsidRDefault="00693223" w:rsidP="00BA6FBE">
      <w:pPr>
        <w:numPr>
          <w:ilvl w:val="0"/>
          <w:numId w:val="13"/>
        </w:numPr>
        <w:spacing w:before="60"/>
        <w:ind w:left="714" w:right="357" w:hanging="357"/>
        <w:jc w:val="both"/>
        <w:rPr>
          <w:rFonts w:ascii="Arial" w:hAnsi="Arial" w:cs="Arial"/>
          <w:sz w:val="20"/>
        </w:rPr>
      </w:pPr>
      <w:r>
        <w:rPr>
          <w:rFonts w:ascii="Arial" w:hAnsi="Arial" w:cs="Arial"/>
          <w:b/>
          <w:bCs/>
          <w:sz w:val="20"/>
        </w:rPr>
        <w:t>State jurisdiction not fettered [s.69ZK(2)]</w:t>
      </w:r>
      <w:r>
        <w:rPr>
          <w:rFonts w:ascii="Arial" w:hAnsi="Arial" w:cs="Arial"/>
          <w:sz w:val="20"/>
        </w:rPr>
        <w:t xml:space="preserve">:  Nothing in the </w:t>
      </w:r>
      <w:smartTag w:uri="urn:schemas-microsoft-com:office:smarttags" w:element="place">
        <w:smartTag w:uri="urn:schemas-microsoft-com:office:smarttags" w:element="State">
          <w:r>
            <w:rPr>
              <w:rFonts w:ascii="Arial" w:hAnsi="Arial" w:cs="Arial"/>
              <w:sz w:val="20"/>
            </w:rPr>
            <w:t>FLA</w:t>
          </w:r>
        </w:smartTag>
      </w:smartTag>
      <w:r>
        <w:rPr>
          <w:rFonts w:ascii="Arial" w:hAnsi="Arial" w:cs="Arial"/>
          <w:sz w:val="20"/>
        </w:rPr>
        <w:t xml:space="preserve"> affects:</w:t>
      </w:r>
    </w:p>
    <w:p w14:paraId="080E157C" w14:textId="77777777" w:rsidR="00693223" w:rsidRDefault="00693223">
      <w:pPr>
        <w:numPr>
          <w:ilvl w:val="0"/>
          <w:numId w:val="16"/>
        </w:numPr>
        <w:ind w:right="357"/>
        <w:jc w:val="both"/>
        <w:rPr>
          <w:rFonts w:ascii="Arial" w:hAnsi="Arial" w:cs="Arial"/>
          <w:sz w:val="20"/>
        </w:rPr>
      </w:pPr>
      <w:r>
        <w:rPr>
          <w:rFonts w:ascii="Arial" w:hAnsi="Arial" w:cs="Arial"/>
          <w:sz w:val="20"/>
        </w:rPr>
        <w:t>the jurisdiction of a court, or the power of an authority, under a child welfare law to make an order, or to take any other action, by which a child is placed under the care (however described) of a person under a child welfare law; or</w:t>
      </w:r>
    </w:p>
    <w:p w14:paraId="1F5AF4D7" w14:textId="77777777" w:rsidR="00693223" w:rsidRDefault="00693223">
      <w:pPr>
        <w:numPr>
          <w:ilvl w:val="0"/>
          <w:numId w:val="16"/>
        </w:numPr>
        <w:ind w:right="357"/>
        <w:jc w:val="both"/>
        <w:rPr>
          <w:rFonts w:ascii="Arial" w:hAnsi="Arial" w:cs="Arial"/>
          <w:sz w:val="20"/>
        </w:rPr>
      </w:pPr>
      <w:r>
        <w:rPr>
          <w:rFonts w:ascii="Arial" w:hAnsi="Arial" w:cs="Arial"/>
          <w:sz w:val="20"/>
        </w:rPr>
        <w:t>any such order made or action taken; or</w:t>
      </w:r>
    </w:p>
    <w:p w14:paraId="7F6F97D2" w14:textId="77777777" w:rsidR="00693223" w:rsidRDefault="00693223">
      <w:pPr>
        <w:numPr>
          <w:ilvl w:val="0"/>
          <w:numId w:val="16"/>
        </w:numPr>
        <w:ind w:right="357"/>
        <w:jc w:val="both"/>
        <w:rPr>
          <w:rFonts w:ascii="Arial" w:hAnsi="Arial" w:cs="Arial"/>
          <w:sz w:val="20"/>
        </w:rPr>
      </w:pPr>
      <w:r>
        <w:rPr>
          <w:rFonts w:ascii="Arial" w:hAnsi="Arial" w:cs="Arial"/>
          <w:sz w:val="20"/>
        </w:rPr>
        <w:t>the operation of a child welfare law in relation to a child.</w:t>
      </w:r>
    </w:p>
    <w:p w14:paraId="77204A92" w14:textId="77777777" w:rsidR="00693223" w:rsidRDefault="00693223" w:rsidP="00BA6FBE">
      <w:pPr>
        <w:numPr>
          <w:ilvl w:val="0"/>
          <w:numId w:val="13"/>
        </w:numPr>
        <w:spacing w:before="60"/>
        <w:ind w:left="714" w:right="357" w:hanging="357"/>
        <w:jc w:val="both"/>
        <w:rPr>
          <w:rFonts w:ascii="Arial" w:hAnsi="Arial" w:cs="Arial"/>
          <w:sz w:val="20"/>
        </w:rPr>
      </w:pPr>
      <w:r>
        <w:rPr>
          <w:rFonts w:ascii="Arial" w:hAnsi="Arial" w:cs="Arial"/>
          <w:b/>
          <w:bCs/>
          <w:sz w:val="20"/>
        </w:rPr>
        <w:t>Federal jurisdiction subject to State jurisdiction [s.69ZK(1)]</w:t>
      </w:r>
      <w:r>
        <w:rPr>
          <w:rFonts w:ascii="Arial" w:hAnsi="Arial" w:cs="Arial"/>
          <w:sz w:val="20"/>
        </w:rPr>
        <w:t>:  Subject to some minor exceptions, a court exercising jurisdiction under the FLA must not make an order under that Act in relation to a child who is under the care (however described) of a person under a child welfare law unless:</w:t>
      </w:r>
    </w:p>
    <w:p w14:paraId="2CD9C9D6" w14:textId="77777777" w:rsidR="00693223" w:rsidRDefault="00693223">
      <w:pPr>
        <w:numPr>
          <w:ilvl w:val="0"/>
          <w:numId w:val="16"/>
        </w:numPr>
        <w:ind w:right="357"/>
        <w:jc w:val="both"/>
        <w:rPr>
          <w:rFonts w:ascii="Arial" w:hAnsi="Arial" w:cs="Arial"/>
          <w:sz w:val="20"/>
        </w:rPr>
      </w:pPr>
      <w:r>
        <w:rPr>
          <w:rFonts w:ascii="Arial" w:hAnsi="Arial" w:cs="Arial"/>
          <w:sz w:val="20"/>
        </w:rPr>
        <w:t>the order is expressed to come into effect when the child ceases to be under that care; or</w:t>
      </w:r>
    </w:p>
    <w:p w14:paraId="3A20E7E4" w14:textId="77777777" w:rsidR="00693223" w:rsidRDefault="00693223">
      <w:pPr>
        <w:numPr>
          <w:ilvl w:val="0"/>
          <w:numId w:val="16"/>
        </w:numPr>
        <w:ind w:right="357"/>
        <w:jc w:val="both"/>
        <w:rPr>
          <w:rFonts w:ascii="Arial" w:hAnsi="Arial" w:cs="Arial"/>
          <w:sz w:val="20"/>
        </w:rPr>
      </w:pPr>
      <w:r>
        <w:rPr>
          <w:rFonts w:ascii="Arial" w:hAnsi="Arial" w:cs="Arial"/>
          <w:sz w:val="20"/>
        </w:rPr>
        <w:t>the order is made in proceedings relating to the child in respect of the institution or continuation of which the written consent of a child welfare officer of the relevant State or Territory has been obtained.</w:t>
      </w:r>
    </w:p>
    <w:p w14:paraId="1B6CE4CE" w14:textId="77777777" w:rsidR="00693223" w:rsidRDefault="00693223">
      <w:pPr>
        <w:pStyle w:val="Heading2"/>
        <w:tabs>
          <w:tab w:val="left" w:pos="567"/>
        </w:tabs>
        <w:spacing w:line="240" w:lineRule="auto"/>
        <w:rPr>
          <w:rFonts w:ascii="Arial" w:hAnsi="Arial" w:cs="Arial"/>
          <w:b/>
          <w:bCs/>
          <w:sz w:val="20"/>
        </w:rPr>
      </w:pPr>
    </w:p>
    <w:p w14:paraId="3B92778C" w14:textId="77777777" w:rsidR="00693223" w:rsidRDefault="00693223">
      <w:pPr>
        <w:jc w:val="both"/>
        <w:rPr>
          <w:rFonts w:ascii="Arial" w:hAnsi="Arial" w:cs="Arial"/>
          <w:sz w:val="20"/>
        </w:rPr>
      </w:pPr>
      <w:r>
        <w:rPr>
          <w:rFonts w:ascii="Arial" w:hAnsi="Arial" w:cs="Arial"/>
          <w:sz w:val="20"/>
        </w:rPr>
        <w:t xml:space="preserve">In its Final Report on Family Law and Child Protection (September 2002) the Family Law Council raised the issue of potential inconsistency if an order of a State court was inconsistent with a prior order under the </w:t>
      </w:r>
      <w:smartTag w:uri="urn:schemas-microsoft-com:office:smarttags" w:element="place">
        <w:smartTag w:uri="urn:schemas-microsoft-com:office:smarttags" w:element="State">
          <w:r>
            <w:rPr>
              <w:rFonts w:ascii="Arial" w:hAnsi="Arial" w:cs="Arial"/>
              <w:sz w:val="20"/>
            </w:rPr>
            <w:t>FLA</w:t>
          </w:r>
        </w:smartTag>
      </w:smartTag>
      <w:r>
        <w:rPr>
          <w:rFonts w:ascii="Arial" w:hAnsi="Arial" w:cs="Arial"/>
          <w:sz w:val="20"/>
        </w:rPr>
        <w:t>: see pp.83-84.  Though it did not express a concluded opinion on the issue, the Family Law Council made the following recommendation in order to "avoid any residual doubt on the constitutionality of such provisions" as s.69ZK:</w:t>
      </w:r>
    </w:p>
    <w:p w14:paraId="7D00FEFC" w14:textId="77777777" w:rsidR="00693223" w:rsidRDefault="00693223" w:rsidP="00855531">
      <w:pPr>
        <w:ind w:left="454" w:right="454"/>
        <w:jc w:val="center"/>
        <w:rPr>
          <w:rFonts w:ascii="Arial" w:hAnsi="Arial" w:cs="Arial"/>
          <w:sz w:val="20"/>
        </w:rPr>
      </w:pPr>
      <w:r>
        <w:rPr>
          <w:rFonts w:ascii="Arial" w:hAnsi="Arial" w:cs="Arial"/>
          <w:sz w:val="20"/>
        </w:rPr>
        <w:t>"</w:t>
      </w:r>
      <w:r>
        <w:rPr>
          <w:rFonts w:ascii="Arial" w:hAnsi="Arial" w:cs="Arial"/>
          <w:b/>
          <w:bCs/>
          <w:sz w:val="20"/>
          <w:u w:val="single"/>
        </w:rPr>
        <w:t>Recommendation 11</w:t>
      </w:r>
    </w:p>
    <w:p w14:paraId="2A43148A" w14:textId="77777777" w:rsidR="00693223" w:rsidRDefault="00693223" w:rsidP="00855531">
      <w:pPr>
        <w:ind w:left="454" w:right="454"/>
        <w:jc w:val="both"/>
        <w:rPr>
          <w:rFonts w:ascii="Arial" w:hAnsi="Arial" w:cs="Arial"/>
          <w:sz w:val="20"/>
        </w:rPr>
      </w:pPr>
      <w:r>
        <w:rPr>
          <w:rFonts w:ascii="Arial" w:hAnsi="Arial" w:cs="Arial"/>
          <w:sz w:val="20"/>
        </w:rPr>
        <w:t>Section 69ZK [of the FLA] should be amended to make clear beyond doubt that residence and contact orders made pursuant to child welfare legislation as an outcome of proceedings brought by a child protection authority for the protection of a child are not inconsistent with the FLA."</w:t>
      </w:r>
    </w:p>
    <w:p w14:paraId="6A77C9DF" w14:textId="77777777" w:rsidR="00300654" w:rsidRDefault="00300654" w:rsidP="00300654">
      <w:pPr>
        <w:rPr>
          <w:rFonts w:ascii="Arial" w:hAnsi="Arial" w:cs="Arial"/>
          <w:sz w:val="20"/>
        </w:rPr>
      </w:pPr>
    </w:p>
    <w:p w14:paraId="108864C1" w14:textId="77777777" w:rsidR="00300654" w:rsidRDefault="00300654" w:rsidP="00300654">
      <w:pPr>
        <w:pStyle w:val="Heading3"/>
        <w:keepNext/>
        <w:keepLines/>
        <w:spacing w:after="120" w:line="240" w:lineRule="auto"/>
        <w:rPr>
          <w:rFonts w:ascii="Arial" w:hAnsi="Arial" w:cs="Arial"/>
          <w:sz w:val="20"/>
        </w:rPr>
      </w:pPr>
      <w:bookmarkStart w:id="1611" w:name="_4.11.6__Sharing"/>
      <w:bookmarkEnd w:id="1611"/>
      <w:r>
        <w:rPr>
          <w:rFonts w:ascii="Arial" w:hAnsi="Arial" w:cs="Arial"/>
          <w:b/>
          <w:bCs/>
          <w:sz w:val="20"/>
        </w:rPr>
        <w:t>4.11.6</w:t>
      </w:r>
      <w:r>
        <w:rPr>
          <w:rFonts w:ascii="Arial" w:hAnsi="Arial" w:cs="Arial"/>
          <w:b/>
          <w:bCs/>
          <w:sz w:val="20"/>
        </w:rPr>
        <w:tab/>
      </w:r>
      <w:r>
        <w:rPr>
          <w:rFonts w:ascii="Arial" w:hAnsi="Arial" w:cs="Arial"/>
          <w:b/>
          <w:bCs/>
          <w:sz w:val="20"/>
        </w:rPr>
        <w:tab/>
        <w:t>Sharing of materials between Children’s Court &amp; Family Court</w:t>
      </w:r>
    </w:p>
    <w:p w14:paraId="5B8DF370" w14:textId="0535C89D" w:rsidR="00300654" w:rsidRDefault="00300654" w:rsidP="0071427A">
      <w:pPr>
        <w:jc w:val="both"/>
        <w:rPr>
          <w:rFonts w:ascii="Arial" w:hAnsi="Arial" w:cs="Arial"/>
          <w:sz w:val="20"/>
          <w:szCs w:val="20"/>
        </w:rPr>
      </w:pPr>
      <w:r>
        <w:rPr>
          <w:rFonts w:ascii="Arial" w:hAnsi="Arial" w:cs="Arial"/>
          <w:sz w:val="20"/>
          <w:szCs w:val="20"/>
        </w:rPr>
        <w:t>There are two separate processes in place for information-sharing between the Children’s Court</w:t>
      </w:r>
      <w:r w:rsidR="0071427A">
        <w:rPr>
          <w:rFonts w:ascii="Arial" w:hAnsi="Arial" w:cs="Arial"/>
          <w:sz w:val="20"/>
          <w:szCs w:val="20"/>
        </w:rPr>
        <w:t xml:space="preserve"> of Victoria [‘C</w:t>
      </w:r>
      <w:r w:rsidR="001202C2">
        <w:rPr>
          <w:rFonts w:ascii="Arial" w:hAnsi="Arial" w:cs="Arial"/>
          <w:sz w:val="20"/>
          <w:szCs w:val="20"/>
        </w:rPr>
        <w:t>h</w:t>
      </w:r>
      <w:r w:rsidR="0071427A">
        <w:rPr>
          <w:rFonts w:ascii="Arial" w:hAnsi="Arial" w:cs="Arial"/>
          <w:sz w:val="20"/>
          <w:szCs w:val="20"/>
        </w:rPr>
        <w:t>CV’]</w:t>
      </w:r>
      <w:r>
        <w:rPr>
          <w:rFonts w:ascii="Arial" w:hAnsi="Arial" w:cs="Arial"/>
          <w:sz w:val="20"/>
          <w:szCs w:val="20"/>
        </w:rPr>
        <w:t xml:space="preserve"> and the </w:t>
      </w:r>
      <w:r w:rsidR="0071427A">
        <w:rPr>
          <w:rFonts w:ascii="Arial" w:hAnsi="Arial" w:cs="Arial"/>
          <w:sz w:val="20"/>
          <w:szCs w:val="20"/>
        </w:rPr>
        <w:t xml:space="preserve">Federal Circuit and Family Court of Australia [‘FCA’] </w:t>
      </w:r>
      <w:r>
        <w:rPr>
          <w:rFonts w:ascii="Arial" w:hAnsi="Arial" w:cs="Arial"/>
          <w:sz w:val="20"/>
          <w:szCs w:val="20"/>
        </w:rPr>
        <w:t>or vice versa:</w:t>
      </w:r>
    </w:p>
    <w:p w14:paraId="6FC0F9C9" w14:textId="77777777" w:rsidR="00300654" w:rsidRDefault="00300654" w:rsidP="00300654">
      <w:pPr>
        <w:rPr>
          <w:rFonts w:ascii="Arial" w:hAnsi="Arial" w:cs="Arial"/>
          <w:sz w:val="20"/>
          <w:szCs w:val="20"/>
        </w:rPr>
      </w:pPr>
    </w:p>
    <w:p w14:paraId="593B75A6" w14:textId="57E0A4E6" w:rsidR="00300654" w:rsidRPr="00300654" w:rsidRDefault="00300654">
      <w:pPr>
        <w:numPr>
          <w:ilvl w:val="0"/>
          <w:numId w:val="47"/>
        </w:numPr>
        <w:ind w:left="357" w:hanging="357"/>
        <w:jc w:val="both"/>
        <w:rPr>
          <w:rFonts w:ascii="Arial" w:hAnsi="Arial" w:cs="Arial"/>
          <w:sz w:val="20"/>
          <w:szCs w:val="20"/>
        </w:rPr>
      </w:pPr>
      <w:r>
        <w:rPr>
          <w:rFonts w:ascii="Arial" w:hAnsi="Arial" w:cs="Arial"/>
          <w:sz w:val="20"/>
          <w:szCs w:val="20"/>
        </w:rPr>
        <w:t>A</w:t>
      </w:r>
      <w:r w:rsidRPr="00300654">
        <w:rPr>
          <w:rFonts w:ascii="Arial" w:hAnsi="Arial" w:cs="Arial"/>
          <w:sz w:val="20"/>
          <w:szCs w:val="20"/>
        </w:rPr>
        <w:t xml:space="preserve"> broad informal information-sharing process has been in place for some </w:t>
      </w:r>
      <w:r w:rsidR="00FF65C7">
        <w:rPr>
          <w:rFonts w:ascii="Arial" w:hAnsi="Arial" w:cs="Arial"/>
          <w:sz w:val="20"/>
          <w:szCs w:val="20"/>
        </w:rPr>
        <w:t>years</w:t>
      </w:r>
      <w:r w:rsidRPr="00300654">
        <w:rPr>
          <w:rFonts w:ascii="Arial" w:hAnsi="Arial" w:cs="Arial"/>
          <w:sz w:val="20"/>
          <w:szCs w:val="20"/>
        </w:rPr>
        <w:t>.</w:t>
      </w:r>
      <w:r>
        <w:rPr>
          <w:rFonts w:ascii="Arial" w:hAnsi="Arial" w:cs="Arial"/>
          <w:sz w:val="20"/>
          <w:szCs w:val="20"/>
        </w:rPr>
        <w:t xml:space="preserve"> </w:t>
      </w:r>
      <w:r w:rsidRPr="00300654">
        <w:rPr>
          <w:rFonts w:ascii="Arial" w:hAnsi="Arial" w:cs="Arial"/>
          <w:sz w:val="20"/>
          <w:szCs w:val="20"/>
        </w:rPr>
        <w:t xml:space="preserve"> Underpinning it is what is now rule 6.27 of the </w:t>
      </w:r>
      <w:r w:rsidRPr="00300654">
        <w:rPr>
          <w:rFonts w:ascii="Arial" w:hAnsi="Arial" w:cs="Arial"/>
          <w:i/>
          <w:iCs/>
          <w:sz w:val="20"/>
          <w:szCs w:val="20"/>
        </w:rPr>
        <w:t>Federal Circuit and Family Court of Australia (Family Court) Rules 2021</w:t>
      </w:r>
      <w:r w:rsidRPr="00300654">
        <w:rPr>
          <w:rFonts w:ascii="Arial" w:hAnsi="Arial" w:cs="Arial"/>
          <w:sz w:val="20"/>
          <w:szCs w:val="20"/>
        </w:rPr>
        <w:t xml:space="preserve"> </w:t>
      </w:r>
      <w:r w:rsidR="006A4203">
        <w:rPr>
          <w:rFonts w:ascii="Arial" w:hAnsi="Arial" w:cs="Arial"/>
          <w:sz w:val="20"/>
          <w:szCs w:val="20"/>
        </w:rPr>
        <w:t xml:space="preserve">which provides </w:t>
      </w:r>
      <w:r w:rsidRPr="00300654">
        <w:rPr>
          <w:rFonts w:ascii="Arial" w:hAnsi="Arial" w:cs="Arial"/>
          <w:sz w:val="20"/>
          <w:szCs w:val="20"/>
        </w:rPr>
        <w:t xml:space="preserve">that a party or an </w:t>
      </w:r>
      <w:r w:rsidR="00DD6B2B">
        <w:rPr>
          <w:rFonts w:ascii="Arial" w:hAnsi="Arial" w:cs="Arial"/>
          <w:sz w:val="20"/>
          <w:szCs w:val="20"/>
        </w:rPr>
        <w:t>independent children’s lawyer [</w:t>
      </w:r>
      <w:r w:rsidRPr="00300654">
        <w:rPr>
          <w:rFonts w:ascii="Arial" w:hAnsi="Arial" w:cs="Arial"/>
          <w:sz w:val="20"/>
          <w:szCs w:val="20"/>
        </w:rPr>
        <w:t>ICL</w:t>
      </w:r>
      <w:r w:rsidR="00DD6B2B">
        <w:rPr>
          <w:rFonts w:ascii="Arial" w:hAnsi="Arial" w:cs="Arial"/>
          <w:sz w:val="20"/>
          <w:szCs w:val="20"/>
        </w:rPr>
        <w:t>]</w:t>
      </w:r>
      <w:r w:rsidRPr="00300654">
        <w:rPr>
          <w:rFonts w:ascii="Arial" w:hAnsi="Arial" w:cs="Arial"/>
          <w:sz w:val="20"/>
          <w:szCs w:val="20"/>
        </w:rPr>
        <w:t xml:space="preserve"> must not issue a subpoena without the permission of </w:t>
      </w:r>
      <w:r w:rsidR="0071427A">
        <w:rPr>
          <w:rFonts w:ascii="Arial" w:hAnsi="Arial" w:cs="Arial"/>
          <w:sz w:val="20"/>
          <w:szCs w:val="20"/>
        </w:rPr>
        <w:t xml:space="preserve">the </w:t>
      </w:r>
      <w:r>
        <w:rPr>
          <w:rFonts w:ascii="Arial" w:hAnsi="Arial" w:cs="Arial"/>
          <w:sz w:val="20"/>
          <w:szCs w:val="20"/>
        </w:rPr>
        <w:t xml:space="preserve">FCA.  </w:t>
      </w:r>
      <w:r w:rsidRPr="00300654">
        <w:rPr>
          <w:rFonts w:ascii="Arial" w:hAnsi="Arial" w:cs="Arial"/>
          <w:sz w:val="20"/>
          <w:szCs w:val="20"/>
        </w:rPr>
        <w:t xml:space="preserve">For its part, the FCA does not issue subpoenas for the production of </w:t>
      </w:r>
      <w:r>
        <w:rPr>
          <w:rFonts w:ascii="Arial" w:hAnsi="Arial" w:cs="Arial"/>
          <w:sz w:val="20"/>
          <w:szCs w:val="20"/>
        </w:rPr>
        <w:t>files or other materials from the C</w:t>
      </w:r>
      <w:r w:rsidR="001202C2">
        <w:rPr>
          <w:rFonts w:ascii="Arial" w:hAnsi="Arial" w:cs="Arial"/>
          <w:sz w:val="20"/>
          <w:szCs w:val="20"/>
        </w:rPr>
        <w:t>h</w:t>
      </w:r>
      <w:r>
        <w:rPr>
          <w:rFonts w:ascii="Arial" w:hAnsi="Arial" w:cs="Arial"/>
          <w:sz w:val="20"/>
          <w:szCs w:val="20"/>
        </w:rPr>
        <w:t xml:space="preserve">CV.  </w:t>
      </w:r>
      <w:r w:rsidRPr="00300654">
        <w:rPr>
          <w:rFonts w:ascii="Arial" w:hAnsi="Arial" w:cs="Arial"/>
          <w:sz w:val="20"/>
          <w:szCs w:val="20"/>
        </w:rPr>
        <w:t>What happens instead is:</w:t>
      </w:r>
    </w:p>
    <w:p w14:paraId="591D5538" w14:textId="5B7CD09F" w:rsidR="00300654" w:rsidRPr="00300654" w:rsidRDefault="00300654">
      <w:pPr>
        <w:pStyle w:val="ListParagraph"/>
        <w:numPr>
          <w:ilvl w:val="0"/>
          <w:numId w:val="46"/>
        </w:numPr>
        <w:rPr>
          <w:rFonts w:ascii="Arial" w:hAnsi="Arial" w:cs="Arial"/>
          <w:sz w:val="20"/>
          <w:szCs w:val="16"/>
        </w:rPr>
      </w:pPr>
      <w:r w:rsidRPr="00300654">
        <w:rPr>
          <w:rFonts w:ascii="Arial" w:hAnsi="Arial" w:cs="Arial"/>
          <w:sz w:val="20"/>
          <w:szCs w:val="16"/>
        </w:rPr>
        <w:t>A judge in the FCA orders a registrar of the FCA to request the C</w:t>
      </w:r>
      <w:r w:rsidR="001202C2">
        <w:rPr>
          <w:rFonts w:ascii="Arial" w:hAnsi="Arial" w:cs="Arial"/>
          <w:sz w:val="20"/>
          <w:szCs w:val="16"/>
        </w:rPr>
        <w:t>h</w:t>
      </w:r>
      <w:r w:rsidRPr="00300654">
        <w:rPr>
          <w:rFonts w:ascii="Arial" w:hAnsi="Arial" w:cs="Arial"/>
          <w:sz w:val="20"/>
          <w:szCs w:val="16"/>
        </w:rPr>
        <w:t>CV for a specified file and/or other document(s) or order(s).</w:t>
      </w:r>
    </w:p>
    <w:p w14:paraId="555B1F1B" w14:textId="5E5C5B92" w:rsidR="00300654" w:rsidRPr="00300654" w:rsidRDefault="00300654">
      <w:pPr>
        <w:pStyle w:val="ListParagraph"/>
        <w:numPr>
          <w:ilvl w:val="0"/>
          <w:numId w:val="46"/>
        </w:numPr>
        <w:rPr>
          <w:rFonts w:ascii="Arial" w:hAnsi="Arial" w:cs="Arial"/>
          <w:sz w:val="20"/>
          <w:szCs w:val="16"/>
        </w:rPr>
      </w:pPr>
      <w:r w:rsidRPr="00300654">
        <w:rPr>
          <w:rFonts w:ascii="Arial" w:hAnsi="Arial" w:cs="Arial"/>
          <w:sz w:val="20"/>
          <w:szCs w:val="16"/>
        </w:rPr>
        <w:t>The FCA registrar makes the request of the C</w:t>
      </w:r>
      <w:r w:rsidR="001202C2">
        <w:rPr>
          <w:rFonts w:ascii="Arial" w:hAnsi="Arial" w:cs="Arial"/>
          <w:sz w:val="20"/>
          <w:szCs w:val="16"/>
        </w:rPr>
        <w:t>h</w:t>
      </w:r>
      <w:r w:rsidRPr="00300654">
        <w:rPr>
          <w:rFonts w:ascii="Arial" w:hAnsi="Arial" w:cs="Arial"/>
          <w:sz w:val="20"/>
          <w:szCs w:val="16"/>
        </w:rPr>
        <w:t>CV.</w:t>
      </w:r>
    </w:p>
    <w:p w14:paraId="23C53FE1" w14:textId="634610B6" w:rsidR="00300654" w:rsidRPr="00300654" w:rsidRDefault="00300654">
      <w:pPr>
        <w:pStyle w:val="ListParagraph"/>
        <w:numPr>
          <w:ilvl w:val="0"/>
          <w:numId w:val="46"/>
        </w:numPr>
        <w:rPr>
          <w:rFonts w:ascii="Arial" w:hAnsi="Arial" w:cs="Arial"/>
          <w:sz w:val="20"/>
          <w:szCs w:val="16"/>
        </w:rPr>
      </w:pPr>
      <w:r w:rsidRPr="00300654">
        <w:rPr>
          <w:rFonts w:ascii="Arial" w:hAnsi="Arial" w:cs="Arial"/>
          <w:sz w:val="20"/>
          <w:szCs w:val="16"/>
        </w:rPr>
        <w:t>A C</w:t>
      </w:r>
      <w:r w:rsidR="001202C2">
        <w:rPr>
          <w:rFonts w:ascii="Arial" w:hAnsi="Arial" w:cs="Arial"/>
          <w:sz w:val="20"/>
          <w:szCs w:val="16"/>
        </w:rPr>
        <w:t>h</w:t>
      </w:r>
      <w:r w:rsidRPr="00300654">
        <w:rPr>
          <w:rFonts w:ascii="Arial" w:hAnsi="Arial" w:cs="Arial"/>
          <w:sz w:val="20"/>
          <w:szCs w:val="16"/>
        </w:rPr>
        <w:t>CV registrar puts the requested material together and submits it to the President or a magistrate of the C</w:t>
      </w:r>
      <w:r w:rsidR="001202C2">
        <w:rPr>
          <w:rFonts w:ascii="Arial" w:hAnsi="Arial" w:cs="Arial"/>
          <w:sz w:val="20"/>
          <w:szCs w:val="16"/>
        </w:rPr>
        <w:t>h</w:t>
      </w:r>
      <w:r w:rsidRPr="00300654">
        <w:rPr>
          <w:rFonts w:ascii="Arial" w:hAnsi="Arial" w:cs="Arial"/>
          <w:sz w:val="20"/>
          <w:szCs w:val="16"/>
        </w:rPr>
        <w:t>CV for his or her authority to provide the material to the FCA.</w:t>
      </w:r>
    </w:p>
    <w:p w14:paraId="613051E2" w14:textId="1831DAE4" w:rsidR="00300654" w:rsidRPr="00300654" w:rsidRDefault="00300654">
      <w:pPr>
        <w:pStyle w:val="ListParagraph"/>
        <w:numPr>
          <w:ilvl w:val="0"/>
          <w:numId w:val="46"/>
        </w:numPr>
        <w:rPr>
          <w:rFonts w:ascii="Arial" w:hAnsi="Arial" w:cs="Arial"/>
          <w:sz w:val="20"/>
          <w:szCs w:val="16"/>
        </w:rPr>
      </w:pPr>
      <w:r w:rsidRPr="00300654">
        <w:rPr>
          <w:rFonts w:ascii="Arial" w:hAnsi="Arial" w:cs="Arial"/>
          <w:sz w:val="20"/>
          <w:szCs w:val="16"/>
        </w:rPr>
        <w:t>If authorised the material is forwarded by a C</w:t>
      </w:r>
      <w:r w:rsidR="001202C2">
        <w:rPr>
          <w:rFonts w:ascii="Arial" w:hAnsi="Arial" w:cs="Arial"/>
          <w:sz w:val="20"/>
          <w:szCs w:val="16"/>
        </w:rPr>
        <w:t>h</w:t>
      </w:r>
      <w:r w:rsidRPr="00300654">
        <w:rPr>
          <w:rFonts w:ascii="Arial" w:hAnsi="Arial" w:cs="Arial"/>
          <w:sz w:val="20"/>
          <w:szCs w:val="16"/>
        </w:rPr>
        <w:t>CV registrar to the FCA registry.</w:t>
      </w:r>
    </w:p>
    <w:p w14:paraId="15C23F51" w14:textId="11FC1307" w:rsidR="00300654" w:rsidRPr="00300654" w:rsidRDefault="00300654" w:rsidP="00300654">
      <w:pPr>
        <w:spacing w:before="120"/>
        <w:ind w:left="357"/>
        <w:rPr>
          <w:rFonts w:ascii="Arial" w:hAnsi="Arial" w:cs="Arial"/>
          <w:sz w:val="20"/>
          <w:szCs w:val="20"/>
        </w:rPr>
      </w:pPr>
      <w:r w:rsidRPr="00300654">
        <w:rPr>
          <w:rFonts w:ascii="Arial" w:hAnsi="Arial" w:cs="Arial"/>
          <w:sz w:val="20"/>
          <w:szCs w:val="20"/>
        </w:rPr>
        <w:t>This information-sharing process also works the same way in the other direction when the C</w:t>
      </w:r>
      <w:r w:rsidR="001202C2">
        <w:rPr>
          <w:rFonts w:ascii="Arial" w:hAnsi="Arial" w:cs="Arial"/>
          <w:sz w:val="20"/>
          <w:szCs w:val="20"/>
        </w:rPr>
        <w:t>h</w:t>
      </w:r>
      <w:r w:rsidRPr="00300654">
        <w:rPr>
          <w:rFonts w:ascii="Arial" w:hAnsi="Arial" w:cs="Arial"/>
          <w:sz w:val="20"/>
          <w:szCs w:val="20"/>
        </w:rPr>
        <w:t>CV requests material from the FCA.</w:t>
      </w:r>
    </w:p>
    <w:p w14:paraId="5803D5B3" w14:textId="77777777" w:rsidR="00300654" w:rsidRDefault="00300654" w:rsidP="00300654">
      <w:pPr>
        <w:rPr>
          <w:rFonts w:ascii="Arial" w:hAnsi="Arial" w:cs="Arial"/>
          <w:sz w:val="20"/>
          <w:szCs w:val="20"/>
        </w:rPr>
      </w:pPr>
    </w:p>
    <w:p w14:paraId="262A149D" w14:textId="0856B237" w:rsidR="00300654" w:rsidRDefault="00300654">
      <w:pPr>
        <w:numPr>
          <w:ilvl w:val="0"/>
          <w:numId w:val="47"/>
        </w:numPr>
        <w:ind w:left="357" w:hanging="357"/>
        <w:jc w:val="both"/>
        <w:rPr>
          <w:rFonts w:ascii="Arial" w:hAnsi="Arial" w:cs="Arial"/>
          <w:sz w:val="20"/>
          <w:szCs w:val="20"/>
        </w:rPr>
      </w:pPr>
      <w:r w:rsidRPr="00300654">
        <w:rPr>
          <w:rFonts w:ascii="Arial" w:hAnsi="Arial" w:cs="Arial"/>
          <w:sz w:val="20"/>
          <w:szCs w:val="20"/>
        </w:rPr>
        <w:t xml:space="preserve">Independently of the above – but partly overlapping with it – are two much more recent protocols, the Family Violence Information Sharing Scheme [FVISS] and the Child Information Sharing Scheme [CISS]. </w:t>
      </w:r>
      <w:r>
        <w:rPr>
          <w:rFonts w:ascii="Arial" w:hAnsi="Arial" w:cs="Arial"/>
          <w:sz w:val="20"/>
          <w:szCs w:val="20"/>
        </w:rPr>
        <w:t xml:space="preserve">This discussion is </w:t>
      </w:r>
      <w:r w:rsidRPr="00300654">
        <w:rPr>
          <w:rFonts w:ascii="Arial" w:hAnsi="Arial" w:cs="Arial"/>
          <w:sz w:val="20"/>
          <w:szCs w:val="20"/>
        </w:rPr>
        <w:t>confine</w:t>
      </w:r>
      <w:r>
        <w:rPr>
          <w:rFonts w:ascii="Arial" w:hAnsi="Arial" w:cs="Arial"/>
          <w:sz w:val="20"/>
          <w:szCs w:val="20"/>
        </w:rPr>
        <w:t>d</w:t>
      </w:r>
      <w:r w:rsidRPr="00300654">
        <w:rPr>
          <w:rFonts w:ascii="Arial" w:hAnsi="Arial" w:cs="Arial"/>
          <w:sz w:val="20"/>
          <w:szCs w:val="20"/>
        </w:rPr>
        <w:t xml:space="preserve"> to the former. </w:t>
      </w:r>
      <w:r>
        <w:rPr>
          <w:rFonts w:ascii="Arial" w:hAnsi="Arial" w:cs="Arial"/>
          <w:sz w:val="20"/>
          <w:szCs w:val="20"/>
        </w:rPr>
        <w:t xml:space="preserve"> </w:t>
      </w:r>
      <w:r w:rsidRPr="00300654">
        <w:rPr>
          <w:rFonts w:ascii="Arial" w:hAnsi="Arial" w:cs="Arial"/>
          <w:sz w:val="20"/>
          <w:szCs w:val="20"/>
        </w:rPr>
        <w:t xml:space="preserve">The FVISS is grounded in amendments made to the </w:t>
      </w:r>
      <w:r w:rsidRPr="00300654">
        <w:rPr>
          <w:rFonts w:ascii="Arial" w:hAnsi="Arial" w:cs="Arial"/>
          <w:i/>
          <w:iCs/>
          <w:sz w:val="20"/>
          <w:szCs w:val="20"/>
        </w:rPr>
        <w:t>Family Violence Protection Act 2008</w:t>
      </w:r>
      <w:r w:rsidRPr="00300654">
        <w:rPr>
          <w:rFonts w:ascii="Arial" w:hAnsi="Arial" w:cs="Arial"/>
          <w:sz w:val="20"/>
          <w:szCs w:val="20"/>
        </w:rPr>
        <w:t xml:space="preserve"> [FVPA] which </w:t>
      </w:r>
      <w:r w:rsidR="0071427A">
        <w:rPr>
          <w:rFonts w:ascii="Arial" w:hAnsi="Arial" w:cs="Arial"/>
          <w:sz w:val="20"/>
          <w:szCs w:val="20"/>
        </w:rPr>
        <w:t xml:space="preserve">are </w:t>
      </w:r>
      <w:r w:rsidRPr="00300654">
        <w:rPr>
          <w:rFonts w:ascii="Arial" w:hAnsi="Arial" w:cs="Arial"/>
          <w:sz w:val="20"/>
          <w:szCs w:val="20"/>
        </w:rPr>
        <w:t xml:space="preserve">described in </w:t>
      </w:r>
      <w:r w:rsidR="008E4A97">
        <w:rPr>
          <w:rFonts w:ascii="Arial" w:hAnsi="Arial" w:cs="Arial"/>
          <w:b/>
          <w:bCs/>
          <w:sz w:val="20"/>
          <w:szCs w:val="20"/>
          <w:shd w:val="clear" w:color="auto" w:fill="C5E0B3"/>
        </w:rPr>
        <w:t>Part</w:t>
      </w:r>
      <w:r w:rsidRPr="00A40A28">
        <w:rPr>
          <w:rFonts w:ascii="Arial" w:hAnsi="Arial" w:cs="Arial"/>
          <w:b/>
          <w:bCs/>
          <w:sz w:val="20"/>
          <w:szCs w:val="20"/>
          <w:shd w:val="clear" w:color="auto" w:fill="C5E0B3"/>
        </w:rPr>
        <w:t xml:space="preserve"> 6FV.15</w:t>
      </w:r>
      <w:r w:rsidRPr="00300654">
        <w:rPr>
          <w:rFonts w:ascii="Arial" w:hAnsi="Arial" w:cs="Arial"/>
          <w:sz w:val="20"/>
          <w:szCs w:val="20"/>
        </w:rPr>
        <w:t xml:space="preserve"> of the Research Materials</w:t>
      </w:r>
      <w:r w:rsidR="0071427A">
        <w:rPr>
          <w:rFonts w:ascii="Arial" w:hAnsi="Arial" w:cs="Arial"/>
          <w:sz w:val="20"/>
          <w:szCs w:val="20"/>
        </w:rPr>
        <w:t>.</w:t>
      </w:r>
    </w:p>
    <w:p w14:paraId="376583AF" w14:textId="77777777" w:rsidR="00886802" w:rsidRDefault="00886802" w:rsidP="00886802">
      <w:pPr>
        <w:spacing w:before="120"/>
        <w:ind w:left="357"/>
        <w:jc w:val="both"/>
        <w:rPr>
          <w:rFonts w:ascii="Arial" w:hAnsi="Arial" w:cs="Arial"/>
          <w:sz w:val="20"/>
          <w:szCs w:val="20"/>
        </w:rPr>
      </w:pPr>
      <w:r w:rsidRPr="00886802">
        <w:rPr>
          <w:rFonts w:ascii="Arial" w:hAnsi="Arial" w:cs="Arial"/>
          <w:sz w:val="20"/>
          <w:szCs w:val="20"/>
        </w:rPr>
        <w:t>The FVISS is applicable in the case of any “Family Violence Related Proceedings”.</w:t>
      </w:r>
      <w:r>
        <w:rPr>
          <w:rFonts w:ascii="Arial" w:hAnsi="Arial" w:cs="Arial"/>
          <w:sz w:val="20"/>
          <w:szCs w:val="20"/>
        </w:rPr>
        <w:t xml:space="preserve"> </w:t>
      </w:r>
      <w:r w:rsidRPr="00886802">
        <w:rPr>
          <w:rFonts w:ascii="Arial" w:hAnsi="Arial" w:cs="Arial"/>
          <w:sz w:val="20"/>
          <w:szCs w:val="20"/>
        </w:rPr>
        <w:t xml:space="preserve"> This means it overlaps </w:t>
      </w:r>
      <w:r>
        <w:rPr>
          <w:rFonts w:ascii="Arial" w:hAnsi="Arial" w:cs="Arial"/>
          <w:sz w:val="20"/>
          <w:szCs w:val="20"/>
        </w:rPr>
        <w:t xml:space="preserve">significantly </w:t>
      </w:r>
      <w:r w:rsidRPr="00886802">
        <w:rPr>
          <w:rFonts w:ascii="Arial" w:hAnsi="Arial" w:cs="Arial"/>
          <w:sz w:val="20"/>
          <w:szCs w:val="20"/>
        </w:rPr>
        <w:t>with the broad informal information-sharing process described</w:t>
      </w:r>
      <w:r>
        <w:rPr>
          <w:rFonts w:ascii="Arial" w:hAnsi="Arial" w:cs="Arial"/>
          <w:sz w:val="20"/>
          <w:szCs w:val="20"/>
        </w:rPr>
        <w:t xml:space="preserve"> </w:t>
      </w:r>
      <w:r w:rsidRPr="00886802">
        <w:rPr>
          <w:rFonts w:ascii="Arial" w:hAnsi="Arial" w:cs="Arial"/>
          <w:sz w:val="20"/>
          <w:szCs w:val="20"/>
        </w:rPr>
        <w:t>above in any child protection case in which there is an element of family violence.</w:t>
      </w:r>
      <w:r>
        <w:rPr>
          <w:rFonts w:ascii="Arial" w:hAnsi="Arial" w:cs="Arial"/>
          <w:sz w:val="20"/>
          <w:szCs w:val="20"/>
        </w:rPr>
        <w:t xml:space="preserve"> </w:t>
      </w:r>
      <w:r w:rsidRPr="00886802">
        <w:rPr>
          <w:rFonts w:ascii="Arial" w:hAnsi="Arial" w:cs="Arial"/>
          <w:sz w:val="20"/>
          <w:szCs w:val="20"/>
        </w:rPr>
        <w:t xml:space="preserve"> In </w:t>
      </w:r>
      <w:r>
        <w:rPr>
          <w:rFonts w:ascii="Arial" w:hAnsi="Arial" w:cs="Arial"/>
          <w:sz w:val="20"/>
          <w:szCs w:val="20"/>
        </w:rPr>
        <w:t>the writer’s</w:t>
      </w:r>
      <w:r w:rsidRPr="00886802">
        <w:rPr>
          <w:rFonts w:ascii="Arial" w:hAnsi="Arial" w:cs="Arial"/>
          <w:sz w:val="20"/>
          <w:szCs w:val="20"/>
        </w:rPr>
        <w:t xml:space="preserve"> experience that means </w:t>
      </w:r>
      <w:r>
        <w:rPr>
          <w:rFonts w:ascii="Arial" w:hAnsi="Arial" w:cs="Arial"/>
          <w:sz w:val="20"/>
          <w:szCs w:val="20"/>
        </w:rPr>
        <w:t>a significant proportion</w:t>
      </w:r>
      <w:r w:rsidRPr="00886802">
        <w:rPr>
          <w:rFonts w:ascii="Arial" w:hAnsi="Arial" w:cs="Arial"/>
          <w:sz w:val="20"/>
          <w:szCs w:val="20"/>
        </w:rPr>
        <w:t xml:space="preserve"> of them.</w:t>
      </w:r>
    </w:p>
    <w:p w14:paraId="4C799056" w14:textId="0E729F28" w:rsidR="00886802" w:rsidRDefault="00886802" w:rsidP="00886802">
      <w:pPr>
        <w:spacing w:before="120"/>
        <w:ind w:left="357"/>
        <w:jc w:val="both"/>
        <w:rPr>
          <w:rFonts w:ascii="Arial" w:hAnsi="Arial" w:cs="Arial"/>
          <w:sz w:val="20"/>
          <w:szCs w:val="20"/>
        </w:rPr>
      </w:pPr>
      <w:r>
        <w:rPr>
          <w:rFonts w:ascii="Arial" w:hAnsi="Arial" w:cs="Arial"/>
          <w:sz w:val="20"/>
          <w:szCs w:val="20"/>
        </w:rPr>
        <w:t xml:space="preserve">To assist with the operation of the FVISS protocol, guidelines </w:t>
      </w:r>
      <w:r w:rsidR="006A4203">
        <w:rPr>
          <w:rFonts w:ascii="Arial" w:hAnsi="Arial" w:cs="Arial"/>
          <w:sz w:val="20"/>
          <w:szCs w:val="20"/>
        </w:rPr>
        <w:t xml:space="preserve">are in place </w:t>
      </w:r>
      <w:r>
        <w:rPr>
          <w:rFonts w:ascii="Arial" w:hAnsi="Arial" w:cs="Arial"/>
          <w:sz w:val="20"/>
          <w:szCs w:val="20"/>
        </w:rPr>
        <w:t xml:space="preserve">for information-sharing between the Magistrates’ Court of Victoria [‘MCV’], the </w:t>
      </w:r>
      <w:r w:rsidRPr="00886802">
        <w:rPr>
          <w:rFonts w:ascii="Arial" w:hAnsi="Arial" w:cs="Arial"/>
          <w:sz w:val="20"/>
          <w:szCs w:val="20"/>
        </w:rPr>
        <w:t>C</w:t>
      </w:r>
      <w:r w:rsidR="001202C2">
        <w:rPr>
          <w:rFonts w:ascii="Arial" w:hAnsi="Arial" w:cs="Arial"/>
          <w:sz w:val="20"/>
          <w:szCs w:val="20"/>
        </w:rPr>
        <w:t>h</w:t>
      </w:r>
      <w:r w:rsidRPr="00886802">
        <w:rPr>
          <w:rFonts w:ascii="Arial" w:hAnsi="Arial" w:cs="Arial"/>
          <w:sz w:val="20"/>
          <w:szCs w:val="20"/>
        </w:rPr>
        <w:t>CV and the FCA</w:t>
      </w:r>
      <w:r>
        <w:rPr>
          <w:rFonts w:ascii="Arial" w:hAnsi="Arial" w:cs="Arial"/>
          <w:sz w:val="20"/>
          <w:szCs w:val="20"/>
        </w:rPr>
        <w:t>.  In</w:t>
      </w:r>
      <w:r w:rsidR="006A4203">
        <w:rPr>
          <w:rFonts w:ascii="Arial" w:hAnsi="Arial" w:cs="Arial"/>
          <w:sz w:val="20"/>
          <w:szCs w:val="20"/>
        </w:rPr>
        <w:t> </w:t>
      </w:r>
      <w:r>
        <w:rPr>
          <w:rFonts w:ascii="Arial" w:hAnsi="Arial" w:cs="Arial"/>
          <w:sz w:val="20"/>
          <w:szCs w:val="20"/>
        </w:rPr>
        <w:t>particular:</w:t>
      </w:r>
    </w:p>
    <w:p w14:paraId="6EA3232F" w14:textId="77777777" w:rsidR="00886802" w:rsidRDefault="00886802">
      <w:pPr>
        <w:numPr>
          <w:ilvl w:val="0"/>
          <w:numId w:val="48"/>
        </w:numPr>
        <w:ind w:left="714" w:hanging="357"/>
        <w:jc w:val="both"/>
        <w:rPr>
          <w:rFonts w:ascii="Arial" w:hAnsi="Arial" w:cs="Arial"/>
          <w:sz w:val="20"/>
          <w:szCs w:val="20"/>
        </w:rPr>
      </w:pPr>
      <w:r w:rsidRPr="00886802">
        <w:rPr>
          <w:rFonts w:ascii="Arial" w:hAnsi="Arial" w:cs="Arial"/>
          <w:sz w:val="20"/>
          <w:szCs w:val="20"/>
        </w:rPr>
        <w:t xml:space="preserve">section 7.1 sets out a process for </w:t>
      </w:r>
      <w:r>
        <w:rPr>
          <w:rFonts w:ascii="Arial" w:hAnsi="Arial" w:cs="Arial"/>
          <w:sz w:val="20"/>
          <w:szCs w:val="20"/>
        </w:rPr>
        <w:t xml:space="preserve">the </w:t>
      </w:r>
      <w:r w:rsidRPr="00886802">
        <w:rPr>
          <w:rFonts w:ascii="Arial" w:hAnsi="Arial" w:cs="Arial"/>
          <w:sz w:val="20"/>
          <w:szCs w:val="20"/>
        </w:rPr>
        <w:t xml:space="preserve">sharing of information between registry officers without </w:t>
      </w:r>
      <w:r>
        <w:rPr>
          <w:rFonts w:ascii="Arial" w:hAnsi="Arial" w:cs="Arial"/>
          <w:sz w:val="20"/>
          <w:szCs w:val="20"/>
        </w:rPr>
        <w:t xml:space="preserve">requiring </w:t>
      </w:r>
      <w:r w:rsidRPr="00886802">
        <w:rPr>
          <w:rFonts w:ascii="Arial" w:hAnsi="Arial" w:cs="Arial"/>
          <w:sz w:val="20"/>
          <w:szCs w:val="20"/>
        </w:rPr>
        <w:t>judicial approval</w:t>
      </w:r>
      <w:r>
        <w:rPr>
          <w:rFonts w:ascii="Arial" w:hAnsi="Arial" w:cs="Arial"/>
          <w:sz w:val="20"/>
          <w:szCs w:val="20"/>
        </w:rPr>
        <w:t>; and</w:t>
      </w:r>
    </w:p>
    <w:p w14:paraId="0389AA27" w14:textId="77777777" w:rsidR="00886802" w:rsidRPr="00886802" w:rsidRDefault="00886802">
      <w:pPr>
        <w:numPr>
          <w:ilvl w:val="0"/>
          <w:numId w:val="48"/>
        </w:numPr>
        <w:ind w:left="714" w:hanging="357"/>
        <w:jc w:val="both"/>
        <w:rPr>
          <w:rFonts w:ascii="Arial" w:hAnsi="Arial" w:cs="Arial"/>
          <w:sz w:val="20"/>
          <w:szCs w:val="20"/>
        </w:rPr>
      </w:pPr>
      <w:r w:rsidRPr="00886802">
        <w:rPr>
          <w:rFonts w:ascii="Arial" w:hAnsi="Arial" w:cs="Arial"/>
          <w:sz w:val="20"/>
          <w:szCs w:val="20"/>
        </w:rPr>
        <w:t>section 7.2 sets out a process for sharing of information requested by a judicial officer.</w:t>
      </w:r>
    </w:p>
    <w:p w14:paraId="5351592F" w14:textId="5E506A11" w:rsidR="00886802" w:rsidRPr="00886802" w:rsidRDefault="00886802" w:rsidP="00886802">
      <w:pPr>
        <w:spacing w:before="120"/>
        <w:ind w:left="357"/>
        <w:jc w:val="both"/>
        <w:rPr>
          <w:rFonts w:ascii="Arial" w:hAnsi="Arial" w:cs="Arial"/>
          <w:sz w:val="20"/>
          <w:szCs w:val="20"/>
        </w:rPr>
      </w:pPr>
      <w:r>
        <w:rPr>
          <w:rFonts w:ascii="Arial" w:hAnsi="Arial" w:cs="Arial"/>
          <w:sz w:val="20"/>
          <w:szCs w:val="20"/>
        </w:rPr>
        <w:t>A</w:t>
      </w:r>
      <w:r w:rsidRPr="00886802">
        <w:rPr>
          <w:rFonts w:ascii="Arial" w:hAnsi="Arial" w:cs="Arial"/>
          <w:sz w:val="20"/>
          <w:szCs w:val="20"/>
        </w:rPr>
        <w:t xml:space="preserve"> </w:t>
      </w:r>
      <w:r>
        <w:rPr>
          <w:rFonts w:ascii="Arial" w:hAnsi="Arial" w:cs="Arial"/>
          <w:sz w:val="20"/>
          <w:szCs w:val="20"/>
        </w:rPr>
        <w:t>number</w:t>
      </w:r>
      <w:r w:rsidRPr="00886802">
        <w:rPr>
          <w:rFonts w:ascii="Arial" w:hAnsi="Arial" w:cs="Arial"/>
          <w:sz w:val="20"/>
          <w:szCs w:val="20"/>
        </w:rPr>
        <w:t xml:space="preserve"> of people </w:t>
      </w:r>
      <w:r>
        <w:rPr>
          <w:rFonts w:ascii="Arial" w:hAnsi="Arial" w:cs="Arial"/>
          <w:sz w:val="20"/>
          <w:szCs w:val="20"/>
        </w:rPr>
        <w:t xml:space="preserve">are </w:t>
      </w:r>
      <w:r w:rsidRPr="00886802">
        <w:rPr>
          <w:rFonts w:ascii="Arial" w:hAnsi="Arial" w:cs="Arial"/>
          <w:sz w:val="20"/>
          <w:szCs w:val="20"/>
        </w:rPr>
        <w:t xml:space="preserve">employed within the Family Violence Unit of </w:t>
      </w:r>
      <w:r>
        <w:rPr>
          <w:rFonts w:ascii="Arial" w:hAnsi="Arial" w:cs="Arial"/>
          <w:sz w:val="20"/>
          <w:szCs w:val="20"/>
        </w:rPr>
        <w:t>the</w:t>
      </w:r>
      <w:r w:rsidRPr="00886802">
        <w:rPr>
          <w:rFonts w:ascii="Arial" w:hAnsi="Arial" w:cs="Arial"/>
          <w:sz w:val="20"/>
          <w:szCs w:val="20"/>
        </w:rPr>
        <w:t xml:space="preserve"> MCV who deal with FVISS requests for information broadly relating to family violence on behalf of both the MCV and the C</w:t>
      </w:r>
      <w:r w:rsidR="001202C2">
        <w:rPr>
          <w:rFonts w:ascii="Arial" w:hAnsi="Arial" w:cs="Arial"/>
          <w:sz w:val="20"/>
          <w:szCs w:val="20"/>
        </w:rPr>
        <w:t>h</w:t>
      </w:r>
      <w:r w:rsidRPr="00886802">
        <w:rPr>
          <w:rFonts w:ascii="Arial" w:hAnsi="Arial" w:cs="Arial"/>
          <w:sz w:val="20"/>
          <w:szCs w:val="20"/>
        </w:rPr>
        <w:t>CV.</w:t>
      </w:r>
    </w:p>
    <w:p w14:paraId="72D730B2" w14:textId="77777777" w:rsidR="00300654" w:rsidRDefault="00300654">
      <w:pPr>
        <w:widowControl w:val="0"/>
        <w:rPr>
          <w:rFonts w:ascii="Arial" w:hAnsi="Arial" w:cs="Arial"/>
          <w:sz w:val="20"/>
        </w:rPr>
      </w:pPr>
    </w:p>
    <w:p w14:paraId="44740796" w14:textId="10CC2A4A" w:rsidR="00693223" w:rsidRDefault="00693223">
      <w:pPr>
        <w:pStyle w:val="Heading2"/>
        <w:tabs>
          <w:tab w:val="left" w:pos="567"/>
        </w:tabs>
        <w:spacing w:line="240" w:lineRule="auto"/>
        <w:rPr>
          <w:rFonts w:ascii="Arial" w:hAnsi="Arial" w:cs="Arial"/>
          <w:b/>
          <w:bCs/>
        </w:rPr>
      </w:pPr>
      <w:bookmarkStart w:id="1612" w:name="_4.12_Relationship_between"/>
      <w:bookmarkStart w:id="1613" w:name="B412"/>
      <w:bookmarkEnd w:id="1612"/>
      <w:bookmarkEnd w:id="1613"/>
      <w:r>
        <w:rPr>
          <w:rFonts w:ascii="Arial" w:hAnsi="Arial" w:cs="Arial"/>
          <w:b/>
          <w:bCs/>
        </w:rPr>
        <w:t>4.1</w:t>
      </w:r>
      <w:r w:rsidR="002E5754">
        <w:rPr>
          <w:rFonts w:ascii="Arial" w:hAnsi="Arial" w:cs="Arial"/>
          <w:b/>
          <w:bCs/>
        </w:rPr>
        <w:t>2</w:t>
      </w:r>
      <w:r>
        <w:rPr>
          <w:rFonts w:ascii="Arial" w:hAnsi="Arial" w:cs="Arial"/>
          <w:b/>
          <w:bCs/>
        </w:rPr>
        <w:tab/>
        <w:t>Relationship between attachment and</w:t>
      </w:r>
      <w:r w:rsidR="009D4A86">
        <w:rPr>
          <w:rFonts w:ascii="Arial" w:hAnsi="Arial" w:cs="Arial"/>
          <w:b/>
          <w:bCs/>
        </w:rPr>
        <w:t xml:space="preserve"> </w:t>
      </w:r>
      <w:r>
        <w:rPr>
          <w:rFonts w:ascii="Arial" w:hAnsi="Arial" w:cs="Arial"/>
          <w:b/>
          <w:bCs/>
        </w:rPr>
        <w:t>child's emotional wellbeing</w:t>
      </w:r>
      <w:bookmarkEnd w:id="1610"/>
    </w:p>
    <w:p w14:paraId="3253E720" w14:textId="77777777" w:rsidR="00693223" w:rsidRDefault="00693223">
      <w:pPr>
        <w:widowControl w:val="0"/>
        <w:rPr>
          <w:rFonts w:ascii="Arial" w:hAnsi="Arial" w:cs="Arial"/>
          <w:sz w:val="20"/>
        </w:rPr>
      </w:pPr>
    </w:p>
    <w:p w14:paraId="57D6841A" w14:textId="2F523467" w:rsidR="00693223" w:rsidRPr="00E13059" w:rsidRDefault="00693223">
      <w:pPr>
        <w:jc w:val="both"/>
        <w:rPr>
          <w:rFonts w:ascii="Arial" w:hAnsi="Arial" w:cs="Arial"/>
          <w:sz w:val="20"/>
        </w:rPr>
      </w:pPr>
      <w:r w:rsidRPr="00E13059">
        <w:rPr>
          <w:rFonts w:ascii="Arial" w:hAnsi="Arial" w:cs="Arial"/>
          <w:sz w:val="20"/>
        </w:rPr>
        <w:t xml:space="preserve">In cases in the Family Division of the Court there is often an issue as to whether or not a child has developed an appropriately secure attachment.  </w:t>
      </w:r>
      <w:r w:rsidR="0078774C" w:rsidRPr="00E13059">
        <w:rPr>
          <w:rFonts w:ascii="Arial" w:hAnsi="Arial" w:cs="Arial"/>
          <w:sz w:val="20"/>
        </w:rPr>
        <w:t xml:space="preserve">A clinical psychologist, Dr R, </w:t>
      </w:r>
      <w:r w:rsidRPr="00E13059">
        <w:rPr>
          <w:rFonts w:ascii="Arial" w:hAnsi="Arial" w:cs="Arial"/>
          <w:sz w:val="20"/>
        </w:rPr>
        <w:t>said in February 2003:</w:t>
      </w:r>
    </w:p>
    <w:p w14:paraId="5B96AC3D" w14:textId="77777777" w:rsidR="00693223" w:rsidRPr="00E13059" w:rsidRDefault="00693223" w:rsidP="00FF65C7">
      <w:pPr>
        <w:spacing w:before="120"/>
        <w:ind w:left="567" w:right="567"/>
        <w:jc w:val="both"/>
        <w:rPr>
          <w:rFonts w:ascii="Arial" w:hAnsi="Arial" w:cs="Arial"/>
          <w:sz w:val="20"/>
        </w:rPr>
      </w:pPr>
      <w:r w:rsidRPr="00E13059">
        <w:rPr>
          <w:rFonts w:ascii="Arial" w:hAnsi="Arial" w:cs="Arial"/>
          <w:sz w:val="20"/>
        </w:rPr>
        <w:t>"Development is such a complex process that one can never be sure of long-term outcomes, but it seems to me that attachment theory, if well understood, has much potential for decision making, although the area remains controversial and there are diverse points of view."</w:t>
      </w:r>
    </w:p>
    <w:p w14:paraId="3E5A9559" w14:textId="77777777" w:rsidR="00693223" w:rsidRPr="00CA3276" w:rsidRDefault="00693223">
      <w:pPr>
        <w:jc w:val="both"/>
        <w:rPr>
          <w:rFonts w:ascii="Arial" w:hAnsi="Arial" w:cs="Arial"/>
          <w:sz w:val="20"/>
          <w:highlight w:val="yellow"/>
        </w:rPr>
      </w:pPr>
    </w:p>
    <w:p w14:paraId="3A727D7F" w14:textId="29BC8FEC" w:rsidR="00C11CEA" w:rsidRDefault="00C41F4C" w:rsidP="00C41F4C">
      <w:pPr>
        <w:jc w:val="both"/>
        <w:rPr>
          <w:rFonts w:ascii="Arial" w:hAnsi="Arial" w:cs="Arial"/>
          <w:sz w:val="20"/>
          <w:szCs w:val="20"/>
        </w:rPr>
      </w:pPr>
      <w:r w:rsidRPr="00E50DB0">
        <w:rPr>
          <w:rFonts w:ascii="Arial" w:hAnsi="Arial" w:cs="Arial"/>
          <w:sz w:val="20"/>
          <w:szCs w:val="20"/>
        </w:rPr>
        <w:t xml:space="preserve">In </w:t>
      </w:r>
      <w:r w:rsidRPr="00E50DB0">
        <w:rPr>
          <w:rFonts w:ascii="Arial" w:hAnsi="Arial" w:cs="Arial"/>
          <w:i/>
          <w:sz w:val="20"/>
          <w:szCs w:val="20"/>
        </w:rPr>
        <w:t>DOHS v Mr M &amp; Ms H</w:t>
      </w:r>
      <w:r w:rsidRPr="00E50DB0">
        <w:rPr>
          <w:rFonts w:ascii="Arial" w:hAnsi="Arial" w:cs="Arial"/>
          <w:sz w:val="20"/>
          <w:szCs w:val="20"/>
        </w:rPr>
        <w:t xml:space="preserve"> [Children’s Court of Victoria-Power M, 11/05/2009]</w:t>
      </w:r>
      <w:r w:rsidR="00811C5E" w:rsidRPr="00E50DB0">
        <w:rPr>
          <w:rFonts w:ascii="Arial" w:hAnsi="Arial" w:cs="Arial"/>
          <w:sz w:val="20"/>
          <w:szCs w:val="20"/>
        </w:rPr>
        <w:t xml:space="preserve"> </w:t>
      </w:r>
      <w:r w:rsidR="00E50DB0" w:rsidRPr="00E50DB0">
        <w:rPr>
          <w:rFonts w:ascii="Arial" w:hAnsi="Arial" w:cs="Arial"/>
          <w:sz w:val="20"/>
          <w:szCs w:val="20"/>
        </w:rPr>
        <w:t xml:space="preserve">the central issue was whether the 2y5m old child – who had been in the care of non-kith and kin </w:t>
      </w:r>
      <w:r w:rsidR="00C11CEA">
        <w:rPr>
          <w:rFonts w:ascii="Arial" w:hAnsi="Arial" w:cs="Arial"/>
          <w:sz w:val="20"/>
          <w:szCs w:val="20"/>
        </w:rPr>
        <w:t xml:space="preserve">foster </w:t>
      </w:r>
      <w:r w:rsidR="00E50DB0" w:rsidRPr="00E50DB0">
        <w:rPr>
          <w:rFonts w:ascii="Arial" w:hAnsi="Arial" w:cs="Arial"/>
          <w:sz w:val="20"/>
          <w:szCs w:val="20"/>
        </w:rPr>
        <w:t xml:space="preserve">carers aged 56 &amp; 60 since discharge from hospital at the age of 6 weeks – should be planned for </w:t>
      </w:r>
      <w:r w:rsidR="00E50DB0">
        <w:rPr>
          <w:rFonts w:ascii="Arial" w:hAnsi="Arial" w:cs="Arial"/>
          <w:sz w:val="20"/>
          <w:szCs w:val="20"/>
        </w:rPr>
        <w:t>reunification with the child’s parents</w:t>
      </w:r>
      <w:r w:rsidR="00C11CEA">
        <w:rPr>
          <w:rFonts w:ascii="Arial" w:hAnsi="Arial" w:cs="Arial"/>
          <w:sz w:val="20"/>
          <w:szCs w:val="20"/>
        </w:rPr>
        <w:t xml:space="preserve"> with whom he had had </w:t>
      </w:r>
      <w:r w:rsidR="00C11CEA" w:rsidRPr="006679D2">
        <w:rPr>
          <w:rFonts w:ascii="Arial" w:hAnsi="Arial" w:cs="Arial"/>
          <w:color w:val="000000"/>
          <w:sz w:val="20"/>
        </w:rPr>
        <w:t>consistent contact although for only one hour each week.  The child had been</w:t>
      </w:r>
      <w:r w:rsidR="00C11CEA">
        <w:rPr>
          <w:rFonts w:ascii="Arial" w:hAnsi="Arial" w:cs="Arial"/>
          <w:sz w:val="20"/>
        </w:rPr>
        <w:t xml:space="preserve"> born four weeks premature and prenatally drug affected.  However, it was conceded by DOHS that there were no current protective concerns in relation to the parents who were recovering heroin addicts.</w:t>
      </w:r>
    </w:p>
    <w:p w14:paraId="5F657E77" w14:textId="77777777" w:rsidR="00C11CEA" w:rsidRDefault="00C11CEA" w:rsidP="00C41F4C">
      <w:pPr>
        <w:jc w:val="both"/>
        <w:rPr>
          <w:rFonts w:ascii="Arial" w:hAnsi="Arial" w:cs="Arial"/>
          <w:sz w:val="20"/>
          <w:szCs w:val="20"/>
        </w:rPr>
      </w:pPr>
    </w:p>
    <w:p w14:paraId="122EABC8" w14:textId="654154D1" w:rsidR="00C41F4C" w:rsidRDefault="00E50DB0" w:rsidP="00C41F4C">
      <w:pPr>
        <w:jc w:val="both"/>
        <w:rPr>
          <w:rFonts w:ascii="Arial" w:hAnsi="Arial" w:cs="Arial"/>
          <w:sz w:val="20"/>
        </w:rPr>
      </w:pPr>
      <w:r>
        <w:rPr>
          <w:rFonts w:ascii="Arial" w:hAnsi="Arial" w:cs="Arial"/>
          <w:bCs/>
          <w:sz w:val="20"/>
          <w:szCs w:val="16"/>
        </w:rPr>
        <w:lastRenderedPageBreak/>
        <w:t xml:space="preserve">Much of the evidence in the contested hearing – which ran for 13 days – was to do with the </w:t>
      </w:r>
      <w:r w:rsidR="00C71B5E">
        <w:rPr>
          <w:rFonts w:ascii="Arial" w:hAnsi="Arial" w:cs="Arial"/>
          <w:bCs/>
          <w:sz w:val="20"/>
          <w:szCs w:val="16"/>
        </w:rPr>
        <w:t xml:space="preserve">child’s attachment to </w:t>
      </w:r>
      <w:r w:rsidR="00C11CEA">
        <w:rPr>
          <w:rFonts w:ascii="Arial" w:hAnsi="Arial" w:cs="Arial"/>
          <w:bCs/>
          <w:sz w:val="20"/>
          <w:szCs w:val="16"/>
        </w:rPr>
        <w:t>the</w:t>
      </w:r>
      <w:r w:rsidR="00C71B5E">
        <w:rPr>
          <w:rFonts w:ascii="Arial" w:hAnsi="Arial" w:cs="Arial"/>
          <w:bCs/>
          <w:sz w:val="20"/>
          <w:szCs w:val="16"/>
        </w:rPr>
        <w:t xml:space="preserve"> carers</w:t>
      </w:r>
      <w:r w:rsidR="00C11CEA">
        <w:rPr>
          <w:rFonts w:ascii="Arial" w:hAnsi="Arial" w:cs="Arial"/>
          <w:bCs/>
          <w:sz w:val="20"/>
          <w:szCs w:val="16"/>
        </w:rPr>
        <w:t xml:space="preserve"> and the parents</w:t>
      </w:r>
      <w:r w:rsidR="00C71B5E">
        <w:rPr>
          <w:rFonts w:ascii="Arial" w:hAnsi="Arial" w:cs="Arial"/>
          <w:bCs/>
          <w:sz w:val="20"/>
          <w:szCs w:val="16"/>
        </w:rPr>
        <w:t>.  A</w:t>
      </w:r>
      <w:r w:rsidR="00811C5E">
        <w:rPr>
          <w:rFonts w:ascii="Arial" w:hAnsi="Arial" w:cs="Arial"/>
          <w:sz w:val="20"/>
        </w:rPr>
        <w:t xml:space="preserve">t </w:t>
      </w:r>
      <w:r w:rsidR="00EA261E">
        <w:rPr>
          <w:rFonts w:ascii="Arial" w:hAnsi="Arial" w:cs="Arial"/>
          <w:sz w:val="20"/>
        </w:rPr>
        <w:t>p.80</w:t>
      </w:r>
      <w:r w:rsidR="00C41F4C">
        <w:rPr>
          <w:rFonts w:ascii="Arial" w:hAnsi="Arial" w:cs="Arial"/>
          <w:sz w:val="20"/>
        </w:rPr>
        <w:t xml:space="preserve"> </w:t>
      </w:r>
      <w:r w:rsidR="00811C5E">
        <w:rPr>
          <w:rFonts w:ascii="Arial" w:hAnsi="Arial" w:cs="Arial"/>
          <w:sz w:val="20"/>
        </w:rPr>
        <w:t>t</w:t>
      </w:r>
      <w:r w:rsidR="00C71B5E">
        <w:rPr>
          <w:rFonts w:ascii="Arial" w:hAnsi="Arial" w:cs="Arial"/>
          <w:sz w:val="20"/>
        </w:rPr>
        <w:t>h</w:t>
      </w:r>
      <w:r w:rsidR="00811C5E">
        <w:rPr>
          <w:rFonts w:ascii="Arial" w:hAnsi="Arial" w:cs="Arial"/>
          <w:sz w:val="20"/>
        </w:rPr>
        <w:t xml:space="preserve">e Court accepted the </w:t>
      </w:r>
      <w:r w:rsidR="0030515F">
        <w:rPr>
          <w:rFonts w:ascii="Arial" w:hAnsi="Arial" w:cs="Arial"/>
          <w:sz w:val="20"/>
        </w:rPr>
        <w:t xml:space="preserve">expert </w:t>
      </w:r>
      <w:r w:rsidR="00811C5E">
        <w:rPr>
          <w:rFonts w:ascii="Arial" w:hAnsi="Arial" w:cs="Arial"/>
          <w:sz w:val="20"/>
        </w:rPr>
        <w:t xml:space="preserve">evidence of </w:t>
      </w:r>
      <w:r w:rsidR="000F226D">
        <w:rPr>
          <w:rFonts w:ascii="Arial" w:hAnsi="Arial" w:cs="Arial"/>
          <w:sz w:val="20"/>
        </w:rPr>
        <w:t>an infant mental health professional</w:t>
      </w:r>
      <w:r w:rsidR="0078774C">
        <w:rPr>
          <w:rFonts w:ascii="Arial" w:hAnsi="Arial" w:cs="Arial"/>
          <w:sz w:val="20"/>
        </w:rPr>
        <w:t xml:space="preserve"> Ms J</w:t>
      </w:r>
      <w:r w:rsidR="00CF001A">
        <w:rPr>
          <w:rFonts w:ascii="Arial" w:hAnsi="Arial" w:cs="Arial"/>
          <w:sz w:val="20"/>
        </w:rPr>
        <w:t>,</w:t>
      </w:r>
      <w:r w:rsidR="000F226D">
        <w:rPr>
          <w:rFonts w:ascii="Arial" w:hAnsi="Arial" w:cs="Arial"/>
          <w:sz w:val="20"/>
        </w:rPr>
        <w:t xml:space="preserve"> outlin</w:t>
      </w:r>
      <w:r w:rsidR="00811C5E">
        <w:rPr>
          <w:rFonts w:ascii="Arial" w:hAnsi="Arial" w:cs="Arial"/>
          <w:sz w:val="20"/>
        </w:rPr>
        <w:t>ing</w:t>
      </w:r>
      <w:r w:rsidR="00C71B5E">
        <w:rPr>
          <w:rFonts w:ascii="Arial" w:hAnsi="Arial" w:cs="Arial"/>
          <w:sz w:val="20"/>
        </w:rPr>
        <w:t xml:space="preserve"> </w:t>
      </w:r>
      <w:r w:rsidR="000F226D">
        <w:rPr>
          <w:rFonts w:ascii="Arial" w:hAnsi="Arial" w:cs="Arial"/>
          <w:sz w:val="20"/>
        </w:rPr>
        <w:t xml:space="preserve">four </w:t>
      </w:r>
      <w:r w:rsidR="00811C5E">
        <w:rPr>
          <w:rFonts w:ascii="Arial" w:hAnsi="Arial" w:cs="Arial"/>
          <w:sz w:val="20"/>
        </w:rPr>
        <w:t xml:space="preserve">different </w:t>
      </w:r>
      <w:r w:rsidR="002805B6">
        <w:rPr>
          <w:rFonts w:ascii="Arial" w:hAnsi="Arial" w:cs="Arial"/>
          <w:sz w:val="20"/>
        </w:rPr>
        <w:t xml:space="preserve">attachment styles which she </w:t>
      </w:r>
      <w:r w:rsidR="000F226D">
        <w:rPr>
          <w:rFonts w:ascii="Arial" w:hAnsi="Arial" w:cs="Arial"/>
          <w:sz w:val="20"/>
        </w:rPr>
        <w:t>labelled (1)</w:t>
      </w:r>
      <w:r w:rsidR="00C11CEA">
        <w:rPr>
          <w:rFonts w:ascii="Arial" w:hAnsi="Arial" w:cs="Arial"/>
          <w:sz w:val="20"/>
        </w:rPr>
        <w:t> </w:t>
      </w:r>
      <w:r w:rsidR="000F226D">
        <w:rPr>
          <w:rFonts w:ascii="Arial" w:hAnsi="Arial" w:cs="Arial"/>
          <w:sz w:val="20"/>
        </w:rPr>
        <w:t>secure; (2) anxious; (3)</w:t>
      </w:r>
      <w:r w:rsidR="00C71B5E">
        <w:rPr>
          <w:rFonts w:ascii="Arial" w:hAnsi="Arial" w:cs="Arial"/>
          <w:sz w:val="20"/>
        </w:rPr>
        <w:t xml:space="preserve"> </w:t>
      </w:r>
      <w:r w:rsidR="000F226D">
        <w:rPr>
          <w:rFonts w:ascii="Arial" w:hAnsi="Arial" w:cs="Arial"/>
          <w:sz w:val="20"/>
        </w:rPr>
        <w:t>avoidant and (4)</w:t>
      </w:r>
      <w:r w:rsidR="00EA261E">
        <w:rPr>
          <w:rFonts w:ascii="Arial" w:hAnsi="Arial" w:cs="Arial"/>
          <w:sz w:val="20"/>
        </w:rPr>
        <w:t> </w:t>
      </w:r>
      <w:r w:rsidR="000F226D">
        <w:rPr>
          <w:rFonts w:ascii="Arial" w:hAnsi="Arial" w:cs="Arial"/>
          <w:sz w:val="20"/>
        </w:rPr>
        <w:t>disorganized an</w:t>
      </w:r>
      <w:r w:rsidR="00811C5E">
        <w:rPr>
          <w:rFonts w:ascii="Arial" w:hAnsi="Arial" w:cs="Arial"/>
          <w:sz w:val="20"/>
        </w:rPr>
        <w:t>d</w:t>
      </w:r>
      <w:r w:rsidR="00C71B5E">
        <w:rPr>
          <w:rFonts w:ascii="Arial" w:hAnsi="Arial" w:cs="Arial"/>
          <w:sz w:val="20"/>
        </w:rPr>
        <w:t xml:space="preserve"> </w:t>
      </w:r>
      <w:r w:rsidR="00811C5E">
        <w:rPr>
          <w:rFonts w:ascii="Arial" w:hAnsi="Arial" w:cs="Arial"/>
          <w:sz w:val="20"/>
        </w:rPr>
        <w:t xml:space="preserve">which she described </w:t>
      </w:r>
      <w:r w:rsidR="00B320A7">
        <w:rPr>
          <w:rFonts w:ascii="Arial" w:hAnsi="Arial" w:cs="Arial"/>
          <w:sz w:val="20"/>
        </w:rPr>
        <w:t>in the following way</w:t>
      </w:r>
      <w:r w:rsidR="000F226D">
        <w:rPr>
          <w:rFonts w:ascii="Arial" w:hAnsi="Arial" w:cs="Arial"/>
          <w:sz w:val="20"/>
        </w:rPr>
        <w:t>:</w:t>
      </w:r>
    </w:p>
    <w:p w14:paraId="2380D540" w14:textId="525DB1DC" w:rsidR="000F226D" w:rsidRPr="00E13059" w:rsidRDefault="000F226D" w:rsidP="000F226D">
      <w:pPr>
        <w:spacing w:before="60"/>
        <w:ind w:left="567" w:right="567"/>
        <w:jc w:val="both"/>
        <w:rPr>
          <w:rFonts w:ascii="Arial" w:hAnsi="Arial" w:cs="Arial"/>
          <w:sz w:val="18"/>
          <w:szCs w:val="18"/>
        </w:rPr>
      </w:pPr>
      <w:r w:rsidRPr="00E13059">
        <w:rPr>
          <w:rFonts w:ascii="Arial" w:hAnsi="Arial" w:cs="Arial"/>
          <w:b/>
          <w:sz w:val="18"/>
          <w:szCs w:val="18"/>
          <w:u w:val="single"/>
        </w:rPr>
        <w:t>Secure</w:t>
      </w:r>
      <w:r w:rsidRPr="00E13059">
        <w:rPr>
          <w:rFonts w:ascii="Arial" w:hAnsi="Arial" w:cs="Arial"/>
          <w:sz w:val="18"/>
          <w:szCs w:val="18"/>
        </w:rPr>
        <w:t xml:space="preserve">: </w:t>
      </w:r>
      <w:r w:rsidR="00EA261E" w:rsidRPr="00E13059">
        <w:rPr>
          <w:rFonts w:ascii="Arial" w:hAnsi="Arial" w:cs="Arial"/>
          <w:sz w:val="18"/>
          <w:szCs w:val="18"/>
        </w:rPr>
        <w:t xml:space="preserve"> </w:t>
      </w:r>
      <w:r w:rsidRPr="00E13059">
        <w:rPr>
          <w:rFonts w:ascii="Arial" w:hAnsi="Arial" w:cs="Arial"/>
          <w:sz w:val="18"/>
          <w:szCs w:val="18"/>
        </w:rPr>
        <w:t xml:space="preserve">The child safely explores and is able to explore outside the immediate contact of the mother and father safe in the knowledge she can return in any way and the caregiver will be available for her.  The child is able to </w:t>
      </w:r>
      <w:r w:rsidR="00B320A7" w:rsidRPr="00E13059">
        <w:rPr>
          <w:rFonts w:ascii="Arial" w:hAnsi="Arial" w:cs="Arial"/>
          <w:sz w:val="18"/>
          <w:szCs w:val="18"/>
        </w:rPr>
        <w:t>accept</w:t>
      </w:r>
      <w:r w:rsidRPr="00E13059">
        <w:rPr>
          <w:rFonts w:ascii="Arial" w:hAnsi="Arial" w:cs="Arial"/>
          <w:sz w:val="18"/>
          <w:szCs w:val="18"/>
        </w:rPr>
        <w:t xml:space="preserve"> messages that it is safe to explore her world.</w:t>
      </w:r>
    </w:p>
    <w:p w14:paraId="2081B791" w14:textId="77777777" w:rsidR="000F226D" w:rsidRPr="00E13059" w:rsidRDefault="000F226D" w:rsidP="000F226D">
      <w:pPr>
        <w:spacing w:before="60"/>
        <w:ind w:left="567" w:right="567"/>
        <w:jc w:val="both"/>
        <w:rPr>
          <w:rFonts w:ascii="Arial" w:hAnsi="Arial" w:cs="Arial"/>
          <w:sz w:val="18"/>
          <w:szCs w:val="18"/>
        </w:rPr>
      </w:pPr>
      <w:r w:rsidRPr="00E13059">
        <w:rPr>
          <w:rFonts w:ascii="Arial" w:hAnsi="Arial" w:cs="Arial"/>
          <w:b/>
          <w:sz w:val="18"/>
          <w:szCs w:val="18"/>
          <w:u w:val="single"/>
        </w:rPr>
        <w:t>Anxious</w:t>
      </w:r>
      <w:r w:rsidRPr="00E13059">
        <w:rPr>
          <w:rFonts w:ascii="Arial" w:hAnsi="Arial" w:cs="Arial"/>
          <w:sz w:val="18"/>
          <w:szCs w:val="18"/>
        </w:rPr>
        <w:t>:  The child exhibits distress moving away in a myriad of ways.  Not healthy distress</w:t>
      </w:r>
      <w:r w:rsidR="0030515F" w:rsidRPr="00E13059">
        <w:rPr>
          <w:rFonts w:ascii="Arial" w:hAnsi="Arial" w:cs="Arial"/>
          <w:sz w:val="18"/>
          <w:szCs w:val="18"/>
        </w:rPr>
        <w:t>.  I</w:t>
      </w:r>
      <w:r w:rsidRPr="00E13059">
        <w:rPr>
          <w:rFonts w:ascii="Arial" w:hAnsi="Arial" w:cs="Arial"/>
          <w:sz w:val="18"/>
          <w:szCs w:val="18"/>
        </w:rPr>
        <w:t>t might be that when an attachment figure moves away from close proximity an anxious child might throw something at her and be annoyed.  Excessive anxiety is part of the ‘anxious’ classification.</w:t>
      </w:r>
    </w:p>
    <w:p w14:paraId="2B6BFBCF" w14:textId="77777777" w:rsidR="000F226D" w:rsidRPr="00E13059" w:rsidRDefault="000F226D" w:rsidP="000F226D">
      <w:pPr>
        <w:spacing w:before="60"/>
        <w:ind w:left="567" w:right="567"/>
        <w:jc w:val="both"/>
        <w:rPr>
          <w:rFonts w:ascii="Arial" w:hAnsi="Arial" w:cs="Arial"/>
          <w:sz w:val="18"/>
          <w:szCs w:val="18"/>
        </w:rPr>
      </w:pPr>
      <w:r w:rsidRPr="00E13059">
        <w:rPr>
          <w:rFonts w:ascii="Arial" w:hAnsi="Arial" w:cs="Arial"/>
          <w:b/>
          <w:sz w:val="18"/>
          <w:szCs w:val="18"/>
          <w:u w:val="single"/>
        </w:rPr>
        <w:t>Avoidant</w:t>
      </w:r>
      <w:r w:rsidRPr="00E13059">
        <w:rPr>
          <w:rFonts w:ascii="Arial" w:hAnsi="Arial" w:cs="Arial"/>
          <w:sz w:val="18"/>
          <w:szCs w:val="18"/>
        </w:rPr>
        <w:t xml:space="preserve">:  An </w:t>
      </w:r>
      <w:r w:rsidR="00B320A7" w:rsidRPr="00E13059">
        <w:rPr>
          <w:rFonts w:ascii="Arial" w:hAnsi="Arial" w:cs="Arial"/>
          <w:sz w:val="18"/>
          <w:szCs w:val="18"/>
        </w:rPr>
        <w:t xml:space="preserve">infant with an </w:t>
      </w:r>
      <w:r w:rsidRPr="00E13059">
        <w:rPr>
          <w:rFonts w:ascii="Arial" w:hAnsi="Arial" w:cs="Arial"/>
          <w:sz w:val="18"/>
          <w:szCs w:val="18"/>
        </w:rPr>
        <w:t>‘avoidant’ style does not appear to need the attachment figure very clearly, often exhibits little distress at reunion or reunification and exhibits a self-reliant style.  The</w:t>
      </w:r>
      <w:r w:rsidR="00B320A7" w:rsidRPr="00E13059">
        <w:rPr>
          <w:rFonts w:ascii="Arial" w:hAnsi="Arial" w:cs="Arial"/>
          <w:sz w:val="18"/>
          <w:szCs w:val="18"/>
        </w:rPr>
        <w:t xml:space="preserve"> infant does not</w:t>
      </w:r>
      <w:r w:rsidRPr="00E13059">
        <w:rPr>
          <w:rFonts w:ascii="Arial" w:hAnsi="Arial" w:cs="Arial"/>
          <w:sz w:val="18"/>
          <w:szCs w:val="18"/>
        </w:rPr>
        <w:t xml:space="preserve"> exhibit signals of </w:t>
      </w:r>
      <w:r w:rsidR="00B320A7" w:rsidRPr="00E13059">
        <w:rPr>
          <w:rFonts w:ascii="Arial" w:hAnsi="Arial" w:cs="Arial"/>
          <w:sz w:val="18"/>
          <w:szCs w:val="18"/>
        </w:rPr>
        <w:t>her</w:t>
      </w:r>
      <w:r w:rsidRPr="00E13059">
        <w:rPr>
          <w:rFonts w:ascii="Arial" w:hAnsi="Arial" w:cs="Arial"/>
          <w:sz w:val="18"/>
          <w:szCs w:val="18"/>
        </w:rPr>
        <w:t xml:space="preserve"> own distress and it is often misunderstood by even a sensiti</w:t>
      </w:r>
      <w:r w:rsidR="00B320A7" w:rsidRPr="00E13059">
        <w:rPr>
          <w:rFonts w:ascii="Arial" w:hAnsi="Arial" w:cs="Arial"/>
          <w:sz w:val="18"/>
          <w:szCs w:val="18"/>
        </w:rPr>
        <w:t>ve caregiver that the child is thought to be</w:t>
      </w:r>
      <w:r w:rsidRPr="00E13059">
        <w:rPr>
          <w:rFonts w:ascii="Arial" w:hAnsi="Arial" w:cs="Arial"/>
          <w:sz w:val="18"/>
          <w:szCs w:val="18"/>
        </w:rPr>
        <w:t xml:space="preserve"> not in need.…</w:t>
      </w:r>
    </w:p>
    <w:p w14:paraId="68A80EA3" w14:textId="77777777" w:rsidR="000F226D" w:rsidRPr="00E13059" w:rsidRDefault="000F226D" w:rsidP="006A4203">
      <w:pPr>
        <w:spacing w:before="60"/>
        <w:ind w:left="567" w:right="567"/>
        <w:jc w:val="both"/>
        <w:rPr>
          <w:b/>
          <w:sz w:val="20"/>
          <w:szCs w:val="20"/>
        </w:rPr>
      </w:pPr>
      <w:r w:rsidRPr="00E13059">
        <w:rPr>
          <w:rFonts w:ascii="Arial" w:hAnsi="Arial" w:cs="Arial"/>
          <w:b/>
          <w:sz w:val="18"/>
          <w:szCs w:val="18"/>
          <w:u w:val="single"/>
        </w:rPr>
        <w:t>Disorganized</w:t>
      </w:r>
      <w:r w:rsidRPr="00E13059">
        <w:rPr>
          <w:rFonts w:ascii="Arial" w:hAnsi="Arial" w:cs="Arial"/>
          <w:sz w:val="18"/>
          <w:szCs w:val="18"/>
        </w:rPr>
        <w:t xml:space="preserve">:  This </w:t>
      </w:r>
      <w:r w:rsidR="00B320A7" w:rsidRPr="00E13059">
        <w:rPr>
          <w:rFonts w:ascii="Arial" w:hAnsi="Arial" w:cs="Arial"/>
          <w:sz w:val="18"/>
          <w:szCs w:val="18"/>
        </w:rPr>
        <w:t xml:space="preserve">style </w:t>
      </w:r>
      <w:r w:rsidRPr="00E13059">
        <w:rPr>
          <w:rFonts w:ascii="Arial" w:hAnsi="Arial" w:cs="Arial"/>
          <w:sz w:val="18"/>
          <w:szCs w:val="18"/>
        </w:rPr>
        <w:t xml:space="preserve">is more commonly seen in a traumatized or abused infant.  In the attachment figure’s presence the child might freeze or show signs of difficult physical distress, e.g. curl up in a ball.  </w:t>
      </w:r>
      <w:r w:rsidR="00B320A7" w:rsidRPr="00E13059">
        <w:rPr>
          <w:rFonts w:ascii="Arial" w:hAnsi="Arial" w:cs="Arial"/>
          <w:sz w:val="18"/>
          <w:szCs w:val="18"/>
        </w:rPr>
        <w:t>Children with disorganized attachment</w:t>
      </w:r>
      <w:r w:rsidRPr="00E13059">
        <w:rPr>
          <w:rFonts w:ascii="Arial" w:hAnsi="Arial" w:cs="Arial"/>
          <w:sz w:val="18"/>
          <w:szCs w:val="18"/>
        </w:rPr>
        <w:t xml:space="preserve"> are often seen as children who are naughty, poorly compliant, ‘all over the place’.  They </w:t>
      </w:r>
      <w:r w:rsidR="00B320A7" w:rsidRPr="00E13059">
        <w:rPr>
          <w:rFonts w:ascii="Arial" w:hAnsi="Arial" w:cs="Arial"/>
          <w:sz w:val="18"/>
          <w:szCs w:val="18"/>
        </w:rPr>
        <w:t>do not have</w:t>
      </w:r>
      <w:r w:rsidRPr="00E13059">
        <w:rPr>
          <w:rFonts w:ascii="Arial" w:hAnsi="Arial" w:cs="Arial"/>
          <w:sz w:val="18"/>
          <w:szCs w:val="18"/>
        </w:rPr>
        <w:t xml:space="preserve"> a way to attach to a caregiver.  </w:t>
      </w:r>
      <w:r w:rsidR="00B320A7" w:rsidRPr="00E13059">
        <w:rPr>
          <w:rFonts w:ascii="Arial" w:hAnsi="Arial" w:cs="Arial"/>
          <w:sz w:val="18"/>
          <w:szCs w:val="18"/>
        </w:rPr>
        <w:t>The a</w:t>
      </w:r>
      <w:r w:rsidRPr="00E13059">
        <w:rPr>
          <w:rFonts w:ascii="Arial" w:hAnsi="Arial" w:cs="Arial"/>
          <w:sz w:val="18"/>
          <w:szCs w:val="18"/>
        </w:rPr>
        <w:t xml:space="preserve">etiology is </w:t>
      </w:r>
      <w:r w:rsidR="00B320A7" w:rsidRPr="00E13059">
        <w:rPr>
          <w:rFonts w:ascii="Arial" w:hAnsi="Arial" w:cs="Arial"/>
          <w:sz w:val="18"/>
          <w:szCs w:val="18"/>
        </w:rPr>
        <w:t>of a traumatized infant</w:t>
      </w:r>
      <w:r w:rsidRPr="00E13059">
        <w:rPr>
          <w:rFonts w:ascii="Arial" w:hAnsi="Arial" w:cs="Arial"/>
          <w:sz w:val="18"/>
          <w:szCs w:val="18"/>
        </w:rPr>
        <w:t xml:space="preserve"> who do</w:t>
      </w:r>
      <w:r w:rsidR="00B320A7" w:rsidRPr="00E13059">
        <w:rPr>
          <w:rFonts w:ascii="Arial" w:hAnsi="Arial" w:cs="Arial"/>
          <w:sz w:val="18"/>
          <w:szCs w:val="18"/>
        </w:rPr>
        <w:t>es not</w:t>
      </w:r>
      <w:r w:rsidRPr="00E13059">
        <w:rPr>
          <w:rFonts w:ascii="Arial" w:hAnsi="Arial" w:cs="Arial"/>
          <w:sz w:val="18"/>
          <w:szCs w:val="18"/>
        </w:rPr>
        <w:t xml:space="preserve"> exhibit strategies of reunion and exploration.</w:t>
      </w:r>
    </w:p>
    <w:p w14:paraId="12466646" w14:textId="2B31C079" w:rsidR="00811C5E" w:rsidRDefault="00811C5E" w:rsidP="00811C5E">
      <w:pPr>
        <w:jc w:val="both"/>
        <w:rPr>
          <w:rFonts w:ascii="Arial" w:hAnsi="Arial" w:cs="Arial"/>
          <w:sz w:val="20"/>
        </w:rPr>
      </w:pPr>
    </w:p>
    <w:p w14:paraId="2EB1AC5D" w14:textId="41D67128" w:rsidR="00596A85" w:rsidRDefault="009D4A86" w:rsidP="00811C5E">
      <w:pPr>
        <w:jc w:val="both"/>
        <w:rPr>
          <w:rFonts w:ascii="Arial" w:hAnsi="Arial" w:cs="Arial"/>
          <w:sz w:val="20"/>
        </w:rPr>
      </w:pPr>
      <w:r>
        <w:rPr>
          <w:rFonts w:ascii="Arial" w:hAnsi="Arial" w:cs="Arial"/>
          <w:sz w:val="20"/>
        </w:rPr>
        <w:t>During</w:t>
      </w:r>
      <w:r w:rsidR="00596A85">
        <w:rPr>
          <w:rFonts w:ascii="Arial" w:hAnsi="Arial" w:cs="Arial"/>
          <w:sz w:val="20"/>
        </w:rPr>
        <w:t xml:space="preserve"> the contested hearing </w:t>
      </w:r>
      <w:r w:rsidR="0042505D">
        <w:rPr>
          <w:rFonts w:ascii="Arial" w:hAnsi="Arial" w:cs="Arial"/>
          <w:sz w:val="20"/>
        </w:rPr>
        <w:t>M</w:t>
      </w:r>
      <w:r w:rsidR="00C71B5E">
        <w:rPr>
          <w:rFonts w:ascii="Arial" w:hAnsi="Arial" w:cs="Arial"/>
          <w:sz w:val="20"/>
        </w:rPr>
        <w:t xml:space="preserve">agistrate </w:t>
      </w:r>
      <w:r w:rsidR="0042505D">
        <w:rPr>
          <w:rFonts w:ascii="Arial" w:hAnsi="Arial" w:cs="Arial"/>
          <w:sz w:val="20"/>
        </w:rPr>
        <w:t xml:space="preserve">Power </w:t>
      </w:r>
      <w:r w:rsidR="00596A85">
        <w:rPr>
          <w:rFonts w:ascii="Arial" w:hAnsi="Arial" w:cs="Arial"/>
          <w:sz w:val="20"/>
        </w:rPr>
        <w:t xml:space="preserve">provided Ms J with a copy of the following material written by </w:t>
      </w:r>
      <w:r w:rsidR="00E13059">
        <w:rPr>
          <w:rFonts w:ascii="Arial" w:hAnsi="Arial" w:cs="Arial"/>
          <w:sz w:val="20"/>
        </w:rPr>
        <w:t xml:space="preserve">a clinical psychologist </w:t>
      </w:r>
      <w:r w:rsidR="00596A85">
        <w:rPr>
          <w:rFonts w:ascii="Arial" w:hAnsi="Arial" w:cs="Arial"/>
          <w:sz w:val="20"/>
        </w:rPr>
        <w:t>Dr R in Court reports dated April 2002 &amp; September 2003:</w:t>
      </w:r>
    </w:p>
    <w:p w14:paraId="2D282E77" w14:textId="77777777" w:rsidR="00596A85" w:rsidRPr="00E13059" w:rsidRDefault="00596A85" w:rsidP="00E13059">
      <w:pPr>
        <w:spacing w:before="120"/>
        <w:ind w:left="567" w:right="567"/>
        <w:jc w:val="center"/>
        <w:rPr>
          <w:rFonts w:ascii="Arial" w:hAnsi="Arial" w:cs="Arial"/>
          <w:b/>
          <w:bCs/>
          <w:sz w:val="18"/>
          <w:szCs w:val="22"/>
        </w:rPr>
      </w:pPr>
      <w:r w:rsidRPr="00E13059">
        <w:rPr>
          <w:rFonts w:ascii="Arial" w:hAnsi="Arial" w:cs="Arial"/>
          <w:b/>
          <w:bCs/>
          <w:sz w:val="18"/>
          <w:szCs w:val="22"/>
        </w:rPr>
        <w:t>1. The significance of secure attachment for psychological wellbeing</w:t>
      </w:r>
    </w:p>
    <w:p w14:paraId="798B613F"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It is critical to children's emotional wellbeing that they have the opportunity to experience at least one (and preferably more than one) secure attachment relationship during the early years.  Secure attachment relationships provide the essential underpinning of healthy emotional, social and intellectual development and are the foundation for lifetime self-esteem and psychological wellbeing.  A detailed explanation of this process is presented in Howe (1995).  In this section, the process is briefly outlined, along with the empirical support for it.</w:t>
      </w:r>
    </w:p>
    <w:p w14:paraId="731E9BCE"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Attachment refers to the strong tie or bond of affection that develops between children and those people who care for them.  In normal circumstances, this bond begins to develop at birth or soon after, once the so-called 'pre-attachment phase' ends at about 6 weeks.  Through repeated experiences of having his or her needs met consistently and sensitively, a clear-cut secure attachment is evident in the child's behaviour to the adult carer(s) sometime in the second half of the first year.  This grows and develops during the early childhood period.</w:t>
      </w:r>
    </w:p>
    <w:p w14:paraId="784C19A8"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The nature of the attachment relationship is of major significance for a child's psychological wellbeing.  This is because the view that children develop of themselves as psychological entities (their core concept of 'self') reflects primarily the interactions they have with their attachment figures, particularly in the early years.  This is referred to as their 'inner working model' of themselves and their relationship to the world of people around them (Bowlby, 1969; Main, Kaplan &amp; Cassidy, 1985).  Children with secure attachment histories develop a view of themselves as worthy and lovable and the world as a place to be trusted, since their history of intimate interactions has been generally characterised by love, care, consistency and sensitivity (Howe, 1995; Sroufe, 1988, 1989).  They have a strong sense of 'felt security'.</w:t>
      </w:r>
    </w:p>
    <w:p w14:paraId="1A812A8F"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However, if a child's needs are not met consistently and/or sensitively by their caregiver(s), an insecure attachment is likely to develop.  Children with insecure attachment relationships have to develop strategies to cope with the insensitivity and/or inconsistency of their attachment figure(s), and hence may come to view themselves as less worthy and lovable and the world as a place that may not be trusted.  At the extreme, children with histories of abuse and/or neglect or who have severe disruptions to their primary attachment relationships (which are inevitably interpreted by the young child as rejection and abandonment) may experience themselves as unworthy and unlovable and eventually may view the world as a hostile place where they are most likely to be rejected (Carlson, 1998; Main &amp; Solomon, 1990; Howe, 1995).</w:t>
      </w:r>
    </w:p>
    <w:p w14:paraId="684A7269"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lastRenderedPageBreak/>
        <w:t xml:space="preserve">Important differences emerge when the psychological competence of children with different attachment histories are compared over time.  In one of the most extensive longitudinal studies of this kind, Sroufe and his colleagues (e.g. Elicker, Englund &amp; Sroufe, 1992; Shulman, Elicker &amp; Sroufe, 1994) followed the development of a large sample of infants through to age 11 years.  They found that preschoolers who were securely attached as infants showed more make believe play and greater enthusiasm, flexibility and persistence in problem solving by age two years.  At age 4, such children were rated by their preschool teachers, under a blind testing procedure, as higher in </w:t>
      </w:r>
      <w:proofErr w:type="spellStart"/>
      <w:r w:rsidRPr="00E13059">
        <w:rPr>
          <w:rFonts w:ascii="Arial" w:hAnsi="Arial" w:cs="Arial"/>
          <w:sz w:val="18"/>
          <w:szCs w:val="22"/>
        </w:rPr>
        <w:t>self esteem</w:t>
      </w:r>
      <w:proofErr w:type="spellEnd"/>
      <w:r w:rsidRPr="00E13059">
        <w:rPr>
          <w:rFonts w:ascii="Arial" w:hAnsi="Arial" w:cs="Arial"/>
          <w:sz w:val="18"/>
          <w:szCs w:val="22"/>
        </w:rPr>
        <w:t xml:space="preserve">, social competence, cooperation, popularity and empathy.  In contrast, insecurely attached infants were viewed as more isolated, disruptive or difficult in the preschool setting.  By age 11 years, children with secure histories had better quality peer relationships, closer friendships and better social skills as well as being cognitively more advanced.  Important in the [instant] case is the finding that 'continuity of caregiving' (Lamb et al, 1985) determines whether early attachment security is linked to later development.  This aspect is discussed further below. </w:t>
      </w:r>
    </w:p>
    <w:p w14:paraId="0B140468" w14:textId="77777777" w:rsidR="00596A85" w:rsidRPr="00E13059" w:rsidRDefault="00596A85" w:rsidP="009D4A86">
      <w:pPr>
        <w:spacing w:before="120"/>
        <w:ind w:left="567" w:right="567"/>
        <w:jc w:val="center"/>
        <w:rPr>
          <w:rFonts w:ascii="Arial" w:hAnsi="Arial" w:cs="Arial"/>
          <w:b/>
          <w:bCs/>
          <w:sz w:val="18"/>
          <w:szCs w:val="22"/>
        </w:rPr>
      </w:pPr>
      <w:r w:rsidRPr="00E13059">
        <w:rPr>
          <w:rFonts w:ascii="Arial" w:hAnsi="Arial" w:cs="Arial"/>
          <w:b/>
          <w:bCs/>
          <w:sz w:val="18"/>
          <w:szCs w:val="22"/>
        </w:rPr>
        <w:t>2. The immediate, short and longer-term impact of removal of a young child from his attachment figure(s)</w:t>
      </w:r>
    </w:p>
    <w:p w14:paraId="19F9D097"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u w:val="single"/>
        </w:rPr>
        <w:t>2.1 The significance of removal of a young child from her attachment figure(s)</w:t>
      </w:r>
    </w:p>
    <w:p w14:paraId="1FC3FD49"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 xml:space="preserve">Disruption of primary attachment relationships, particularly in the early years, has a profound impact on both current and future psychological health insofar as it impacts in a negative way on the development of the core of the personality via the 'emergent self'.  That is, the child's sense of self fundamentally emerging via relationships with primary attachment figures.  Removal of the child from the attachment figures is inevitably interpreted by the child as rejection and abandonment (e.g. Cummings and Cicchetti, 1990) and risks significant damage to the child's core concept of self as lovable and worthy with subsequent negative impacts on his developing psyche and </w:t>
      </w:r>
      <w:proofErr w:type="spellStart"/>
      <w:r w:rsidRPr="00E13059">
        <w:rPr>
          <w:rFonts w:ascii="Arial" w:hAnsi="Arial" w:cs="Arial"/>
          <w:sz w:val="18"/>
          <w:szCs w:val="22"/>
        </w:rPr>
        <w:t>self esteem</w:t>
      </w:r>
      <w:proofErr w:type="spellEnd"/>
      <w:r w:rsidRPr="00E13059">
        <w:rPr>
          <w:rFonts w:ascii="Arial" w:hAnsi="Arial" w:cs="Arial"/>
          <w:sz w:val="18"/>
          <w:szCs w:val="22"/>
        </w:rPr>
        <w:t>.  As Fahlberg (1991) describes it, disruption to the attachment relationship is not simply a loss but a threat to the integrity of the self' (Howe, 1995, p.57).  According to Fahlberg (1991) 'when that bond is broken, the very structure of the personality is endangered' (p.143).</w:t>
      </w:r>
    </w:p>
    <w:p w14:paraId="3CD8977C"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Other evidence that disruptions to primary attachments are associated with a range of indices of both short and long-term psychological damage in the emotional, social and intellectual domains are considered in the following sections (2.2 &amp; 2.3).</w:t>
      </w:r>
    </w:p>
    <w:p w14:paraId="5C385234"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u w:val="single"/>
        </w:rPr>
        <w:t>2.2 Immediate and short-term response to removal</w:t>
      </w:r>
    </w:p>
    <w:p w14:paraId="77B66CC7"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The response of the young child to loss of the attachment figure was extensively studied by Bowlby and his colleague, James Robertson.  In discussing this extensive research, Howe (1995) summarises why the loss of the attachment figure is so traumatic for the young child.  This is because the loss is a 'double blow' (p.57).  As Howe describes it, having lost the figure(s) of attachment, the child feels insecure and anxious.  Feeling this way strongly activates the attachment system.  The child experiences an overwhelming need to return to the security afforded by the attachment figure, but this figure is now not available.  The child responds with intense anxiety and is likely to feel angry, sad, rejected and helpless.</w:t>
      </w:r>
    </w:p>
    <w:p w14:paraId="2C7810F8"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All those who suffer the loss of a loved one experience grief reactions.  The feelings include shock, yearning, searching, sadness, anger, hopelessness, helplessness, abandonment, rejection, and guilt (self-blame).  For the young child, the extent of their dependency means that the loss of the attachment figure is particularly frightening.  Cognitive immaturity and limited information processing skills put the younger child particularly at risk due to unresolved grief.  If unresolved, ongoing grief puts the psychological health of a person (whether child or adult) at risk for depression and despair.</w:t>
      </w:r>
    </w:p>
    <w:p w14:paraId="152FCB8B"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In recognition of the traumatic nature of removal of a child from his family, section 87 of the Victorian Children and Young Persons Act 1989 states that this course of action should only occur 'if there is unacceptable risk of harm to the child' if he is not so removed.</w:t>
      </w:r>
    </w:p>
    <w:p w14:paraId="65A057FB" w14:textId="77777777" w:rsidR="00596A85" w:rsidRPr="00E13059" w:rsidRDefault="00596A85" w:rsidP="009D4A86">
      <w:pPr>
        <w:spacing w:before="120"/>
        <w:ind w:left="567" w:right="567"/>
        <w:jc w:val="both"/>
        <w:rPr>
          <w:rFonts w:ascii="Arial" w:hAnsi="Arial" w:cs="Arial"/>
          <w:sz w:val="18"/>
          <w:szCs w:val="22"/>
          <w:u w:val="single"/>
        </w:rPr>
      </w:pPr>
      <w:r w:rsidRPr="00E13059">
        <w:rPr>
          <w:rFonts w:ascii="Arial" w:hAnsi="Arial" w:cs="Arial"/>
          <w:sz w:val="18"/>
          <w:szCs w:val="22"/>
          <w:u w:val="single"/>
        </w:rPr>
        <w:t>2.3 Longer-term impacts of removal</w:t>
      </w:r>
    </w:p>
    <w:p w14:paraId="535C12C5"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The path of psychological development throughout the lifespan is extremely complex, and precise pathways are impossible to predict.  That is because development reflects the intricate dynamics between people's relationship history, their personality and the character of their current environment, both social and material' (Howe, 1995. p.223).  How a child develops in later life will reflect the ongoing experiences the child has, and these can never be known completely beforehand.</w:t>
      </w:r>
    </w:p>
    <w:p w14:paraId="0E490090"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 xml:space="preserve">In the view of some, if a child's separation anxiety (resulting from removal from the attachment figures) is well handled, it is unlikely that any long term difficulties would result.  It is true that the way others react to those who have experienced a loss is important to the success of the grieving process.  Research supports the position that sensitive caregiving after removal facilitates (but cannot guarantee) recovery from the trauma.   Importantly, </w:t>
      </w:r>
      <w:r w:rsidRPr="00E13059">
        <w:rPr>
          <w:rFonts w:ascii="Arial" w:hAnsi="Arial" w:cs="Arial"/>
          <w:sz w:val="18"/>
          <w:szCs w:val="22"/>
        </w:rPr>
        <w:lastRenderedPageBreak/>
        <w:t>however, the trauma itself cannot be avoided, even with the most sensitive and careful handling.  Recent brain research by Bruce Perry and his colleagues (e.g. Perry, Pollard, Blakely, Baker and Vigilante, 1995) indicates that traumatic experiences pose particularly difficult challenges to the developing brain.  His work indicates that early childhood trauma, including parental loss, may lead to a compromised neural network since infancy and early childhood are critical periods for the organisation of brain systems.</w:t>
      </w:r>
    </w:p>
    <w:p w14:paraId="21A7447E" w14:textId="77777777" w:rsidR="00596A85" w:rsidRPr="00E13059" w:rsidRDefault="00596A85" w:rsidP="009D4A86">
      <w:pPr>
        <w:spacing w:before="120"/>
        <w:ind w:left="567" w:right="567"/>
        <w:jc w:val="center"/>
        <w:rPr>
          <w:rFonts w:ascii="Arial" w:hAnsi="Arial" w:cs="Arial"/>
          <w:b/>
          <w:bCs/>
          <w:sz w:val="18"/>
          <w:szCs w:val="22"/>
        </w:rPr>
      </w:pPr>
      <w:r w:rsidRPr="00E13059">
        <w:rPr>
          <w:rFonts w:ascii="Arial" w:hAnsi="Arial" w:cs="Arial"/>
          <w:b/>
          <w:bCs/>
          <w:sz w:val="18"/>
          <w:szCs w:val="22"/>
        </w:rPr>
        <w:t>3. The formation of new attachments following separation from primary attachment figures</w:t>
      </w:r>
    </w:p>
    <w:p w14:paraId="28FB67BF"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In determining the likely impact on a child of removal, an important consideration is the likelihood of the child being able to reform new attachments, and the likely quality of these attachments.</w:t>
      </w:r>
    </w:p>
    <w:p w14:paraId="4FC7D949"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When a young child is removed from parental care, the child will usually develop a primary attachment relationship to the foster carer(s) if the placement is sustained.  If removal occurs in the pre-attachment stage and placement is immediate or almost immediate and sustained, attachment formation may well proceed as if no disruption had occurred.  Even if removal occurs after the primary attachment has formed, a new attachment can form.  Indeed, almost every young child will form an attachment to the caregiver who is most available to them, as this is the essence of the basic attachment bond, i.e. to maximise the likelihood of  survival through the presence of someone who can meet survival needs.</w:t>
      </w:r>
    </w:p>
    <w:p w14:paraId="40E7A9A0"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However, of critical importance is the quality of the new attachment relationship(s) that will form.  Research indicates that children with secure attachment histories are more likely to form secure relationships later in life.  This is because the child's sense of trust in the world enables them to approach new relationships with more confidence than if they had not experienced any secure relationship in the past.  However, if secure attachment(s) are broken, there is no guarantee that future attachments will necessarily be secure.  Recent longitudinal research of infants and young children in new placements (Dozier, Stovall and Albus, 2000) has established that the formation of secure attachments in a new placement is very difficult, especially for children placed past infancy.  Dozier's research indicates this is so even when the new caregivers are highly sensitive and responsive to the child's needs.</w:t>
      </w:r>
    </w:p>
    <w:p w14:paraId="12632C61"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In essence, when the primary attachment is broken by removal of the child from his primary attachment figures, a very complex psychological process ensues.  The new relationship is being built from an initial position on the part of the child of distress, hurt, perceived rejection, and abandonment (see section 2 above).  In order to cope with feelings of rejection and abandonment, the child develops psychological defences.  While these may be helpful in easing immediate pain, if prolonged they are unhelpful to the emergence of new relationships.  It is these psychological defences which appear to mitigate against security in the new placement.  Furthermore, it is impossible to predict how long it would take to form new attachments, whether secure or insecure in nature.  In any event, the ability to re-attach is not the essential consideration.  Rather, it is the likelihood of secure attachments forming in the new placement that is the critical consideration.</w:t>
      </w:r>
    </w:p>
    <w:p w14:paraId="01AA4322" w14:textId="77777777" w:rsidR="00596A85" w:rsidRPr="00E13059" w:rsidRDefault="00596A85" w:rsidP="009D4A86">
      <w:pPr>
        <w:spacing w:before="120"/>
        <w:ind w:left="567" w:right="567"/>
        <w:jc w:val="center"/>
        <w:rPr>
          <w:rFonts w:ascii="Arial" w:hAnsi="Arial" w:cs="Arial"/>
          <w:b/>
          <w:bCs/>
          <w:sz w:val="18"/>
          <w:szCs w:val="22"/>
        </w:rPr>
      </w:pPr>
      <w:r w:rsidRPr="00E13059">
        <w:rPr>
          <w:rFonts w:ascii="Arial" w:hAnsi="Arial" w:cs="Arial"/>
          <w:b/>
          <w:bCs/>
          <w:sz w:val="18"/>
          <w:szCs w:val="22"/>
        </w:rPr>
        <w:t>4. Considerations in regard to preserving and strengthening the child's relationships with the birth family</w:t>
      </w:r>
    </w:p>
    <w:p w14:paraId="7BDE242C"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An ongoing, positive relationship with the birth family is pivotal to the psychological health of the child, especially in the longer term.  Failure to maintain a relationship with the biological family may lead to preoccupation in adolescence with a fantasised or idealised image and searching behaviour which can be deleterious to psychological development into adulthood.  Although current practice does not always allow for this, it is in a child's best interests that permanent placement be planned in such a way to maximise the chances of the child's ongoing relationship with their biological family (mother, father, siblings and extended family) being maintained as far as possible.</w:t>
      </w:r>
    </w:p>
    <w:p w14:paraId="141EAE5D" w14:textId="77777777" w:rsidR="00596A85" w:rsidRPr="00E13059" w:rsidRDefault="00596A85" w:rsidP="00596A85">
      <w:pPr>
        <w:spacing w:before="120"/>
        <w:ind w:left="567" w:right="567"/>
        <w:jc w:val="both"/>
        <w:rPr>
          <w:rFonts w:ascii="Arial" w:hAnsi="Arial" w:cs="Arial"/>
          <w:sz w:val="18"/>
          <w:szCs w:val="22"/>
        </w:rPr>
      </w:pPr>
      <w:r w:rsidRPr="00E13059">
        <w:rPr>
          <w:rFonts w:ascii="Arial" w:hAnsi="Arial" w:cs="Arial"/>
          <w:sz w:val="18"/>
          <w:szCs w:val="22"/>
        </w:rPr>
        <w:t>Whilst placement of biological siblings together is thus an important guiding principle in child protection decisions, it, along with any other guiding principle, must be considered in relation to the particular circumstances of each case.</w:t>
      </w:r>
    </w:p>
    <w:p w14:paraId="6371C0C1" w14:textId="07E4D44F" w:rsidR="00596A85" w:rsidRPr="00C71B5E" w:rsidRDefault="00596A85" w:rsidP="00596A85">
      <w:pPr>
        <w:jc w:val="both"/>
        <w:rPr>
          <w:rFonts w:ascii="Arial" w:hAnsi="Arial" w:cs="Arial"/>
          <w:sz w:val="18"/>
          <w:szCs w:val="22"/>
        </w:rPr>
      </w:pPr>
    </w:p>
    <w:p w14:paraId="011F7556" w14:textId="72D2CAEA" w:rsidR="008461F8" w:rsidRDefault="009D4A86" w:rsidP="00E13059">
      <w:pPr>
        <w:keepNext/>
        <w:keepLines/>
        <w:jc w:val="both"/>
        <w:rPr>
          <w:rFonts w:ascii="Arial" w:hAnsi="Arial" w:cs="Arial"/>
          <w:sz w:val="20"/>
          <w:szCs w:val="20"/>
        </w:rPr>
      </w:pPr>
      <w:r w:rsidRPr="009D4A86">
        <w:rPr>
          <w:rFonts w:ascii="Arial" w:hAnsi="Arial" w:cs="Arial"/>
          <w:sz w:val="20"/>
          <w:szCs w:val="20"/>
        </w:rPr>
        <w:t>After reading th</w:t>
      </w:r>
      <w:r w:rsidR="00E13059">
        <w:rPr>
          <w:rFonts w:ascii="Arial" w:hAnsi="Arial" w:cs="Arial"/>
          <w:sz w:val="20"/>
          <w:szCs w:val="20"/>
        </w:rPr>
        <w:t>is</w:t>
      </w:r>
      <w:r w:rsidR="008461F8">
        <w:rPr>
          <w:rFonts w:ascii="Arial" w:hAnsi="Arial" w:cs="Arial"/>
          <w:sz w:val="20"/>
          <w:szCs w:val="20"/>
        </w:rPr>
        <w:t xml:space="preserve"> </w:t>
      </w:r>
      <w:r w:rsidRPr="009D4A86">
        <w:rPr>
          <w:rFonts w:ascii="Arial" w:hAnsi="Arial" w:cs="Arial"/>
          <w:sz w:val="20"/>
          <w:szCs w:val="20"/>
        </w:rPr>
        <w:t>m</w:t>
      </w:r>
      <w:r w:rsidR="008461F8">
        <w:rPr>
          <w:rFonts w:ascii="Arial" w:hAnsi="Arial" w:cs="Arial"/>
          <w:sz w:val="20"/>
          <w:szCs w:val="20"/>
        </w:rPr>
        <w:t>aterial</w:t>
      </w:r>
      <w:r w:rsidRPr="009D4A86">
        <w:rPr>
          <w:rFonts w:ascii="Arial" w:hAnsi="Arial" w:cs="Arial"/>
          <w:sz w:val="20"/>
          <w:szCs w:val="20"/>
        </w:rPr>
        <w:t xml:space="preserve"> Ms J said (at p.</w:t>
      </w:r>
      <w:r w:rsidR="00E50DB0">
        <w:rPr>
          <w:rFonts w:ascii="Arial" w:hAnsi="Arial" w:cs="Arial"/>
          <w:sz w:val="20"/>
          <w:szCs w:val="20"/>
        </w:rPr>
        <w:t>78</w:t>
      </w:r>
      <w:r w:rsidRPr="009D4A86">
        <w:rPr>
          <w:rFonts w:ascii="Arial" w:hAnsi="Arial" w:cs="Arial"/>
          <w:sz w:val="20"/>
          <w:szCs w:val="20"/>
        </w:rPr>
        <w:t>):</w:t>
      </w:r>
    </w:p>
    <w:p w14:paraId="6C8040EE" w14:textId="4A0A6B9C" w:rsidR="008461F8" w:rsidRPr="008461F8" w:rsidRDefault="008461F8" w:rsidP="008461F8">
      <w:pPr>
        <w:spacing w:before="120"/>
        <w:ind w:left="567" w:right="567"/>
        <w:jc w:val="both"/>
        <w:rPr>
          <w:rFonts w:ascii="Arial" w:hAnsi="Arial" w:cs="Arial"/>
          <w:sz w:val="20"/>
        </w:rPr>
      </w:pPr>
      <w:r w:rsidRPr="008461F8">
        <w:rPr>
          <w:rFonts w:ascii="Arial" w:hAnsi="Arial" w:cs="Arial"/>
          <w:sz w:val="20"/>
        </w:rPr>
        <w:t>“</w:t>
      </w:r>
      <w:r w:rsidR="009D4A86" w:rsidRPr="009D4A86">
        <w:rPr>
          <w:rFonts w:ascii="Arial" w:hAnsi="Arial" w:cs="Arial"/>
          <w:sz w:val="20"/>
          <w:szCs w:val="20"/>
        </w:rPr>
        <w:t xml:space="preserve">I have no protest or concern about the material.  The main thing is how succinctly Dr R has summarized what is extremely important evidence for Dr D’s and my report.  She, like we did, takes a very strong infant perspective and attempts to outline the impact on an infant of [the infant’s] significant attachment figures and the importance for the infant’s mental health if he or she has an accessible and available sensitive caregiver.  So Dr R outlines that extremely well and goes on to </w:t>
      </w:r>
      <w:r w:rsidR="009D4A86" w:rsidRPr="009D4A86">
        <w:rPr>
          <w:rFonts w:ascii="Arial" w:hAnsi="Arial" w:cs="Arial"/>
          <w:sz w:val="20"/>
          <w:szCs w:val="20"/>
        </w:rPr>
        <w:lastRenderedPageBreak/>
        <w:t xml:space="preserve">talk about the impacts of removal central to the dilemma in this case for </w:t>
      </w:r>
      <w:r>
        <w:rPr>
          <w:rFonts w:ascii="Arial" w:hAnsi="Arial" w:cs="Arial"/>
          <w:sz w:val="20"/>
          <w:szCs w:val="20"/>
        </w:rPr>
        <w:t>[the child B]</w:t>
      </w:r>
      <w:r w:rsidR="009D4A86" w:rsidRPr="009D4A86">
        <w:rPr>
          <w:rFonts w:ascii="Arial" w:hAnsi="Arial" w:cs="Arial"/>
          <w:sz w:val="20"/>
          <w:szCs w:val="20"/>
        </w:rPr>
        <w:t>.  It is enormously important here.”</w:t>
      </w:r>
    </w:p>
    <w:p w14:paraId="5552C9E2" w14:textId="77777777" w:rsidR="008461F8" w:rsidRPr="00C71B5E" w:rsidRDefault="008461F8" w:rsidP="009D4A86">
      <w:pPr>
        <w:jc w:val="both"/>
        <w:rPr>
          <w:rFonts w:ascii="Arial" w:hAnsi="Arial" w:cs="Arial"/>
          <w:sz w:val="18"/>
          <w:szCs w:val="18"/>
        </w:rPr>
      </w:pPr>
    </w:p>
    <w:p w14:paraId="48108EE0" w14:textId="7153D97B" w:rsidR="009D4A86" w:rsidRPr="00CF001A" w:rsidRDefault="008461F8" w:rsidP="009D4A86">
      <w:pPr>
        <w:jc w:val="both"/>
        <w:rPr>
          <w:rFonts w:ascii="Arial" w:hAnsi="Arial" w:cs="Arial"/>
          <w:sz w:val="20"/>
        </w:rPr>
      </w:pPr>
      <w:r w:rsidRPr="008461F8">
        <w:rPr>
          <w:rFonts w:ascii="Arial" w:hAnsi="Arial" w:cs="Arial"/>
          <w:sz w:val="20"/>
          <w:szCs w:val="20"/>
        </w:rPr>
        <w:t>Another witness, family therapist Dr D</w:t>
      </w:r>
      <w:r w:rsidR="00E13059">
        <w:rPr>
          <w:rFonts w:ascii="Arial" w:hAnsi="Arial" w:cs="Arial"/>
          <w:sz w:val="20"/>
          <w:szCs w:val="20"/>
        </w:rPr>
        <w:t>,</w:t>
      </w:r>
      <w:r w:rsidRPr="008461F8">
        <w:rPr>
          <w:rFonts w:ascii="Arial" w:hAnsi="Arial" w:cs="Arial"/>
          <w:sz w:val="20"/>
          <w:szCs w:val="20"/>
        </w:rPr>
        <w:t xml:space="preserve"> had also been provided with the above material. </w:t>
      </w:r>
      <w:r>
        <w:rPr>
          <w:rFonts w:ascii="Arial" w:hAnsi="Arial" w:cs="Arial"/>
          <w:sz w:val="20"/>
          <w:szCs w:val="20"/>
        </w:rPr>
        <w:t xml:space="preserve"> </w:t>
      </w:r>
      <w:r w:rsidR="009D4A86" w:rsidRPr="009D4A86">
        <w:rPr>
          <w:rFonts w:ascii="Arial" w:hAnsi="Arial" w:cs="Arial"/>
          <w:sz w:val="20"/>
          <w:szCs w:val="20"/>
        </w:rPr>
        <w:t>While pointing out that the literature in Dr R’s bibliography was “the best part of a decade ago” Dr</w:t>
      </w:r>
      <w:r w:rsidR="00EA261E">
        <w:rPr>
          <w:rFonts w:ascii="Arial" w:hAnsi="Arial" w:cs="Arial"/>
          <w:sz w:val="20"/>
          <w:szCs w:val="20"/>
        </w:rPr>
        <w:t> </w:t>
      </w:r>
      <w:r w:rsidR="009D4A86" w:rsidRPr="009D4A86">
        <w:rPr>
          <w:rFonts w:ascii="Arial" w:hAnsi="Arial" w:cs="Arial"/>
          <w:sz w:val="20"/>
          <w:szCs w:val="20"/>
        </w:rPr>
        <w:t>D conceded</w:t>
      </w:r>
      <w:r w:rsidR="00C71B5E">
        <w:rPr>
          <w:rFonts w:ascii="Arial" w:hAnsi="Arial" w:cs="Arial"/>
          <w:sz w:val="20"/>
          <w:szCs w:val="20"/>
        </w:rPr>
        <w:t xml:space="preserve"> at p.78</w:t>
      </w:r>
      <w:r w:rsidR="009D4A86" w:rsidRPr="009D4A86">
        <w:rPr>
          <w:rFonts w:ascii="Arial" w:hAnsi="Arial" w:cs="Arial"/>
          <w:sz w:val="20"/>
          <w:szCs w:val="20"/>
        </w:rPr>
        <w:t>: “I’m generally in agreement with much of what is written there.”</w:t>
      </w:r>
    </w:p>
    <w:p w14:paraId="70B1979D" w14:textId="6AFD4611" w:rsidR="009D4A86" w:rsidRDefault="009D4A86" w:rsidP="00596A85">
      <w:pPr>
        <w:jc w:val="both"/>
        <w:rPr>
          <w:rFonts w:ascii="Arial" w:hAnsi="Arial" w:cs="Arial"/>
          <w:sz w:val="20"/>
        </w:rPr>
      </w:pPr>
    </w:p>
    <w:p w14:paraId="1175DE48" w14:textId="63CD989C" w:rsidR="00EA261E" w:rsidRDefault="00EA261E" w:rsidP="00596A85">
      <w:pPr>
        <w:jc w:val="both"/>
        <w:rPr>
          <w:rFonts w:ascii="Arial" w:hAnsi="Arial" w:cs="Arial"/>
          <w:sz w:val="20"/>
        </w:rPr>
      </w:pPr>
      <w:r>
        <w:rPr>
          <w:rFonts w:ascii="Arial" w:hAnsi="Arial" w:cs="Arial"/>
          <w:sz w:val="20"/>
        </w:rPr>
        <w:t>At p.80 Power M concluded:</w:t>
      </w:r>
    </w:p>
    <w:p w14:paraId="616479A1" w14:textId="226610A4" w:rsidR="00EA261E" w:rsidRDefault="00EA261E" w:rsidP="00EA261E">
      <w:pPr>
        <w:spacing w:before="120"/>
        <w:ind w:left="567" w:right="567"/>
        <w:jc w:val="both"/>
        <w:rPr>
          <w:rFonts w:ascii="Arial" w:hAnsi="Arial" w:cs="Arial"/>
          <w:sz w:val="20"/>
        </w:rPr>
      </w:pPr>
      <w:r>
        <w:rPr>
          <w:rFonts w:ascii="Arial" w:hAnsi="Arial" w:cs="Arial"/>
          <w:sz w:val="20"/>
        </w:rPr>
        <w:t>“Just as I agree with Dr R’s opinions, I agree with [</w:t>
      </w:r>
      <w:r w:rsidR="00993471">
        <w:rPr>
          <w:rFonts w:ascii="Arial" w:hAnsi="Arial" w:cs="Arial"/>
          <w:sz w:val="20"/>
        </w:rPr>
        <w:t>Dr D’s &amp; Ms J’s] opinions set out at p.26 of their assessment report on the importance of secure attachment as the foundation for appropriate development:</w:t>
      </w:r>
    </w:p>
    <w:p w14:paraId="00720B11" w14:textId="2D8B3C09" w:rsidR="00EA261E" w:rsidRPr="00993471" w:rsidRDefault="00993471" w:rsidP="00993471">
      <w:pPr>
        <w:spacing w:before="120"/>
        <w:ind w:left="851" w:right="851"/>
        <w:jc w:val="both"/>
        <w:rPr>
          <w:rFonts w:ascii="Arial" w:hAnsi="Arial" w:cs="Arial"/>
          <w:bCs/>
          <w:sz w:val="18"/>
          <w:szCs w:val="18"/>
        </w:rPr>
      </w:pPr>
      <w:r>
        <w:rPr>
          <w:rFonts w:ascii="Arial" w:hAnsi="Arial" w:cs="Arial"/>
          <w:bCs/>
          <w:sz w:val="18"/>
          <w:szCs w:val="18"/>
        </w:rPr>
        <w:t>‘</w:t>
      </w:r>
      <w:r w:rsidR="00EA261E" w:rsidRPr="00993471">
        <w:rPr>
          <w:rFonts w:ascii="Arial" w:hAnsi="Arial" w:cs="Arial"/>
          <w:bCs/>
          <w:sz w:val="18"/>
          <w:szCs w:val="18"/>
        </w:rPr>
        <w:t xml:space="preserve">The importance of secure attachment for infants and children is now well recognised.  Increasingly attachment theories are used to provide a conceptual foundation for assessment and decision-making.  In Victoria concepts related to attachment inform the Best interests case practice framework (DOHS, 2008).  Secure attachment is associated with better interpersonal functioning including problem solving, confidence and interactions with peers…Establishing of secure attachment is now recognised as a foundational building block for the development of infants and children (Dozier </w:t>
      </w:r>
      <w:r w:rsidR="00EA261E" w:rsidRPr="00993471">
        <w:rPr>
          <w:rFonts w:ascii="Arial" w:hAnsi="Arial" w:cs="Arial"/>
          <w:bCs/>
          <w:i/>
          <w:sz w:val="18"/>
          <w:szCs w:val="18"/>
        </w:rPr>
        <w:t>et al.</w:t>
      </w:r>
      <w:r w:rsidR="00EA261E" w:rsidRPr="00993471">
        <w:rPr>
          <w:rFonts w:ascii="Arial" w:hAnsi="Arial" w:cs="Arial"/>
          <w:bCs/>
          <w:sz w:val="18"/>
          <w:szCs w:val="18"/>
        </w:rPr>
        <w:t>, 2001).</w:t>
      </w:r>
      <w:r>
        <w:rPr>
          <w:rFonts w:ascii="Arial" w:hAnsi="Arial" w:cs="Arial"/>
          <w:bCs/>
          <w:sz w:val="18"/>
          <w:szCs w:val="18"/>
        </w:rPr>
        <w:t>’</w:t>
      </w:r>
      <w:r w:rsidR="00EA261E" w:rsidRPr="00993471">
        <w:rPr>
          <w:rFonts w:ascii="Arial" w:hAnsi="Arial" w:cs="Arial"/>
          <w:bCs/>
          <w:sz w:val="18"/>
          <w:szCs w:val="18"/>
        </w:rPr>
        <w:t>”</w:t>
      </w:r>
    </w:p>
    <w:p w14:paraId="30DBA02D" w14:textId="749CAED1" w:rsidR="00EA261E" w:rsidRDefault="00EA261E" w:rsidP="00596A85">
      <w:pPr>
        <w:jc w:val="both"/>
        <w:rPr>
          <w:rFonts w:ascii="Arial" w:hAnsi="Arial" w:cs="Arial"/>
          <w:sz w:val="20"/>
        </w:rPr>
      </w:pPr>
    </w:p>
    <w:p w14:paraId="033E6385" w14:textId="300A205C" w:rsidR="00FE2913" w:rsidRDefault="00FE2913">
      <w:pPr>
        <w:jc w:val="both"/>
        <w:rPr>
          <w:rFonts w:ascii="Arial" w:hAnsi="Arial" w:cs="Arial"/>
          <w:sz w:val="20"/>
        </w:rPr>
      </w:pPr>
      <w:r>
        <w:rPr>
          <w:rFonts w:ascii="Arial" w:hAnsi="Arial" w:cs="Arial"/>
          <w:sz w:val="20"/>
        </w:rPr>
        <w:t>However, although accept</w:t>
      </w:r>
      <w:r w:rsidR="007A585F">
        <w:rPr>
          <w:rFonts w:ascii="Arial" w:hAnsi="Arial" w:cs="Arial"/>
          <w:sz w:val="20"/>
        </w:rPr>
        <w:t>ing</w:t>
      </w:r>
      <w:r>
        <w:rPr>
          <w:rFonts w:ascii="Arial" w:hAnsi="Arial" w:cs="Arial"/>
          <w:sz w:val="20"/>
        </w:rPr>
        <w:t xml:space="preserve"> </w:t>
      </w:r>
      <w:r w:rsidR="00993471">
        <w:rPr>
          <w:rFonts w:ascii="Arial" w:hAnsi="Arial" w:cs="Arial"/>
          <w:sz w:val="20"/>
        </w:rPr>
        <w:t>Ms J</w:t>
      </w:r>
      <w:r>
        <w:rPr>
          <w:rFonts w:ascii="Arial" w:hAnsi="Arial" w:cs="Arial"/>
          <w:sz w:val="20"/>
        </w:rPr>
        <w:t xml:space="preserve">’s </w:t>
      </w:r>
      <w:r w:rsidR="0030515F">
        <w:rPr>
          <w:rFonts w:ascii="Arial" w:hAnsi="Arial" w:cs="Arial"/>
          <w:sz w:val="20"/>
        </w:rPr>
        <w:t xml:space="preserve">theoretical evidence, </w:t>
      </w:r>
      <w:r w:rsidR="007A585F">
        <w:rPr>
          <w:rFonts w:ascii="Arial" w:hAnsi="Arial" w:cs="Arial"/>
          <w:sz w:val="20"/>
        </w:rPr>
        <w:t xml:space="preserve">Power M </w:t>
      </w:r>
      <w:r w:rsidR="0030515F">
        <w:rPr>
          <w:rFonts w:ascii="Arial" w:hAnsi="Arial" w:cs="Arial"/>
          <w:sz w:val="20"/>
        </w:rPr>
        <w:t xml:space="preserve">did not accept her </w:t>
      </w:r>
      <w:r w:rsidR="002805B6">
        <w:rPr>
          <w:rFonts w:ascii="Arial" w:hAnsi="Arial" w:cs="Arial"/>
          <w:sz w:val="20"/>
        </w:rPr>
        <w:t xml:space="preserve">ultimate </w:t>
      </w:r>
      <w:r w:rsidR="0030515F">
        <w:rPr>
          <w:rFonts w:ascii="Arial" w:hAnsi="Arial" w:cs="Arial"/>
          <w:sz w:val="20"/>
        </w:rPr>
        <w:t>opinion that the infant in question had</w:t>
      </w:r>
      <w:r w:rsidR="00993471">
        <w:rPr>
          <w:rFonts w:ascii="Arial" w:hAnsi="Arial" w:cs="Arial"/>
          <w:sz w:val="20"/>
        </w:rPr>
        <w:t xml:space="preserve"> </w:t>
      </w:r>
      <w:r w:rsidR="0030515F">
        <w:rPr>
          <w:rFonts w:ascii="Arial" w:hAnsi="Arial" w:cs="Arial"/>
          <w:sz w:val="20"/>
        </w:rPr>
        <w:t>an “avoidant attachment style”</w:t>
      </w:r>
      <w:r w:rsidR="007A585F">
        <w:rPr>
          <w:rFonts w:ascii="Arial" w:hAnsi="Arial" w:cs="Arial"/>
          <w:sz w:val="20"/>
        </w:rPr>
        <w:t xml:space="preserve">, saying </w:t>
      </w:r>
      <w:r w:rsidR="00B05BA3">
        <w:rPr>
          <w:rFonts w:ascii="Arial" w:hAnsi="Arial" w:cs="Arial"/>
          <w:sz w:val="20"/>
        </w:rPr>
        <w:t xml:space="preserve">at </w:t>
      </w:r>
      <w:r w:rsidR="00993471">
        <w:rPr>
          <w:rFonts w:ascii="Arial" w:hAnsi="Arial" w:cs="Arial"/>
          <w:sz w:val="20"/>
        </w:rPr>
        <w:t>p.88</w:t>
      </w:r>
      <w:r w:rsidR="0030515F">
        <w:rPr>
          <w:rFonts w:ascii="Arial" w:hAnsi="Arial" w:cs="Arial"/>
          <w:sz w:val="20"/>
        </w:rPr>
        <w:t>:</w:t>
      </w:r>
    </w:p>
    <w:p w14:paraId="0B7C8876" w14:textId="25775F4C" w:rsidR="0030515F" w:rsidRDefault="0030515F" w:rsidP="006A4203">
      <w:pPr>
        <w:spacing w:before="60"/>
        <w:ind w:left="567" w:right="567"/>
        <w:jc w:val="both"/>
        <w:rPr>
          <w:rFonts w:ascii="Arial" w:hAnsi="Arial" w:cs="Arial"/>
          <w:sz w:val="20"/>
          <w:szCs w:val="20"/>
        </w:rPr>
      </w:pPr>
      <w:r w:rsidRPr="0030515F">
        <w:rPr>
          <w:rFonts w:ascii="Arial" w:hAnsi="Arial" w:cs="Arial"/>
          <w:sz w:val="20"/>
          <w:szCs w:val="20"/>
        </w:rPr>
        <w:t xml:space="preserve">“The vast bulk of the evidence of observations of </w:t>
      </w:r>
      <w:r>
        <w:rPr>
          <w:rFonts w:ascii="Arial" w:hAnsi="Arial" w:cs="Arial"/>
          <w:sz w:val="20"/>
          <w:szCs w:val="20"/>
        </w:rPr>
        <w:t>[the child]</w:t>
      </w:r>
      <w:r w:rsidRPr="0030515F">
        <w:rPr>
          <w:rFonts w:ascii="Arial" w:hAnsi="Arial" w:cs="Arial"/>
          <w:sz w:val="20"/>
          <w:szCs w:val="20"/>
        </w:rPr>
        <w:t xml:space="preserve"> both by professionals and by his carers during a period of over 2 years do not support </w:t>
      </w:r>
      <w:r w:rsidR="00993471">
        <w:rPr>
          <w:rFonts w:ascii="Arial" w:hAnsi="Arial" w:cs="Arial"/>
          <w:sz w:val="20"/>
          <w:szCs w:val="20"/>
        </w:rPr>
        <w:t>[Ms J’s]</w:t>
      </w:r>
      <w:r w:rsidRPr="0030515F">
        <w:rPr>
          <w:rFonts w:ascii="Arial" w:hAnsi="Arial" w:cs="Arial"/>
          <w:sz w:val="20"/>
          <w:szCs w:val="20"/>
        </w:rPr>
        <w:t xml:space="preserve"> proposition that </w:t>
      </w:r>
      <w:r w:rsidR="002805B6">
        <w:rPr>
          <w:rFonts w:ascii="Arial" w:hAnsi="Arial" w:cs="Arial"/>
          <w:sz w:val="20"/>
          <w:szCs w:val="20"/>
        </w:rPr>
        <w:t>[the child]</w:t>
      </w:r>
      <w:r w:rsidRPr="0030515F">
        <w:rPr>
          <w:rFonts w:ascii="Arial" w:hAnsi="Arial" w:cs="Arial"/>
          <w:sz w:val="20"/>
          <w:szCs w:val="20"/>
        </w:rPr>
        <w:t xml:space="preserve"> is displaying an insecure style of attachment to his carers.  Nor do the expert opinions of </w:t>
      </w:r>
      <w:r>
        <w:rPr>
          <w:rFonts w:ascii="Arial" w:hAnsi="Arial" w:cs="Arial"/>
          <w:sz w:val="20"/>
          <w:szCs w:val="20"/>
        </w:rPr>
        <w:t>[</w:t>
      </w:r>
      <w:r w:rsidR="00DE3C0C">
        <w:rPr>
          <w:rFonts w:ascii="Arial" w:hAnsi="Arial" w:cs="Arial"/>
          <w:sz w:val="20"/>
          <w:szCs w:val="20"/>
        </w:rPr>
        <w:t>two</w:t>
      </w:r>
      <w:r>
        <w:rPr>
          <w:rFonts w:ascii="Arial" w:hAnsi="Arial" w:cs="Arial"/>
          <w:sz w:val="20"/>
          <w:szCs w:val="20"/>
        </w:rPr>
        <w:t xml:space="preserve"> other professionals]</w:t>
      </w:r>
      <w:r w:rsidRPr="0030515F">
        <w:rPr>
          <w:rFonts w:ascii="Arial" w:hAnsi="Arial" w:cs="Arial"/>
          <w:sz w:val="20"/>
          <w:szCs w:val="20"/>
        </w:rPr>
        <w:t xml:space="preserve"> support that proposition</w:t>
      </w:r>
      <w:r w:rsidR="00B05BA3">
        <w:rPr>
          <w:rFonts w:ascii="Arial" w:hAnsi="Arial" w:cs="Arial"/>
          <w:sz w:val="20"/>
          <w:szCs w:val="20"/>
        </w:rPr>
        <w:t>…</w:t>
      </w:r>
    </w:p>
    <w:p w14:paraId="438BD19D" w14:textId="77777777" w:rsidR="00B05BA3" w:rsidRPr="0030515F" w:rsidRDefault="00B05BA3" w:rsidP="006A4203">
      <w:pPr>
        <w:spacing w:before="60"/>
        <w:ind w:left="567" w:right="567"/>
        <w:jc w:val="both"/>
        <w:rPr>
          <w:rFonts w:ascii="Arial" w:hAnsi="Arial" w:cs="Arial"/>
          <w:sz w:val="20"/>
          <w:szCs w:val="20"/>
        </w:rPr>
      </w:pPr>
      <w:r w:rsidRPr="00B05BA3">
        <w:rPr>
          <w:rFonts w:ascii="Arial" w:hAnsi="Arial" w:cs="Arial"/>
          <w:sz w:val="20"/>
          <w:szCs w:val="20"/>
        </w:rPr>
        <w:t xml:space="preserve">I do not accept on the balance of probabilities that </w:t>
      </w:r>
      <w:r w:rsidR="002805B6">
        <w:rPr>
          <w:rFonts w:ascii="Arial" w:hAnsi="Arial" w:cs="Arial"/>
          <w:sz w:val="20"/>
          <w:szCs w:val="20"/>
        </w:rPr>
        <w:t>[the child]</w:t>
      </w:r>
      <w:r w:rsidRPr="00B05BA3">
        <w:rPr>
          <w:rFonts w:ascii="Arial" w:hAnsi="Arial" w:cs="Arial"/>
          <w:sz w:val="20"/>
          <w:szCs w:val="20"/>
        </w:rPr>
        <w:t xml:space="preserve"> has an attachment disorder or a disordered attachment style of any sort.  To do so would be to accept the sort of </w:t>
      </w:r>
      <w:r w:rsidR="007510AE">
        <w:rPr>
          <w:rFonts w:ascii="Arial" w:hAnsi="Arial" w:cs="Arial"/>
          <w:sz w:val="20"/>
          <w:szCs w:val="20"/>
        </w:rPr>
        <w:t>‘</w:t>
      </w:r>
      <w:r w:rsidRPr="00B05BA3">
        <w:rPr>
          <w:rFonts w:ascii="Arial" w:hAnsi="Arial" w:cs="Arial"/>
          <w:sz w:val="20"/>
          <w:szCs w:val="20"/>
        </w:rPr>
        <w:t>mere suspicion, surmise or guesswork</w:t>
      </w:r>
      <w:r w:rsidR="007510AE">
        <w:rPr>
          <w:rFonts w:ascii="Arial" w:hAnsi="Arial" w:cs="Arial"/>
          <w:sz w:val="20"/>
          <w:szCs w:val="20"/>
        </w:rPr>
        <w:t>’</w:t>
      </w:r>
      <w:r w:rsidRPr="00B05BA3">
        <w:rPr>
          <w:rFonts w:ascii="Arial" w:hAnsi="Arial" w:cs="Arial"/>
          <w:sz w:val="20"/>
          <w:szCs w:val="20"/>
        </w:rPr>
        <w:t xml:space="preserve"> castigated by Latham CJ in </w:t>
      </w:r>
      <w:proofErr w:type="spellStart"/>
      <w:r w:rsidRPr="00B05BA3">
        <w:rPr>
          <w:rFonts w:ascii="Arial" w:hAnsi="Arial" w:cs="Arial"/>
          <w:i/>
          <w:sz w:val="20"/>
          <w:szCs w:val="20"/>
        </w:rPr>
        <w:t>Briginshaw</w:t>
      </w:r>
      <w:proofErr w:type="spellEnd"/>
      <w:r w:rsidRPr="00B05BA3">
        <w:rPr>
          <w:rFonts w:ascii="Arial" w:hAnsi="Arial" w:cs="Arial"/>
          <w:i/>
          <w:sz w:val="20"/>
          <w:szCs w:val="20"/>
        </w:rPr>
        <w:t xml:space="preserve"> v </w:t>
      </w:r>
      <w:proofErr w:type="spellStart"/>
      <w:r w:rsidRPr="00B05BA3">
        <w:rPr>
          <w:rFonts w:ascii="Arial" w:hAnsi="Arial" w:cs="Arial"/>
          <w:i/>
          <w:sz w:val="20"/>
          <w:szCs w:val="20"/>
        </w:rPr>
        <w:t>Briginshaw</w:t>
      </w:r>
      <w:proofErr w:type="spellEnd"/>
      <w:r w:rsidRPr="00B05BA3">
        <w:rPr>
          <w:rFonts w:ascii="Arial" w:hAnsi="Arial" w:cs="Arial"/>
          <w:sz w:val="20"/>
          <w:szCs w:val="20"/>
        </w:rPr>
        <w:t xml:space="preserve">.  On the contrary, I am satisfied on balancing </w:t>
      </w:r>
      <w:r w:rsidRPr="00B05BA3">
        <w:rPr>
          <w:rFonts w:ascii="Arial" w:hAnsi="Arial" w:cs="Arial"/>
          <w:sz w:val="20"/>
          <w:szCs w:val="20"/>
          <w:u w:val="single"/>
        </w:rPr>
        <w:t>all</w:t>
      </w:r>
      <w:r w:rsidRPr="00B05BA3">
        <w:rPr>
          <w:rFonts w:ascii="Arial" w:hAnsi="Arial" w:cs="Arial"/>
          <w:sz w:val="20"/>
          <w:szCs w:val="20"/>
        </w:rPr>
        <w:t xml:space="preserve"> of the evidence</w:t>
      </w:r>
      <w:r>
        <w:rPr>
          <w:rFonts w:ascii="Arial" w:hAnsi="Arial" w:cs="Arial"/>
          <w:sz w:val="20"/>
          <w:szCs w:val="20"/>
        </w:rPr>
        <w:t>…</w:t>
      </w:r>
      <w:r w:rsidRPr="00B05BA3">
        <w:rPr>
          <w:rFonts w:ascii="Arial" w:hAnsi="Arial" w:cs="Arial"/>
          <w:sz w:val="20"/>
          <w:szCs w:val="20"/>
        </w:rPr>
        <w:t xml:space="preserve">that </w:t>
      </w:r>
      <w:r>
        <w:rPr>
          <w:rFonts w:ascii="Arial" w:hAnsi="Arial" w:cs="Arial"/>
          <w:sz w:val="20"/>
          <w:szCs w:val="20"/>
        </w:rPr>
        <w:t>[the child]</w:t>
      </w:r>
      <w:r w:rsidRPr="00B05BA3">
        <w:rPr>
          <w:rFonts w:ascii="Arial" w:hAnsi="Arial" w:cs="Arial"/>
          <w:sz w:val="20"/>
          <w:szCs w:val="20"/>
        </w:rPr>
        <w:t xml:space="preserve"> has a strong, secure and healthy attachment to his primary attachment figures</w:t>
      </w:r>
      <w:r>
        <w:rPr>
          <w:rFonts w:ascii="Arial" w:hAnsi="Arial" w:cs="Arial"/>
          <w:sz w:val="20"/>
          <w:szCs w:val="20"/>
        </w:rPr>
        <w:t>”</w:t>
      </w:r>
      <w:r w:rsidRPr="00B05BA3">
        <w:rPr>
          <w:rFonts w:ascii="Arial" w:hAnsi="Arial" w:cs="Arial"/>
          <w:sz w:val="20"/>
          <w:szCs w:val="20"/>
        </w:rPr>
        <w:t>.</w:t>
      </w:r>
    </w:p>
    <w:p w14:paraId="65F54E16" w14:textId="77777777" w:rsidR="00FE2913" w:rsidRDefault="00FE2913">
      <w:pPr>
        <w:jc w:val="both"/>
        <w:rPr>
          <w:rFonts w:ascii="Arial" w:hAnsi="Arial" w:cs="Arial"/>
          <w:sz w:val="20"/>
        </w:rPr>
      </w:pPr>
    </w:p>
    <w:p w14:paraId="0EC19FA6" w14:textId="0906C887" w:rsidR="007510AE" w:rsidRDefault="007510AE">
      <w:pPr>
        <w:jc w:val="both"/>
        <w:rPr>
          <w:rFonts w:ascii="Arial" w:hAnsi="Arial" w:cs="Arial"/>
          <w:sz w:val="20"/>
        </w:rPr>
      </w:pPr>
      <w:r>
        <w:rPr>
          <w:rFonts w:ascii="Arial" w:hAnsi="Arial" w:cs="Arial"/>
          <w:sz w:val="20"/>
        </w:rPr>
        <w:t xml:space="preserve">That finding, read in conjunction with the opinion of Dr R on the “transfer” of attachment, led the Court to find at </w:t>
      </w:r>
      <w:r w:rsidR="00993471">
        <w:rPr>
          <w:rFonts w:ascii="Arial" w:hAnsi="Arial" w:cs="Arial"/>
          <w:sz w:val="20"/>
        </w:rPr>
        <w:t>p.122</w:t>
      </w:r>
      <w:r>
        <w:rPr>
          <w:rFonts w:ascii="Arial" w:hAnsi="Arial" w:cs="Arial"/>
          <w:sz w:val="20"/>
        </w:rPr>
        <w:t xml:space="preserve"> that:</w:t>
      </w:r>
    </w:p>
    <w:p w14:paraId="35166E3C" w14:textId="77777777" w:rsidR="007510AE" w:rsidRPr="0030515F" w:rsidRDefault="007510AE" w:rsidP="006A4203">
      <w:pPr>
        <w:spacing w:before="60"/>
        <w:ind w:left="567" w:right="567"/>
        <w:jc w:val="both"/>
        <w:rPr>
          <w:rFonts w:ascii="Arial" w:hAnsi="Arial" w:cs="Arial"/>
          <w:sz w:val="20"/>
          <w:szCs w:val="20"/>
        </w:rPr>
      </w:pPr>
      <w:r>
        <w:rPr>
          <w:rFonts w:ascii="Arial" w:hAnsi="Arial" w:cs="Arial"/>
          <w:sz w:val="20"/>
          <w:szCs w:val="20"/>
        </w:rPr>
        <w:t>“</w:t>
      </w:r>
      <w:r w:rsidRPr="007510AE">
        <w:rPr>
          <w:rFonts w:ascii="Arial" w:hAnsi="Arial" w:cs="Arial"/>
          <w:sz w:val="20"/>
        </w:rPr>
        <w:t xml:space="preserve">Paradoxically perhaps, the fact that </w:t>
      </w:r>
      <w:r>
        <w:rPr>
          <w:rFonts w:ascii="Arial" w:hAnsi="Arial" w:cs="Arial"/>
          <w:sz w:val="20"/>
        </w:rPr>
        <w:t>[the child]</w:t>
      </w:r>
      <w:r w:rsidRPr="007510AE">
        <w:rPr>
          <w:rFonts w:ascii="Arial" w:hAnsi="Arial" w:cs="Arial"/>
          <w:sz w:val="20"/>
        </w:rPr>
        <w:t xml:space="preserve"> has a secure attachment to his carers – his current primary attachment figures – is likely to make the transfer of that attachment to his parents a less traumatic experience for him.</w:t>
      </w:r>
      <w:r>
        <w:rPr>
          <w:rFonts w:ascii="Arial" w:hAnsi="Arial" w:cs="Arial"/>
          <w:sz w:val="20"/>
          <w:szCs w:val="20"/>
        </w:rPr>
        <w:t>”</w:t>
      </w:r>
    </w:p>
    <w:p w14:paraId="428F3CF9" w14:textId="6ECF0235" w:rsidR="00693223" w:rsidRDefault="00693223">
      <w:pPr>
        <w:jc w:val="both"/>
        <w:rPr>
          <w:rFonts w:ascii="Arial" w:hAnsi="Arial" w:cs="Arial"/>
          <w:sz w:val="20"/>
        </w:rPr>
      </w:pPr>
    </w:p>
    <w:p w14:paraId="1694997A" w14:textId="74ED94FD" w:rsidR="007A585F" w:rsidRDefault="007A585F">
      <w:pPr>
        <w:jc w:val="both"/>
        <w:rPr>
          <w:rFonts w:ascii="Arial" w:hAnsi="Arial" w:cs="Arial"/>
          <w:sz w:val="20"/>
        </w:rPr>
      </w:pPr>
      <w:r>
        <w:rPr>
          <w:rFonts w:ascii="Arial" w:hAnsi="Arial" w:cs="Arial"/>
          <w:sz w:val="20"/>
        </w:rPr>
        <w:t>Ultimately the Court held at p.134:</w:t>
      </w:r>
    </w:p>
    <w:p w14:paraId="717A80A2" w14:textId="2D8DD3EB" w:rsidR="007A585F" w:rsidRPr="0030515F" w:rsidRDefault="007A585F" w:rsidP="007A585F">
      <w:pPr>
        <w:spacing w:before="60"/>
        <w:ind w:left="567" w:right="567"/>
        <w:jc w:val="both"/>
        <w:rPr>
          <w:rFonts w:ascii="Arial" w:hAnsi="Arial" w:cs="Arial"/>
          <w:sz w:val="20"/>
          <w:szCs w:val="20"/>
        </w:rPr>
      </w:pPr>
      <w:r>
        <w:rPr>
          <w:rFonts w:ascii="Arial" w:hAnsi="Arial" w:cs="Arial"/>
          <w:bCs/>
          <w:sz w:val="20"/>
          <w:szCs w:val="20"/>
        </w:rPr>
        <w:t>“T</w:t>
      </w:r>
      <w:r w:rsidRPr="007A585F">
        <w:rPr>
          <w:rFonts w:ascii="Arial" w:hAnsi="Arial" w:cs="Arial"/>
          <w:bCs/>
          <w:sz w:val="20"/>
          <w:szCs w:val="20"/>
        </w:rPr>
        <w:t xml:space="preserve">he evidence supports a case plan of gradual reunification of </w:t>
      </w:r>
      <w:r>
        <w:rPr>
          <w:rFonts w:ascii="Arial" w:hAnsi="Arial" w:cs="Arial"/>
          <w:bCs/>
          <w:sz w:val="20"/>
          <w:szCs w:val="20"/>
        </w:rPr>
        <w:t>[the child]</w:t>
      </w:r>
      <w:r w:rsidRPr="007A585F">
        <w:rPr>
          <w:rFonts w:ascii="Arial" w:hAnsi="Arial" w:cs="Arial"/>
          <w:bCs/>
          <w:sz w:val="20"/>
          <w:szCs w:val="20"/>
        </w:rPr>
        <w:t xml:space="preserve"> with his parents – while remaining during the transition period in the primary care of </w:t>
      </w:r>
      <w:r>
        <w:rPr>
          <w:rFonts w:ascii="Arial" w:hAnsi="Arial" w:cs="Arial"/>
          <w:bCs/>
          <w:sz w:val="20"/>
          <w:szCs w:val="20"/>
        </w:rPr>
        <w:t>[the carers]</w:t>
      </w:r>
      <w:r w:rsidRPr="007A585F">
        <w:rPr>
          <w:rFonts w:ascii="Arial" w:hAnsi="Arial" w:cs="Arial"/>
          <w:bCs/>
          <w:sz w:val="20"/>
          <w:szCs w:val="20"/>
        </w:rPr>
        <w:t xml:space="preserve"> if they are prepared to remain in that role until reunification is fully achieved.  It therefore supports an extension and interim variation of the custody to Secretary order.  While I cannot order the carers to remain involved in </w:t>
      </w:r>
      <w:r>
        <w:rPr>
          <w:rFonts w:ascii="Arial" w:hAnsi="Arial" w:cs="Arial"/>
          <w:bCs/>
          <w:sz w:val="20"/>
          <w:szCs w:val="20"/>
        </w:rPr>
        <w:t>[the child</w:t>
      </w:r>
      <w:r w:rsidRPr="007A585F">
        <w:rPr>
          <w:rFonts w:ascii="Arial" w:hAnsi="Arial" w:cs="Arial"/>
          <w:bCs/>
          <w:sz w:val="20"/>
          <w:szCs w:val="20"/>
        </w:rPr>
        <w:t>’s</w:t>
      </w:r>
      <w:r>
        <w:rPr>
          <w:rFonts w:ascii="Arial" w:hAnsi="Arial" w:cs="Arial"/>
          <w:bCs/>
          <w:sz w:val="20"/>
          <w:szCs w:val="20"/>
        </w:rPr>
        <w:t>]</w:t>
      </w:r>
      <w:r w:rsidRPr="007A585F">
        <w:rPr>
          <w:rFonts w:ascii="Arial" w:hAnsi="Arial" w:cs="Arial"/>
          <w:bCs/>
          <w:sz w:val="20"/>
          <w:szCs w:val="20"/>
        </w:rPr>
        <w:t xml:space="preserve"> life, their continued involvement – both during the transition period and afterwards – is very important for </w:t>
      </w:r>
      <w:r>
        <w:rPr>
          <w:rFonts w:ascii="Arial" w:hAnsi="Arial" w:cs="Arial"/>
          <w:bCs/>
          <w:sz w:val="20"/>
          <w:szCs w:val="20"/>
        </w:rPr>
        <w:t>[the child</w:t>
      </w:r>
      <w:r w:rsidRPr="007A585F">
        <w:rPr>
          <w:rFonts w:ascii="Arial" w:hAnsi="Arial" w:cs="Arial"/>
          <w:bCs/>
          <w:sz w:val="20"/>
          <w:szCs w:val="20"/>
        </w:rPr>
        <w:t>’s</w:t>
      </w:r>
      <w:r>
        <w:rPr>
          <w:rFonts w:ascii="Arial" w:hAnsi="Arial" w:cs="Arial"/>
          <w:bCs/>
          <w:sz w:val="20"/>
          <w:szCs w:val="20"/>
        </w:rPr>
        <w:t>]</w:t>
      </w:r>
      <w:r w:rsidRPr="007A585F">
        <w:rPr>
          <w:rFonts w:ascii="Arial" w:hAnsi="Arial" w:cs="Arial"/>
          <w:bCs/>
          <w:sz w:val="20"/>
          <w:szCs w:val="20"/>
        </w:rPr>
        <w:t xml:space="preserve"> emotional wellbeing.  The reunification process should proceed in a sensitive, planned and child-focused way over a number of months and should involve largely unmonitored access of </w:t>
      </w:r>
      <w:r>
        <w:rPr>
          <w:rFonts w:ascii="Arial" w:hAnsi="Arial" w:cs="Arial"/>
          <w:bCs/>
          <w:sz w:val="20"/>
          <w:szCs w:val="20"/>
        </w:rPr>
        <w:t>[the child]</w:t>
      </w:r>
      <w:r w:rsidRPr="007A585F">
        <w:rPr>
          <w:rFonts w:ascii="Arial" w:hAnsi="Arial" w:cs="Arial"/>
          <w:bCs/>
          <w:sz w:val="20"/>
          <w:szCs w:val="20"/>
        </w:rPr>
        <w:t xml:space="preserve"> with his parents, increasing in frequency and duration until it is appropriate for overnight access to be implemented and eventually for </w:t>
      </w:r>
      <w:r>
        <w:rPr>
          <w:rFonts w:ascii="Arial" w:hAnsi="Arial" w:cs="Arial"/>
          <w:bCs/>
          <w:sz w:val="20"/>
          <w:szCs w:val="20"/>
        </w:rPr>
        <w:t>[the child]</w:t>
      </w:r>
      <w:r w:rsidRPr="007A585F">
        <w:rPr>
          <w:rFonts w:ascii="Arial" w:hAnsi="Arial" w:cs="Arial"/>
          <w:bCs/>
          <w:sz w:val="20"/>
          <w:szCs w:val="20"/>
        </w:rPr>
        <w:t xml:space="preserve"> to be returned to his parents’ full-time care.</w:t>
      </w:r>
      <w:r>
        <w:rPr>
          <w:rFonts w:ascii="Arial" w:hAnsi="Arial" w:cs="Arial"/>
          <w:bCs/>
          <w:sz w:val="20"/>
          <w:szCs w:val="20"/>
        </w:rPr>
        <w:t>”</w:t>
      </w:r>
    </w:p>
    <w:p w14:paraId="7797B880" w14:textId="03A5B620" w:rsidR="007A585F" w:rsidRPr="007A585F" w:rsidRDefault="007A585F" w:rsidP="007A585F">
      <w:pPr>
        <w:ind w:left="720" w:hanging="720"/>
        <w:jc w:val="both"/>
        <w:rPr>
          <w:rFonts w:ascii="Arial" w:hAnsi="Arial" w:cs="Arial"/>
          <w:bCs/>
          <w:sz w:val="20"/>
          <w:szCs w:val="20"/>
        </w:rPr>
      </w:pPr>
    </w:p>
    <w:p w14:paraId="0C22F28E" w14:textId="77777777" w:rsidR="00693223" w:rsidRDefault="00693223">
      <w:pPr>
        <w:pStyle w:val="Heading2"/>
        <w:keepNext/>
        <w:keepLines/>
        <w:tabs>
          <w:tab w:val="left" w:pos="567"/>
        </w:tabs>
        <w:spacing w:line="240" w:lineRule="auto"/>
        <w:rPr>
          <w:rFonts w:ascii="Arial" w:hAnsi="Arial" w:cs="Arial"/>
          <w:b/>
          <w:bCs/>
        </w:rPr>
      </w:pPr>
      <w:bookmarkStart w:id="1614" w:name="_4.13_Shared_care"/>
      <w:bookmarkStart w:id="1615" w:name="B413"/>
      <w:bookmarkStart w:id="1616" w:name="_Toc32285537"/>
      <w:bookmarkStart w:id="1617" w:name="_Toc34823404"/>
      <w:bookmarkEnd w:id="1614"/>
      <w:bookmarkEnd w:id="1615"/>
      <w:r>
        <w:rPr>
          <w:rFonts w:ascii="Arial" w:hAnsi="Arial" w:cs="Arial"/>
          <w:b/>
          <w:bCs/>
        </w:rPr>
        <w:t>4.1</w:t>
      </w:r>
      <w:r w:rsidR="002E5754">
        <w:rPr>
          <w:rFonts w:ascii="Arial" w:hAnsi="Arial" w:cs="Arial"/>
          <w:b/>
          <w:bCs/>
        </w:rPr>
        <w:t>3</w:t>
      </w:r>
      <w:r>
        <w:rPr>
          <w:rFonts w:ascii="Arial" w:hAnsi="Arial" w:cs="Arial"/>
          <w:b/>
          <w:bCs/>
        </w:rPr>
        <w:tab/>
        <w:t>Shared care of a young child</w:t>
      </w:r>
      <w:bookmarkEnd w:id="1616"/>
      <w:bookmarkEnd w:id="1617"/>
    </w:p>
    <w:p w14:paraId="33BFD9C0" w14:textId="77777777" w:rsidR="00693223" w:rsidRDefault="00693223">
      <w:pPr>
        <w:keepNext/>
        <w:keepLines/>
        <w:widowControl w:val="0"/>
        <w:rPr>
          <w:rFonts w:ascii="Arial" w:hAnsi="Arial" w:cs="Arial"/>
          <w:sz w:val="20"/>
        </w:rPr>
      </w:pPr>
    </w:p>
    <w:p w14:paraId="62115C03" w14:textId="4FBD2DF9" w:rsidR="00693223" w:rsidRDefault="00693223" w:rsidP="006A4203">
      <w:pPr>
        <w:jc w:val="both"/>
        <w:rPr>
          <w:rFonts w:ascii="Arial" w:hAnsi="Arial" w:cs="Arial"/>
          <w:sz w:val="20"/>
        </w:rPr>
      </w:pPr>
      <w:r>
        <w:rPr>
          <w:rFonts w:ascii="Arial" w:hAnsi="Arial" w:cs="Arial"/>
          <w:sz w:val="20"/>
        </w:rPr>
        <w:t xml:space="preserve">In a case </w:t>
      </w:r>
      <w:r w:rsidR="006B624D">
        <w:rPr>
          <w:rFonts w:ascii="Arial" w:hAnsi="Arial" w:cs="Arial"/>
          <w:sz w:val="20"/>
        </w:rPr>
        <w:t>in which the Court received a report from a clinical psychologist</w:t>
      </w:r>
      <w:r w:rsidR="008B005B">
        <w:rPr>
          <w:rFonts w:ascii="Arial" w:hAnsi="Arial" w:cs="Arial"/>
          <w:sz w:val="20"/>
        </w:rPr>
        <w:t>,</w:t>
      </w:r>
      <w:r w:rsidR="006B624D">
        <w:rPr>
          <w:rFonts w:ascii="Arial" w:hAnsi="Arial" w:cs="Arial"/>
          <w:sz w:val="20"/>
        </w:rPr>
        <w:t xml:space="preserve"> </w:t>
      </w:r>
      <w:r w:rsidR="008B005B">
        <w:rPr>
          <w:rFonts w:ascii="Arial" w:hAnsi="Arial" w:cs="Arial"/>
          <w:sz w:val="20"/>
        </w:rPr>
        <w:t xml:space="preserve">Dr R, </w:t>
      </w:r>
      <w:r w:rsidR="006B624D">
        <w:rPr>
          <w:rFonts w:ascii="Arial" w:hAnsi="Arial" w:cs="Arial"/>
          <w:sz w:val="20"/>
        </w:rPr>
        <w:t xml:space="preserve">in April 2002, care of </w:t>
      </w:r>
      <w:r>
        <w:rPr>
          <w:rFonts w:ascii="Arial" w:hAnsi="Arial" w:cs="Arial"/>
          <w:sz w:val="20"/>
        </w:rPr>
        <w:t xml:space="preserve">a 3 year old child, C, had been extensively shared between four main caregivers: the mother, the father and the grandparents, particularly the grandmother.  This arrangement was instituted within the first weeks after birth so from early infancy C had experienced a small </w:t>
      </w:r>
      <w:r>
        <w:rPr>
          <w:rFonts w:ascii="Arial" w:hAnsi="Arial" w:cs="Arial"/>
          <w:sz w:val="20"/>
        </w:rPr>
        <w:lastRenderedPageBreak/>
        <w:t xml:space="preserve">number of carers within the biological family and regular contact with all these people on an ongoing basis.  </w:t>
      </w:r>
      <w:r w:rsidR="008B005B">
        <w:rPr>
          <w:rFonts w:ascii="Arial" w:hAnsi="Arial" w:cs="Arial"/>
          <w:sz w:val="20"/>
        </w:rPr>
        <w:t>Dr R</w:t>
      </w:r>
      <w:r>
        <w:rPr>
          <w:rFonts w:ascii="Arial" w:hAnsi="Arial" w:cs="Arial"/>
          <w:sz w:val="20"/>
        </w:rPr>
        <w:t xml:space="preserve"> concluded that:</w:t>
      </w:r>
    </w:p>
    <w:p w14:paraId="4F03C0F2" w14:textId="77777777" w:rsidR="00693223" w:rsidRDefault="00693223" w:rsidP="00BA6FBE">
      <w:pPr>
        <w:numPr>
          <w:ilvl w:val="0"/>
          <w:numId w:val="4"/>
        </w:numPr>
        <w:tabs>
          <w:tab w:val="num" w:pos="720"/>
        </w:tabs>
        <w:ind w:left="363" w:hanging="363"/>
        <w:jc w:val="both"/>
        <w:rPr>
          <w:rFonts w:ascii="Arial" w:hAnsi="Arial" w:cs="Arial"/>
          <w:sz w:val="20"/>
        </w:rPr>
      </w:pPr>
      <w:r>
        <w:rPr>
          <w:rFonts w:ascii="Arial" w:hAnsi="Arial" w:cs="Arial"/>
          <w:sz w:val="20"/>
        </w:rPr>
        <w:t>the availability of C's grandparents at times of parental crisis had been "a critical 'protective' factor in [C's] life, enhancing his resilience in the face of ongoing exposure to the risk factor of parental domestic violence";</w:t>
      </w:r>
    </w:p>
    <w:p w14:paraId="5E0DE64B" w14:textId="77777777" w:rsidR="00693223" w:rsidRDefault="00693223" w:rsidP="00BA6FBE">
      <w:pPr>
        <w:numPr>
          <w:ilvl w:val="0"/>
          <w:numId w:val="4"/>
        </w:numPr>
        <w:tabs>
          <w:tab w:val="num" w:pos="720"/>
        </w:tabs>
        <w:ind w:left="363" w:hanging="363"/>
        <w:jc w:val="both"/>
        <w:rPr>
          <w:rFonts w:ascii="Arial" w:hAnsi="Arial" w:cs="Arial"/>
          <w:sz w:val="20"/>
        </w:rPr>
      </w:pPr>
      <w:r>
        <w:rPr>
          <w:rFonts w:ascii="Arial" w:hAnsi="Arial" w:cs="Arial"/>
          <w:sz w:val="20"/>
        </w:rPr>
        <w:t>the "shared and flexible arrangements" regarding C's care within his family had also "protected him from major disruptions to his relationship with his parents, as, for example, would be the case if foster care placements had occurred"; and</w:t>
      </w:r>
    </w:p>
    <w:p w14:paraId="5648B80A" w14:textId="77777777" w:rsidR="00693223" w:rsidRDefault="00693223" w:rsidP="00BA6FBE">
      <w:pPr>
        <w:numPr>
          <w:ilvl w:val="0"/>
          <w:numId w:val="4"/>
        </w:numPr>
        <w:tabs>
          <w:tab w:val="num" w:pos="720"/>
        </w:tabs>
        <w:ind w:left="363" w:hanging="363"/>
        <w:jc w:val="both"/>
        <w:rPr>
          <w:rFonts w:ascii="Arial" w:hAnsi="Arial" w:cs="Arial"/>
          <w:sz w:val="20"/>
        </w:rPr>
      </w:pPr>
      <w:r>
        <w:rPr>
          <w:rFonts w:ascii="Arial" w:hAnsi="Arial" w:cs="Arial"/>
          <w:sz w:val="20"/>
        </w:rPr>
        <w:t>"the case history is consistent with [C] forming attachments to the four caregiving figures available to him".</w:t>
      </w:r>
    </w:p>
    <w:p w14:paraId="3EC94DF2" w14:textId="77777777" w:rsidR="00693223" w:rsidRDefault="00693223">
      <w:pPr>
        <w:rPr>
          <w:rFonts w:ascii="Arial" w:hAnsi="Arial" w:cs="Arial"/>
          <w:sz w:val="20"/>
        </w:rPr>
      </w:pPr>
    </w:p>
    <w:p w14:paraId="4BC00F7C" w14:textId="546FD24C" w:rsidR="00693223" w:rsidRDefault="00693223">
      <w:pPr>
        <w:jc w:val="both"/>
        <w:rPr>
          <w:rFonts w:ascii="Arial" w:hAnsi="Arial" w:cs="Arial"/>
          <w:sz w:val="20"/>
        </w:rPr>
      </w:pPr>
      <w:r>
        <w:rPr>
          <w:rFonts w:ascii="Arial" w:hAnsi="Arial" w:cs="Arial"/>
          <w:sz w:val="20"/>
        </w:rPr>
        <w:t xml:space="preserve">Although writing in a carefully qualified way, </w:t>
      </w:r>
      <w:r w:rsidR="008B005B">
        <w:rPr>
          <w:rFonts w:ascii="Arial" w:hAnsi="Arial" w:cs="Arial"/>
          <w:sz w:val="20"/>
        </w:rPr>
        <w:t>Dr R</w:t>
      </w:r>
      <w:r>
        <w:rPr>
          <w:rFonts w:ascii="Arial" w:hAnsi="Arial" w:cs="Arial"/>
          <w:sz w:val="20"/>
        </w:rPr>
        <w:t xml:space="preserve"> generally saw no threat to a child's emotional wellbeing from shared care between a small number of attachment figures provided that the child had developed a secure attachment, the transitions were appropriately managed and there was no psychological tug-of-war between the sharers:</w:t>
      </w:r>
    </w:p>
    <w:p w14:paraId="221EE855" w14:textId="77777777" w:rsidR="00693223" w:rsidRDefault="00693223" w:rsidP="006A4203">
      <w:pPr>
        <w:spacing w:before="120"/>
        <w:ind w:left="567" w:right="567"/>
        <w:jc w:val="both"/>
        <w:rPr>
          <w:rFonts w:ascii="Arial" w:hAnsi="Arial" w:cs="Arial"/>
          <w:sz w:val="20"/>
        </w:rPr>
      </w:pPr>
      <w:r>
        <w:rPr>
          <w:rFonts w:ascii="Arial" w:hAnsi="Arial" w:cs="Arial"/>
          <w:sz w:val="20"/>
        </w:rPr>
        <w:t xml:space="preserve">"Generally speaking, shared care between a small number of attachment figures does not pose a threat to the child's emotional wellbeing (Goldberg, S. (2000) </w:t>
      </w:r>
      <w:r>
        <w:rPr>
          <w:rFonts w:ascii="Arial" w:hAnsi="Arial" w:cs="Arial"/>
          <w:i/>
          <w:iCs/>
          <w:sz w:val="20"/>
        </w:rPr>
        <w:t>Attachment and development.</w:t>
      </w:r>
      <w:r>
        <w:rPr>
          <w:rFonts w:ascii="Arial" w:hAnsi="Arial" w:cs="Arial"/>
          <w:sz w:val="20"/>
        </w:rPr>
        <w:t xml:space="preserve">  </w:t>
      </w:r>
      <w:smartTag w:uri="urn:schemas-microsoft-com:office:smarttags" w:element="City">
        <w:r>
          <w:rPr>
            <w:rFonts w:ascii="Arial" w:hAnsi="Arial" w:cs="Arial"/>
            <w:sz w:val="20"/>
          </w:rPr>
          <w:t>London</w:t>
        </w:r>
      </w:smartTag>
      <w:r>
        <w:rPr>
          <w:rFonts w:ascii="Arial" w:hAnsi="Arial" w:cs="Arial"/>
          <w:sz w:val="20"/>
        </w:rPr>
        <w:t xml:space="preserve">: </w:t>
      </w:r>
      <w:smartTag w:uri="urn:schemas-microsoft-com:office:smarttags" w:element="place">
        <w:smartTag w:uri="urn:schemas-microsoft-com:office:smarttags" w:element="City">
          <w:r>
            <w:rPr>
              <w:rFonts w:ascii="Arial" w:hAnsi="Arial" w:cs="Arial"/>
              <w:sz w:val="20"/>
            </w:rPr>
            <w:t>Arnold</w:t>
          </w:r>
        </w:smartTag>
      </w:smartTag>
      <w:r>
        <w:rPr>
          <w:rFonts w:ascii="Arial" w:hAnsi="Arial" w:cs="Arial"/>
          <w:sz w:val="20"/>
        </w:rPr>
        <w:t>).  Indeed, as Goldberg notes, 'many infants have multiple figures to whom they can form attachments' (p.106).  Nonetheless, she also presents evidence that most infants and young children form a preference hierarchy, with the attachment figure most preferred not necessarily the mother or even the person who spends most time with the child.  The most likely factor influencing the formation of the child's preferences is the quality of the caregiving provided.  Sensitivity, consistency, responsiveness and loving nurture and the feelings of safety and security that flow from these are likely implicated in who the child most prefers under shared care arrangements.</w:t>
      </w:r>
    </w:p>
    <w:p w14:paraId="16C3C804" w14:textId="77777777" w:rsidR="00693223" w:rsidRDefault="00693223">
      <w:pPr>
        <w:spacing w:before="120"/>
        <w:ind w:left="567" w:right="567"/>
        <w:jc w:val="both"/>
        <w:rPr>
          <w:rFonts w:ascii="Arial" w:hAnsi="Arial" w:cs="Arial"/>
          <w:sz w:val="20"/>
        </w:rPr>
      </w:pPr>
      <w:r>
        <w:rPr>
          <w:rFonts w:ascii="Arial" w:hAnsi="Arial" w:cs="Arial"/>
          <w:sz w:val="20"/>
        </w:rPr>
        <w:t>Finally, two further factors will likely impact on how shared care affects children in general, and [this child] in particular.  One relates to the circumstances associated with the transitions between various caregiving figures.  In [this] case, it appears there have been transitions from [C's] parents' care to his grandparents' care that have been associated with high level domestic violence.  Secondly, shared care can be highly detrimental to a child if it is accompanied by a psychological tug-of-war between the various adult carers.  The experiences of divided loyalties to which this exposes a child are highly damaging, both emotionally and psychologically, and are accompanied by distress and confusion in the child."</w:t>
      </w:r>
    </w:p>
    <w:p w14:paraId="6FDD11B3" w14:textId="77777777" w:rsidR="00693223" w:rsidRDefault="00693223">
      <w:pPr>
        <w:rPr>
          <w:rFonts w:ascii="Arial" w:hAnsi="Arial" w:cs="Arial"/>
          <w:sz w:val="20"/>
        </w:rPr>
      </w:pPr>
    </w:p>
    <w:p w14:paraId="0EFCEE7A" w14:textId="37862C2C" w:rsidR="00693223" w:rsidRDefault="00693223">
      <w:pPr>
        <w:jc w:val="both"/>
        <w:rPr>
          <w:rFonts w:ascii="Arial" w:hAnsi="Arial" w:cs="Arial"/>
          <w:sz w:val="20"/>
        </w:rPr>
      </w:pPr>
      <w:r>
        <w:rPr>
          <w:rFonts w:ascii="Arial" w:hAnsi="Arial" w:cs="Arial"/>
          <w:sz w:val="20"/>
        </w:rPr>
        <w:t xml:space="preserve">In a report to the Children's Court in May 2000 about a very different case </w:t>
      </w:r>
      <w:r w:rsidR="006B624D">
        <w:rPr>
          <w:rFonts w:ascii="Arial" w:hAnsi="Arial" w:cs="Arial"/>
          <w:sz w:val="20"/>
        </w:rPr>
        <w:t>a second clinical psychologist</w:t>
      </w:r>
      <w:r w:rsidR="008B005B">
        <w:rPr>
          <w:rFonts w:ascii="Arial" w:hAnsi="Arial" w:cs="Arial"/>
          <w:sz w:val="20"/>
        </w:rPr>
        <w:t>, Dr A,</w:t>
      </w:r>
      <w:r w:rsidR="006B624D">
        <w:rPr>
          <w:rFonts w:ascii="Arial" w:hAnsi="Arial" w:cs="Arial"/>
          <w:sz w:val="20"/>
        </w:rPr>
        <w:t xml:space="preserve"> </w:t>
      </w:r>
      <w:r>
        <w:rPr>
          <w:rFonts w:ascii="Arial" w:hAnsi="Arial" w:cs="Arial"/>
          <w:sz w:val="20"/>
        </w:rPr>
        <w:t xml:space="preserve">was strongly critical of the shared care arrangement in that case and was unenthusiastic about shared care arrangements in general.  The child, X, was aged 3¼ years.  She had initially resided with her parents until they separated - in a maelstrom of domestic violence and drug use - when she was 21 months old.  She had then lived with her mother for the next 12 months until her mother's drug use got the better of her.  She was then placed in </w:t>
      </w:r>
      <w:proofErr w:type="spellStart"/>
      <w:r>
        <w:rPr>
          <w:rFonts w:ascii="Arial" w:hAnsi="Arial" w:cs="Arial"/>
          <w:sz w:val="20"/>
        </w:rPr>
        <w:t>fostercare</w:t>
      </w:r>
      <w:proofErr w:type="spellEnd"/>
      <w:r>
        <w:rPr>
          <w:rFonts w:ascii="Arial" w:hAnsi="Arial" w:cs="Arial"/>
          <w:sz w:val="20"/>
        </w:rPr>
        <w:t xml:space="preserve"> for 3 weeks and with her father and paternal grandmother for the next 3 months.  Then she was returned to her mother for 5 weeks.  At the time of the assessment her care was being alternated weekly between her father (residing with the paternal grandmother) and her mother (residing with the maternal great grandparents).  </w:t>
      </w:r>
      <w:r w:rsidR="008B005B">
        <w:rPr>
          <w:rFonts w:ascii="Arial" w:hAnsi="Arial" w:cs="Arial"/>
          <w:sz w:val="20"/>
        </w:rPr>
        <w:t>Dr A</w:t>
      </w:r>
      <w:r>
        <w:rPr>
          <w:rFonts w:ascii="Arial" w:hAnsi="Arial" w:cs="Arial"/>
          <w:sz w:val="20"/>
        </w:rPr>
        <w:t xml:space="preserve"> criticised this arrangement in trenchant terms:</w:t>
      </w:r>
    </w:p>
    <w:p w14:paraId="185567E9" w14:textId="37918620" w:rsidR="00693223" w:rsidRDefault="00693223">
      <w:pPr>
        <w:spacing w:before="120"/>
        <w:ind w:left="567" w:right="567"/>
        <w:jc w:val="both"/>
        <w:rPr>
          <w:rFonts w:ascii="Arial" w:hAnsi="Arial" w:cs="Arial"/>
          <w:sz w:val="20"/>
        </w:rPr>
      </w:pPr>
      <w:r>
        <w:rPr>
          <w:rFonts w:ascii="Arial" w:hAnsi="Arial" w:cs="Arial"/>
          <w:sz w:val="20"/>
        </w:rPr>
        <w:t xml:space="preserve">"Both current psychological opinion rooted in extensive research findings and clinical experience, and </w:t>
      </w:r>
      <w:r w:rsidR="00C11CEA">
        <w:rPr>
          <w:rFonts w:ascii="Arial" w:hAnsi="Arial" w:cs="Arial"/>
          <w:sz w:val="20"/>
        </w:rPr>
        <w:t>common-sense</w:t>
      </w:r>
      <w:r>
        <w:rPr>
          <w:rFonts w:ascii="Arial" w:hAnsi="Arial" w:cs="Arial"/>
          <w:sz w:val="20"/>
        </w:rPr>
        <w:t xml:space="preserve"> understandings of child development, are generally agreed that small children can only tolerate brief separations from their primary attachment figure.  It is highly unusual, if not unheard of, for a very young child like [X], to be involved in a week-about shared care arrangement, even in the most positive circumstances.  A phone conversation with the Director of Counselling at the Family Court…confirmed that such shared care arrangements for very young children are almost never entered into because of the devastating impact on the child's sense of security.  According to [the Director], in very rare instances where this would be considered two conditions would need to be fulfilled: (i) an extremely high level of cooperation between the parents; and (ii) the parents live in close geographical proximity.  These conditions would minimise the emotional dislocation experienced by the child, because the child's expressed </w:t>
      </w:r>
      <w:r>
        <w:rPr>
          <w:rFonts w:ascii="Arial" w:hAnsi="Arial" w:cs="Arial"/>
          <w:sz w:val="20"/>
        </w:rPr>
        <w:lastRenderedPageBreak/>
        <w:t>need for either parent at any time would take precedence over any other demands.  The presence of an older sibling may also be a facilitating factor.  Sadly, although in [X's] case the parents live in geographical proximity, other facilitating conditions are not present."</w:t>
      </w:r>
    </w:p>
    <w:p w14:paraId="1F8001DB" w14:textId="77777777" w:rsidR="00693223" w:rsidRDefault="00693223">
      <w:pPr>
        <w:rPr>
          <w:rFonts w:ascii="Arial" w:hAnsi="Arial" w:cs="Arial"/>
          <w:sz w:val="20"/>
        </w:rPr>
      </w:pPr>
    </w:p>
    <w:p w14:paraId="0CD3E87B" w14:textId="683AFDDB" w:rsidR="00693223" w:rsidRDefault="00693223">
      <w:pPr>
        <w:jc w:val="both"/>
        <w:rPr>
          <w:rFonts w:ascii="Arial" w:hAnsi="Arial" w:cs="Arial"/>
          <w:sz w:val="20"/>
        </w:rPr>
      </w:pPr>
      <w:r>
        <w:rPr>
          <w:rFonts w:ascii="Arial" w:hAnsi="Arial" w:cs="Arial"/>
          <w:sz w:val="20"/>
        </w:rPr>
        <w:t xml:space="preserve">It needs to be emphasised that X's case involved a very different shared care arrangement from the case on which </w:t>
      </w:r>
      <w:r w:rsidR="008B005B">
        <w:rPr>
          <w:rFonts w:ascii="Arial" w:hAnsi="Arial" w:cs="Arial"/>
          <w:sz w:val="20"/>
        </w:rPr>
        <w:t>Dr R</w:t>
      </w:r>
      <w:r>
        <w:rPr>
          <w:rFonts w:ascii="Arial" w:hAnsi="Arial" w:cs="Arial"/>
          <w:sz w:val="20"/>
        </w:rPr>
        <w:t xml:space="preserve"> reported and it may be that any perceived difference in the psychologists' views simply reflects the difference between the respective cases, rather than any significant difference in philosophy.</w:t>
      </w:r>
    </w:p>
    <w:p w14:paraId="388A79D2" w14:textId="77777777" w:rsidR="00E14F02" w:rsidRDefault="00E14F02" w:rsidP="00E14F02">
      <w:pPr>
        <w:jc w:val="both"/>
        <w:rPr>
          <w:rFonts w:ascii="Arial" w:hAnsi="Arial" w:cs="Arial"/>
          <w:sz w:val="20"/>
        </w:rPr>
      </w:pPr>
    </w:p>
    <w:p w14:paraId="33703D8A" w14:textId="7730C970" w:rsidR="00C41F4C" w:rsidRDefault="00C41F4C" w:rsidP="00E14F02">
      <w:pPr>
        <w:jc w:val="both"/>
        <w:rPr>
          <w:rFonts w:ascii="Arial" w:hAnsi="Arial" w:cs="Arial"/>
          <w:sz w:val="20"/>
        </w:rPr>
      </w:pPr>
      <w:r>
        <w:rPr>
          <w:rFonts w:ascii="Arial" w:hAnsi="Arial" w:cs="Arial"/>
          <w:sz w:val="20"/>
        </w:rPr>
        <w:t xml:space="preserve">In </w:t>
      </w:r>
      <w:r w:rsidRPr="00C41F4C">
        <w:rPr>
          <w:rFonts w:ascii="Arial" w:hAnsi="Arial" w:cs="Arial"/>
          <w:i/>
          <w:sz w:val="20"/>
        </w:rPr>
        <w:t>DOHS v Mr M &amp; Ms H</w:t>
      </w:r>
      <w:r>
        <w:rPr>
          <w:rFonts w:ascii="Arial" w:hAnsi="Arial" w:cs="Arial"/>
          <w:sz w:val="20"/>
        </w:rPr>
        <w:t xml:space="preserve"> [Children’s Court of Victoria-Power M, 11/05/2009], </w:t>
      </w:r>
      <w:r w:rsidR="00BD3832">
        <w:rPr>
          <w:rFonts w:ascii="Arial" w:hAnsi="Arial" w:cs="Arial"/>
          <w:sz w:val="20"/>
        </w:rPr>
        <w:t xml:space="preserve">the subject child – aged 2y5m – had been </w:t>
      </w:r>
      <w:r w:rsidR="003E7D50">
        <w:rPr>
          <w:rFonts w:ascii="Arial" w:hAnsi="Arial" w:cs="Arial"/>
          <w:sz w:val="20"/>
        </w:rPr>
        <w:t xml:space="preserve">continuously </w:t>
      </w:r>
      <w:r w:rsidR="00BD3832">
        <w:rPr>
          <w:rFonts w:ascii="Arial" w:hAnsi="Arial" w:cs="Arial"/>
          <w:sz w:val="20"/>
        </w:rPr>
        <w:t xml:space="preserve">in the care of </w:t>
      </w:r>
      <w:r w:rsidR="00C11CEA">
        <w:rPr>
          <w:rFonts w:ascii="Arial" w:hAnsi="Arial" w:cs="Arial"/>
          <w:sz w:val="20"/>
        </w:rPr>
        <w:t xml:space="preserve">non-kith and kin foster carers </w:t>
      </w:r>
      <w:r w:rsidR="00C11CEA" w:rsidRPr="00E50DB0">
        <w:rPr>
          <w:rFonts w:ascii="Arial" w:hAnsi="Arial" w:cs="Arial"/>
          <w:sz w:val="20"/>
          <w:szCs w:val="20"/>
        </w:rPr>
        <w:t>aged 56 &amp; 60 since discharge from hospital at the age of 6 weeks</w:t>
      </w:r>
      <w:r w:rsidR="00BD3832">
        <w:rPr>
          <w:rFonts w:ascii="Arial" w:hAnsi="Arial" w:cs="Arial"/>
          <w:sz w:val="20"/>
        </w:rPr>
        <w:t xml:space="preserve">.  </w:t>
      </w:r>
      <w:r w:rsidR="002C17CA">
        <w:rPr>
          <w:rFonts w:ascii="Arial" w:hAnsi="Arial" w:cs="Arial"/>
          <w:sz w:val="20"/>
        </w:rPr>
        <w:t xml:space="preserve">He had also had </w:t>
      </w:r>
      <w:r w:rsidR="002C17CA" w:rsidRPr="006679D2">
        <w:rPr>
          <w:rFonts w:ascii="Arial" w:hAnsi="Arial" w:cs="Arial"/>
          <w:color w:val="000000"/>
          <w:sz w:val="20"/>
        </w:rPr>
        <w:t xml:space="preserve">consistent </w:t>
      </w:r>
      <w:r w:rsidR="00E55A14" w:rsidRPr="006679D2">
        <w:rPr>
          <w:rFonts w:ascii="Arial" w:hAnsi="Arial" w:cs="Arial"/>
          <w:color w:val="000000"/>
          <w:sz w:val="20"/>
        </w:rPr>
        <w:t>contact</w:t>
      </w:r>
      <w:r w:rsidR="007C5324" w:rsidRPr="006679D2">
        <w:rPr>
          <w:rFonts w:ascii="Arial" w:hAnsi="Arial" w:cs="Arial"/>
          <w:color w:val="000000"/>
          <w:sz w:val="20"/>
        </w:rPr>
        <w:t xml:space="preserve"> with his parents although </w:t>
      </w:r>
      <w:r w:rsidR="002C17CA" w:rsidRPr="006679D2">
        <w:rPr>
          <w:rFonts w:ascii="Arial" w:hAnsi="Arial" w:cs="Arial"/>
          <w:color w:val="000000"/>
          <w:sz w:val="20"/>
        </w:rPr>
        <w:t xml:space="preserve">for </w:t>
      </w:r>
      <w:r w:rsidR="007C5324" w:rsidRPr="006679D2">
        <w:rPr>
          <w:rFonts w:ascii="Arial" w:hAnsi="Arial" w:cs="Arial"/>
          <w:color w:val="000000"/>
          <w:sz w:val="20"/>
        </w:rPr>
        <w:t xml:space="preserve">only </w:t>
      </w:r>
      <w:r w:rsidR="002C17CA" w:rsidRPr="006679D2">
        <w:rPr>
          <w:rFonts w:ascii="Arial" w:hAnsi="Arial" w:cs="Arial"/>
          <w:color w:val="000000"/>
          <w:sz w:val="20"/>
        </w:rPr>
        <w:t xml:space="preserve">one hour each week.  </w:t>
      </w:r>
      <w:r w:rsidR="00BD3832" w:rsidRPr="006679D2">
        <w:rPr>
          <w:rFonts w:ascii="Arial" w:hAnsi="Arial" w:cs="Arial"/>
          <w:color w:val="000000"/>
          <w:sz w:val="20"/>
        </w:rPr>
        <w:t>The child had been</w:t>
      </w:r>
      <w:r w:rsidR="00BD3832">
        <w:rPr>
          <w:rFonts w:ascii="Arial" w:hAnsi="Arial" w:cs="Arial"/>
          <w:sz w:val="20"/>
        </w:rPr>
        <w:t xml:space="preserve"> born four weeks premature and prenatally drug affected.  However, it was conceded by DOHS that the</w:t>
      </w:r>
      <w:r w:rsidR="003E7D50">
        <w:rPr>
          <w:rFonts w:ascii="Arial" w:hAnsi="Arial" w:cs="Arial"/>
          <w:sz w:val="20"/>
        </w:rPr>
        <w:t>re were no current protective concerns in relation to the</w:t>
      </w:r>
      <w:r w:rsidR="00BD3832">
        <w:rPr>
          <w:rFonts w:ascii="Arial" w:hAnsi="Arial" w:cs="Arial"/>
          <w:sz w:val="20"/>
        </w:rPr>
        <w:t xml:space="preserve"> parents </w:t>
      </w:r>
      <w:r w:rsidR="003E7D50">
        <w:rPr>
          <w:rFonts w:ascii="Arial" w:hAnsi="Arial" w:cs="Arial"/>
          <w:sz w:val="20"/>
        </w:rPr>
        <w:t xml:space="preserve">who were </w:t>
      </w:r>
      <w:r w:rsidR="00BD3832">
        <w:rPr>
          <w:rFonts w:ascii="Arial" w:hAnsi="Arial" w:cs="Arial"/>
          <w:sz w:val="20"/>
        </w:rPr>
        <w:t xml:space="preserve">recovering heroin addicts.  The Department had commissioned an assessment by an infant mental health specialist </w:t>
      </w:r>
      <w:r w:rsidR="00C71B5E">
        <w:rPr>
          <w:rFonts w:ascii="Arial" w:hAnsi="Arial" w:cs="Arial"/>
          <w:sz w:val="20"/>
        </w:rPr>
        <w:t xml:space="preserve">Ms J </w:t>
      </w:r>
      <w:r w:rsidR="00BD3832">
        <w:rPr>
          <w:rFonts w:ascii="Arial" w:hAnsi="Arial" w:cs="Arial"/>
          <w:sz w:val="20"/>
        </w:rPr>
        <w:t>and a fa</w:t>
      </w:r>
      <w:r w:rsidR="00312A74">
        <w:rPr>
          <w:rFonts w:ascii="Arial" w:hAnsi="Arial" w:cs="Arial"/>
          <w:sz w:val="20"/>
        </w:rPr>
        <w:t>mily therapist</w:t>
      </w:r>
      <w:r w:rsidR="00C71B5E">
        <w:rPr>
          <w:rFonts w:ascii="Arial" w:hAnsi="Arial" w:cs="Arial"/>
          <w:sz w:val="20"/>
        </w:rPr>
        <w:t xml:space="preserve"> Dr D</w:t>
      </w:r>
      <w:r w:rsidR="00312A74">
        <w:rPr>
          <w:rFonts w:ascii="Arial" w:hAnsi="Arial" w:cs="Arial"/>
          <w:sz w:val="20"/>
        </w:rPr>
        <w:t>.  The assessors postulated two options within the framework of Steinhauer’s “shared child” (1991):</w:t>
      </w:r>
    </w:p>
    <w:p w14:paraId="73F59F36" w14:textId="77777777" w:rsidR="00312A74" w:rsidRDefault="00312A74">
      <w:pPr>
        <w:numPr>
          <w:ilvl w:val="0"/>
          <w:numId w:val="20"/>
        </w:numPr>
        <w:tabs>
          <w:tab w:val="clear" w:pos="720"/>
        </w:tabs>
        <w:ind w:left="357" w:hanging="357"/>
        <w:jc w:val="both"/>
        <w:rPr>
          <w:rFonts w:ascii="Arial" w:hAnsi="Arial" w:cs="Arial"/>
          <w:sz w:val="20"/>
        </w:rPr>
      </w:pPr>
      <w:r w:rsidRPr="00312A74">
        <w:rPr>
          <w:rFonts w:ascii="Arial" w:hAnsi="Arial" w:cs="Arial"/>
          <w:sz w:val="20"/>
          <w:u w:val="single"/>
        </w:rPr>
        <w:t>Enhanced status quo</w:t>
      </w:r>
      <w:r>
        <w:rPr>
          <w:rFonts w:ascii="Arial" w:hAnsi="Arial" w:cs="Arial"/>
          <w:sz w:val="20"/>
        </w:rPr>
        <w:t>: The child would stay with the current carers and have expanded contact with parents and extended family (if possible).</w:t>
      </w:r>
    </w:p>
    <w:p w14:paraId="30E9D0C8" w14:textId="77777777" w:rsidR="00312A74" w:rsidRDefault="00312A74">
      <w:pPr>
        <w:numPr>
          <w:ilvl w:val="0"/>
          <w:numId w:val="20"/>
        </w:numPr>
        <w:tabs>
          <w:tab w:val="clear" w:pos="720"/>
        </w:tabs>
        <w:ind w:left="357" w:hanging="357"/>
        <w:jc w:val="both"/>
        <w:rPr>
          <w:rFonts w:ascii="Arial" w:hAnsi="Arial" w:cs="Arial"/>
          <w:sz w:val="20"/>
        </w:rPr>
      </w:pPr>
      <w:r w:rsidRPr="00312A74">
        <w:rPr>
          <w:rFonts w:ascii="Arial" w:hAnsi="Arial" w:cs="Arial"/>
          <w:sz w:val="20"/>
          <w:u w:val="single"/>
        </w:rPr>
        <w:t>More equally shared care</w:t>
      </w:r>
      <w:r>
        <w:rPr>
          <w:rFonts w:ascii="Arial" w:hAnsi="Arial" w:cs="Arial"/>
          <w:sz w:val="20"/>
        </w:rPr>
        <w:t>: A movement towards the child being formally shared between his current caregivers and his parents or extended family.</w:t>
      </w:r>
    </w:p>
    <w:p w14:paraId="14FB4D5E" w14:textId="77777777" w:rsidR="00312A74" w:rsidRDefault="00312A74" w:rsidP="00E14F02">
      <w:pPr>
        <w:jc w:val="both"/>
        <w:rPr>
          <w:rFonts w:ascii="Arial" w:hAnsi="Arial" w:cs="Arial"/>
          <w:sz w:val="20"/>
        </w:rPr>
      </w:pPr>
      <w:r>
        <w:rPr>
          <w:rFonts w:ascii="Arial" w:hAnsi="Arial" w:cs="Arial"/>
          <w:sz w:val="20"/>
        </w:rPr>
        <w:t xml:space="preserve">They ultimately recommended the first option but left the second option open as something </w:t>
      </w:r>
      <w:r w:rsidR="003E7D50">
        <w:rPr>
          <w:rFonts w:ascii="Arial" w:hAnsi="Arial" w:cs="Arial"/>
          <w:sz w:val="20"/>
        </w:rPr>
        <w:t>that</w:t>
      </w:r>
      <w:r>
        <w:rPr>
          <w:rFonts w:ascii="Arial" w:hAnsi="Arial" w:cs="Arial"/>
          <w:sz w:val="20"/>
        </w:rPr>
        <w:t xml:space="preserve"> might be worked towards.</w:t>
      </w:r>
    </w:p>
    <w:p w14:paraId="07D3D848" w14:textId="77777777" w:rsidR="00312A74" w:rsidRDefault="00312A74" w:rsidP="00E14F02">
      <w:pPr>
        <w:jc w:val="both"/>
        <w:rPr>
          <w:rFonts w:ascii="Arial" w:hAnsi="Arial" w:cs="Arial"/>
          <w:sz w:val="20"/>
        </w:rPr>
      </w:pPr>
    </w:p>
    <w:p w14:paraId="651D006B" w14:textId="1E7B4E51" w:rsidR="00312A74" w:rsidRDefault="003E7D50" w:rsidP="00E14F02">
      <w:pPr>
        <w:jc w:val="both"/>
        <w:rPr>
          <w:rFonts w:ascii="Arial" w:hAnsi="Arial" w:cs="Arial"/>
          <w:sz w:val="20"/>
        </w:rPr>
      </w:pPr>
      <w:r>
        <w:rPr>
          <w:rFonts w:ascii="Arial" w:hAnsi="Arial" w:cs="Arial"/>
          <w:sz w:val="20"/>
        </w:rPr>
        <w:t>T</w:t>
      </w:r>
      <w:r w:rsidR="00312A74">
        <w:rPr>
          <w:rFonts w:ascii="Arial" w:hAnsi="Arial" w:cs="Arial"/>
          <w:sz w:val="20"/>
        </w:rPr>
        <w:t>he Court rejected the assessors’</w:t>
      </w:r>
      <w:r w:rsidR="007C5324">
        <w:rPr>
          <w:rFonts w:ascii="Arial" w:hAnsi="Arial" w:cs="Arial"/>
          <w:sz w:val="20"/>
        </w:rPr>
        <w:t xml:space="preserve"> </w:t>
      </w:r>
      <w:r w:rsidR="00312A74">
        <w:rPr>
          <w:rFonts w:ascii="Arial" w:hAnsi="Arial" w:cs="Arial"/>
          <w:sz w:val="20"/>
        </w:rPr>
        <w:t>opinion that some form of “shared care” was “the least detrimental alternative” for the child</w:t>
      </w:r>
      <w:r>
        <w:rPr>
          <w:rFonts w:ascii="Arial" w:hAnsi="Arial" w:cs="Arial"/>
          <w:sz w:val="20"/>
        </w:rPr>
        <w:t xml:space="preserve">.  Power M said </w:t>
      </w:r>
      <w:r w:rsidR="00D14BFE">
        <w:rPr>
          <w:rFonts w:ascii="Arial" w:hAnsi="Arial" w:cs="Arial"/>
          <w:sz w:val="20"/>
        </w:rPr>
        <w:t>at</w:t>
      </w:r>
      <w:r>
        <w:rPr>
          <w:rFonts w:ascii="Arial" w:hAnsi="Arial" w:cs="Arial"/>
          <w:sz w:val="20"/>
        </w:rPr>
        <w:t xml:space="preserve"> </w:t>
      </w:r>
      <w:r w:rsidR="00C71B5E">
        <w:rPr>
          <w:rFonts w:ascii="Arial" w:hAnsi="Arial" w:cs="Arial"/>
          <w:sz w:val="20"/>
        </w:rPr>
        <w:t>p.115</w:t>
      </w:r>
      <w:r>
        <w:rPr>
          <w:rFonts w:ascii="Arial" w:hAnsi="Arial" w:cs="Arial"/>
          <w:sz w:val="20"/>
        </w:rPr>
        <w:t>:</w:t>
      </w:r>
    </w:p>
    <w:p w14:paraId="24A606E7" w14:textId="77777777" w:rsidR="004E7AF3" w:rsidRDefault="004E7AF3" w:rsidP="00582C0A">
      <w:pPr>
        <w:spacing w:before="60"/>
        <w:ind w:left="567" w:right="567"/>
        <w:jc w:val="both"/>
        <w:rPr>
          <w:rFonts w:ascii="Arial" w:hAnsi="Arial" w:cs="Arial"/>
          <w:sz w:val="20"/>
        </w:rPr>
      </w:pPr>
      <w:r>
        <w:rPr>
          <w:rFonts w:ascii="Arial" w:hAnsi="Arial" w:cs="Arial"/>
          <w:sz w:val="20"/>
        </w:rPr>
        <w:t>“Steinhauer outlined the following pre-requisites for his ‘shared child’ model to work:</w:t>
      </w:r>
    </w:p>
    <w:p w14:paraId="10639354" w14:textId="77777777" w:rsidR="004E7AF3" w:rsidRDefault="004E7AF3">
      <w:pPr>
        <w:numPr>
          <w:ilvl w:val="0"/>
          <w:numId w:val="49"/>
        </w:numPr>
        <w:tabs>
          <w:tab w:val="clear" w:pos="720"/>
        </w:tabs>
        <w:ind w:left="1021" w:hanging="454"/>
        <w:jc w:val="both"/>
        <w:rPr>
          <w:rFonts w:ascii="Arial" w:hAnsi="Arial" w:cs="Arial"/>
          <w:sz w:val="20"/>
          <w:szCs w:val="20"/>
        </w:rPr>
      </w:pPr>
      <w:r w:rsidRPr="004E7AF3">
        <w:rPr>
          <w:rFonts w:ascii="Arial" w:hAnsi="Arial" w:cs="Arial"/>
          <w:sz w:val="20"/>
          <w:szCs w:val="20"/>
        </w:rPr>
        <w:t>Foster parents and birth parents must not compete.</w:t>
      </w:r>
    </w:p>
    <w:p w14:paraId="5717B4F6" w14:textId="77777777" w:rsidR="004E7AF3" w:rsidRDefault="004E7AF3">
      <w:pPr>
        <w:numPr>
          <w:ilvl w:val="0"/>
          <w:numId w:val="49"/>
        </w:numPr>
        <w:tabs>
          <w:tab w:val="clear" w:pos="720"/>
        </w:tabs>
        <w:ind w:left="1021" w:hanging="454"/>
        <w:jc w:val="both"/>
        <w:rPr>
          <w:rFonts w:ascii="Arial" w:hAnsi="Arial" w:cs="Arial"/>
          <w:sz w:val="20"/>
          <w:szCs w:val="20"/>
        </w:rPr>
      </w:pPr>
      <w:r w:rsidRPr="004E7AF3">
        <w:rPr>
          <w:rFonts w:ascii="Arial" w:hAnsi="Arial" w:cs="Arial"/>
          <w:sz w:val="20"/>
        </w:rPr>
        <w:t>Adults need to agree not to undermine the permanency of the placement.</w:t>
      </w:r>
    </w:p>
    <w:p w14:paraId="43862B17" w14:textId="77777777" w:rsidR="004E7AF3" w:rsidRPr="004E7AF3" w:rsidRDefault="004E7AF3">
      <w:pPr>
        <w:numPr>
          <w:ilvl w:val="0"/>
          <w:numId w:val="49"/>
        </w:numPr>
        <w:tabs>
          <w:tab w:val="clear" w:pos="720"/>
        </w:tabs>
        <w:ind w:left="1021" w:hanging="454"/>
        <w:jc w:val="both"/>
        <w:rPr>
          <w:rFonts w:ascii="Arial" w:hAnsi="Arial" w:cs="Arial"/>
          <w:sz w:val="20"/>
          <w:szCs w:val="20"/>
        </w:rPr>
      </w:pPr>
      <w:r w:rsidRPr="004E7AF3">
        <w:rPr>
          <w:rFonts w:ascii="Arial" w:hAnsi="Arial" w:cs="Arial"/>
          <w:sz w:val="20"/>
        </w:rPr>
        <w:t>Adequate support must be provided to all parties.</w:t>
      </w:r>
    </w:p>
    <w:p w14:paraId="0D2FF683" w14:textId="77777777" w:rsidR="004E7AF3" w:rsidRPr="004E7AF3" w:rsidRDefault="004E7AF3" w:rsidP="004E7AF3">
      <w:pPr>
        <w:ind w:left="567" w:right="567"/>
        <w:jc w:val="both"/>
        <w:rPr>
          <w:rFonts w:ascii="Arial" w:hAnsi="Arial" w:cs="Arial"/>
          <w:sz w:val="16"/>
        </w:rPr>
      </w:pPr>
      <w:r>
        <w:rPr>
          <w:rFonts w:ascii="Arial" w:hAnsi="Arial" w:cs="Arial"/>
          <w:sz w:val="20"/>
        </w:rPr>
        <w:t>[</w:t>
      </w:r>
      <w:r w:rsidRPr="004E7AF3">
        <w:rPr>
          <w:rFonts w:ascii="Arial" w:hAnsi="Arial" w:cs="Arial"/>
          <w:sz w:val="20"/>
        </w:rPr>
        <w:t xml:space="preserve">Steinhauer, P. 1991: </w:t>
      </w:r>
      <w:r>
        <w:rPr>
          <w:rFonts w:ascii="Arial" w:hAnsi="Arial" w:cs="Arial"/>
          <w:i/>
          <w:sz w:val="20"/>
        </w:rPr>
        <w:t>‘</w:t>
      </w:r>
      <w:r w:rsidRPr="004E7AF3">
        <w:rPr>
          <w:rFonts w:ascii="Arial" w:hAnsi="Arial" w:cs="Arial"/>
          <w:i/>
          <w:sz w:val="20"/>
        </w:rPr>
        <w:t>The Least Detrimental Alternative: A systemic guide to case planning and decision-making for children in care</w:t>
      </w:r>
      <w:r>
        <w:rPr>
          <w:rFonts w:ascii="Arial" w:hAnsi="Arial" w:cs="Arial"/>
          <w:i/>
          <w:sz w:val="20"/>
        </w:rPr>
        <w:t>’</w:t>
      </w:r>
      <w:r w:rsidRPr="004E7AF3">
        <w:rPr>
          <w:rFonts w:ascii="Arial" w:hAnsi="Arial" w:cs="Arial"/>
          <w:sz w:val="20"/>
        </w:rPr>
        <w:t xml:space="preserve">, </w:t>
      </w:r>
      <w:smartTag w:uri="urn:schemas-microsoft-com:office:smarttags" w:element="City">
        <w:r w:rsidRPr="004E7AF3">
          <w:rPr>
            <w:rFonts w:ascii="Arial" w:hAnsi="Arial" w:cs="Arial"/>
            <w:sz w:val="20"/>
          </w:rPr>
          <w:t>Toronto</w:t>
        </w:r>
      </w:smartTag>
      <w:r w:rsidRPr="004E7AF3">
        <w:rPr>
          <w:rFonts w:ascii="Arial" w:hAnsi="Arial" w:cs="Arial"/>
          <w:sz w:val="20"/>
        </w:rPr>
        <w:t xml:space="preserve">: </w:t>
      </w:r>
      <w:smartTag w:uri="urn:schemas-microsoft-com:office:smarttags" w:element="place">
        <w:smartTag w:uri="urn:schemas-microsoft-com:office:smarttags" w:element="PlaceType">
          <w:r w:rsidRPr="004E7AF3">
            <w:rPr>
              <w:rFonts w:ascii="Arial" w:hAnsi="Arial" w:cs="Arial"/>
              <w:sz w:val="20"/>
            </w:rPr>
            <w:t>University</w:t>
          </w:r>
        </w:smartTag>
        <w:r w:rsidRPr="004E7AF3">
          <w:rPr>
            <w:rFonts w:ascii="Arial" w:hAnsi="Arial" w:cs="Arial"/>
            <w:sz w:val="20"/>
          </w:rPr>
          <w:t xml:space="preserve"> of </w:t>
        </w:r>
        <w:smartTag w:uri="urn:schemas-microsoft-com:office:smarttags" w:element="PlaceName">
          <w:r w:rsidRPr="004E7AF3">
            <w:rPr>
              <w:rFonts w:ascii="Arial" w:hAnsi="Arial" w:cs="Arial"/>
              <w:sz w:val="20"/>
            </w:rPr>
            <w:t>Toronto Press</w:t>
          </w:r>
        </w:smartTag>
      </w:smartTag>
      <w:r w:rsidRPr="004E7AF3">
        <w:rPr>
          <w:rFonts w:ascii="Arial" w:hAnsi="Arial" w:cs="Arial"/>
          <w:sz w:val="20"/>
        </w:rPr>
        <w:t>, pp.161-163 cited in the assessment report at p.44</w:t>
      </w:r>
      <w:r>
        <w:rPr>
          <w:rFonts w:ascii="Arial" w:hAnsi="Arial" w:cs="Arial"/>
          <w:sz w:val="20"/>
        </w:rPr>
        <w:t>]</w:t>
      </w:r>
      <w:r w:rsidRPr="004E7AF3">
        <w:rPr>
          <w:rFonts w:ascii="Arial" w:hAnsi="Arial" w:cs="Arial"/>
          <w:sz w:val="20"/>
        </w:rPr>
        <w:t>.</w:t>
      </w:r>
    </w:p>
    <w:p w14:paraId="0410BB50" w14:textId="655563CF" w:rsidR="004E7AF3" w:rsidRDefault="004E7AF3" w:rsidP="004E7AF3">
      <w:pPr>
        <w:spacing w:before="120"/>
        <w:ind w:left="567" w:right="567"/>
        <w:jc w:val="both"/>
        <w:rPr>
          <w:rFonts w:ascii="Arial" w:hAnsi="Arial" w:cs="Arial"/>
          <w:sz w:val="20"/>
        </w:rPr>
      </w:pPr>
      <w:r w:rsidRPr="004E7AF3">
        <w:rPr>
          <w:rFonts w:ascii="Arial" w:hAnsi="Arial" w:cs="Arial"/>
          <w:sz w:val="20"/>
        </w:rPr>
        <w:t xml:space="preserve">Effectively Steinhauer &amp; </w:t>
      </w:r>
      <w:r w:rsidR="00C71B5E">
        <w:rPr>
          <w:rFonts w:ascii="Arial" w:hAnsi="Arial" w:cs="Arial"/>
          <w:sz w:val="20"/>
        </w:rPr>
        <w:t>[Dr R]</w:t>
      </w:r>
      <w:r w:rsidRPr="004E7AF3">
        <w:rPr>
          <w:rFonts w:ascii="Arial" w:hAnsi="Arial" w:cs="Arial"/>
          <w:sz w:val="20"/>
        </w:rPr>
        <w:t xml:space="preserve"> are postulating the same pre-conditions for the </w:t>
      </w:r>
      <w:r>
        <w:rPr>
          <w:rFonts w:ascii="Arial" w:hAnsi="Arial" w:cs="Arial"/>
          <w:sz w:val="20"/>
        </w:rPr>
        <w:t>‘</w:t>
      </w:r>
      <w:r w:rsidRPr="004E7AF3">
        <w:rPr>
          <w:rFonts w:ascii="Arial" w:hAnsi="Arial" w:cs="Arial"/>
          <w:sz w:val="20"/>
        </w:rPr>
        <w:t>shared child</w:t>
      </w:r>
      <w:r>
        <w:rPr>
          <w:rFonts w:ascii="Arial" w:hAnsi="Arial" w:cs="Arial"/>
          <w:sz w:val="20"/>
        </w:rPr>
        <w:t>’</w:t>
      </w:r>
      <w:r w:rsidRPr="004E7AF3">
        <w:rPr>
          <w:rFonts w:ascii="Arial" w:hAnsi="Arial" w:cs="Arial"/>
          <w:sz w:val="20"/>
        </w:rPr>
        <w:t xml:space="preserve"> model to be workable.  They require commitment to the model from all four adults who must not engage in a psychological tug-of-war for the child.</w:t>
      </w:r>
    </w:p>
    <w:p w14:paraId="10EE96A0" w14:textId="77777777" w:rsidR="004E7AF3" w:rsidRDefault="004E7AF3" w:rsidP="004E7AF3">
      <w:pPr>
        <w:spacing w:before="120"/>
        <w:ind w:left="567" w:right="567"/>
        <w:jc w:val="both"/>
        <w:rPr>
          <w:rFonts w:ascii="Arial" w:hAnsi="Arial" w:cs="Arial"/>
          <w:sz w:val="20"/>
        </w:rPr>
      </w:pPr>
      <w:r w:rsidRPr="004E7AF3">
        <w:rPr>
          <w:rFonts w:ascii="Arial" w:hAnsi="Arial" w:cs="Arial"/>
          <w:sz w:val="20"/>
        </w:rPr>
        <w:t xml:space="preserve">This is the second major reason why I reject the assessors’ recommendations.  Not only does the assessors’ option 2 require commitment from the </w:t>
      </w:r>
      <w:r w:rsidR="003E7D50">
        <w:rPr>
          <w:rFonts w:ascii="Arial" w:hAnsi="Arial" w:cs="Arial"/>
          <w:sz w:val="20"/>
        </w:rPr>
        <w:t>four</w:t>
      </w:r>
      <w:r w:rsidRPr="004E7AF3">
        <w:rPr>
          <w:rFonts w:ascii="Arial" w:hAnsi="Arial" w:cs="Arial"/>
          <w:sz w:val="20"/>
        </w:rPr>
        <w:t xml:space="preserve"> adults.  So does option 1.  Of course one must focus on the child but one can’t properly do this unless one focuses on the parents and carers in a realistic way as well.  The reality is that there is no current heart-felt commitment from any of the four adults to the concept of </w:t>
      </w:r>
      <w:r>
        <w:rPr>
          <w:rFonts w:ascii="Arial" w:hAnsi="Arial" w:cs="Arial"/>
          <w:sz w:val="20"/>
        </w:rPr>
        <w:t>‘</w:t>
      </w:r>
      <w:r w:rsidRPr="004E7AF3">
        <w:rPr>
          <w:rFonts w:ascii="Arial" w:hAnsi="Arial" w:cs="Arial"/>
          <w:sz w:val="20"/>
        </w:rPr>
        <w:t>shared care</w:t>
      </w:r>
      <w:r>
        <w:rPr>
          <w:rFonts w:ascii="Arial" w:hAnsi="Arial" w:cs="Arial"/>
          <w:sz w:val="20"/>
        </w:rPr>
        <w:t>’</w:t>
      </w:r>
      <w:r w:rsidRPr="004E7AF3">
        <w:rPr>
          <w:rFonts w:ascii="Arial" w:hAnsi="Arial" w:cs="Arial"/>
          <w:sz w:val="20"/>
        </w:rPr>
        <w:t xml:space="preserve"> whether in the skewed form of option 1 or the more equal form of option 2. Nor is true commitment to this proposed piece of social engineering likely to develop</w:t>
      </w:r>
      <w:r>
        <w:rPr>
          <w:rFonts w:ascii="Arial" w:hAnsi="Arial" w:cs="Arial"/>
          <w:sz w:val="20"/>
        </w:rPr>
        <w:t>…</w:t>
      </w:r>
    </w:p>
    <w:p w14:paraId="2C153232" w14:textId="0DB948F5" w:rsidR="004E7AF3" w:rsidRDefault="004E7AF3" w:rsidP="004E7AF3">
      <w:pPr>
        <w:spacing w:before="120"/>
        <w:ind w:left="567" w:right="567"/>
        <w:jc w:val="both"/>
        <w:rPr>
          <w:rFonts w:ascii="Arial" w:hAnsi="Arial" w:cs="Arial"/>
          <w:sz w:val="20"/>
        </w:rPr>
      </w:pPr>
      <w:r>
        <w:rPr>
          <w:rFonts w:ascii="Arial" w:hAnsi="Arial" w:cs="Arial"/>
          <w:sz w:val="20"/>
        </w:rPr>
        <w:t xml:space="preserve">I am not nearly as sanguine as [the assessors] </w:t>
      </w:r>
      <w:r w:rsidRPr="004E7AF3">
        <w:rPr>
          <w:rFonts w:ascii="Arial" w:hAnsi="Arial" w:cs="Arial"/>
          <w:sz w:val="20"/>
        </w:rPr>
        <w:t xml:space="preserve">about the workability of the </w:t>
      </w:r>
      <w:r>
        <w:rPr>
          <w:rFonts w:ascii="Arial" w:hAnsi="Arial" w:cs="Arial"/>
          <w:sz w:val="20"/>
        </w:rPr>
        <w:t>‘</w:t>
      </w:r>
      <w:r w:rsidRPr="004E7AF3">
        <w:rPr>
          <w:rFonts w:ascii="Arial" w:hAnsi="Arial" w:cs="Arial"/>
          <w:sz w:val="20"/>
        </w:rPr>
        <w:t>shared child</w:t>
      </w:r>
      <w:r>
        <w:rPr>
          <w:rFonts w:ascii="Arial" w:hAnsi="Arial" w:cs="Arial"/>
          <w:sz w:val="20"/>
        </w:rPr>
        <w:t>’</w:t>
      </w:r>
      <w:r w:rsidRPr="004E7AF3">
        <w:rPr>
          <w:rFonts w:ascii="Arial" w:hAnsi="Arial" w:cs="Arial"/>
          <w:sz w:val="20"/>
        </w:rPr>
        <w:t xml:space="preserve"> model.  From my observations of </w:t>
      </w:r>
      <w:r w:rsidR="00582C0A">
        <w:rPr>
          <w:rFonts w:ascii="Arial" w:hAnsi="Arial" w:cs="Arial"/>
          <w:sz w:val="20"/>
        </w:rPr>
        <w:t xml:space="preserve">the </w:t>
      </w:r>
      <w:r w:rsidRPr="004E7AF3">
        <w:rPr>
          <w:rFonts w:ascii="Arial" w:hAnsi="Arial" w:cs="Arial"/>
          <w:sz w:val="20"/>
        </w:rPr>
        <w:t xml:space="preserve">parents and carers in the witness-box and from what the evidence discloses of their personalities and their roles in </w:t>
      </w:r>
      <w:r w:rsidR="00582C0A">
        <w:rPr>
          <w:rFonts w:ascii="Arial" w:hAnsi="Arial" w:cs="Arial"/>
          <w:sz w:val="20"/>
        </w:rPr>
        <w:t>[the child’s]</w:t>
      </w:r>
      <w:r w:rsidRPr="004E7AF3">
        <w:rPr>
          <w:rFonts w:ascii="Arial" w:hAnsi="Arial" w:cs="Arial"/>
          <w:sz w:val="20"/>
        </w:rPr>
        <w:t xml:space="preserve"> life, I am not satisfied on the balance of probabilities that they – especially </w:t>
      </w:r>
      <w:r w:rsidR="00582C0A">
        <w:rPr>
          <w:rFonts w:ascii="Arial" w:hAnsi="Arial" w:cs="Arial"/>
          <w:sz w:val="20"/>
        </w:rPr>
        <w:t>[the female carer]</w:t>
      </w:r>
      <w:r w:rsidRPr="004E7AF3">
        <w:rPr>
          <w:rFonts w:ascii="Arial" w:hAnsi="Arial" w:cs="Arial"/>
          <w:sz w:val="20"/>
        </w:rPr>
        <w:t xml:space="preserve"> </w:t>
      </w:r>
      <w:r w:rsidR="00CF001A">
        <w:rPr>
          <w:rFonts w:ascii="Arial" w:hAnsi="Arial" w:cs="Arial"/>
          <w:sz w:val="20"/>
        </w:rPr>
        <w:t>–</w:t>
      </w:r>
      <w:r w:rsidRPr="004E7AF3">
        <w:rPr>
          <w:rFonts w:ascii="Arial" w:hAnsi="Arial" w:cs="Arial"/>
          <w:sz w:val="20"/>
        </w:rPr>
        <w:t xml:space="preserve"> will</w:t>
      </w:r>
      <w:r w:rsidR="00CF001A">
        <w:rPr>
          <w:rFonts w:ascii="Arial" w:hAnsi="Arial" w:cs="Arial"/>
          <w:sz w:val="20"/>
        </w:rPr>
        <w:t xml:space="preserve"> </w:t>
      </w:r>
      <w:r w:rsidRPr="004E7AF3">
        <w:rPr>
          <w:rFonts w:ascii="Arial" w:hAnsi="Arial" w:cs="Arial"/>
          <w:sz w:val="20"/>
        </w:rPr>
        <w:t xml:space="preserve">be able to avoid becoming embroiled in a psychological tug-of-war for the child if any sort of </w:t>
      </w:r>
      <w:r w:rsidR="00582C0A">
        <w:rPr>
          <w:rFonts w:ascii="Arial" w:hAnsi="Arial" w:cs="Arial"/>
          <w:sz w:val="20"/>
        </w:rPr>
        <w:t>‘</w:t>
      </w:r>
      <w:r w:rsidRPr="004E7AF3">
        <w:rPr>
          <w:rFonts w:ascii="Arial" w:hAnsi="Arial" w:cs="Arial"/>
          <w:sz w:val="20"/>
        </w:rPr>
        <w:t>shared child</w:t>
      </w:r>
      <w:r w:rsidR="00582C0A">
        <w:rPr>
          <w:rFonts w:ascii="Arial" w:hAnsi="Arial" w:cs="Arial"/>
          <w:sz w:val="20"/>
        </w:rPr>
        <w:t>’</w:t>
      </w:r>
      <w:r w:rsidRPr="004E7AF3">
        <w:rPr>
          <w:rFonts w:ascii="Arial" w:hAnsi="Arial" w:cs="Arial"/>
          <w:sz w:val="20"/>
        </w:rPr>
        <w:t xml:space="preserve"> model is embraced</w:t>
      </w:r>
      <w:r w:rsidR="00582C0A">
        <w:rPr>
          <w:rFonts w:ascii="Arial" w:hAnsi="Arial" w:cs="Arial"/>
          <w:sz w:val="20"/>
        </w:rPr>
        <w:t>…</w:t>
      </w:r>
    </w:p>
    <w:p w14:paraId="4433793D" w14:textId="77777777" w:rsidR="00582C0A" w:rsidRDefault="00582C0A" w:rsidP="004E7AF3">
      <w:pPr>
        <w:spacing w:before="120"/>
        <w:ind w:left="567" w:right="567"/>
        <w:jc w:val="both"/>
        <w:rPr>
          <w:rFonts w:ascii="Arial" w:hAnsi="Arial" w:cs="Arial"/>
          <w:sz w:val="20"/>
        </w:rPr>
      </w:pPr>
      <w:r w:rsidRPr="00582C0A">
        <w:rPr>
          <w:rFonts w:ascii="Arial" w:hAnsi="Arial" w:cs="Arial"/>
          <w:sz w:val="20"/>
        </w:rPr>
        <w:t xml:space="preserve">There is no common ground between the lives and life experiences of carers on the one hand and the parents on the other except for </w:t>
      </w:r>
      <w:r>
        <w:rPr>
          <w:rFonts w:ascii="Arial" w:hAnsi="Arial" w:cs="Arial"/>
          <w:sz w:val="20"/>
        </w:rPr>
        <w:t>[the child]</w:t>
      </w:r>
      <w:r w:rsidRPr="00582C0A">
        <w:rPr>
          <w:rFonts w:ascii="Arial" w:hAnsi="Arial" w:cs="Arial"/>
          <w:sz w:val="20"/>
        </w:rPr>
        <w:t xml:space="preserve">.  They come from parallel universes.  Hence they are not very likely to </w:t>
      </w:r>
      <w:r>
        <w:rPr>
          <w:rFonts w:ascii="Arial" w:hAnsi="Arial" w:cs="Arial"/>
          <w:sz w:val="20"/>
        </w:rPr>
        <w:t>‘</w:t>
      </w:r>
      <w:r w:rsidRPr="00582C0A">
        <w:rPr>
          <w:rFonts w:ascii="Arial" w:hAnsi="Arial" w:cs="Arial"/>
          <w:sz w:val="20"/>
        </w:rPr>
        <w:t>grow together</w:t>
      </w:r>
      <w:r>
        <w:rPr>
          <w:rFonts w:ascii="Arial" w:hAnsi="Arial" w:cs="Arial"/>
          <w:sz w:val="20"/>
        </w:rPr>
        <w:t>’</w:t>
      </w:r>
      <w:r w:rsidRPr="00582C0A">
        <w:rPr>
          <w:rFonts w:ascii="Arial" w:hAnsi="Arial" w:cs="Arial"/>
          <w:sz w:val="20"/>
        </w:rPr>
        <w:t>, to develop an abiding friendship, in the event that any sort of ‘shared child’ plan was to be implemented.</w:t>
      </w:r>
    </w:p>
    <w:p w14:paraId="05BEE12C" w14:textId="77777777" w:rsidR="00582C0A" w:rsidRDefault="00582C0A" w:rsidP="004E7AF3">
      <w:pPr>
        <w:spacing w:before="120"/>
        <w:ind w:left="567" w:right="567"/>
        <w:jc w:val="both"/>
        <w:rPr>
          <w:rFonts w:ascii="Arial" w:hAnsi="Arial" w:cs="Arial"/>
          <w:sz w:val="20"/>
        </w:rPr>
      </w:pPr>
      <w:r w:rsidRPr="00582C0A">
        <w:rPr>
          <w:rFonts w:ascii="Arial" w:hAnsi="Arial" w:cs="Arial"/>
          <w:sz w:val="20"/>
        </w:rPr>
        <w:lastRenderedPageBreak/>
        <w:t xml:space="preserve">It is clear to me that – despite the undoubted love each of them has for </w:t>
      </w:r>
      <w:r>
        <w:rPr>
          <w:rFonts w:ascii="Arial" w:hAnsi="Arial" w:cs="Arial"/>
          <w:sz w:val="20"/>
        </w:rPr>
        <w:t>[the child]</w:t>
      </w:r>
      <w:r w:rsidRPr="00582C0A">
        <w:rPr>
          <w:rFonts w:ascii="Arial" w:hAnsi="Arial" w:cs="Arial"/>
          <w:sz w:val="20"/>
        </w:rPr>
        <w:t xml:space="preserve"> – any form of </w:t>
      </w:r>
      <w:r>
        <w:rPr>
          <w:rFonts w:ascii="Arial" w:hAnsi="Arial" w:cs="Arial"/>
          <w:sz w:val="20"/>
        </w:rPr>
        <w:t>‘</w:t>
      </w:r>
      <w:r w:rsidRPr="00582C0A">
        <w:rPr>
          <w:rFonts w:ascii="Arial" w:hAnsi="Arial" w:cs="Arial"/>
          <w:sz w:val="20"/>
        </w:rPr>
        <w:t>shared care</w:t>
      </w:r>
      <w:r>
        <w:rPr>
          <w:rFonts w:ascii="Arial" w:hAnsi="Arial" w:cs="Arial"/>
          <w:sz w:val="20"/>
        </w:rPr>
        <w:t>’</w:t>
      </w:r>
      <w:r w:rsidRPr="00582C0A">
        <w:rPr>
          <w:rFonts w:ascii="Arial" w:hAnsi="Arial" w:cs="Arial"/>
          <w:sz w:val="20"/>
        </w:rPr>
        <w:t xml:space="preserve"> was not a plan which either the parents or the carers wanted or felt comfortable with.  Without heart-felt commitment from all four adults neither of the assessors’ options is workable.  In my view their recommendations do not give sufficient weight to the views, wishes and inherent natures of the parents and the carers or to their readiness or capacity to </w:t>
      </w:r>
      <w:r>
        <w:rPr>
          <w:rFonts w:ascii="Arial" w:hAnsi="Arial" w:cs="Arial"/>
          <w:sz w:val="20"/>
        </w:rPr>
        <w:t>‘</w:t>
      </w:r>
      <w:r w:rsidRPr="00582C0A">
        <w:rPr>
          <w:rFonts w:ascii="Arial" w:hAnsi="Arial" w:cs="Arial"/>
          <w:sz w:val="20"/>
        </w:rPr>
        <w:t>share</w:t>
      </w:r>
      <w:r>
        <w:rPr>
          <w:rFonts w:ascii="Arial" w:hAnsi="Arial" w:cs="Arial"/>
          <w:sz w:val="20"/>
        </w:rPr>
        <w:t>’</w:t>
      </w:r>
      <w:r w:rsidRPr="00582C0A">
        <w:rPr>
          <w:rFonts w:ascii="Arial" w:hAnsi="Arial" w:cs="Arial"/>
          <w:sz w:val="20"/>
        </w:rPr>
        <w:t xml:space="preserve"> </w:t>
      </w:r>
      <w:r>
        <w:rPr>
          <w:rFonts w:ascii="Arial" w:hAnsi="Arial" w:cs="Arial"/>
          <w:sz w:val="20"/>
        </w:rPr>
        <w:t xml:space="preserve">[the child] </w:t>
      </w:r>
      <w:r w:rsidRPr="00582C0A">
        <w:rPr>
          <w:rFonts w:ascii="Arial" w:hAnsi="Arial" w:cs="Arial"/>
          <w:sz w:val="20"/>
        </w:rPr>
        <w:t>in either of the ways envisaged.</w:t>
      </w:r>
      <w:r>
        <w:rPr>
          <w:rFonts w:ascii="Arial" w:hAnsi="Arial" w:cs="Arial"/>
          <w:sz w:val="20"/>
        </w:rPr>
        <w:t>”</w:t>
      </w:r>
    </w:p>
    <w:p w14:paraId="06D0F775" w14:textId="46B2B9F5" w:rsidR="00BD3832" w:rsidRDefault="00BD3832" w:rsidP="00E14F02">
      <w:pPr>
        <w:jc w:val="both"/>
        <w:rPr>
          <w:rFonts w:ascii="Arial" w:hAnsi="Arial" w:cs="Arial"/>
          <w:sz w:val="20"/>
        </w:rPr>
      </w:pPr>
    </w:p>
    <w:p w14:paraId="5194BA74" w14:textId="1FBF2C2C" w:rsidR="008051B3" w:rsidRDefault="008051B3" w:rsidP="00E14F02">
      <w:pPr>
        <w:jc w:val="both"/>
        <w:rPr>
          <w:rFonts w:ascii="Arial" w:hAnsi="Arial" w:cs="Arial"/>
          <w:sz w:val="20"/>
        </w:rPr>
      </w:pPr>
      <w:r>
        <w:rPr>
          <w:rFonts w:ascii="Arial" w:hAnsi="Arial" w:cs="Arial"/>
          <w:sz w:val="20"/>
        </w:rPr>
        <w:t>Ultimately the Court held at p.134 that the evidence supported a case plan of gradual reunification of the child with his parents while remaining during the transition period in the care of the current carers until reunification with the parents was fully achieved.</w:t>
      </w:r>
    </w:p>
    <w:p w14:paraId="0DE3DBF5" w14:textId="77777777" w:rsidR="008051B3" w:rsidRDefault="008051B3" w:rsidP="00E14F02">
      <w:pPr>
        <w:jc w:val="both"/>
        <w:rPr>
          <w:rFonts w:ascii="Arial" w:hAnsi="Arial" w:cs="Arial"/>
          <w:sz w:val="20"/>
        </w:rPr>
      </w:pPr>
    </w:p>
    <w:p w14:paraId="19B1E5E6" w14:textId="77777777" w:rsidR="00E14F02" w:rsidRPr="006679D2" w:rsidRDefault="00E14F02" w:rsidP="00063C71">
      <w:pPr>
        <w:pStyle w:val="Heading2"/>
        <w:keepNext/>
        <w:keepLines/>
        <w:tabs>
          <w:tab w:val="left" w:pos="567"/>
        </w:tabs>
        <w:spacing w:line="240" w:lineRule="auto"/>
        <w:rPr>
          <w:rFonts w:ascii="Arial" w:hAnsi="Arial" w:cs="Arial"/>
          <w:b/>
          <w:bCs/>
          <w:color w:val="000000"/>
        </w:rPr>
      </w:pPr>
      <w:bookmarkStart w:id="1618" w:name="_4.14_Frequency_of"/>
      <w:bookmarkStart w:id="1619" w:name="B414"/>
      <w:bookmarkEnd w:id="1618"/>
      <w:bookmarkEnd w:id="1619"/>
      <w:r w:rsidRPr="006679D2">
        <w:rPr>
          <w:rFonts w:ascii="Arial" w:hAnsi="Arial" w:cs="Arial"/>
          <w:b/>
          <w:bCs/>
          <w:color w:val="000000"/>
        </w:rPr>
        <w:t>4.14</w:t>
      </w:r>
      <w:r w:rsidRPr="006679D2">
        <w:rPr>
          <w:rFonts w:ascii="Arial" w:hAnsi="Arial" w:cs="Arial"/>
          <w:b/>
          <w:bCs/>
          <w:color w:val="000000"/>
        </w:rPr>
        <w:tab/>
        <w:t xml:space="preserve">Frequency of </w:t>
      </w:r>
      <w:r w:rsidR="00E55A14" w:rsidRPr="006679D2">
        <w:rPr>
          <w:rFonts w:ascii="Arial" w:hAnsi="Arial" w:cs="Arial"/>
          <w:b/>
          <w:bCs/>
          <w:color w:val="000000"/>
        </w:rPr>
        <w:t>contact</w:t>
      </w:r>
      <w:r w:rsidRPr="006679D2">
        <w:rPr>
          <w:rFonts w:ascii="Arial" w:hAnsi="Arial" w:cs="Arial"/>
          <w:b/>
          <w:bCs/>
          <w:color w:val="000000"/>
        </w:rPr>
        <w:t xml:space="preserve"> between </w:t>
      </w:r>
      <w:r w:rsidR="00EF65CA" w:rsidRPr="006679D2">
        <w:rPr>
          <w:rFonts w:ascii="Arial" w:hAnsi="Arial" w:cs="Arial"/>
          <w:b/>
          <w:bCs/>
          <w:color w:val="000000"/>
        </w:rPr>
        <w:t>young child</w:t>
      </w:r>
      <w:r w:rsidRPr="006679D2">
        <w:rPr>
          <w:rFonts w:ascii="Arial" w:hAnsi="Arial" w:cs="Arial"/>
          <w:b/>
          <w:bCs/>
          <w:color w:val="000000"/>
        </w:rPr>
        <w:t xml:space="preserve"> and parent</w:t>
      </w:r>
    </w:p>
    <w:p w14:paraId="58CD6A57" w14:textId="77777777" w:rsidR="00FB53EB" w:rsidRDefault="00FB53EB" w:rsidP="00422778">
      <w:pPr>
        <w:jc w:val="both"/>
        <w:rPr>
          <w:rFonts w:ascii="Arial" w:hAnsi="Arial" w:cs="Arial"/>
          <w:sz w:val="20"/>
        </w:rPr>
      </w:pPr>
    </w:p>
    <w:p w14:paraId="5B7577E0" w14:textId="77777777" w:rsidR="00422778" w:rsidRDefault="005477EF" w:rsidP="00422778">
      <w:pPr>
        <w:jc w:val="both"/>
        <w:rPr>
          <w:rFonts w:ascii="Arial" w:hAnsi="Arial" w:cs="Arial"/>
          <w:sz w:val="20"/>
        </w:rPr>
      </w:pPr>
      <w:r>
        <w:rPr>
          <w:rFonts w:ascii="Arial" w:hAnsi="Arial" w:cs="Arial"/>
          <w:sz w:val="20"/>
        </w:rPr>
        <w:t xml:space="preserve">In ‘Contact Irregular’: a qualitative analysis of the impact of visiting patterns of natural parents on foster placements </w:t>
      </w:r>
      <w:r w:rsidRPr="005477EF">
        <w:rPr>
          <w:rFonts w:ascii="Arial" w:hAnsi="Arial" w:cs="Arial"/>
          <w:i/>
          <w:sz w:val="20"/>
        </w:rPr>
        <w:t>[</w:t>
      </w:r>
      <w:r>
        <w:rPr>
          <w:rFonts w:ascii="Arial" w:hAnsi="Arial" w:cs="Arial"/>
          <w:i/>
          <w:sz w:val="20"/>
        </w:rPr>
        <w:t xml:space="preserve">(2002) </w:t>
      </w:r>
      <w:r w:rsidRPr="005477EF">
        <w:rPr>
          <w:rFonts w:ascii="Arial" w:hAnsi="Arial" w:cs="Arial"/>
          <w:i/>
          <w:sz w:val="20"/>
        </w:rPr>
        <w:t>Child and Family Social Work, 7, 35-45]</w:t>
      </w:r>
      <w:r w:rsidR="005C069A">
        <w:rPr>
          <w:rFonts w:ascii="Arial" w:hAnsi="Arial" w:cs="Arial"/>
          <w:sz w:val="20"/>
        </w:rPr>
        <w:t xml:space="preserve">, </w:t>
      </w:r>
      <w:r>
        <w:rPr>
          <w:rFonts w:ascii="Arial" w:hAnsi="Arial" w:cs="Arial"/>
          <w:sz w:val="20"/>
        </w:rPr>
        <w:t xml:space="preserve">D </w:t>
      </w:r>
      <w:r w:rsidR="00422778">
        <w:rPr>
          <w:rFonts w:ascii="Arial" w:hAnsi="Arial" w:cs="Arial"/>
          <w:sz w:val="20"/>
        </w:rPr>
        <w:t xml:space="preserve">Browne &amp; </w:t>
      </w:r>
      <w:r>
        <w:rPr>
          <w:rFonts w:ascii="Arial" w:hAnsi="Arial" w:cs="Arial"/>
          <w:sz w:val="20"/>
        </w:rPr>
        <w:t xml:space="preserve">A </w:t>
      </w:r>
      <w:r w:rsidR="00422778">
        <w:rPr>
          <w:rFonts w:ascii="Arial" w:hAnsi="Arial" w:cs="Arial"/>
          <w:sz w:val="20"/>
        </w:rPr>
        <w:t>Moloney said at p.36:</w:t>
      </w:r>
    </w:p>
    <w:p w14:paraId="4484B846" w14:textId="77777777" w:rsidR="00422778" w:rsidRDefault="00422778" w:rsidP="00422778">
      <w:pPr>
        <w:spacing w:before="60"/>
        <w:ind w:left="567" w:right="567"/>
        <w:jc w:val="both"/>
        <w:rPr>
          <w:rFonts w:ascii="Arial" w:hAnsi="Arial" w:cs="Arial"/>
          <w:sz w:val="20"/>
        </w:rPr>
      </w:pPr>
      <w:r>
        <w:rPr>
          <w:rFonts w:ascii="Arial" w:hAnsi="Arial" w:cs="Arial"/>
          <w:sz w:val="20"/>
        </w:rPr>
        <w:t>“The purpose of foster care is to provide a temporary safe home for a child because his or her parents are unable to do so, with the eventual aim of returning the child successfully to the family</w:t>
      </w:r>
      <w:r w:rsidR="005477EF">
        <w:rPr>
          <w:rFonts w:ascii="Arial" w:hAnsi="Arial" w:cs="Arial"/>
          <w:sz w:val="20"/>
        </w:rPr>
        <w:t xml:space="preserve"> of origin.  With this in mind it is important that the child continues to identify with his natural family.”</w:t>
      </w:r>
    </w:p>
    <w:p w14:paraId="329E1E7C" w14:textId="77777777" w:rsidR="00422778" w:rsidRDefault="00422778" w:rsidP="00422778">
      <w:pPr>
        <w:jc w:val="both"/>
        <w:rPr>
          <w:rFonts w:ascii="Arial" w:hAnsi="Arial" w:cs="Arial"/>
          <w:sz w:val="20"/>
        </w:rPr>
      </w:pPr>
    </w:p>
    <w:p w14:paraId="2866D265" w14:textId="0D88EFAD" w:rsidR="00022F17" w:rsidRDefault="00905998" w:rsidP="00303766">
      <w:pPr>
        <w:jc w:val="both"/>
        <w:rPr>
          <w:rFonts w:ascii="Arial" w:hAnsi="Arial" w:cs="Arial"/>
          <w:sz w:val="20"/>
        </w:rPr>
      </w:pPr>
      <w:r>
        <w:rPr>
          <w:rFonts w:ascii="Arial" w:hAnsi="Arial" w:cs="Arial"/>
          <w:sz w:val="20"/>
        </w:rPr>
        <w:t xml:space="preserve">Section 10(3) of the CYFA sets out 18 matters to which the Court must have regard in determining whether a decision or action is in the best interests of a child.  </w:t>
      </w:r>
      <w:r w:rsidR="000F5CC6" w:rsidRPr="00303766">
        <w:rPr>
          <w:rFonts w:ascii="Arial" w:hAnsi="Arial" w:cs="Arial"/>
          <w:sz w:val="20"/>
        </w:rPr>
        <w:t xml:space="preserve">Section 10(3)(k) of the CYFA provides that in determining what decision to make or action to </w:t>
      </w:r>
      <w:r w:rsidR="000F5CC6" w:rsidRPr="00303766">
        <w:rPr>
          <w:rFonts w:ascii="Arial" w:hAnsi="Arial" w:cs="Arial"/>
          <w:color w:val="000000"/>
          <w:sz w:val="20"/>
        </w:rPr>
        <w:t>take in the best interests of a child, consideration must be given</w:t>
      </w:r>
      <w:r w:rsidR="00303766">
        <w:rPr>
          <w:rFonts w:ascii="Arial" w:hAnsi="Arial" w:cs="Arial"/>
          <w:color w:val="000000"/>
          <w:sz w:val="20"/>
        </w:rPr>
        <w:t>,</w:t>
      </w:r>
      <w:r w:rsidR="000F5CC6" w:rsidRPr="00303766">
        <w:rPr>
          <w:rFonts w:ascii="Arial" w:hAnsi="Arial" w:cs="Arial"/>
          <w:color w:val="000000"/>
          <w:sz w:val="20"/>
        </w:rPr>
        <w:t xml:space="preserve"> where relevant</w:t>
      </w:r>
      <w:r w:rsidR="00303766">
        <w:rPr>
          <w:rFonts w:ascii="Arial" w:hAnsi="Arial" w:cs="Arial"/>
          <w:color w:val="000000"/>
          <w:sz w:val="20"/>
        </w:rPr>
        <w:t>,</w:t>
      </w:r>
      <w:r w:rsidR="000F5CC6" w:rsidRPr="00303766">
        <w:rPr>
          <w:rFonts w:ascii="Arial" w:hAnsi="Arial" w:cs="Arial"/>
          <w:color w:val="000000"/>
          <w:sz w:val="20"/>
        </w:rPr>
        <w:t xml:space="preserve"> to </w:t>
      </w:r>
      <w:r w:rsidRPr="00303766">
        <w:rPr>
          <w:rFonts w:ascii="Arial" w:hAnsi="Arial" w:cs="Arial"/>
          <w:color w:val="000000"/>
          <w:sz w:val="20"/>
        </w:rPr>
        <w:t>“</w:t>
      </w:r>
      <w:r w:rsidR="00E55A14" w:rsidRPr="00303766">
        <w:rPr>
          <w:rFonts w:ascii="Arial" w:hAnsi="Arial" w:cs="Arial"/>
          <w:color w:val="000000"/>
          <w:sz w:val="20"/>
        </w:rPr>
        <w:t>contact</w:t>
      </w:r>
      <w:r w:rsidR="000F5CC6" w:rsidRPr="00303766">
        <w:rPr>
          <w:rFonts w:ascii="Arial" w:hAnsi="Arial" w:cs="Arial"/>
          <w:sz w:val="20"/>
        </w:rPr>
        <w:t xml:space="preserve"> arrangements between the child and the child’s parents, siblings, family members and other persons significant to the child</w:t>
      </w:r>
      <w:r w:rsidRPr="00303766">
        <w:rPr>
          <w:rFonts w:ascii="Arial" w:hAnsi="Arial" w:cs="Arial"/>
          <w:sz w:val="20"/>
        </w:rPr>
        <w:t>”</w:t>
      </w:r>
      <w:r w:rsidR="000F5CC6" w:rsidRPr="00303766">
        <w:rPr>
          <w:rFonts w:ascii="Arial" w:hAnsi="Arial" w:cs="Arial"/>
          <w:sz w:val="20"/>
        </w:rPr>
        <w:t>.</w:t>
      </w:r>
      <w:r w:rsidR="0035574D" w:rsidRPr="00303766">
        <w:rPr>
          <w:rFonts w:ascii="Arial" w:hAnsi="Arial" w:cs="Arial"/>
          <w:sz w:val="20"/>
        </w:rPr>
        <w:t xml:space="preserve">  </w:t>
      </w:r>
      <w:r w:rsidR="00022F17" w:rsidRPr="006679D2">
        <w:rPr>
          <w:rFonts w:ascii="Arial" w:hAnsi="Arial" w:cs="Arial"/>
          <w:color w:val="000000"/>
          <w:sz w:val="20"/>
        </w:rPr>
        <w:t>Section 10(3)(k) effectively provides a child with a</w:t>
      </w:r>
      <w:r w:rsidR="00022F17">
        <w:rPr>
          <w:rFonts w:ascii="Arial" w:hAnsi="Arial" w:cs="Arial"/>
          <w:color w:val="000000"/>
          <w:sz w:val="20"/>
        </w:rPr>
        <w:t xml:space="preserve"> </w:t>
      </w:r>
      <w:r w:rsidR="00022F17" w:rsidRPr="009B4939">
        <w:rPr>
          <w:rFonts w:ascii="Arial" w:hAnsi="Arial" w:cs="Arial"/>
          <w:i/>
          <w:iCs/>
          <w:color w:val="000000"/>
          <w:sz w:val="20"/>
        </w:rPr>
        <w:t>prima facie</w:t>
      </w:r>
      <w:r w:rsidR="00022F17" w:rsidRPr="006679D2">
        <w:rPr>
          <w:rFonts w:ascii="Arial" w:hAnsi="Arial" w:cs="Arial"/>
          <w:color w:val="000000"/>
          <w:sz w:val="20"/>
        </w:rPr>
        <w:t xml:space="preserve"> right to contact and provides a parent and a sibling with a consequential right,</w:t>
      </w:r>
    </w:p>
    <w:p w14:paraId="6A78CC96" w14:textId="77777777" w:rsidR="00022F17" w:rsidRDefault="00022F17" w:rsidP="00303766">
      <w:pPr>
        <w:jc w:val="both"/>
        <w:rPr>
          <w:rFonts w:ascii="Arial" w:hAnsi="Arial" w:cs="Arial"/>
          <w:sz w:val="20"/>
        </w:rPr>
      </w:pPr>
    </w:p>
    <w:p w14:paraId="770458B4" w14:textId="4EF6CB7C" w:rsidR="0052674B" w:rsidRPr="00303766" w:rsidRDefault="00022F17" w:rsidP="00303766">
      <w:pPr>
        <w:jc w:val="both"/>
        <w:rPr>
          <w:rFonts w:ascii="Arial" w:hAnsi="Arial" w:cs="Arial"/>
          <w:sz w:val="20"/>
        </w:rPr>
      </w:pPr>
      <w:r>
        <w:rPr>
          <w:rFonts w:ascii="Arial" w:hAnsi="Arial" w:cs="Arial"/>
          <w:sz w:val="20"/>
        </w:rPr>
        <w:t>Further s.</w:t>
      </w:r>
      <w:r w:rsidR="0052674B" w:rsidRPr="00303766">
        <w:rPr>
          <w:rFonts w:ascii="Arial" w:hAnsi="Arial" w:cs="Arial"/>
          <w:sz w:val="20"/>
        </w:rPr>
        <w:t>10(3)(b) provide</w:t>
      </w:r>
      <w:r w:rsidR="00303766" w:rsidRPr="00303766">
        <w:rPr>
          <w:rFonts w:ascii="Arial" w:hAnsi="Arial" w:cs="Arial"/>
          <w:sz w:val="20"/>
        </w:rPr>
        <w:t>s</w:t>
      </w:r>
      <w:r w:rsidR="0052674B" w:rsidRPr="00303766">
        <w:rPr>
          <w:rFonts w:ascii="Arial" w:hAnsi="Arial" w:cs="Arial"/>
          <w:sz w:val="20"/>
        </w:rPr>
        <w:t xml:space="preserve"> that the best interests of the child</w:t>
      </w:r>
      <w:r w:rsidR="00B42129" w:rsidRPr="00303766">
        <w:rPr>
          <w:rFonts w:ascii="Arial" w:hAnsi="Arial" w:cs="Arial"/>
          <w:sz w:val="20"/>
        </w:rPr>
        <w:t xml:space="preserve"> </w:t>
      </w:r>
      <w:r w:rsidR="0052674B" w:rsidRPr="00303766">
        <w:rPr>
          <w:rFonts w:ascii="Arial" w:hAnsi="Arial" w:cs="Arial"/>
          <w:sz w:val="20"/>
        </w:rPr>
        <w:t xml:space="preserve">require consideration to be given, where relevant, to </w:t>
      </w:r>
      <w:r w:rsidR="00905998" w:rsidRPr="00303766">
        <w:rPr>
          <w:rFonts w:ascii="Arial" w:hAnsi="Arial" w:cs="Arial"/>
          <w:sz w:val="20"/>
        </w:rPr>
        <w:t>“</w:t>
      </w:r>
      <w:r w:rsidR="0052674B" w:rsidRPr="00303766">
        <w:rPr>
          <w:rFonts w:ascii="Arial" w:hAnsi="Arial" w:cs="Arial"/>
          <w:sz w:val="20"/>
        </w:rPr>
        <w:t xml:space="preserve">the need to strengthen, preserve and promote positive relationships between the child and </w:t>
      </w:r>
      <w:r w:rsidR="00905998" w:rsidRPr="00303766">
        <w:rPr>
          <w:rFonts w:ascii="Arial" w:hAnsi="Arial" w:cs="Arial"/>
          <w:sz w:val="20"/>
        </w:rPr>
        <w:t xml:space="preserve">the child’s </w:t>
      </w:r>
      <w:r w:rsidR="0052674B" w:rsidRPr="00303766">
        <w:rPr>
          <w:rFonts w:ascii="Arial" w:hAnsi="Arial" w:cs="Arial"/>
          <w:sz w:val="20"/>
        </w:rPr>
        <w:t xml:space="preserve">parent, </w:t>
      </w:r>
      <w:r w:rsidR="00905998" w:rsidRPr="00303766">
        <w:rPr>
          <w:rFonts w:ascii="Arial" w:hAnsi="Arial" w:cs="Arial"/>
          <w:sz w:val="20"/>
        </w:rPr>
        <w:t>family members and persons significant to the child”</w:t>
      </w:r>
      <w:r w:rsidR="00303766">
        <w:rPr>
          <w:rFonts w:ascii="Arial" w:hAnsi="Arial" w:cs="Arial"/>
          <w:sz w:val="20"/>
        </w:rPr>
        <w:t>.  Section 10(3)(i) requires that consideration be given, where relevant, to “the desirability, when a child is removed from the care of his or her parent, t</w:t>
      </w:r>
      <w:r w:rsidR="0052674B" w:rsidRPr="00303766">
        <w:rPr>
          <w:rFonts w:ascii="Arial" w:hAnsi="Arial" w:cs="Arial"/>
          <w:sz w:val="20"/>
        </w:rPr>
        <w:t xml:space="preserve">o plan the reunification of the child with his or her </w:t>
      </w:r>
      <w:r w:rsidR="00303766">
        <w:rPr>
          <w:rFonts w:ascii="Arial" w:hAnsi="Arial" w:cs="Arial"/>
          <w:sz w:val="20"/>
        </w:rPr>
        <w:t>parent”</w:t>
      </w:r>
      <w:r w:rsidR="0052674B" w:rsidRPr="00303766">
        <w:rPr>
          <w:rFonts w:ascii="Arial" w:hAnsi="Arial" w:cs="Arial"/>
          <w:sz w:val="20"/>
        </w:rPr>
        <w:t>.</w:t>
      </w:r>
    </w:p>
    <w:p w14:paraId="7CCBF38A" w14:textId="77777777" w:rsidR="0052674B" w:rsidRDefault="0052674B" w:rsidP="00FB53EB">
      <w:pPr>
        <w:jc w:val="both"/>
        <w:rPr>
          <w:rFonts w:ascii="Arial" w:hAnsi="Arial" w:cs="Arial"/>
          <w:sz w:val="20"/>
        </w:rPr>
      </w:pPr>
    </w:p>
    <w:p w14:paraId="374AE29B" w14:textId="77777777" w:rsidR="00BC7804" w:rsidRDefault="0052674B" w:rsidP="00FB53EB">
      <w:pPr>
        <w:jc w:val="both"/>
        <w:rPr>
          <w:rFonts w:ascii="Arial" w:hAnsi="Arial" w:cs="Arial"/>
          <w:sz w:val="20"/>
        </w:rPr>
      </w:pPr>
      <w:r>
        <w:rPr>
          <w:rFonts w:ascii="Arial" w:hAnsi="Arial" w:cs="Arial"/>
          <w:sz w:val="20"/>
        </w:rPr>
        <w:t>Paragraphs (b), (i) &amp; (k) of s.10</w:t>
      </w:r>
      <w:r w:rsidR="0035574D">
        <w:rPr>
          <w:rFonts w:ascii="Arial" w:hAnsi="Arial" w:cs="Arial"/>
          <w:sz w:val="20"/>
        </w:rPr>
        <w:t>(3) effectively incorporate into domestic Victorian law Article 9.3 in Part I of the United Nations Convention on the Rights of the Child to which Australia is a signatory.  Article 9.3 provides:</w:t>
      </w:r>
    </w:p>
    <w:p w14:paraId="4EE41652" w14:textId="77777777" w:rsidR="0035574D" w:rsidRDefault="0035574D" w:rsidP="0035574D">
      <w:pPr>
        <w:spacing w:before="60"/>
        <w:ind w:left="567" w:right="567"/>
        <w:jc w:val="both"/>
        <w:rPr>
          <w:rFonts w:ascii="Arial" w:hAnsi="Arial" w:cs="Arial"/>
          <w:sz w:val="20"/>
        </w:rPr>
      </w:pPr>
      <w:r>
        <w:rPr>
          <w:rFonts w:ascii="Arial" w:hAnsi="Arial" w:cs="Arial"/>
          <w:sz w:val="20"/>
        </w:rPr>
        <w:t>“Parties shall respect the right of the child who is separated from one or both parents to maintain personal relations and direct contact with both parents on a regular basis, except if it is contrary to the child’s best interests.”</w:t>
      </w:r>
    </w:p>
    <w:p w14:paraId="7C0FC8B0" w14:textId="77777777" w:rsidR="000402DA" w:rsidRDefault="000402DA" w:rsidP="00FB53EB">
      <w:pPr>
        <w:jc w:val="both"/>
        <w:rPr>
          <w:rFonts w:ascii="Arial" w:hAnsi="Arial" w:cs="Arial"/>
          <w:sz w:val="20"/>
        </w:rPr>
      </w:pPr>
    </w:p>
    <w:p w14:paraId="6DF14D7A" w14:textId="4F123516" w:rsidR="00CA3540" w:rsidRDefault="0055262C" w:rsidP="00FB53EB">
      <w:pPr>
        <w:jc w:val="both"/>
        <w:rPr>
          <w:rFonts w:ascii="Arial" w:hAnsi="Arial" w:cs="Arial"/>
          <w:sz w:val="20"/>
        </w:rPr>
      </w:pPr>
      <w:r>
        <w:rPr>
          <w:rFonts w:ascii="Arial" w:hAnsi="Arial" w:cs="Arial"/>
          <w:sz w:val="20"/>
        </w:rPr>
        <w:t xml:space="preserve">One of the most </w:t>
      </w:r>
      <w:r w:rsidR="00A5277D">
        <w:rPr>
          <w:rFonts w:ascii="Arial" w:hAnsi="Arial" w:cs="Arial"/>
          <w:sz w:val="20"/>
        </w:rPr>
        <w:t>commonly</w:t>
      </w:r>
      <w:r>
        <w:rPr>
          <w:rFonts w:ascii="Arial" w:hAnsi="Arial" w:cs="Arial"/>
          <w:sz w:val="20"/>
        </w:rPr>
        <w:t xml:space="preserve"> disputed issues in Family Division cases is the frequency of </w:t>
      </w:r>
      <w:r w:rsidR="00E55A14" w:rsidRPr="006679D2">
        <w:rPr>
          <w:rFonts w:ascii="Arial" w:hAnsi="Arial" w:cs="Arial"/>
          <w:color w:val="000000"/>
          <w:sz w:val="20"/>
        </w:rPr>
        <w:t>contact</w:t>
      </w:r>
      <w:r w:rsidRPr="006679D2">
        <w:rPr>
          <w:rFonts w:ascii="Arial" w:hAnsi="Arial" w:cs="Arial"/>
          <w:color w:val="000000"/>
          <w:sz w:val="20"/>
        </w:rPr>
        <w:t xml:space="preserve"> between a non-custodial parent and a child.  Such disputes are </w:t>
      </w:r>
      <w:r w:rsidR="00B64AF6" w:rsidRPr="006679D2">
        <w:rPr>
          <w:rFonts w:ascii="Arial" w:hAnsi="Arial" w:cs="Arial"/>
          <w:color w:val="000000"/>
          <w:sz w:val="20"/>
        </w:rPr>
        <w:t>usually</w:t>
      </w:r>
      <w:r w:rsidRPr="006679D2">
        <w:rPr>
          <w:rFonts w:ascii="Arial" w:hAnsi="Arial" w:cs="Arial"/>
          <w:color w:val="000000"/>
          <w:sz w:val="20"/>
        </w:rPr>
        <w:t xml:space="preserve"> even more</w:t>
      </w:r>
      <w:r>
        <w:rPr>
          <w:rFonts w:ascii="Arial" w:hAnsi="Arial" w:cs="Arial"/>
          <w:sz w:val="20"/>
        </w:rPr>
        <w:t xml:space="preserve"> </w:t>
      </w:r>
      <w:r w:rsidR="00063C71">
        <w:rPr>
          <w:rFonts w:ascii="Arial" w:hAnsi="Arial" w:cs="Arial"/>
          <w:sz w:val="20"/>
        </w:rPr>
        <w:t>difficult</w:t>
      </w:r>
      <w:r>
        <w:rPr>
          <w:rFonts w:ascii="Arial" w:hAnsi="Arial" w:cs="Arial"/>
          <w:sz w:val="20"/>
        </w:rPr>
        <w:t xml:space="preserve"> </w:t>
      </w:r>
      <w:r w:rsidR="00063C71">
        <w:rPr>
          <w:rFonts w:ascii="Arial" w:hAnsi="Arial" w:cs="Arial"/>
          <w:sz w:val="20"/>
        </w:rPr>
        <w:t xml:space="preserve">to determine </w:t>
      </w:r>
      <w:r w:rsidR="00CA3540">
        <w:rPr>
          <w:rFonts w:ascii="Arial" w:hAnsi="Arial" w:cs="Arial"/>
          <w:sz w:val="20"/>
        </w:rPr>
        <w:t>when the child is an infant</w:t>
      </w:r>
      <w:r w:rsidR="00022F17">
        <w:rPr>
          <w:rFonts w:ascii="Arial" w:hAnsi="Arial" w:cs="Arial"/>
          <w:sz w:val="20"/>
        </w:rPr>
        <w:t xml:space="preserve">, especially as there is a wide disparity of professional views – exemplified in the next two sections – about what frequency of contact is </w:t>
      </w:r>
      <w:r w:rsidR="009B4939">
        <w:rPr>
          <w:rFonts w:ascii="Arial" w:hAnsi="Arial" w:cs="Arial"/>
          <w:sz w:val="20"/>
        </w:rPr>
        <w:t xml:space="preserve">likely to be </w:t>
      </w:r>
      <w:r w:rsidR="00022F17">
        <w:rPr>
          <w:rFonts w:ascii="Arial" w:hAnsi="Arial" w:cs="Arial"/>
          <w:sz w:val="20"/>
        </w:rPr>
        <w:t>in a child’s best interests</w:t>
      </w:r>
      <w:r w:rsidR="00CA3540">
        <w:rPr>
          <w:rFonts w:ascii="Arial" w:hAnsi="Arial" w:cs="Arial"/>
          <w:sz w:val="20"/>
        </w:rPr>
        <w:t>.</w:t>
      </w:r>
    </w:p>
    <w:p w14:paraId="01243F0B" w14:textId="6BD7DC38" w:rsidR="00022F17" w:rsidRDefault="00022F17" w:rsidP="00022F17">
      <w:pPr>
        <w:jc w:val="both"/>
        <w:rPr>
          <w:rFonts w:ascii="Arial" w:hAnsi="Arial" w:cs="Arial"/>
          <w:sz w:val="20"/>
        </w:rPr>
      </w:pPr>
    </w:p>
    <w:p w14:paraId="66933234" w14:textId="610CDB23" w:rsidR="00022F17" w:rsidRPr="00022F17" w:rsidRDefault="00022F17" w:rsidP="00022F17">
      <w:pPr>
        <w:pStyle w:val="Heading3"/>
        <w:keepNext/>
        <w:keepLines/>
        <w:spacing w:after="120" w:line="240" w:lineRule="auto"/>
        <w:rPr>
          <w:rFonts w:ascii="Arial" w:hAnsi="Arial" w:cs="Arial"/>
          <w:b/>
          <w:bCs/>
          <w:sz w:val="20"/>
          <w:lang w:val="en-US"/>
        </w:rPr>
      </w:pPr>
      <w:bookmarkStart w:id="1620" w:name="_4.14.2__Case"/>
      <w:bookmarkStart w:id="1621" w:name="B4142"/>
      <w:bookmarkStart w:id="1622" w:name="_4.14.1_The_Victorian"/>
      <w:bookmarkEnd w:id="1620"/>
      <w:bookmarkEnd w:id="1621"/>
      <w:bookmarkEnd w:id="1622"/>
      <w:r w:rsidRPr="00022F17">
        <w:rPr>
          <w:rFonts w:ascii="Arial" w:hAnsi="Arial" w:cs="Arial"/>
          <w:b/>
          <w:bCs/>
          <w:sz w:val="20"/>
        </w:rPr>
        <w:t>4.14.</w:t>
      </w:r>
      <w:r>
        <w:rPr>
          <w:rFonts w:ascii="Arial" w:hAnsi="Arial" w:cs="Arial"/>
          <w:b/>
          <w:bCs/>
          <w:sz w:val="20"/>
        </w:rPr>
        <w:t>1</w:t>
      </w:r>
      <w:r w:rsidRPr="00022F17">
        <w:rPr>
          <w:rFonts w:ascii="Arial" w:hAnsi="Arial" w:cs="Arial"/>
          <w:b/>
          <w:bCs/>
          <w:sz w:val="20"/>
        </w:rPr>
        <w:tab/>
        <w:t>The Victoria</w:t>
      </w:r>
      <w:r>
        <w:rPr>
          <w:rFonts w:ascii="Arial" w:hAnsi="Arial" w:cs="Arial"/>
          <w:b/>
          <w:bCs/>
          <w:sz w:val="20"/>
        </w:rPr>
        <w:t>n</w:t>
      </w:r>
      <w:r w:rsidRPr="00022F17">
        <w:rPr>
          <w:rFonts w:ascii="Arial" w:hAnsi="Arial" w:cs="Arial"/>
          <w:b/>
          <w:bCs/>
          <w:sz w:val="20"/>
        </w:rPr>
        <w:t xml:space="preserve"> case of </w:t>
      </w:r>
      <w:r w:rsidRPr="00022F17">
        <w:rPr>
          <w:rFonts w:ascii="Arial" w:hAnsi="Arial" w:cs="Arial"/>
          <w:b/>
          <w:bCs/>
          <w:i/>
          <w:iCs/>
          <w:color w:val="000000"/>
          <w:sz w:val="20"/>
        </w:rPr>
        <w:t>DOHS v Ms B &amp; Mr G</w:t>
      </w:r>
    </w:p>
    <w:p w14:paraId="37F9F159" w14:textId="77777777" w:rsidR="00022F17" w:rsidRDefault="00022F17" w:rsidP="00022F17">
      <w:pPr>
        <w:jc w:val="both"/>
        <w:rPr>
          <w:rFonts w:ascii="Arial" w:hAnsi="Arial" w:cs="Arial"/>
          <w:sz w:val="20"/>
        </w:rPr>
      </w:pPr>
      <w:r w:rsidRPr="006679D2">
        <w:rPr>
          <w:rFonts w:ascii="Arial" w:hAnsi="Arial" w:cs="Arial"/>
          <w:color w:val="000000"/>
          <w:sz w:val="20"/>
        </w:rPr>
        <w:t xml:space="preserve">In </w:t>
      </w:r>
      <w:r w:rsidRPr="006679D2">
        <w:rPr>
          <w:rFonts w:ascii="Arial" w:hAnsi="Arial" w:cs="Arial"/>
          <w:i/>
          <w:color w:val="000000"/>
          <w:sz w:val="20"/>
        </w:rPr>
        <w:t>DOHS v Ms B &amp; Mr G</w:t>
      </w:r>
      <w:r w:rsidRPr="006679D2">
        <w:rPr>
          <w:rFonts w:ascii="Arial" w:hAnsi="Arial" w:cs="Arial"/>
          <w:color w:val="000000"/>
          <w:sz w:val="20"/>
        </w:rPr>
        <w:t xml:space="preserve"> [2008] </w:t>
      </w:r>
      <w:proofErr w:type="spellStart"/>
      <w:r w:rsidRPr="006679D2">
        <w:rPr>
          <w:rFonts w:ascii="Arial" w:hAnsi="Arial" w:cs="Arial"/>
          <w:color w:val="000000"/>
          <w:sz w:val="20"/>
        </w:rPr>
        <w:t>VChC</w:t>
      </w:r>
      <w:proofErr w:type="spellEnd"/>
      <w:r w:rsidRPr="006679D2">
        <w:rPr>
          <w:rFonts w:ascii="Arial" w:hAnsi="Arial" w:cs="Arial"/>
          <w:color w:val="000000"/>
          <w:sz w:val="20"/>
        </w:rPr>
        <w:t xml:space="preserve"> 1, a case involving 4 children two of whom were twins aged 10 months who had been out of parental care since birth, a central issue was the frequency and duration of contact between the twins and their parents.  Initially the parents had had daily </w:t>
      </w:r>
      <w:r>
        <w:rPr>
          <w:rFonts w:ascii="Arial" w:hAnsi="Arial" w:cs="Arial"/>
          <w:color w:val="000000"/>
          <w:sz w:val="20"/>
        </w:rPr>
        <w:t>contact</w:t>
      </w:r>
      <w:r w:rsidRPr="006679D2">
        <w:rPr>
          <w:rFonts w:ascii="Arial" w:hAnsi="Arial" w:cs="Arial"/>
          <w:color w:val="000000"/>
          <w:sz w:val="20"/>
        </w:rPr>
        <w:t xml:space="preserve"> in the hospital’s special care nursery.  When the twins were discharged at 4 weeks of age the Court heard a submissions contest and ordered supervised contact for 4 hours each day.  When they were 11½ weeks old this regime was varied by consent – after the Court had heard </w:t>
      </w:r>
      <w:r w:rsidRPr="006679D2">
        <w:rPr>
          <w:rFonts w:ascii="Arial" w:hAnsi="Arial" w:cs="Arial"/>
          <w:i/>
          <w:color w:val="000000"/>
          <w:sz w:val="20"/>
        </w:rPr>
        <w:t>viva voce</w:t>
      </w:r>
      <w:r w:rsidRPr="006679D2">
        <w:rPr>
          <w:rFonts w:ascii="Arial" w:hAnsi="Arial" w:cs="Arial"/>
          <w:color w:val="000000"/>
          <w:sz w:val="20"/>
        </w:rPr>
        <w:t xml:space="preserve"> evidence from Dr P, a highly respected consultant psychiatrist in the field of infant mental health – to 3½ hours on each of 5 days per week for the mother and 1 hour on each of 3 days per week for the father.  When the twins were 6½ months old their </w:t>
      </w:r>
      <w:r w:rsidRPr="006679D2">
        <w:rPr>
          <w:rFonts w:ascii="Arial" w:hAnsi="Arial" w:cs="Arial"/>
          <w:color w:val="000000"/>
          <w:sz w:val="20"/>
        </w:rPr>
        <w:lastRenderedPageBreak/>
        <w:t>mother’s contact was suspended as a consequence of serious threats made by her to a protective worker.  Six weeks later her supervised contact was reinstated for 1 hour on 1 day per week.  When the twins were 9½ months old the writer heard evidence from a number of expert witnesses, including Dr P and three highly regarded clinical psychologists, Dr M, Dr SM &amp; Dr W.  It is no criticism of these excellent witnesses to say that there were very significant differences between them as to the optimal frequency and duration of contact even</w:t>
      </w:r>
      <w:r>
        <w:rPr>
          <w:rFonts w:ascii="Arial" w:hAnsi="Arial" w:cs="Arial"/>
          <w:sz w:val="20"/>
        </w:rPr>
        <w:t xml:space="preserve"> though there was a high degree of unanimity on the underlying theory of infant development.</w:t>
      </w:r>
    </w:p>
    <w:p w14:paraId="0AACBD53" w14:textId="77777777" w:rsidR="00022F17" w:rsidRDefault="00022F17" w:rsidP="00022F17">
      <w:pPr>
        <w:jc w:val="both"/>
        <w:rPr>
          <w:rFonts w:ascii="Arial" w:hAnsi="Arial" w:cs="Arial"/>
          <w:sz w:val="20"/>
        </w:rPr>
      </w:pPr>
    </w:p>
    <w:p w14:paraId="1FE7D266" w14:textId="77777777" w:rsidR="00022F17" w:rsidRPr="006679D2" w:rsidRDefault="00022F17" w:rsidP="00022F17">
      <w:pPr>
        <w:jc w:val="both"/>
        <w:rPr>
          <w:rFonts w:ascii="Arial" w:hAnsi="Arial" w:cs="Arial"/>
          <w:color w:val="000000"/>
          <w:sz w:val="20"/>
        </w:rPr>
      </w:pPr>
      <w:r w:rsidRPr="006679D2">
        <w:rPr>
          <w:rFonts w:ascii="Arial" w:hAnsi="Arial" w:cs="Arial"/>
          <w:color w:val="000000"/>
          <w:sz w:val="20"/>
        </w:rPr>
        <w:t>When the twins were 2 months old, Dr M had been asked by DOHS to provide an expert opinion as to whether contact between the twins and the parents for several hours each day was appropriate.  However she had not been given an opportunity to observe either the twins or their parents.  It was her view that daily contact was not appropriate and she recommended a reduction to once weekly for the following reasons:</w:t>
      </w:r>
    </w:p>
    <w:p w14:paraId="1B7F6434" w14:textId="77777777" w:rsidR="00022F17" w:rsidRDefault="00022F17" w:rsidP="00022F17">
      <w:pPr>
        <w:spacing w:before="120" w:after="120"/>
        <w:ind w:left="567" w:right="567"/>
        <w:jc w:val="both"/>
        <w:rPr>
          <w:rFonts w:ascii="Arial" w:hAnsi="Arial" w:cs="Arial"/>
          <w:sz w:val="20"/>
        </w:rPr>
      </w:pPr>
      <w:r w:rsidRPr="00281666">
        <w:rPr>
          <w:rFonts w:ascii="Arial" w:hAnsi="Arial" w:cs="Arial"/>
          <w:sz w:val="20"/>
          <w:szCs w:val="22"/>
        </w:rPr>
        <w:t>“Daily contact between infant and parents is something clinically advisable when there is a very clear reunification plan and clear evidence around the capacity of the parents to care and lay down foundations for secure attachment.  I was concerned because there certainly hadn’t been a thorough assessment of the capacity of the parents to do that with these infants.  What inadvertently happens with these very frequent contact schedules is that infants are denied the opportunity to form security with anyone and particularly with the foster parents</w:t>
      </w:r>
      <w:r>
        <w:rPr>
          <w:rFonts w:ascii="Arial" w:hAnsi="Arial" w:cs="Arial"/>
          <w:sz w:val="20"/>
          <w:szCs w:val="22"/>
        </w:rPr>
        <w:t>…</w:t>
      </w:r>
      <w:r w:rsidRPr="00281666">
        <w:rPr>
          <w:rFonts w:ascii="Arial" w:hAnsi="Arial" w:cs="Arial"/>
          <w:sz w:val="20"/>
          <w:szCs w:val="22"/>
        </w:rPr>
        <w:t xml:space="preserve">  It doesn’t have anything to do with the supervision of the access.  It’s got to do with the disruption of the infants’ schedule and the absence of the infants from their primary carer, in this case the foster parents.  This is the sort of regime which when ongoing for several weeks or months can cause disorganized attachment in infants…One of the core truths about attachment security is in the critical period from 0-18 months it requires the regular, consistent, predictable, reliable and most importantly the responsive presence of the primary caregiver…There is no research I am satisfied with methodologically that shows us increased access from a visiting parent adds to attachment security.  Research shows a nominal difference between infants who have access once per week and those who have access several times per week.”</w:t>
      </w:r>
    </w:p>
    <w:p w14:paraId="0133EDDF" w14:textId="77777777" w:rsidR="00022F17" w:rsidRDefault="00022F17" w:rsidP="00022F17">
      <w:pPr>
        <w:jc w:val="both"/>
        <w:rPr>
          <w:rFonts w:ascii="Arial" w:hAnsi="Arial" w:cs="Arial"/>
          <w:sz w:val="20"/>
        </w:rPr>
      </w:pPr>
      <w:r>
        <w:rPr>
          <w:rFonts w:ascii="Arial" w:hAnsi="Arial" w:cs="Arial"/>
          <w:sz w:val="20"/>
        </w:rPr>
        <w:t>Dr M went on to identify three levels of contact for a non-custodial parent:</w:t>
      </w:r>
    </w:p>
    <w:p w14:paraId="4039225C" w14:textId="77777777" w:rsidR="00022F17" w:rsidRDefault="00022F17" w:rsidP="00022F17">
      <w:pPr>
        <w:tabs>
          <w:tab w:val="left" w:pos="567"/>
        </w:tabs>
        <w:ind w:left="567" w:hanging="567"/>
        <w:jc w:val="both"/>
        <w:rPr>
          <w:rFonts w:ascii="Arial" w:hAnsi="Arial" w:cs="Arial"/>
          <w:sz w:val="20"/>
        </w:rPr>
      </w:pPr>
      <w:r>
        <w:rPr>
          <w:rFonts w:ascii="Arial" w:hAnsi="Arial" w:cs="Arial"/>
          <w:sz w:val="20"/>
        </w:rPr>
        <w:t>1.</w:t>
      </w:r>
      <w:r>
        <w:rPr>
          <w:rFonts w:ascii="Arial" w:hAnsi="Arial" w:cs="Arial"/>
          <w:sz w:val="20"/>
        </w:rPr>
        <w:tab/>
      </w:r>
      <w:r w:rsidRPr="00281666">
        <w:rPr>
          <w:rFonts w:ascii="Arial" w:hAnsi="Arial" w:cs="Arial"/>
          <w:sz w:val="20"/>
          <w:u w:val="single"/>
        </w:rPr>
        <w:t>Attachment</w:t>
      </w:r>
      <w:r>
        <w:rPr>
          <w:rFonts w:ascii="Arial" w:hAnsi="Arial" w:cs="Arial"/>
          <w:sz w:val="20"/>
          <w:u w:val="single"/>
        </w:rPr>
        <w:t>-</w:t>
      </w:r>
      <w:r w:rsidRPr="00281666">
        <w:rPr>
          <w:rFonts w:ascii="Arial" w:hAnsi="Arial" w:cs="Arial"/>
          <w:sz w:val="20"/>
          <w:u w:val="single"/>
        </w:rPr>
        <w:t>based contact</w:t>
      </w:r>
      <w:r>
        <w:rPr>
          <w:rFonts w:ascii="Arial" w:hAnsi="Arial" w:cs="Arial"/>
          <w:sz w:val="20"/>
        </w:rPr>
        <w:t>:  Where reunification is being pursued – up to 4 days per week leading to overnight.</w:t>
      </w:r>
    </w:p>
    <w:p w14:paraId="6AE7EC8D" w14:textId="77777777" w:rsidR="00022F17" w:rsidRDefault="00022F17" w:rsidP="00022F17">
      <w:pPr>
        <w:tabs>
          <w:tab w:val="left" w:pos="567"/>
        </w:tabs>
        <w:ind w:left="567" w:hanging="567"/>
        <w:jc w:val="both"/>
        <w:rPr>
          <w:rFonts w:ascii="Arial" w:hAnsi="Arial" w:cs="Arial"/>
          <w:sz w:val="20"/>
        </w:rPr>
      </w:pPr>
      <w:r>
        <w:rPr>
          <w:rFonts w:ascii="Arial" w:hAnsi="Arial" w:cs="Arial"/>
          <w:sz w:val="20"/>
        </w:rPr>
        <w:t>2.</w:t>
      </w:r>
      <w:r>
        <w:rPr>
          <w:rFonts w:ascii="Arial" w:hAnsi="Arial" w:cs="Arial"/>
          <w:sz w:val="20"/>
        </w:rPr>
        <w:tab/>
      </w:r>
      <w:r w:rsidRPr="00FA453B">
        <w:rPr>
          <w:rFonts w:ascii="Arial" w:hAnsi="Arial" w:cs="Arial"/>
          <w:sz w:val="20"/>
          <w:u w:val="single"/>
        </w:rPr>
        <w:t>Relationship-based contact</w:t>
      </w:r>
      <w:r>
        <w:rPr>
          <w:rFonts w:ascii="Arial" w:hAnsi="Arial" w:cs="Arial"/>
          <w:sz w:val="20"/>
        </w:rPr>
        <w:t>:  Where reunification is not on the cards but the parents have been assessed as able to contribute to the emotional development of the child – more like monthly.</w:t>
      </w:r>
    </w:p>
    <w:p w14:paraId="5E6ACD50" w14:textId="77777777" w:rsidR="00022F17" w:rsidRDefault="00022F17" w:rsidP="00022F17">
      <w:pPr>
        <w:tabs>
          <w:tab w:val="left" w:pos="567"/>
        </w:tabs>
        <w:ind w:left="567" w:hanging="567"/>
        <w:jc w:val="both"/>
        <w:rPr>
          <w:rFonts w:ascii="Arial" w:hAnsi="Arial" w:cs="Arial"/>
          <w:sz w:val="20"/>
        </w:rPr>
      </w:pPr>
      <w:r>
        <w:rPr>
          <w:rFonts w:ascii="Arial" w:hAnsi="Arial" w:cs="Arial"/>
          <w:sz w:val="20"/>
        </w:rPr>
        <w:t>3.</w:t>
      </w:r>
      <w:r>
        <w:rPr>
          <w:rFonts w:ascii="Arial" w:hAnsi="Arial" w:cs="Arial"/>
          <w:sz w:val="20"/>
        </w:rPr>
        <w:tab/>
      </w:r>
      <w:r w:rsidRPr="00D9026B">
        <w:rPr>
          <w:rFonts w:ascii="Arial" w:hAnsi="Arial" w:cs="Arial"/>
          <w:sz w:val="20"/>
          <w:u w:val="single"/>
        </w:rPr>
        <w:t>Identity-based contact</w:t>
      </w:r>
      <w:r>
        <w:rPr>
          <w:rFonts w:ascii="Arial" w:hAnsi="Arial" w:cs="Arial"/>
          <w:sz w:val="20"/>
        </w:rPr>
        <w:t>:  Where reunification is not being pursued and the parents have a history of traumatized care – something of the order of 4 times per year or less.</w:t>
      </w:r>
    </w:p>
    <w:p w14:paraId="42536C13" w14:textId="77777777" w:rsidR="00022F17" w:rsidRDefault="00022F17" w:rsidP="00022F17">
      <w:pPr>
        <w:jc w:val="both"/>
        <w:rPr>
          <w:rFonts w:ascii="Arial" w:hAnsi="Arial" w:cs="Arial"/>
          <w:sz w:val="20"/>
        </w:rPr>
      </w:pPr>
    </w:p>
    <w:p w14:paraId="1565F1F7" w14:textId="77777777" w:rsidR="00022F17" w:rsidRPr="006679D2" w:rsidRDefault="00022F17" w:rsidP="00022F17">
      <w:pPr>
        <w:jc w:val="both"/>
        <w:rPr>
          <w:rFonts w:ascii="Arial" w:hAnsi="Arial" w:cs="Arial"/>
          <w:color w:val="000000"/>
          <w:sz w:val="20"/>
        </w:rPr>
      </w:pPr>
      <w:r w:rsidRPr="006679D2">
        <w:rPr>
          <w:rFonts w:ascii="Arial" w:hAnsi="Arial" w:cs="Arial"/>
          <w:color w:val="000000"/>
          <w:sz w:val="20"/>
        </w:rPr>
        <w:t>At about the same time Dr P had also been asked by DOHS to provide an expert opinion on the optimal frequency of the twins’ contact with parents who had a strong desire to assume their roles as parents but who were considered at that stage unable to provide the level of emotional consistency and absence of disruption and trauma necessary for optimal development.  He too had not seen either the twins or their parents.  His reported opinion about the then daily contact regime was that it was potentially disruptive of the twins’ development:</w:t>
      </w:r>
    </w:p>
    <w:p w14:paraId="03005B23" w14:textId="77777777" w:rsidR="00022F17" w:rsidRPr="008E414E" w:rsidRDefault="00022F17" w:rsidP="00731A43">
      <w:pPr>
        <w:spacing w:before="120"/>
        <w:ind w:left="567" w:right="567"/>
        <w:jc w:val="both"/>
        <w:rPr>
          <w:rFonts w:ascii="Arial" w:hAnsi="Arial" w:cs="Arial"/>
          <w:sz w:val="20"/>
        </w:rPr>
      </w:pPr>
      <w:r w:rsidRPr="008E414E">
        <w:rPr>
          <w:rFonts w:ascii="Arial" w:hAnsi="Arial" w:cs="Arial"/>
          <w:sz w:val="20"/>
        </w:rPr>
        <w:t>“The fields of early childhood development and infant mental health have provided an increasing amount of powerful evidence that the very early experiences of infants and young children can have profound effects upon their emotional, social and cognitive development.  The very young infant from the moment of birth is alert and attuned to his environment.  Necessarily, those people caring for the infant constitute his world.  The very young infant is able to hear, see, feel and perceive with all senses the quality of care provided them by their immediate carers.  The nature of this care provides the basis for the development of a stable sense of self and of attachment relationships.  Babies are able to remember in their nonverbal memory (procedural memory) the things that happen to them, and the emotional context.  The attuned and emotionally available caregiver helps the baby manage the ordinary ups and downs of life.  Extreme disruption in the availability of a consistent and predictable caregiver may constitute a significant trauma in itself</w:t>
      </w:r>
      <w:r>
        <w:rPr>
          <w:rFonts w:ascii="Arial" w:hAnsi="Arial" w:cs="Arial"/>
          <w:sz w:val="20"/>
        </w:rPr>
        <w:t xml:space="preserve">: see </w:t>
      </w:r>
      <w:r w:rsidRPr="008E414E">
        <w:rPr>
          <w:rFonts w:ascii="Arial" w:hAnsi="Arial" w:cs="Arial"/>
          <w:sz w:val="20"/>
        </w:rPr>
        <w:t xml:space="preserve">Schuder M &amp; Lyons-Ruth K, “Hidden Trauma in Infancy, </w:t>
      </w:r>
      <w:r w:rsidRPr="008E414E">
        <w:rPr>
          <w:rFonts w:ascii="Arial" w:hAnsi="Arial" w:cs="Arial"/>
          <w:sz w:val="20"/>
        </w:rPr>
        <w:lastRenderedPageBreak/>
        <w:t xml:space="preserve">Attachment, Fearful Arousal and Early Dysfunction of the Stress Response System” in “Young Children and Trauma”, ed. Osofsky J, NY, </w:t>
      </w:r>
      <w:smartTag w:uri="urn:schemas-microsoft-com:office:smarttags" w:element="place">
        <w:r w:rsidRPr="008E414E">
          <w:rPr>
            <w:rFonts w:ascii="Arial" w:hAnsi="Arial" w:cs="Arial"/>
            <w:sz w:val="20"/>
          </w:rPr>
          <w:t>Guildford</w:t>
        </w:r>
      </w:smartTag>
      <w:r w:rsidRPr="008E414E">
        <w:rPr>
          <w:rFonts w:ascii="Arial" w:hAnsi="Arial" w:cs="Arial"/>
          <w:sz w:val="20"/>
        </w:rPr>
        <w:t xml:space="preserve"> Press.</w:t>
      </w:r>
    </w:p>
    <w:p w14:paraId="3FB50F5A" w14:textId="77777777" w:rsidR="00022F17" w:rsidRPr="008E414E" w:rsidRDefault="00022F17" w:rsidP="00022F17">
      <w:pPr>
        <w:spacing w:before="120"/>
        <w:ind w:left="567" w:right="567"/>
        <w:jc w:val="both"/>
        <w:rPr>
          <w:rFonts w:ascii="Arial" w:hAnsi="Arial" w:cs="Arial"/>
          <w:sz w:val="20"/>
        </w:rPr>
      </w:pPr>
      <w:r w:rsidRPr="008E414E">
        <w:rPr>
          <w:rFonts w:ascii="Arial" w:hAnsi="Arial" w:cs="Arial"/>
          <w:sz w:val="20"/>
        </w:rPr>
        <w:t xml:space="preserve">Babies in the first months of life have as their primary task the development of control of their own body, and </w:t>
      </w:r>
      <w:proofErr w:type="spellStart"/>
      <w:r w:rsidRPr="008E414E">
        <w:rPr>
          <w:rFonts w:ascii="Arial" w:hAnsi="Arial" w:cs="Arial"/>
          <w:sz w:val="20"/>
        </w:rPr>
        <w:t>self regulatory</w:t>
      </w:r>
      <w:proofErr w:type="spellEnd"/>
      <w:r w:rsidRPr="008E414E">
        <w:rPr>
          <w:rFonts w:ascii="Arial" w:hAnsi="Arial" w:cs="Arial"/>
          <w:sz w:val="20"/>
        </w:rPr>
        <w:t xml:space="preserve"> systems.  Again, this task is facilitated by the presence of a consistent, emotionally available caregiver, who can read the baby’s psychological and emotional signals regarding hunger, tiredness, needs to play and engage and needs to rest and settle.  It is likely that being removed from their primary foster carer every day for a period of over four hours, by being taken by a worker and transported to and from their primary environment, constitutes a significant disruption or trauma in the process of establishing their own sense of self and </w:t>
      </w:r>
      <w:proofErr w:type="spellStart"/>
      <w:r w:rsidRPr="008E414E">
        <w:rPr>
          <w:rFonts w:ascii="Arial" w:hAnsi="Arial" w:cs="Arial"/>
          <w:sz w:val="20"/>
        </w:rPr>
        <w:t>self regulation</w:t>
      </w:r>
      <w:proofErr w:type="spellEnd"/>
      <w:r w:rsidRPr="008E414E">
        <w:rPr>
          <w:rFonts w:ascii="Arial" w:hAnsi="Arial" w:cs="Arial"/>
          <w:sz w:val="20"/>
        </w:rPr>
        <w:t>.  It may be that this also makes them less available to develop a relationship of attachment with their parents.  It may be that the baby’s parents will be able to engage and interact with them in a more productive and fruitful way, when they are consistently cared for with the minimum of disruption to their care by their foster carer.  The babies when physiologically and emotionally contained and settled may be more available for sensitive and playful interaction with their parents, even if they have not been the primary moment to moment carers.</w:t>
      </w:r>
    </w:p>
    <w:p w14:paraId="201ACE09" w14:textId="77777777" w:rsidR="00022F17" w:rsidRDefault="00022F17" w:rsidP="00022F17">
      <w:pPr>
        <w:spacing w:before="120"/>
        <w:ind w:left="567" w:right="567"/>
        <w:jc w:val="both"/>
        <w:rPr>
          <w:rFonts w:ascii="Arial" w:hAnsi="Arial" w:cs="Arial"/>
          <w:sz w:val="20"/>
        </w:rPr>
      </w:pPr>
      <w:r w:rsidRPr="008E414E">
        <w:rPr>
          <w:rFonts w:ascii="Arial" w:hAnsi="Arial" w:cs="Arial"/>
          <w:sz w:val="20"/>
        </w:rPr>
        <w:t>In a situation such as that described above, I would recommend that the frequency of and the amount of time that the babies have been away from the primary foster carer be reviewed such that their day-to-day experience with their primary carer becomes more predictable and contained.  I believe that adequately meeting the emotional and developmental needs of infants in the first months of life is significantly important in the development of their current and later mental state.”</w:t>
      </w:r>
    </w:p>
    <w:p w14:paraId="3F5EEDAF" w14:textId="77777777" w:rsidR="00022F17" w:rsidRDefault="00022F17" w:rsidP="00022F17">
      <w:pPr>
        <w:jc w:val="both"/>
        <w:rPr>
          <w:rFonts w:ascii="Arial" w:hAnsi="Arial" w:cs="Arial"/>
          <w:sz w:val="20"/>
        </w:rPr>
      </w:pPr>
    </w:p>
    <w:p w14:paraId="37D1382E" w14:textId="77777777" w:rsidR="00022F17" w:rsidRDefault="00022F17" w:rsidP="00022F17">
      <w:pPr>
        <w:jc w:val="both"/>
        <w:rPr>
          <w:rFonts w:ascii="Arial" w:hAnsi="Arial" w:cs="Arial"/>
          <w:sz w:val="20"/>
        </w:rPr>
      </w:pPr>
      <w:r>
        <w:rPr>
          <w:rFonts w:ascii="Arial" w:hAnsi="Arial" w:cs="Arial"/>
          <w:sz w:val="20"/>
        </w:rPr>
        <w:t>When he first gave evidence about a month later – at which time the twins were 11½ weeks old - Dr P repeated the concerns he had earlier reported about disruption to the twins’ routines:</w:t>
      </w:r>
    </w:p>
    <w:p w14:paraId="7064FBDF" w14:textId="77777777" w:rsidR="00022F17" w:rsidRDefault="00022F17" w:rsidP="00022F17">
      <w:pPr>
        <w:spacing w:before="120"/>
        <w:ind w:left="567" w:right="567"/>
        <w:jc w:val="both"/>
        <w:rPr>
          <w:rFonts w:ascii="Arial" w:hAnsi="Arial" w:cs="Arial"/>
          <w:sz w:val="20"/>
        </w:rPr>
      </w:pPr>
      <w:r>
        <w:rPr>
          <w:rFonts w:ascii="Arial" w:hAnsi="Arial" w:cs="Arial"/>
          <w:sz w:val="20"/>
        </w:rPr>
        <w:t xml:space="preserve">“For young children as they are developing particularly in the first year of life the need for a stable consistent carer to provide regulation of their own environment is an important and critical thing and the scenario that was put before me [viz. </w:t>
      </w:r>
      <w:r w:rsidRPr="006679D2">
        <w:rPr>
          <w:rFonts w:ascii="Arial" w:hAnsi="Arial" w:cs="Arial"/>
          <w:color w:val="000000"/>
          <w:sz w:val="20"/>
        </w:rPr>
        <w:t>daily contact] suggested that it would not be the ideal set-up for a young child to</w:t>
      </w:r>
      <w:r>
        <w:rPr>
          <w:rFonts w:ascii="Arial" w:hAnsi="Arial" w:cs="Arial"/>
          <w:sz w:val="20"/>
        </w:rPr>
        <w:t xml:space="preserve"> have so much disruption in their day to day routine, particularly when they are already beginning life premature with additional needs to get their regulation organised.  Fifteen minutes each way from the carers to the place where the visit with their parents is going to occur and it’s difficult to organise that each day in a way that meets the psychological and routine needs of each of the boys at the same time.  So presumably there will be times when they would need to be woken, they might be hungry longer than they might otherwise have been if they were in the one constant situation.</w:t>
      </w:r>
    </w:p>
    <w:p w14:paraId="6D1F9EEF" w14:textId="77777777" w:rsidR="00022F17" w:rsidRDefault="00022F17" w:rsidP="00022F17">
      <w:pPr>
        <w:spacing w:before="120"/>
        <w:ind w:left="567" w:right="567"/>
        <w:jc w:val="both"/>
        <w:rPr>
          <w:rFonts w:ascii="Arial" w:hAnsi="Arial" w:cs="Arial"/>
          <w:sz w:val="20"/>
        </w:rPr>
      </w:pPr>
      <w:r>
        <w:rPr>
          <w:rFonts w:ascii="Arial" w:hAnsi="Arial" w:cs="Arial"/>
          <w:sz w:val="20"/>
        </w:rPr>
        <w:t>The very young infant comes into the world with a lot of skills but they are dependent upon their primary carer for things like regulation of sleep, crying, level of activity, interest in the world and the primary carer is a critical person helping the baby develop a sense of time, of things evolving from one part of the day to the next, one day to the next, because that’s not sort of built into the baby at the very beginning.  And if there are major disruptions to the baby’s daily routine and the baby’s experience of themselves and the world around them that can provide a disrupted or fractured sense of continuity in their own being, continuity in terms of what they are to expect in the next half hour, in the next two hours, how they manage their own hunger, distress, those sort of things depend on a predictability and a continuity in the care-giving environment for them.</w:t>
      </w:r>
    </w:p>
    <w:p w14:paraId="712119A7" w14:textId="77777777" w:rsidR="00022F17" w:rsidRDefault="00022F17" w:rsidP="00022F17">
      <w:pPr>
        <w:spacing w:before="120"/>
        <w:ind w:left="567" w:right="567"/>
        <w:jc w:val="both"/>
        <w:rPr>
          <w:rFonts w:ascii="Arial" w:hAnsi="Arial" w:cs="Arial"/>
          <w:sz w:val="20"/>
        </w:rPr>
      </w:pPr>
      <w:r>
        <w:rPr>
          <w:rFonts w:ascii="Arial" w:hAnsi="Arial" w:cs="Arial"/>
          <w:sz w:val="20"/>
        </w:rPr>
        <w:t xml:space="preserve">There is no sort of standard rule about what’s a reasonable disruption in routine that a baby can tolerate and that another baby can’t tolerate.  I think it is so much a thing that depends on the individual infant and caregiver.  But in my experience it seemed that a period of four hours every day of the week would be a significant disruption to the sense of continuity that a baby might have in an otherwise primary care situation.  So that there will be a range – from the baby’s point of view – of different people responding when they are hungry, when they are distressed, when they want to play, when they want to smile and engage, and four hours out of the day plus travelling and plus handling by the strangers that inevitably would be </w:t>
      </w:r>
      <w:r>
        <w:rPr>
          <w:rFonts w:ascii="Arial" w:hAnsi="Arial" w:cs="Arial"/>
          <w:sz w:val="20"/>
        </w:rPr>
        <w:lastRenderedPageBreak/>
        <w:t>involved in the transporting, I understand, would be enough to disrupt a baby’s sense of self and continuity at this stage…</w:t>
      </w:r>
    </w:p>
    <w:p w14:paraId="1DE20BFD" w14:textId="77777777" w:rsidR="00022F17" w:rsidRDefault="00022F17" w:rsidP="00022F17">
      <w:pPr>
        <w:spacing w:before="120"/>
        <w:ind w:left="567" w:right="567"/>
        <w:jc w:val="both"/>
        <w:rPr>
          <w:rFonts w:ascii="Arial" w:hAnsi="Arial" w:cs="Arial"/>
          <w:sz w:val="20"/>
        </w:rPr>
      </w:pPr>
      <w:r>
        <w:rPr>
          <w:rFonts w:ascii="Arial" w:hAnsi="Arial" w:cs="Arial"/>
          <w:sz w:val="20"/>
        </w:rPr>
        <w:t>I don’t know what literature there is on family care for infants in the first months of life.  I don’t think there is extensive literature, but there is quite a bit about infants who go out of home, out of family care, and certainly even at older ages you can demonstrate similar things to what I was mentioning about infants who have much more profound disruptions to their care, that there is a difference in the way their stress response works when they are cared for by a number of other people who aren’t family who are closely involved in their day to day care.  So there certainly is evidence that a prolonged period out of the care of your primary carer in the first months of life can be quite disruptive to your sense of self-organisation.  If you had a situation where there was close family communicating, working closely together and usually in the same house…would that have a serious deleterious effect on the infant’s development?  I don’t know.  I think probably not if all things were working well, but it requires a lot of coordination from the two lots of carers to really know what’s happening with the baby.”</w:t>
      </w:r>
    </w:p>
    <w:p w14:paraId="03F2A72E" w14:textId="77777777" w:rsidR="00022F17" w:rsidRDefault="00022F17" w:rsidP="00022F17">
      <w:pPr>
        <w:jc w:val="both"/>
        <w:rPr>
          <w:rFonts w:ascii="Arial" w:hAnsi="Arial" w:cs="Arial"/>
          <w:sz w:val="20"/>
        </w:rPr>
      </w:pPr>
    </w:p>
    <w:p w14:paraId="0F044104" w14:textId="77777777" w:rsidR="00022F17" w:rsidRDefault="00022F17" w:rsidP="00022F17">
      <w:pPr>
        <w:jc w:val="both"/>
        <w:rPr>
          <w:rFonts w:ascii="Arial" w:hAnsi="Arial" w:cs="Arial"/>
          <w:sz w:val="20"/>
        </w:rPr>
      </w:pPr>
      <w:r>
        <w:rPr>
          <w:rFonts w:ascii="Arial" w:hAnsi="Arial" w:cs="Arial"/>
          <w:sz w:val="20"/>
        </w:rPr>
        <w:t xml:space="preserve">At the end of a series of questions by the Court seeking to convert Dr P’s opinions about </w:t>
      </w:r>
      <w:r w:rsidRPr="006679D2">
        <w:rPr>
          <w:rFonts w:ascii="Arial" w:hAnsi="Arial" w:cs="Arial"/>
          <w:color w:val="000000"/>
          <w:sz w:val="20"/>
        </w:rPr>
        <w:t>infant development into a concrete opinion about contact frequency and duration Dr P was</w:t>
      </w:r>
      <w:r>
        <w:rPr>
          <w:rFonts w:ascii="Arial" w:hAnsi="Arial" w:cs="Arial"/>
          <w:sz w:val="20"/>
        </w:rPr>
        <w:t xml:space="preserve"> asked: “So would five days a week be appropriate?”  Dr P replied: “From first principles I would think that’s possibly – that that would be reasonable.  And then you’d test it, you’d see how that went.  If that went well, that would be good.  If the babies were more disrupted by that, then you would reconsider it.  But I’d give it a period of trial.”  Giving evidence before the writer on a later occasion Dr P appeared regretful that he had been “pinned down” to his earlier answer, noting that he had been giving evidence in a factual vacuum and that his opinion had assumed an ideal context, namely that the parents &amp; carers were attuned to the babies’ needs, that travelling was not an issue and that the babies were not being exposed to a whole heap of strangers.</w:t>
      </w:r>
    </w:p>
    <w:p w14:paraId="313EFDDC" w14:textId="77777777" w:rsidR="00022F17" w:rsidRDefault="00022F17" w:rsidP="00022F17">
      <w:pPr>
        <w:jc w:val="both"/>
        <w:rPr>
          <w:rFonts w:ascii="Arial" w:hAnsi="Arial" w:cs="Arial"/>
          <w:sz w:val="20"/>
        </w:rPr>
      </w:pPr>
    </w:p>
    <w:p w14:paraId="589DBEBB" w14:textId="77777777" w:rsidR="00022F17" w:rsidRDefault="00022F17" w:rsidP="00022F17">
      <w:pPr>
        <w:jc w:val="both"/>
        <w:rPr>
          <w:rFonts w:ascii="Arial" w:hAnsi="Arial" w:cs="Arial"/>
          <w:sz w:val="20"/>
        </w:rPr>
      </w:pPr>
      <w:r>
        <w:rPr>
          <w:rFonts w:ascii="Arial" w:hAnsi="Arial" w:cs="Arial"/>
          <w:sz w:val="20"/>
        </w:rPr>
        <w:t xml:space="preserve">When the twins were about 8 months old – Dr P had briefly observed the interactions between them and their parents and between them and their </w:t>
      </w:r>
      <w:proofErr w:type="spellStart"/>
      <w:r>
        <w:rPr>
          <w:rFonts w:ascii="Arial" w:hAnsi="Arial" w:cs="Arial"/>
          <w:sz w:val="20"/>
        </w:rPr>
        <w:t>carers</w:t>
      </w:r>
      <w:proofErr w:type="spellEnd"/>
      <w:r>
        <w:rPr>
          <w:rFonts w:ascii="Arial" w:hAnsi="Arial" w:cs="Arial"/>
          <w:sz w:val="20"/>
        </w:rPr>
        <w:t>.  He said of this:</w:t>
      </w:r>
    </w:p>
    <w:p w14:paraId="36AAF5A9" w14:textId="77777777" w:rsidR="00022F17" w:rsidRDefault="00022F17" w:rsidP="00022F17">
      <w:pPr>
        <w:spacing w:before="120"/>
        <w:ind w:left="567" w:right="567"/>
        <w:jc w:val="both"/>
        <w:rPr>
          <w:rFonts w:ascii="Arial" w:hAnsi="Arial" w:cs="Arial"/>
          <w:sz w:val="20"/>
        </w:rPr>
      </w:pPr>
      <w:r>
        <w:rPr>
          <w:rFonts w:ascii="Arial" w:hAnsi="Arial" w:cs="Arial"/>
          <w:sz w:val="20"/>
        </w:rPr>
        <w:t>“</w:t>
      </w:r>
      <w:r w:rsidRPr="00D52F77">
        <w:rPr>
          <w:rFonts w:ascii="Arial" w:hAnsi="Arial" w:cs="Arial"/>
          <w:bCs/>
          <w:sz w:val="20"/>
        </w:rPr>
        <w:t>There are different types of attachment relationships – broadly secure and insecure – and these attachment relationships apply to a specific dyad rather than just the child in all circumstances.  I don’t have sufficient data to say whether attachment relationships between the boys and the carers and between the boys and the parents are secure or insecure.  I know there is a relationship but I don’t know the precise quality.  There is a particular set of procedures which one follows: the behaviour of the infant on reunion with the person after separation.  This is the main piece of data one uses to see the quality of attachment.  It is true to say I didn’t see with the twins – with parents or carers – evidence of a severely disordered attachment relationship.</w:t>
      </w:r>
      <w:r>
        <w:rPr>
          <w:rFonts w:ascii="Arial" w:hAnsi="Arial" w:cs="Arial"/>
          <w:bCs/>
          <w:sz w:val="20"/>
        </w:rPr>
        <w:t>”</w:t>
      </w:r>
    </w:p>
    <w:p w14:paraId="579F132F" w14:textId="77777777" w:rsidR="00022F17" w:rsidRDefault="00022F17" w:rsidP="00022F17">
      <w:pPr>
        <w:jc w:val="both"/>
        <w:rPr>
          <w:rFonts w:ascii="Arial" w:hAnsi="Arial" w:cs="Arial"/>
          <w:sz w:val="20"/>
        </w:rPr>
      </w:pPr>
    </w:p>
    <w:p w14:paraId="0CAFD429" w14:textId="77777777" w:rsidR="00022F17" w:rsidRPr="006679D2" w:rsidRDefault="00022F17" w:rsidP="00022F17">
      <w:pPr>
        <w:jc w:val="both"/>
        <w:rPr>
          <w:rFonts w:ascii="Arial" w:hAnsi="Arial" w:cs="Arial"/>
          <w:color w:val="000000"/>
          <w:sz w:val="20"/>
        </w:rPr>
      </w:pPr>
      <w:r w:rsidRPr="006679D2">
        <w:rPr>
          <w:rFonts w:ascii="Arial" w:hAnsi="Arial" w:cs="Arial"/>
          <w:color w:val="000000"/>
          <w:sz w:val="20"/>
        </w:rPr>
        <w:t xml:space="preserve">Giving evidence when the twins were 9½ months old, Dr P was advocating a much less frequent contact regime if the plan was for non-reunification.  However, he also believed that it would be of benefit to each of the twins and their parents if contact was restructured “to provide </w:t>
      </w:r>
      <w:r w:rsidRPr="006679D2">
        <w:rPr>
          <w:rFonts w:ascii="Arial" w:hAnsi="Arial" w:cs="Arial"/>
          <w:b/>
          <w:color w:val="000000"/>
          <w:sz w:val="20"/>
          <w:u w:val="single"/>
        </w:rPr>
        <w:t>less frequent but longer periods of contact</w:t>
      </w:r>
      <w:r w:rsidRPr="006679D2">
        <w:rPr>
          <w:rFonts w:ascii="Arial" w:hAnsi="Arial" w:cs="Arial"/>
          <w:color w:val="000000"/>
          <w:sz w:val="20"/>
        </w:rPr>
        <w:t xml:space="preserve"> for [the twins] in an environment which is as much like a family setting as is possible.  A longer period of visiting would allow for the experience to be more positive and less disruptive for each of [the twins] and their parents.” [emphasis added]  Asked about the optimal duration of each of these longer contact visits Dr P said:</w:t>
      </w:r>
    </w:p>
    <w:p w14:paraId="506AD374" w14:textId="77777777" w:rsidR="00022F17" w:rsidRDefault="00022F17" w:rsidP="00022F17">
      <w:pPr>
        <w:spacing w:before="120"/>
        <w:ind w:left="567" w:right="567"/>
        <w:jc w:val="both"/>
        <w:rPr>
          <w:rFonts w:ascii="Arial" w:hAnsi="Arial" w:cs="Arial"/>
          <w:bCs/>
          <w:sz w:val="20"/>
        </w:rPr>
      </w:pPr>
      <w:r>
        <w:rPr>
          <w:rFonts w:ascii="Arial" w:hAnsi="Arial" w:cs="Arial"/>
          <w:sz w:val="20"/>
        </w:rPr>
        <w:t>“</w:t>
      </w:r>
      <w:r w:rsidRPr="00EC3E56">
        <w:rPr>
          <w:rFonts w:ascii="Arial" w:hAnsi="Arial" w:cs="Arial"/>
          <w:bCs/>
          <w:sz w:val="20"/>
        </w:rPr>
        <w:t xml:space="preserve">It is a difficult question to answer in that there is not a lot of research in this area but my premise in making that point is for the parents to be actively engaged in the care of their infants and not just briefly visiting them for a period of 1 hour.  The babies and parents would get to know each other better if it was a longer period: feeding, settling, responding to the infants’ distress, things like changing nappies and feeding.  </w:t>
      </w:r>
      <w:r w:rsidRPr="00EC3E56">
        <w:rPr>
          <w:rFonts w:ascii="Arial" w:hAnsi="Arial" w:cs="Arial"/>
          <w:bCs/>
          <w:sz w:val="20"/>
          <w:u w:val="single"/>
        </w:rPr>
        <w:t>My estimate is that 3 hours would be a reasonable period in the course of an infant’s day where some of those things could be attended to</w:t>
      </w:r>
      <w:r w:rsidRPr="00EC3E56">
        <w:rPr>
          <w:rFonts w:ascii="Arial" w:hAnsi="Arial" w:cs="Arial"/>
          <w:bCs/>
          <w:sz w:val="20"/>
        </w:rPr>
        <w:t xml:space="preserve">.  It is likely to be a better experience than a briefer period of about 1 hour.  In the Infant Mental Health literature we talk of the importance of ‘good enough parenting’ which means in episodes of ordinary disruption to the infant’s state - e.g. crying, being unsettled, being hungry, toddler crawling around who falls over and hurts himself - the parent responds and settles the toddler or </w:t>
      </w:r>
      <w:r>
        <w:rPr>
          <w:rFonts w:ascii="Arial" w:hAnsi="Arial" w:cs="Arial"/>
          <w:bCs/>
          <w:sz w:val="20"/>
        </w:rPr>
        <w:t>[twin 1]</w:t>
      </w:r>
      <w:r w:rsidRPr="00EC3E56">
        <w:rPr>
          <w:rFonts w:ascii="Arial" w:hAnsi="Arial" w:cs="Arial"/>
          <w:bCs/>
          <w:sz w:val="20"/>
        </w:rPr>
        <w:t xml:space="preserve"> crawls over </w:t>
      </w:r>
      <w:r>
        <w:rPr>
          <w:rFonts w:ascii="Arial" w:hAnsi="Arial" w:cs="Arial"/>
          <w:bCs/>
          <w:sz w:val="20"/>
        </w:rPr>
        <w:t>[twin 2]</w:t>
      </w:r>
      <w:r w:rsidRPr="00EC3E56">
        <w:rPr>
          <w:rFonts w:ascii="Arial" w:hAnsi="Arial" w:cs="Arial"/>
          <w:bCs/>
          <w:sz w:val="20"/>
        </w:rPr>
        <w:t xml:space="preserve"> and </w:t>
      </w:r>
      <w:r w:rsidRPr="00EC3E56">
        <w:rPr>
          <w:rFonts w:ascii="Arial" w:hAnsi="Arial" w:cs="Arial"/>
          <w:bCs/>
          <w:sz w:val="20"/>
        </w:rPr>
        <w:lastRenderedPageBreak/>
        <w:t xml:space="preserve">scratches him and </w:t>
      </w:r>
      <w:r>
        <w:rPr>
          <w:rFonts w:ascii="Arial" w:hAnsi="Arial" w:cs="Arial"/>
          <w:bCs/>
          <w:sz w:val="20"/>
        </w:rPr>
        <w:t>[twin 2]</w:t>
      </w:r>
      <w:r w:rsidRPr="00EC3E56">
        <w:rPr>
          <w:rFonts w:ascii="Arial" w:hAnsi="Arial" w:cs="Arial"/>
          <w:bCs/>
          <w:sz w:val="20"/>
        </w:rPr>
        <w:t xml:space="preserve"> is upset and the parents step in to provide some sense of repair and containment.  The repair of those periods of distress is as important in developing a relationship as the time when things are going well</w:t>
      </w:r>
      <w:r>
        <w:rPr>
          <w:rFonts w:ascii="Arial" w:hAnsi="Arial" w:cs="Arial"/>
          <w:bCs/>
          <w:sz w:val="20"/>
        </w:rPr>
        <w:t>…</w:t>
      </w:r>
    </w:p>
    <w:p w14:paraId="2D3EE993" w14:textId="77777777" w:rsidR="00022F17" w:rsidRDefault="00022F17" w:rsidP="00022F17">
      <w:pPr>
        <w:spacing w:before="120"/>
        <w:ind w:left="567" w:right="567"/>
        <w:jc w:val="both"/>
        <w:rPr>
          <w:rFonts w:ascii="Arial" w:hAnsi="Arial" w:cs="Arial"/>
          <w:bCs/>
          <w:sz w:val="20"/>
        </w:rPr>
      </w:pPr>
      <w:r w:rsidRPr="009F5EE8">
        <w:rPr>
          <w:rFonts w:ascii="Arial" w:hAnsi="Arial" w:cs="Arial"/>
          <w:bCs/>
          <w:sz w:val="20"/>
        </w:rPr>
        <w:t>I don’t have incontrovertible evidence about optimal arrangements in any particular situation but looking at it in the longer term I’d have thought twice per week has the potential to be disruptive for the 18 months</w:t>
      </w:r>
      <w:r>
        <w:rPr>
          <w:rFonts w:ascii="Arial" w:hAnsi="Arial" w:cs="Arial"/>
          <w:bCs/>
          <w:sz w:val="20"/>
        </w:rPr>
        <w:t>’</w:t>
      </w:r>
      <w:r w:rsidRPr="009F5EE8">
        <w:rPr>
          <w:rFonts w:ascii="Arial" w:hAnsi="Arial" w:cs="Arial"/>
          <w:bCs/>
          <w:sz w:val="20"/>
        </w:rPr>
        <w:t>, 2-3 year olds</w:t>
      </w:r>
      <w:r>
        <w:rPr>
          <w:rFonts w:ascii="Arial" w:hAnsi="Arial" w:cs="Arial"/>
          <w:bCs/>
          <w:sz w:val="20"/>
        </w:rPr>
        <w:t>’</w:t>
      </w:r>
      <w:r w:rsidRPr="009F5EE8">
        <w:rPr>
          <w:rFonts w:ascii="Arial" w:hAnsi="Arial" w:cs="Arial"/>
          <w:bCs/>
          <w:sz w:val="20"/>
        </w:rPr>
        <w:t xml:space="preserve"> routine more so than once per fortnight and also has the potential to lead to confusion about where the primary caregiving response would come from, which is not to say that the child won’t have a clear set of attachment relationships with the carers and the parents as well</w:t>
      </w:r>
      <w:r>
        <w:rPr>
          <w:rFonts w:ascii="Arial" w:hAnsi="Arial" w:cs="Arial"/>
          <w:bCs/>
          <w:sz w:val="20"/>
        </w:rPr>
        <w:t xml:space="preserve">…Each child is </w:t>
      </w:r>
      <w:r w:rsidRPr="009F5EE8">
        <w:rPr>
          <w:rFonts w:ascii="Arial" w:hAnsi="Arial" w:cs="Arial"/>
          <w:bCs/>
          <w:sz w:val="20"/>
        </w:rPr>
        <w:t>different but I imagine from the perspective of the 18 months to 2 year old they would ask themselves ‘</w:t>
      </w:r>
      <w:r w:rsidRPr="009F5EE8">
        <w:rPr>
          <w:rFonts w:ascii="Arial" w:hAnsi="Arial" w:cs="Arial"/>
          <w:bCs/>
          <w:i/>
          <w:sz w:val="20"/>
        </w:rPr>
        <w:t xml:space="preserve">Who are my parents? Who are the primary persons responsible for me?  Why am I not with them?  Why am I with </w:t>
      </w:r>
      <w:proofErr w:type="spellStart"/>
      <w:r w:rsidRPr="009F5EE8">
        <w:rPr>
          <w:rFonts w:ascii="Arial" w:hAnsi="Arial" w:cs="Arial"/>
          <w:bCs/>
          <w:i/>
          <w:sz w:val="20"/>
        </w:rPr>
        <w:t>fostercarers</w:t>
      </w:r>
      <w:proofErr w:type="spellEnd"/>
      <w:r w:rsidRPr="009F5EE8">
        <w:rPr>
          <w:rFonts w:ascii="Arial" w:hAnsi="Arial" w:cs="Arial"/>
          <w:bCs/>
          <w:i/>
          <w:sz w:val="20"/>
        </w:rPr>
        <w:t>?</w:t>
      </w:r>
      <w:r w:rsidRPr="009F5EE8">
        <w:rPr>
          <w:rFonts w:ascii="Arial" w:hAnsi="Arial" w:cs="Arial"/>
          <w:bCs/>
          <w:sz w:val="20"/>
        </w:rPr>
        <w:t>’  As a child gets more cognitively developed, the more likely the child is to ask.</w:t>
      </w:r>
      <w:r>
        <w:rPr>
          <w:rFonts w:ascii="Arial" w:hAnsi="Arial" w:cs="Arial"/>
          <w:bCs/>
          <w:sz w:val="20"/>
        </w:rPr>
        <w:t>”</w:t>
      </w:r>
    </w:p>
    <w:p w14:paraId="61937D79" w14:textId="77777777" w:rsidR="00022F17" w:rsidRPr="00C53366" w:rsidRDefault="00022F17" w:rsidP="00022F17">
      <w:pPr>
        <w:jc w:val="both"/>
        <w:rPr>
          <w:rFonts w:ascii="Arial" w:hAnsi="Arial" w:cs="Arial"/>
          <w:sz w:val="16"/>
        </w:rPr>
      </w:pPr>
    </w:p>
    <w:p w14:paraId="72417953" w14:textId="77777777" w:rsidR="00022F17" w:rsidRDefault="00022F17" w:rsidP="00022F17">
      <w:pPr>
        <w:jc w:val="both"/>
        <w:rPr>
          <w:rFonts w:ascii="Arial" w:hAnsi="Arial" w:cs="Arial"/>
          <w:sz w:val="20"/>
        </w:rPr>
      </w:pPr>
      <w:r>
        <w:rPr>
          <w:rFonts w:ascii="Arial" w:hAnsi="Arial" w:cs="Arial"/>
          <w:sz w:val="20"/>
        </w:rPr>
        <w:t>However Dr P made it clear that in recommending 3 hours per fortnight – which he subsequently changed to 3-4 hours per fortnight - he was giving significant weight to the adverse history of the parents in this particular case.  Hypothetically - in relation to children generally - he would have been looking at 3-4 hours per week.</w:t>
      </w:r>
    </w:p>
    <w:p w14:paraId="54D85458" w14:textId="77777777" w:rsidR="00022F17" w:rsidRPr="00C53366" w:rsidRDefault="00022F17" w:rsidP="00022F17">
      <w:pPr>
        <w:jc w:val="both"/>
        <w:rPr>
          <w:rFonts w:ascii="Arial" w:hAnsi="Arial" w:cs="Arial"/>
          <w:sz w:val="18"/>
        </w:rPr>
      </w:pPr>
    </w:p>
    <w:p w14:paraId="0A28A317" w14:textId="77777777" w:rsidR="00022F17" w:rsidRDefault="00022F17" w:rsidP="00022F17">
      <w:pPr>
        <w:jc w:val="both"/>
        <w:rPr>
          <w:rFonts w:ascii="Arial" w:hAnsi="Arial" w:cs="Arial"/>
          <w:sz w:val="20"/>
        </w:rPr>
      </w:pPr>
      <w:r w:rsidRPr="006679D2">
        <w:rPr>
          <w:rFonts w:ascii="Arial" w:hAnsi="Arial" w:cs="Arial"/>
          <w:color w:val="000000"/>
          <w:sz w:val="20"/>
        </w:rPr>
        <w:t>Dr P also pointed out the importance of considering the impact of any contact regime on the</w:t>
      </w:r>
      <w:r>
        <w:rPr>
          <w:rFonts w:ascii="Arial" w:hAnsi="Arial" w:cs="Arial"/>
          <w:sz w:val="20"/>
        </w:rPr>
        <w:t xml:space="preserve"> children, the parents and the caregivers:</w:t>
      </w:r>
    </w:p>
    <w:p w14:paraId="54056B24" w14:textId="77777777" w:rsidR="00022F17" w:rsidRDefault="00022F17" w:rsidP="00022F17">
      <w:pPr>
        <w:spacing w:before="120"/>
        <w:ind w:left="567" w:right="567"/>
        <w:jc w:val="both"/>
        <w:rPr>
          <w:rFonts w:ascii="Arial" w:hAnsi="Arial" w:cs="Arial"/>
          <w:bCs/>
          <w:sz w:val="20"/>
          <w:szCs w:val="20"/>
        </w:rPr>
      </w:pPr>
      <w:r>
        <w:rPr>
          <w:rFonts w:ascii="Arial" w:hAnsi="Arial" w:cs="Arial"/>
          <w:bCs/>
          <w:sz w:val="20"/>
        </w:rPr>
        <w:t>“</w:t>
      </w:r>
      <w:r w:rsidRPr="004B5056">
        <w:rPr>
          <w:rFonts w:ascii="Arial" w:hAnsi="Arial" w:cs="Arial"/>
          <w:bCs/>
          <w:sz w:val="20"/>
          <w:szCs w:val="20"/>
        </w:rPr>
        <w:t>I think one of the likely impacts</w:t>
      </w:r>
      <w:r>
        <w:rPr>
          <w:rFonts w:ascii="Arial" w:hAnsi="Arial" w:cs="Arial"/>
          <w:bCs/>
          <w:sz w:val="20"/>
          <w:szCs w:val="20"/>
        </w:rPr>
        <w:t>,</w:t>
      </w:r>
      <w:r w:rsidRPr="004B5056">
        <w:rPr>
          <w:rFonts w:ascii="Arial" w:hAnsi="Arial" w:cs="Arial"/>
          <w:bCs/>
          <w:sz w:val="20"/>
          <w:szCs w:val="20"/>
        </w:rPr>
        <w:t xml:space="preserve"> for example</w:t>
      </w:r>
      <w:r>
        <w:rPr>
          <w:rFonts w:ascii="Arial" w:hAnsi="Arial" w:cs="Arial"/>
          <w:bCs/>
          <w:sz w:val="20"/>
          <w:szCs w:val="20"/>
        </w:rPr>
        <w:t>,</w:t>
      </w:r>
      <w:r w:rsidRPr="004B5056">
        <w:rPr>
          <w:rFonts w:ascii="Arial" w:hAnsi="Arial" w:cs="Arial"/>
          <w:bCs/>
          <w:sz w:val="20"/>
          <w:szCs w:val="20"/>
        </w:rPr>
        <w:t xml:space="preserve"> of an increased frequency of access, where it is reduced and then increased again, is to build up an expectation for both parents and children this is going to lead to parents resuming full care and custody of children.  If that were the decision, that</w:t>
      </w:r>
      <w:r>
        <w:rPr>
          <w:rFonts w:ascii="Arial" w:hAnsi="Arial" w:cs="Arial"/>
          <w:bCs/>
          <w:sz w:val="20"/>
          <w:szCs w:val="20"/>
        </w:rPr>
        <w:t xml:space="preserve"> i</w:t>
      </w:r>
      <w:r w:rsidRPr="004B5056">
        <w:rPr>
          <w:rFonts w:ascii="Arial" w:hAnsi="Arial" w:cs="Arial"/>
          <w:bCs/>
          <w:sz w:val="20"/>
          <w:szCs w:val="20"/>
        </w:rPr>
        <w:t xml:space="preserve">s how one would approach </w:t>
      </w:r>
      <w:r>
        <w:rPr>
          <w:rFonts w:ascii="Arial" w:hAnsi="Arial" w:cs="Arial"/>
          <w:bCs/>
          <w:sz w:val="20"/>
          <w:szCs w:val="20"/>
        </w:rPr>
        <w:t xml:space="preserve">the </w:t>
      </w:r>
      <w:r w:rsidRPr="004B5056">
        <w:rPr>
          <w:rFonts w:ascii="Arial" w:hAnsi="Arial" w:cs="Arial"/>
          <w:bCs/>
          <w:sz w:val="20"/>
          <w:szCs w:val="20"/>
        </w:rPr>
        <w:t>frequency of contact.  Conversely if there is to be no reunification it is unfair to each of the parties – parents and children – to maintain access at that sort of level</w:t>
      </w:r>
      <w:r>
        <w:rPr>
          <w:rFonts w:ascii="Arial" w:hAnsi="Arial" w:cs="Arial"/>
          <w:bCs/>
          <w:sz w:val="20"/>
          <w:szCs w:val="20"/>
        </w:rPr>
        <w:t>…</w:t>
      </w:r>
    </w:p>
    <w:p w14:paraId="6EEC3059" w14:textId="77777777" w:rsidR="00022F17" w:rsidRDefault="00022F17" w:rsidP="00022F17">
      <w:pPr>
        <w:spacing w:before="120"/>
        <w:ind w:left="567" w:right="567"/>
        <w:jc w:val="both"/>
        <w:rPr>
          <w:rFonts w:ascii="Arial" w:hAnsi="Arial" w:cs="Arial"/>
          <w:bCs/>
          <w:sz w:val="20"/>
        </w:rPr>
      </w:pPr>
      <w:r>
        <w:rPr>
          <w:rFonts w:ascii="Arial" w:hAnsi="Arial" w:cs="Arial"/>
          <w:sz w:val="20"/>
          <w:szCs w:val="20"/>
        </w:rPr>
        <w:t xml:space="preserve">[Another factor] </w:t>
      </w:r>
      <w:r w:rsidRPr="004B5056">
        <w:rPr>
          <w:rFonts w:ascii="Arial" w:hAnsi="Arial" w:cs="Arial"/>
          <w:sz w:val="20"/>
          <w:szCs w:val="20"/>
        </w:rPr>
        <w:t xml:space="preserve">is </w:t>
      </w:r>
      <w:r>
        <w:rPr>
          <w:rFonts w:ascii="Arial" w:hAnsi="Arial" w:cs="Arial"/>
          <w:sz w:val="20"/>
          <w:szCs w:val="20"/>
        </w:rPr>
        <w:t xml:space="preserve">the </w:t>
      </w:r>
      <w:r w:rsidRPr="004B5056">
        <w:rPr>
          <w:rFonts w:ascii="Arial" w:hAnsi="Arial" w:cs="Arial"/>
          <w:sz w:val="20"/>
          <w:szCs w:val="20"/>
        </w:rPr>
        <w:t>impact on foster carers</w:t>
      </w:r>
      <w:r>
        <w:rPr>
          <w:rFonts w:ascii="Arial" w:hAnsi="Arial" w:cs="Arial"/>
          <w:sz w:val="20"/>
          <w:szCs w:val="20"/>
        </w:rPr>
        <w:t>...</w:t>
      </w:r>
      <w:r w:rsidRPr="004B5056">
        <w:rPr>
          <w:rFonts w:ascii="Arial" w:hAnsi="Arial" w:cs="Arial"/>
          <w:sz w:val="20"/>
          <w:szCs w:val="20"/>
        </w:rPr>
        <w:t>, their feeling of continuity and stability as well.  For an infant to have a foster carer who feels no predictability from one day to the next is unfortunate for the child as well.  That’s another component to build into the process of deciding what is an optimal arrangement for a particular child.  If the child is operating from a sense of secure emotional base and out of the care of their own parents, I think that gives them a stronger position to develop a fruitful relationship with their own parents than if they are in a situation where they are feeling insecure and anxious.  If it is possible to provide some sense of consistency and predictability about a child’s longer term care arrangements then that’s in the interests of the child as well.</w:t>
      </w:r>
      <w:r>
        <w:rPr>
          <w:rFonts w:ascii="Arial" w:hAnsi="Arial" w:cs="Arial"/>
          <w:sz w:val="20"/>
          <w:szCs w:val="20"/>
        </w:rPr>
        <w:t>”</w:t>
      </w:r>
    </w:p>
    <w:p w14:paraId="7607B23A" w14:textId="77777777" w:rsidR="00022F17" w:rsidRPr="00C53366" w:rsidRDefault="00022F17" w:rsidP="00022F17">
      <w:pPr>
        <w:jc w:val="both"/>
        <w:rPr>
          <w:rFonts w:ascii="Arial" w:hAnsi="Arial" w:cs="Arial"/>
          <w:sz w:val="18"/>
        </w:rPr>
      </w:pPr>
    </w:p>
    <w:p w14:paraId="204D4A7E" w14:textId="77777777" w:rsidR="00022F17" w:rsidRPr="006679D2" w:rsidRDefault="00022F17" w:rsidP="00022F17">
      <w:pPr>
        <w:jc w:val="both"/>
        <w:rPr>
          <w:rFonts w:ascii="Arial" w:hAnsi="Arial" w:cs="Arial"/>
          <w:color w:val="000000"/>
          <w:sz w:val="20"/>
        </w:rPr>
      </w:pPr>
      <w:r w:rsidRPr="006679D2">
        <w:rPr>
          <w:rFonts w:ascii="Arial" w:hAnsi="Arial" w:cs="Arial"/>
          <w:color w:val="000000"/>
          <w:sz w:val="20"/>
        </w:rPr>
        <w:t xml:space="preserve">By contrast, Dr W did not see any particular reason to change the </w:t>
      </w:r>
      <w:r w:rsidRPr="006679D2">
        <w:rPr>
          <w:rFonts w:ascii="Arial" w:hAnsi="Arial" w:cs="Arial"/>
          <w:i/>
          <w:color w:val="000000"/>
          <w:sz w:val="20"/>
        </w:rPr>
        <w:t>status quo</w:t>
      </w:r>
      <w:r w:rsidRPr="006679D2">
        <w:rPr>
          <w:rFonts w:ascii="Arial" w:hAnsi="Arial" w:cs="Arial"/>
          <w:color w:val="000000"/>
          <w:sz w:val="20"/>
        </w:rPr>
        <w:t xml:space="preserve"> for contact between the twins and their parents.  Ultimately </w:t>
      </w:r>
      <w:r>
        <w:rPr>
          <w:rFonts w:ascii="Arial" w:hAnsi="Arial" w:cs="Arial"/>
          <w:color w:val="000000"/>
          <w:sz w:val="20"/>
        </w:rPr>
        <w:t>–</w:t>
      </w:r>
      <w:r w:rsidRPr="006679D2">
        <w:rPr>
          <w:rFonts w:ascii="Arial" w:hAnsi="Arial" w:cs="Arial"/>
          <w:color w:val="000000"/>
          <w:sz w:val="20"/>
        </w:rPr>
        <w:t xml:space="preserve"> balancing</w:t>
      </w:r>
      <w:r>
        <w:rPr>
          <w:rFonts w:ascii="Arial" w:hAnsi="Arial" w:cs="Arial"/>
          <w:color w:val="000000"/>
          <w:sz w:val="20"/>
        </w:rPr>
        <w:t xml:space="preserve"> </w:t>
      </w:r>
      <w:r w:rsidRPr="006679D2">
        <w:rPr>
          <w:rFonts w:ascii="Arial" w:hAnsi="Arial" w:cs="Arial"/>
          <w:color w:val="000000"/>
          <w:sz w:val="20"/>
        </w:rPr>
        <w:t xml:space="preserve">the large amount of evidence elicited in the case </w:t>
      </w:r>
      <w:r>
        <w:rPr>
          <w:rFonts w:ascii="Arial" w:hAnsi="Arial" w:cs="Arial"/>
          <w:color w:val="000000"/>
          <w:sz w:val="20"/>
        </w:rPr>
        <w:t>–</w:t>
      </w:r>
      <w:r w:rsidRPr="006679D2">
        <w:rPr>
          <w:rFonts w:ascii="Arial" w:hAnsi="Arial" w:cs="Arial"/>
          <w:color w:val="000000"/>
          <w:sz w:val="20"/>
        </w:rPr>
        <w:t xml:space="preserve"> the</w:t>
      </w:r>
      <w:r>
        <w:rPr>
          <w:rFonts w:ascii="Arial" w:hAnsi="Arial" w:cs="Arial"/>
          <w:color w:val="000000"/>
          <w:sz w:val="20"/>
        </w:rPr>
        <w:t xml:space="preserve"> </w:t>
      </w:r>
      <w:r w:rsidRPr="006679D2">
        <w:rPr>
          <w:rFonts w:ascii="Arial" w:hAnsi="Arial" w:cs="Arial"/>
          <w:color w:val="000000"/>
          <w:sz w:val="20"/>
        </w:rPr>
        <w:t>writer ordered that each parent have supervised contact with the twins once per week for a minimum of 3 hours.  He also set a condition providing for increased contact for the mother after 4 months if the mother demonstrated a commitment to live separately and apart from the father.</w:t>
      </w:r>
    </w:p>
    <w:p w14:paraId="502F7B25" w14:textId="77777777" w:rsidR="00022F17" w:rsidRPr="006679D2" w:rsidRDefault="00022F17" w:rsidP="00022F17">
      <w:pPr>
        <w:jc w:val="both"/>
        <w:rPr>
          <w:rFonts w:ascii="Arial" w:hAnsi="Arial" w:cs="Arial"/>
          <w:color w:val="000000"/>
          <w:sz w:val="18"/>
        </w:rPr>
      </w:pPr>
    </w:p>
    <w:p w14:paraId="48941D32" w14:textId="77777777" w:rsidR="00022F17" w:rsidRPr="006679D2" w:rsidRDefault="00022F17" w:rsidP="00022F17">
      <w:pPr>
        <w:jc w:val="both"/>
        <w:rPr>
          <w:rFonts w:ascii="Arial" w:hAnsi="Arial" w:cs="Arial"/>
          <w:color w:val="000000"/>
          <w:sz w:val="20"/>
        </w:rPr>
      </w:pPr>
      <w:r w:rsidRPr="006679D2">
        <w:rPr>
          <w:rFonts w:ascii="Arial" w:hAnsi="Arial" w:cs="Arial"/>
          <w:color w:val="000000"/>
          <w:sz w:val="20"/>
        </w:rPr>
        <w:t>Notwithstanding Dr M’s opinion that there has been much greater precision on the issue of optimal contact frequency in the last 5</w:t>
      </w:r>
      <w:r w:rsidRPr="006679D2">
        <w:rPr>
          <w:rFonts w:ascii="Arial" w:hAnsi="Arial" w:cs="Arial"/>
          <w:color w:val="000000"/>
          <w:sz w:val="20"/>
        </w:rPr>
        <w:noBreakHyphen/>
        <w:t>7 years, the writer believes that contact frequency remains a very inexact science.  For example, Dr M was advocating contact once per week at the same time as Dr P was advocating 5 times per week.  To her credit Dr M smilingly conceded that Dr P “would have advocated more” than she did, a clear acknowledgment of the subjective nature of their respective opinions.  Dr P conceded that “in some scenarios 7 days would be right, in others 1 day would be right.”  He also acknowledged the lack of research in this area and often prefaced his answers with a comment that it was a difficult question to answer.  For example, in answer to the question “Joint parental access for how many hours per week in the initial stages?” Dr P replied:</w:t>
      </w:r>
    </w:p>
    <w:p w14:paraId="7530F06F" w14:textId="77777777" w:rsidR="00022F17" w:rsidRDefault="00022F17" w:rsidP="00022F17">
      <w:pPr>
        <w:spacing w:before="120"/>
        <w:ind w:left="567" w:right="567"/>
        <w:jc w:val="both"/>
        <w:rPr>
          <w:rFonts w:ascii="Arial" w:hAnsi="Arial" w:cs="Arial"/>
          <w:sz w:val="20"/>
        </w:rPr>
      </w:pPr>
      <w:r>
        <w:rPr>
          <w:rFonts w:ascii="Arial" w:hAnsi="Arial" w:cs="Arial"/>
          <w:sz w:val="20"/>
        </w:rPr>
        <w:t xml:space="preserve">“You are pushing me to specifics.  It’s a hard question.  We have a group putting forward a research proposal to see what works best for children of particular developmental ages because the scientific literature is fairly silent.  What is best </w:t>
      </w:r>
      <w:r>
        <w:rPr>
          <w:rFonts w:ascii="Arial" w:hAnsi="Arial" w:cs="Arial"/>
          <w:sz w:val="20"/>
        </w:rPr>
        <w:lastRenderedPageBreak/>
        <w:t>for the children is not well supported by facts.  I’d be going from first principles in working with very young children and families.”</w:t>
      </w:r>
    </w:p>
    <w:p w14:paraId="3E8FF2EC" w14:textId="77777777" w:rsidR="007C5954" w:rsidRPr="00247F8B" w:rsidRDefault="007C5954" w:rsidP="007C5954">
      <w:pPr>
        <w:rPr>
          <w:rFonts w:ascii="Arial" w:hAnsi="Arial" w:cs="Arial"/>
          <w:sz w:val="20"/>
        </w:rPr>
      </w:pPr>
    </w:p>
    <w:p w14:paraId="33671416" w14:textId="62EED5E3" w:rsidR="007C5954" w:rsidRPr="00CA2663" w:rsidRDefault="007C5954" w:rsidP="007C5954">
      <w:pPr>
        <w:pStyle w:val="Heading3"/>
        <w:keepNext/>
        <w:keepLines/>
        <w:spacing w:after="120" w:line="240" w:lineRule="auto"/>
        <w:rPr>
          <w:rFonts w:ascii="Arial" w:hAnsi="Arial" w:cs="Arial"/>
          <w:sz w:val="20"/>
          <w:lang w:val="en-US"/>
        </w:rPr>
      </w:pPr>
      <w:bookmarkStart w:id="1623" w:name="_4.14.3__American"/>
      <w:bookmarkStart w:id="1624" w:name="B4143"/>
      <w:bookmarkEnd w:id="1623"/>
      <w:bookmarkEnd w:id="1624"/>
      <w:r>
        <w:rPr>
          <w:rFonts w:ascii="Arial" w:hAnsi="Arial" w:cs="Arial"/>
          <w:b/>
          <w:bCs/>
          <w:sz w:val="20"/>
        </w:rPr>
        <w:t>4.14.</w:t>
      </w:r>
      <w:r w:rsidR="009B4939">
        <w:rPr>
          <w:rFonts w:ascii="Arial" w:hAnsi="Arial" w:cs="Arial"/>
          <w:b/>
          <w:bCs/>
          <w:sz w:val="20"/>
        </w:rPr>
        <w:t>2</w:t>
      </w:r>
      <w:r>
        <w:rPr>
          <w:rFonts w:ascii="Arial" w:hAnsi="Arial" w:cs="Arial"/>
          <w:b/>
          <w:bCs/>
          <w:sz w:val="20"/>
        </w:rPr>
        <w:tab/>
        <w:t>American judicial guidelines 2009</w:t>
      </w:r>
    </w:p>
    <w:p w14:paraId="77A48041" w14:textId="6ADDCD0C" w:rsidR="009B4939" w:rsidRDefault="007C5954" w:rsidP="007C5954">
      <w:pPr>
        <w:jc w:val="both"/>
        <w:rPr>
          <w:rFonts w:ascii="Arial" w:hAnsi="Arial" w:cs="Arial"/>
          <w:color w:val="000000"/>
          <w:sz w:val="20"/>
        </w:rPr>
      </w:pPr>
      <w:r>
        <w:rPr>
          <w:rFonts w:ascii="Arial" w:hAnsi="Arial" w:cs="Arial"/>
          <w:sz w:val="20"/>
        </w:rPr>
        <w:t xml:space="preserve">It is clear from the quite diverse expert opinions expressed in the above extracts from </w:t>
      </w:r>
      <w:r>
        <w:rPr>
          <w:rFonts w:ascii="Arial" w:hAnsi="Arial" w:cs="Arial"/>
          <w:i/>
          <w:sz w:val="20"/>
        </w:rPr>
        <w:t xml:space="preserve">DOHS </w:t>
      </w:r>
      <w:r w:rsidRPr="006679D2">
        <w:rPr>
          <w:rFonts w:ascii="Arial" w:hAnsi="Arial" w:cs="Arial"/>
          <w:i/>
          <w:color w:val="000000"/>
          <w:sz w:val="20"/>
        </w:rPr>
        <w:t>v Ms B &amp; Mr G</w:t>
      </w:r>
      <w:r w:rsidRPr="006679D2">
        <w:rPr>
          <w:rFonts w:ascii="Arial" w:hAnsi="Arial" w:cs="Arial"/>
          <w:color w:val="000000"/>
          <w:sz w:val="20"/>
        </w:rPr>
        <w:t xml:space="preserve"> [2008] </w:t>
      </w:r>
      <w:proofErr w:type="spellStart"/>
      <w:r w:rsidRPr="006679D2">
        <w:rPr>
          <w:rFonts w:ascii="Arial" w:hAnsi="Arial" w:cs="Arial"/>
          <w:color w:val="000000"/>
          <w:sz w:val="20"/>
        </w:rPr>
        <w:t>VChC</w:t>
      </w:r>
      <w:proofErr w:type="spellEnd"/>
      <w:r w:rsidRPr="006679D2">
        <w:rPr>
          <w:rFonts w:ascii="Arial" w:hAnsi="Arial" w:cs="Arial"/>
          <w:color w:val="000000"/>
          <w:sz w:val="20"/>
        </w:rPr>
        <w:t xml:space="preserve"> 1 that there </w:t>
      </w:r>
      <w:r w:rsidR="00F1079D">
        <w:rPr>
          <w:rFonts w:ascii="Arial" w:hAnsi="Arial" w:cs="Arial"/>
          <w:color w:val="000000"/>
          <w:sz w:val="20"/>
        </w:rPr>
        <w:t>wa</w:t>
      </w:r>
      <w:r w:rsidRPr="006679D2">
        <w:rPr>
          <w:rFonts w:ascii="Arial" w:hAnsi="Arial" w:cs="Arial"/>
          <w:color w:val="000000"/>
          <w:sz w:val="20"/>
        </w:rPr>
        <w:t xml:space="preserve">s no clear unanimity of expert view in Victoria </w:t>
      </w:r>
      <w:r w:rsidR="00F1079D">
        <w:rPr>
          <w:rFonts w:ascii="Arial" w:hAnsi="Arial" w:cs="Arial"/>
          <w:color w:val="000000"/>
          <w:sz w:val="20"/>
        </w:rPr>
        <w:t xml:space="preserve">in 2008 </w:t>
      </w:r>
      <w:r w:rsidRPr="006679D2">
        <w:rPr>
          <w:rFonts w:ascii="Arial" w:hAnsi="Arial" w:cs="Arial"/>
          <w:color w:val="000000"/>
          <w:sz w:val="20"/>
        </w:rPr>
        <w:t xml:space="preserve">about the optimal frequency of contact between an infant and </w:t>
      </w:r>
      <w:r w:rsidR="009B4939">
        <w:rPr>
          <w:rFonts w:ascii="Arial" w:hAnsi="Arial" w:cs="Arial"/>
          <w:color w:val="000000"/>
          <w:sz w:val="20"/>
        </w:rPr>
        <w:t>the</w:t>
      </w:r>
      <w:r w:rsidRPr="006679D2">
        <w:rPr>
          <w:rFonts w:ascii="Arial" w:hAnsi="Arial" w:cs="Arial"/>
          <w:color w:val="000000"/>
          <w:sz w:val="20"/>
        </w:rPr>
        <w:t xml:space="preserve"> non-custodial parents.  </w:t>
      </w:r>
      <w:r w:rsidR="00022F17">
        <w:rPr>
          <w:rFonts w:ascii="Arial" w:hAnsi="Arial" w:cs="Arial"/>
          <w:color w:val="000000"/>
          <w:sz w:val="20"/>
        </w:rPr>
        <w:t xml:space="preserve">In stark contrast, a </w:t>
      </w:r>
      <w:r w:rsidRPr="006679D2">
        <w:rPr>
          <w:rFonts w:ascii="Arial" w:hAnsi="Arial" w:cs="Arial"/>
          <w:color w:val="000000"/>
          <w:sz w:val="20"/>
        </w:rPr>
        <w:t>team of six professionals drawn from</w:t>
      </w:r>
      <w:r w:rsidR="006F6E4C" w:rsidRPr="009B4939">
        <w:rPr>
          <w:rFonts w:ascii="Arial" w:hAnsi="Arial" w:cs="Arial"/>
          <w:color w:val="000000"/>
          <w:sz w:val="20"/>
        </w:rPr>
        <w:t>–</w:t>
      </w:r>
    </w:p>
    <w:p w14:paraId="278EB704" w14:textId="290FDBC9" w:rsidR="009B4939" w:rsidRPr="009B4939" w:rsidRDefault="007C5954">
      <w:pPr>
        <w:pStyle w:val="ListParagraph"/>
        <w:numPr>
          <w:ilvl w:val="4"/>
          <w:numId w:val="71"/>
        </w:numPr>
        <w:ind w:left="454" w:hanging="454"/>
        <w:jc w:val="both"/>
        <w:rPr>
          <w:rFonts w:ascii="Arial" w:hAnsi="Arial" w:cs="Arial"/>
          <w:color w:val="000000"/>
          <w:sz w:val="20"/>
        </w:rPr>
      </w:pPr>
      <w:r w:rsidRPr="009B4939">
        <w:rPr>
          <w:rFonts w:ascii="Arial" w:hAnsi="Arial" w:cs="Arial"/>
          <w:color w:val="000000"/>
          <w:sz w:val="20"/>
        </w:rPr>
        <w:t xml:space="preserve">the American Bar Association </w:t>
      </w:r>
      <w:proofErr w:type="spellStart"/>
      <w:r w:rsidRPr="009B4939">
        <w:rPr>
          <w:rFonts w:ascii="Arial" w:hAnsi="Arial" w:cs="Arial"/>
          <w:color w:val="000000"/>
          <w:sz w:val="20"/>
        </w:rPr>
        <w:t>Center</w:t>
      </w:r>
      <w:proofErr w:type="spellEnd"/>
      <w:r w:rsidRPr="009B4939">
        <w:rPr>
          <w:rFonts w:ascii="Arial" w:hAnsi="Arial" w:cs="Arial"/>
          <w:color w:val="000000"/>
          <w:sz w:val="20"/>
        </w:rPr>
        <w:t xml:space="preserve"> on Children and the Law</w:t>
      </w:r>
      <w:r w:rsidR="009B4939" w:rsidRPr="009B4939">
        <w:rPr>
          <w:rFonts w:ascii="Arial" w:hAnsi="Arial" w:cs="Arial"/>
          <w:color w:val="000000"/>
          <w:sz w:val="20"/>
        </w:rPr>
        <w:t>;</w:t>
      </w:r>
    </w:p>
    <w:p w14:paraId="603A5C10" w14:textId="77777777" w:rsidR="009B4939" w:rsidRDefault="007C5954">
      <w:pPr>
        <w:pStyle w:val="ListParagraph"/>
        <w:numPr>
          <w:ilvl w:val="4"/>
          <w:numId w:val="71"/>
        </w:numPr>
        <w:ind w:left="454" w:hanging="454"/>
        <w:jc w:val="both"/>
        <w:rPr>
          <w:rFonts w:ascii="Arial" w:hAnsi="Arial" w:cs="Arial"/>
          <w:color w:val="000000"/>
          <w:sz w:val="20"/>
        </w:rPr>
      </w:pPr>
      <w:r w:rsidRPr="009B4939">
        <w:rPr>
          <w:rFonts w:ascii="Arial" w:hAnsi="Arial" w:cs="Arial"/>
          <w:color w:val="000000"/>
          <w:sz w:val="20"/>
        </w:rPr>
        <w:t>the National Council of Juvenile and Family Court Judges</w:t>
      </w:r>
      <w:r w:rsidR="009B4939">
        <w:rPr>
          <w:rFonts w:ascii="Arial" w:hAnsi="Arial" w:cs="Arial"/>
          <w:color w:val="000000"/>
          <w:sz w:val="20"/>
        </w:rPr>
        <w:t>;</w:t>
      </w:r>
      <w:r w:rsidRPr="009B4939">
        <w:rPr>
          <w:rFonts w:ascii="Arial" w:hAnsi="Arial" w:cs="Arial"/>
          <w:color w:val="000000"/>
          <w:sz w:val="20"/>
        </w:rPr>
        <w:t xml:space="preserve"> and</w:t>
      </w:r>
    </w:p>
    <w:p w14:paraId="2680784A" w14:textId="5893F460" w:rsidR="009B4939" w:rsidRDefault="007C5954">
      <w:pPr>
        <w:pStyle w:val="ListParagraph"/>
        <w:numPr>
          <w:ilvl w:val="4"/>
          <w:numId w:val="71"/>
        </w:numPr>
        <w:ind w:left="454" w:hanging="454"/>
        <w:jc w:val="both"/>
        <w:rPr>
          <w:rFonts w:ascii="Arial" w:hAnsi="Arial" w:cs="Arial"/>
          <w:color w:val="000000"/>
          <w:sz w:val="20"/>
        </w:rPr>
      </w:pPr>
      <w:r w:rsidRPr="009B4939">
        <w:rPr>
          <w:rFonts w:ascii="Arial" w:hAnsi="Arial" w:cs="Arial"/>
          <w:color w:val="000000"/>
          <w:sz w:val="20"/>
        </w:rPr>
        <w:t xml:space="preserve">the Zero to Three National Policy </w:t>
      </w:r>
      <w:proofErr w:type="spellStart"/>
      <w:r w:rsidRPr="009B4939">
        <w:rPr>
          <w:rFonts w:ascii="Arial" w:hAnsi="Arial" w:cs="Arial"/>
          <w:color w:val="000000"/>
          <w:sz w:val="20"/>
        </w:rPr>
        <w:t>Center</w:t>
      </w:r>
      <w:proofErr w:type="spellEnd"/>
      <w:r w:rsidR="00D02C4C" w:rsidRPr="009B4939">
        <w:rPr>
          <w:rFonts w:ascii="Arial" w:hAnsi="Arial" w:cs="Arial"/>
          <w:color w:val="000000"/>
          <w:sz w:val="20"/>
        </w:rPr>
        <w:t>–</w:t>
      </w:r>
    </w:p>
    <w:p w14:paraId="147A6D5B" w14:textId="0E07FF68" w:rsidR="007C5954" w:rsidRPr="009B4939" w:rsidRDefault="009B4939" w:rsidP="009B4939">
      <w:pPr>
        <w:jc w:val="both"/>
        <w:rPr>
          <w:rFonts w:ascii="Arial" w:hAnsi="Arial" w:cs="Arial"/>
          <w:color w:val="000000"/>
          <w:sz w:val="20"/>
        </w:rPr>
      </w:pPr>
      <w:r>
        <w:rPr>
          <w:rFonts w:ascii="Arial" w:hAnsi="Arial" w:cs="Arial"/>
          <w:color w:val="000000"/>
          <w:sz w:val="20"/>
        </w:rPr>
        <w:t xml:space="preserve">have </w:t>
      </w:r>
      <w:r w:rsidR="00022F17" w:rsidRPr="009B4939">
        <w:rPr>
          <w:rFonts w:ascii="Arial" w:hAnsi="Arial" w:cs="Arial"/>
          <w:color w:val="000000"/>
          <w:sz w:val="20"/>
        </w:rPr>
        <w:t xml:space="preserve">expressed </w:t>
      </w:r>
      <w:r w:rsidR="00D02C4C" w:rsidRPr="009B4939">
        <w:rPr>
          <w:rFonts w:ascii="Arial" w:hAnsi="Arial" w:cs="Arial"/>
          <w:color w:val="000000"/>
          <w:sz w:val="20"/>
        </w:rPr>
        <w:t xml:space="preserve">a </w:t>
      </w:r>
      <w:r w:rsidR="006B1596" w:rsidRPr="009B4939">
        <w:rPr>
          <w:rFonts w:ascii="Arial" w:hAnsi="Arial" w:cs="Arial"/>
          <w:color w:val="000000"/>
          <w:sz w:val="20"/>
        </w:rPr>
        <w:t xml:space="preserve">much </w:t>
      </w:r>
      <w:r w:rsidR="00D02C4C" w:rsidRPr="009B4939">
        <w:rPr>
          <w:rFonts w:ascii="Arial" w:hAnsi="Arial" w:cs="Arial"/>
          <w:color w:val="000000"/>
          <w:sz w:val="20"/>
        </w:rPr>
        <w:t xml:space="preserve">more </w:t>
      </w:r>
      <w:r w:rsidR="006B1596" w:rsidRPr="009B4939">
        <w:rPr>
          <w:rFonts w:ascii="Arial" w:hAnsi="Arial" w:cs="Arial"/>
          <w:color w:val="000000"/>
          <w:sz w:val="20"/>
        </w:rPr>
        <w:t xml:space="preserve">unanimous view </w:t>
      </w:r>
      <w:r w:rsidR="00022F17" w:rsidRPr="009B4939">
        <w:rPr>
          <w:rFonts w:ascii="Arial" w:hAnsi="Arial" w:cs="Arial"/>
          <w:color w:val="000000"/>
          <w:sz w:val="20"/>
        </w:rPr>
        <w:t xml:space="preserve">in </w:t>
      </w:r>
      <w:r w:rsidR="006F6E4C">
        <w:rPr>
          <w:rFonts w:ascii="Arial" w:hAnsi="Arial" w:cs="Arial"/>
          <w:color w:val="000000"/>
          <w:sz w:val="20"/>
        </w:rPr>
        <w:t>“</w:t>
      </w:r>
      <w:hyperlink r:id="rId40" w:history="1">
        <w:r w:rsidR="00022F17" w:rsidRPr="009B4939">
          <w:rPr>
            <w:rStyle w:val="Hyperlink"/>
            <w:rFonts w:ascii="Arial" w:hAnsi="Arial" w:cs="Arial"/>
            <w:b/>
            <w:bCs/>
            <w:sz w:val="20"/>
          </w:rPr>
          <w:t>Healthy Beginnings, Healthy Futures: A</w:t>
        </w:r>
        <w:r>
          <w:rPr>
            <w:rStyle w:val="Hyperlink"/>
            <w:rFonts w:ascii="Arial" w:hAnsi="Arial" w:cs="Arial"/>
            <w:b/>
            <w:bCs/>
            <w:sz w:val="20"/>
          </w:rPr>
          <w:t> </w:t>
        </w:r>
        <w:r w:rsidR="00022F17" w:rsidRPr="009B4939">
          <w:rPr>
            <w:rStyle w:val="Hyperlink"/>
            <w:rFonts w:ascii="Arial" w:hAnsi="Arial" w:cs="Arial"/>
            <w:b/>
            <w:bCs/>
            <w:sz w:val="20"/>
          </w:rPr>
          <w:t>Judge’s Guide</w:t>
        </w:r>
      </w:hyperlink>
      <w:r w:rsidR="006F6E4C">
        <w:rPr>
          <w:rFonts w:ascii="Arial" w:hAnsi="Arial" w:cs="Arial"/>
          <w:color w:val="000000"/>
          <w:sz w:val="20"/>
        </w:rPr>
        <w:t>”</w:t>
      </w:r>
      <w:r w:rsidR="00022F17" w:rsidRPr="009B4939">
        <w:rPr>
          <w:rFonts w:ascii="Arial" w:hAnsi="Arial" w:cs="Arial"/>
          <w:color w:val="000000"/>
          <w:sz w:val="20"/>
        </w:rPr>
        <w:t>.</w:t>
      </w:r>
      <w:r>
        <w:rPr>
          <w:rFonts w:ascii="Arial" w:hAnsi="Arial" w:cs="Arial"/>
          <w:color w:val="000000"/>
          <w:sz w:val="20"/>
        </w:rPr>
        <w:t xml:space="preserve">  </w:t>
      </w:r>
      <w:r w:rsidR="00022F17" w:rsidRPr="009B4939">
        <w:rPr>
          <w:rFonts w:ascii="Arial" w:hAnsi="Arial" w:cs="Arial"/>
          <w:color w:val="000000"/>
          <w:sz w:val="20"/>
        </w:rPr>
        <w:t>Compiled in 2009, t</w:t>
      </w:r>
      <w:r w:rsidR="006B1596" w:rsidRPr="009B4939">
        <w:rPr>
          <w:rFonts w:ascii="Arial" w:hAnsi="Arial" w:cs="Arial"/>
          <w:color w:val="000000"/>
          <w:sz w:val="20"/>
        </w:rPr>
        <w:t xml:space="preserve">his </w:t>
      </w:r>
      <w:r w:rsidR="007C5954" w:rsidRPr="009B4939">
        <w:rPr>
          <w:rFonts w:ascii="Arial" w:hAnsi="Arial" w:cs="Arial"/>
          <w:color w:val="000000"/>
          <w:sz w:val="20"/>
        </w:rPr>
        <w:t>publication consists of 15</w:t>
      </w:r>
      <w:r w:rsidR="006B1596" w:rsidRPr="009B4939">
        <w:rPr>
          <w:rFonts w:ascii="Arial" w:hAnsi="Arial" w:cs="Arial"/>
          <w:color w:val="000000"/>
          <w:sz w:val="20"/>
        </w:rPr>
        <w:t>0</w:t>
      </w:r>
      <w:r w:rsidR="007C5954" w:rsidRPr="009B4939">
        <w:rPr>
          <w:rFonts w:ascii="Arial" w:hAnsi="Arial" w:cs="Arial"/>
          <w:color w:val="000000"/>
          <w:sz w:val="20"/>
        </w:rPr>
        <w:t> pages organized into five chapters:</w:t>
      </w:r>
    </w:p>
    <w:p w14:paraId="37C1FBF9" w14:textId="77777777" w:rsidR="007C5954" w:rsidRPr="006679D2" w:rsidRDefault="007C5954">
      <w:pPr>
        <w:numPr>
          <w:ilvl w:val="0"/>
          <w:numId w:val="22"/>
        </w:numPr>
        <w:spacing w:before="60"/>
        <w:ind w:left="924" w:hanging="357"/>
        <w:jc w:val="both"/>
        <w:rPr>
          <w:rFonts w:ascii="Arial" w:hAnsi="Arial" w:cs="Arial"/>
          <w:color w:val="000000"/>
          <w:sz w:val="20"/>
        </w:rPr>
      </w:pPr>
      <w:r w:rsidRPr="006679D2">
        <w:rPr>
          <w:rFonts w:ascii="Arial" w:hAnsi="Arial" w:cs="Arial"/>
          <w:color w:val="000000"/>
          <w:sz w:val="20"/>
        </w:rPr>
        <w:t xml:space="preserve">Meeting the Needs of Very Young Children in </w:t>
      </w:r>
      <w:smartTag w:uri="urn:schemas-microsoft-com:office:smarttags" w:element="Street">
        <w:smartTag w:uri="urn:schemas-microsoft-com:office:smarttags" w:element="address">
          <w:r w:rsidRPr="006679D2">
            <w:rPr>
              <w:rFonts w:ascii="Arial" w:hAnsi="Arial" w:cs="Arial"/>
              <w:color w:val="000000"/>
              <w:sz w:val="20"/>
            </w:rPr>
            <w:t>Dependency Court</w:t>
          </w:r>
        </w:smartTag>
      </w:smartTag>
    </w:p>
    <w:p w14:paraId="27EC56FA" w14:textId="77777777" w:rsidR="007C5954" w:rsidRPr="006679D2" w:rsidRDefault="007C5954">
      <w:pPr>
        <w:numPr>
          <w:ilvl w:val="0"/>
          <w:numId w:val="22"/>
        </w:numPr>
        <w:ind w:left="924" w:hanging="357"/>
        <w:jc w:val="both"/>
        <w:rPr>
          <w:rFonts w:ascii="Arial" w:hAnsi="Arial" w:cs="Arial"/>
          <w:color w:val="000000"/>
          <w:sz w:val="20"/>
        </w:rPr>
      </w:pPr>
      <w:r w:rsidRPr="006679D2">
        <w:rPr>
          <w:rFonts w:ascii="Arial" w:hAnsi="Arial" w:cs="Arial"/>
          <w:color w:val="000000"/>
          <w:sz w:val="20"/>
        </w:rPr>
        <w:t>Promoting Physical Health</w:t>
      </w:r>
    </w:p>
    <w:p w14:paraId="30D16E4B" w14:textId="62ECE147" w:rsidR="007C5954" w:rsidRPr="006679D2" w:rsidRDefault="007C5954">
      <w:pPr>
        <w:numPr>
          <w:ilvl w:val="0"/>
          <w:numId w:val="22"/>
        </w:numPr>
        <w:ind w:left="924" w:hanging="357"/>
        <w:jc w:val="both"/>
        <w:rPr>
          <w:rFonts w:ascii="Arial" w:hAnsi="Arial" w:cs="Arial"/>
          <w:color w:val="000000"/>
          <w:sz w:val="20"/>
        </w:rPr>
      </w:pPr>
      <w:r w:rsidRPr="006679D2">
        <w:rPr>
          <w:rFonts w:ascii="Arial" w:hAnsi="Arial" w:cs="Arial"/>
          <w:color w:val="000000"/>
          <w:sz w:val="20"/>
        </w:rPr>
        <w:t>Addressing Early Mental Health and Developmental Need</w:t>
      </w:r>
      <w:r w:rsidR="00D02C4C">
        <w:rPr>
          <w:rFonts w:ascii="Arial" w:hAnsi="Arial" w:cs="Arial"/>
          <w:color w:val="000000"/>
          <w:sz w:val="20"/>
        </w:rPr>
        <w:t>s</w:t>
      </w:r>
    </w:p>
    <w:p w14:paraId="6D80F2EF" w14:textId="77777777" w:rsidR="007C5954" w:rsidRPr="006679D2" w:rsidRDefault="007C5954">
      <w:pPr>
        <w:numPr>
          <w:ilvl w:val="0"/>
          <w:numId w:val="22"/>
        </w:numPr>
        <w:ind w:left="924" w:hanging="357"/>
        <w:jc w:val="both"/>
        <w:rPr>
          <w:rFonts w:ascii="Arial" w:hAnsi="Arial" w:cs="Arial"/>
          <w:color w:val="000000"/>
          <w:sz w:val="20"/>
        </w:rPr>
      </w:pPr>
      <w:r w:rsidRPr="006679D2">
        <w:rPr>
          <w:rFonts w:ascii="Arial" w:hAnsi="Arial" w:cs="Arial"/>
          <w:color w:val="000000"/>
          <w:sz w:val="20"/>
        </w:rPr>
        <w:t>Achieving Permanency</w:t>
      </w:r>
    </w:p>
    <w:p w14:paraId="06F4A3CD" w14:textId="77777777" w:rsidR="007C5954" w:rsidRPr="006679D2" w:rsidRDefault="007C5954">
      <w:pPr>
        <w:numPr>
          <w:ilvl w:val="0"/>
          <w:numId w:val="22"/>
        </w:numPr>
        <w:ind w:left="924" w:hanging="357"/>
        <w:jc w:val="both"/>
        <w:rPr>
          <w:rFonts w:ascii="Arial" w:hAnsi="Arial" w:cs="Arial"/>
          <w:color w:val="000000"/>
          <w:sz w:val="20"/>
        </w:rPr>
      </w:pPr>
      <w:r w:rsidRPr="006679D2">
        <w:rPr>
          <w:rFonts w:ascii="Arial" w:hAnsi="Arial" w:cs="Arial"/>
          <w:color w:val="000000"/>
          <w:sz w:val="20"/>
        </w:rPr>
        <w:t xml:space="preserve">A Call to Action: Improving the Court’s </w:t>
      </w:r>
      <w:proofErr w:type="spellStart"/>
      <w:r w:rsidRPr="006679D2">
        <w:rPr>
          <w:rFonts w:ascii="Arial" w:hAnsi="Arial" w:cs="Arial"/>
          <w:color w:val="000000"/>
          <w:sz w:val="20"/>
        </w:rPr>
        <w:t>Reponse</w:t>
      </w:r>
      <w:proofErr w:type="spellEnd"/>
      <w:r w:rsidRPr="006679D2">
        <w:rPr>
          <w:rFonts w:ascii="Arial" w:hAnsi="Arial" w:cs="Arial"/>
          <w:color w:val="000000"/>
          <w:sz w:val="20"/>
        </w:rPr>
        <w:t>.</w:t>
      </w:r>
    </w:p>
    <w:p w14:paraId="723CB561" w14:textId="77777777" w:rsidR="007C5954" w:rsidRPr="006679D2" w:rsidRDefault="007C5954" w:rsidP="007C5954">
      <w:pPr>
        <w:spacing w:before="60"/>
        <w:jc w:val="both"/>
        <w:rPr>
          <w:rFonts w:ascii="Arial" w:hAnsi="Arial" w:cs="Arial"/>
          <w:color w:val="000000"/>
          <w:sz w:val="20"/>
        </w:rPr>
      </w:pPr>
      <w:r w:rsidRPr="006679D2">
        <w:rPr>
          <w:rFonts w:ascii="Arial" w:hAnsi="Arial" w:cs="Arial"/>
          <w:color w:val="000000"/>
          <w:sz w:val="20"/>
        </w:rPr>
        <w:t>In Chapter 3 at pp.72-73 the authors (Eva J Klain JD, Lisa Pilnik JD MS, Erin Talati JD MD, Candice L Maze JD, Kimberley Diamond-Berry PhD &amp; Lucy Hudson MS) outline their philosophy on child contact:</w:t>
      </w:r>
    </w:p>
    <w:p w14:paraId="1E073623"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b/>
          <w:sz w:val="18"/>
          <w:szCs w:val="22"/>
          <w:u w:val="single"/>
        </w:rPr>
        <w:t>Ensure frequent parent-child contact</w:t>
      </w:r>
      <w:r w:rsidRPr="00303766">
        <w:rPr>
          <w:rFonts w:ascii="Arial" w:hAnsi="Arial" w:cs="Arial"/>
          <w:sz w:val="18"/>
          <w:szCs w:val="22"/>
        </w:rPr>
        <w:t xml:space="preserve"> (This section includes excerpts from Smariga M, </w:t>
      </w:r>
      <w:r w:rsidRPr="00303766">
        <w:rPr>
          <w:rFonts w:ascii="Arial" w:hAnsi="Arial" w:cs="Arial"/>
          <w:i/>
          <w:sz w:val="18"/>
          <w:szCs w:val="22"/>
        </w:rPr>
        <w:t>Visitation with Infants and Toddlers in Foster Care: What Judges and Attorneys Need to Know</w:t>
      </w:r>
      <w:r w:rsidRPr="00303766">
        <w:rPr>
          <w:rFonts w:ascii="Arial" w:hAnsi="Arial" w:cs="Arial"/>
          <w:sz w:val="18"/>
          <w:szCs w:val="22"/>
        </w:rPr>
        <w:t xml:space="preserve">.  </w:t>
      </w:r>
      <w:smartTag w:uri="urn:schemas-microsoft-com:office:smarttags" w:element="City">
        <w:r w:rsidRPr="00303766">
          <w:rPr>
            <w:rFonts w:ascii="Arial" w:hAnsi="Arial" w:cs="Arial"/>
            <w:sz w:val="18"/>
            <w:szCs w:val="22"/>
          </w:rPr>
          <w:t>Washington</w:t>
        </w:r>
      </w:smartTag>
      <w:r w:rsidRPr="00303766">
        <w:rPr>
          <w:rFonts w:ascii="Arial" w:hAnsi="Arial" w:cs="Arial"/>
          <w:sz w:val="18"/>
          <w:szCs w:val="22"/>
        </w:rPr>
        <w:t xml:space="preserve"> </w:t>
      </w:r>
      <w:smartTag w:uri="urn:schemas-microsoft-com:office:smarttags" w:element="State">
        <w:r w:rsidRPr="00303766">
          <w:rPr>
            <w:rFonts w:ascii="Arial" w:hAnsi="Arial" w:cs="Arial"/>
            <w:sz w:val="18"/>
            <w:szCs w:val="22"/>
          </w:rPr>
          <w:t>DC</w:t>
        </w:r>
      </w:smartTag>
      <w:r w:rsidRPr="00303766">
        <w:rPr>
          <w:rFonts w:ascii="Arial" w:hAnsi="Arial" w:cs="Arial"/>
          <w:sz w:val="18"/>
          <w:szCs w:val="22"/>
        </w:rPr>
        <w:t xml:space="preserve">: </w:t>
      </w:r>
      <w:smartTag w:uri="urn:schemas-microsoft-com:office:smarttags" w:element="PlaceName">
        <w:r w:rsidRPr="00303766">
          <w:rPr>
            <w:rFonts w:ascii="Arial" w:hAnsi="Arial" w:cs="Arial"/>
            <w:sz w:val="18"/>
            <w:szCs w:val="22"/>
          </w:rPr>
          <w:t>American</w:t>
        </w:r>
      </w:smartTag>
      <w:r w:rsidRPr="00303766">
        <w:rPr>
          <w:rFonts w:ascii="Arial" w:hAnsi="Arial" w:cs="Arial"/>
          <w:sz w:val="18"/>
          <w:szCs w:val="22"/>
        </w:rPr>
        <w:t xml:space="preserve"> </w:t>
      </w:r>
      <w:smartTag w:uri="urn:schemas-microsoft-com:office:smarttags" w:element="PlaceType">
        <w:r w:rsidRPr="00303766">
          <w:rPr>
            <w:rFonts w:ascii="Arial" w:hAnsi="Arial" w:cs="Arial"/>
            <w:sz w:val="18"/>
            <w:szCs w:val="22"/>
          </w:rPr>
          <w:t>Bar</w:t>
        </w:r>
      </w:smartTag>
      <w:r w:rsidRPr="00303766">
        <w:rPr>
          <w:rFonts w:ascii="Arial" w:hAnsi="Arial" w:cs="Arial"/>
          <w:sz w:val="18"/>
          <w:szCs w:val="22"/>
        </w:rPr>
        <w:t xml:space="preserve"> </w:t>
      </w:r>
      <w:smartTag w:uri="urn:schemas-microsoft-com:office:smarttags" w:element="PlaceName">
        <w:r w:rsidRPr="00303766">
          <w:rPr>
            <w:rFonts w:ascii="Arial" w:hAnsi="Arial" w:cs="Arial"/>
            <w:sz w:val="18"/>
            <w:szCs w:val="22"/>
          </w:rPr>
          <w:t>Association</w:t>
        </w:r>
      </w:smartTag>
      <w:r w:rsidRPr="00303766">
        <w:rPr>
          <w:rFonts w:ascii="Arial" w:hAnsi="Arial" w:cs="Arial"/>
          <w:sz w:val="18"/>
          <w:szCs w:val="22"/>
        </w:rPr>
        <w:t xml:space="preserve"> </w:t>
      </w:r>
      <w:proofErr w:type="spellStart"/>
      <w:smartTag w:uri="urn:schemas-microsoft-com:office:smarttags" w:element="PlaceType">
        <w:r w:rsidRPr="00303766">
          <w:rPr>
            <w:rFonts w:ascii="Arial" w:hAnsi="Arial" w:cs="Arial"/>
            <w:sz w:val="18"/>
            <w:szCs w:val="22"/>
          </w:rPr>
          <w:t>Center</w:t>
        </w:r>
      </w:smartTag>
      <w:proofErr w:type="spellEnd"/>
      <w:r w:rsidRPr="00303766">
        <w:rPr>
          <w:rFonts w:ascii="Arial" w:hAnsi="Arial" w:cs="Arial"/>
          <w:sz w:val="18"/>
          <w:szCs w:val="22"/>
        </w:rPr>
        <w:t xml:space="preserve"> on Children and the Law &amp; Zero to </w:t>
      </w:r>
      <w:smartTag w:uri="urn:schemas-microsoft-com:office:smarttags" w:element="place">
        <w:smartTag w:uri="urn:schemas-microsoft-com:office:smarttags" w:element="PlaceName">
          <w:r w:rsidRPr="00303766">
            <w:rPr>
              <w:rFonts w:ascii="Arial" w:hAnsi="Arial" w:cs="Arial"/>
              <w:sz w:val="18"/>
              <w:szCs w:val="22"/>
            </w:rPr>
            <w:t>Three</w:t>
          </w:r>
        </w:smartTag>
        <w:r w:rsidRPr="00303766">
          <w:rPr>
            <w:rFonts w:ascii="Arial" w:hAnsi="Arial" w:cs="Arial"/>
            <w:sz w:val="18"/>
            <w:szCs w:val="22"/>
          </w:rPr>
          <w:t xml:space="preserve"> </w:t>
        </w:r>
        <w:smartTag w:uri="urn:schemas-microsoft-com:office:smarttags" w:element="PlaceName">
          <w:r w:rsidRPr="00303766">
            <w:rPr>
              <w:rFonts w:ascii="Arial" w:hAnsi="Arial" w:cs="Arial"/>
              <w:sz w:val="18"/>
              <w:szCs w:val="22"/>
            </w:rPr>
            <w:t>Policy</w:t>
          </w:r>
        </w:smartTag>
        <w:r w:rsidRPr="00303766">
          <w:rPr>
            <w:rFonts w:ascii="Arial" w:hAnsi="Arial" w:cs="Arial"/>
            <w:sz w:val="18"/>
            <w:szCs w:val="22"/>
          </w:rPr>
          <w:t xml:space="preserve"> </w:t>
        </w:r>
        <w:proofErr w:type="spellStart"/>
        <w:smartTag w:uri="urn:schemas-microsoft-com:office:smarttags" w:element="PlaceType">
          <w:r w:rsidRPr="00303766">
            <w:rPr>
              <w:rFonts w:ascii="Arial" w:hAnsi="Arial" w:cs="Arial"/>
              <w:sz w:val="18"/>
              <w:szCs w:val="22"/>
            </w:rPr>
            <w:t>Center</w:t>
          </w:r>
        </w:smartTag>
      </w:smartTag>
      <w:proofErr w:type="spellEnd"/>
      <w:r w:rsidRPr="00303766">
        <w:rPr>
          <w:rFonts w:ascii="Arial" w:hAnsi="Arial" w:cs="Arial"/>
          <w:sz w:val="18"/>
          <w:szCs w:val="22"/>
        </w:rPr>
        <w:t>, 2007)</w:t>
      </w:r>
    </w:p>
    <w:p w14:paraId="15B4A5C6"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sz w:val="18"/>
          <w:szCs w:val="22"/>
        </w:rPr>
        <w:t xml:space="preserve">Professionals working with very young children in foster care often do not understand the extent of the child’s distress over being removed from the parent and placed in a strange environment.  Remember that very young children grieve the loss of a relationship.  Even though the parent has maltreated the child, she or he is the only parent the child has known, and separation evokes strong and painful emotional reactions (Goldsmith, D.F., D. Oppenheim and J. Wanlass. “Separation and Reunification: Using Attachment Theory and Research to Inform Decisions Affecting the Placements of Children in Foster Care”. </w:t>
      </w:r>
      <w:r w:rsidRPr="00303766">
        <w:rPr>
          <w:rFonts w:ascii="Arial" w:hAnsi="Arial" w:cs="Arial"/>
          <w:i/>
          <w:sz w:val="18"/>
          <w:szCs w:val="22"/>
        </w:rPr>
        <w:t>Juvenile and Family Court Journal</w:t>
      </w:r>
      <w:r w:rsidRPr="00303766">
        <w:rPr>
          <w:rFonts w:ascii="Arial" w:hAnsi="Arial" w:cs="Arial"/>
          <w:sz w:val="18"/>
          <w:szCs w:val="22"/>
        </w:rPr>
        <w:t xml:space="preserve"> 55(2), 2004, 1-13).  The younger the child and the longer the period of uncertainty and separation from the primary caregiver, the greater the risk of harm to the child (American </w:t>
      </w:r>
      <w:smartTag w:uri="urn:schemas-microsoft-com:office:smarttags" w:element="place">
        <w:smartTag w:uri="urn:schemas-microsoft-com:office:smarttags" w:element="PlaceType">
          <w:r w:rsidRPr="00303766">
            <w:rPr>
              <w:rFonts w:ascii="Arial" w:hAnsi="Arial" w:cs="Arial"/>
              <w:sz w:val="18"/>
              <w:szCs w:val="22"/>
            </w:rPr>
            <w:t>Academy</w:t>
          </w:r>
        </w:smartTag>
        <w:r w:rsidRPr="00303766">
          <w:rPr>
            <w:rFonts w:ascii="Arial" w:hAnsi="Arial" w:cs="Arial"/>
            <w:sz w:val="18"/>
            <w:szCs w:val="22"/>
          </w:rPr>
          <w:t xml:space="preserve"> of </w:t>
        </w:r>
        <w:proofErr w:type="spellStart"/>
        <w:smartTag w:uri="urn:schemas-microsoft-com:office:smarttags" w:element="PlaceName">
          <w:r w:rsidRPr="00303766">
            <w:rPr>
              <w:rFonts w:ascii="Arial" w:hAnsi="Arial" w:cs="Arial"/>
              <w:sz w:val="18"/>
              <w:szCs w:val="22"/>
            </w:rPr>
            <w:t>Pediatrics</w:t>
          </w:r>
          <w:proofErr w:type="spellEnd"/>
          <w:r w:rsidRPr="00303766">
            <w:rPr>
              <w:rFonts w:ascii="Arial" w:hAnsi="Arial" w:cs="Arial"/>
              <w:sz w:val="18"/>
              <w:szCs w:val="22"/>
            </w:rPr>
            <w:t xml:space="preserve"> Committee</w:t>
          </w:r>
        </w:smartTag>
      </w:smartTag>
      <w:r w:rsidRPr="00303766">
        <w:rPr>
          <w:rFonts w:ascii="Arial" w:hAnsi="Arial" w:cs="Arial"/>
          <w:sz w:val="18"/>
          <w:szCs w:val="22"/>
        </w:rPr>
        <w:t xml:space="preserve"> on Early Childhood, Adoption and Dependent Care. “Developmental Issues for Young Children in Foster Care.” </w:t>
      </w:r>
      <w:proofErr w:type="spellStart"/>
      <w:r w:rsidRPr="00303766">
        <w:rPr>
          <w:rFonts w:ascii="Arial" w:hAnsi="Arial" w:cs="Arial"/>
          <w:i/>
          <w:sz w:val="18"/>
          <w:szCs w:val="22"/>
        </w:rPr>
        <w:t>Pediatrics</w:t>
      </w:r>
      <w:proofErr w:type="spellEnd"/>
      <w:r w:rsidRPr="00303766">
        <w:rPr>
          <w:rFonts w:ascii="Arial" w:hAnsi="Arial" w:cs="Arial"/>
          <w:sz w:val="18"/>
          <w:szCs w:val="22"/>
        </w:rPr>
        <w:t xml:space="preserve"> 105(5), 2000, 1146).  Maintaining consistent contact between the child and his or her parents and siblings is critical unless visits would harm the child (</w:t>
      </w:r>
      <w:smartTag w:uri="urn:schemas-microsoft-com:office:smarttags" w:element="place">
        <w:smartTag w:uri="urn:schemas-microsoft-com:office:smarttags" w:element="PlaceName">
          <w:r w:rsidRPr="00303766">
            <w:rPr>
              <w:rFonts w:ascii="Arial" w:hAnsi="Arial" w:cs="Arial"/>
              <w:sz w:val="18"/>
              <w:szCs w:val="22"/>
            </w:rPr>
            <w:t>American</w:t>
          </w:r>
        </w:smartTag>
        <w:r w:rsidRPr="00303766">
          <w:rPr>
            <w:rFonts w:ascii="Arial" w:hAnsi="Arial" w:cs="Arial"/>
            <w:sz w:val="18"/>
            <w:szCs w:val="22"/>
          </w:rPr>
          <w:t xml:space="preserve"> </w:t>
        </w:r>
        <w:smartTag w:uri="urn:schemas-microsoft-com:office:smarttags" w:element="PlaceType">
          <w:r w:rsidRPr="00303766">
            <w:rPr>
              <w:rFonts w:ascii="Arial" w:hAnsi="Arial" w:cs="Arial"/>
              <w:sz w:val="18"/>
              <w:szCs w:val="22"/>
            </w:rPr>
            <w:t>Academy</w:t>
          </w:r>
        </w:smartTag>
      </w:smartTag>
      <w:r w:rsidRPr="00303766">
        <w:rPr>
          <w:rFonts w:ascii="Arial" w:hAnsi="Arial" w:cs="Arial"/>
          <w:sz w:val="18"/>
          <w:szCs w:val="22"/>
        </w:rPr>
        <w:t xml:space="preserve"> of </w:t>
      </w:r>
      <w:proofErr w:type="spellStart"/>
      <w:r w:rsidRPr="00303766">
        <w:rPr>
          <w:rFonts w:ascii="Arial" w:hAnsi="Arial" w:cs="Arial"/>
          <w:sz w:val="18"/>
          <w:szCs w:val="22"/>
        </w:rPr>
        <w:t>Pediatrics</w:t>
      </w:r>
      <w:proofErr w:type="spellEnd"/>
      <w:r w:rsidRPr="00303766">
        <w:rPr>
          <w:rFonts w:ascii="Arial" w:hAnsi="Arial" w:cs="Arial"/>
          <w:sz w:val="18"/>
          <w:szCs w:val="22"/>
        </w:rPr>
        <w:t xml:space="preserve"> Committee on Early Childhood, Adoption and Dependent Care. “Developmental Issues for Young Children in Foster Care.” {Policy Statement} </w:t>
      </w:r>
      <w:proofErr w:type="spellStart"/>
      <w:r w:rsidRPr="00303766">
        <w:rPr>
          <w:rFonts w:ascii="Arial" w:hAnsi="Arial" w:cs="Arial"/>
          <w:i/>
          <w:sz w:val="18"/>
          <w:szCs w:val="22"/>
        </w:rPr>
        <w:t>Pediatrics</w:t>
      </w:r>
      <w:proofErr w:type="spellEnd"/>
      <w:r w:rsidRPr="00303766">
        <w:rPr>
          <w:rFonts w:ascii="Arial" w:hAnsi="Arial" w:cs="Arial"/>
          <w:sz w:val="18"/>
          <w:szCs w:val="22"/>
        </w:rPr>
        <w:t xml:space="preserve"> 106(5), 2000, 1145-1150).  In fact, parent-child contact is the number one indicator of reunification (</w:t>
      </w:r>
      <w:smartTag w:uri="urn:schemas-microsoft-com:office:smarttags" w:element="place">
        <w:smartTag w:uri="urn:schemas-microsoft-com:office:smarttags" w:element="City">
          <w:r w:rsidRPr="00303766">
            <w:rPr>
              <w:rFonts w:ascii="Arial" w:hAnsi="Arial" w:cs="Arial"/>
              <w:sz w:val="18"/>
              <w:szCs w:val="22"/>
            </w:rPr>
            <w:t>Ginther</w:t>
          </w:r>
        </w:smartTag>
        <w:r w:rsidRPr="00303766">
          <w:rPr>
            <w:rFonts w:ascii="Arial" w:hAnsi="Arial" w:cs="Arial"/>
            <w:sz w:val="18"/>
            <w:szCs w:val="22"/>
          </w:rPr>
          <w:t xml:space="preserve">, </w:t>
        </w:r>
        <w:smartTag w:uri="urn:schemas-microsoft-com:office:smarttags" w:element="State">
          <w:r w:rsidRPr="00303766">
            <w:rPr>
              <w:rFonts w:ascii="Arial" w:hAnsi="Arial" w:cs="Arial"/>
              <w:sz w:val="18"/>
              <w:szCs w:val="22"/>
            </w:rPr>
            <w:t>N.M.</w:t>
          </w:r>
        </w:smartTag>
      </w:smartTag>
      <w:r w:rsidRPr="00303766">
        <w:rPr>
          <w:rFonts w:ascii="Arial" w:hAnsi="Arial" w:cs="Arial"/>
          <w:sz w:val="18"/>
          <w:szCs w:val="22"/>
        </w:rPr>
        <w:t xml:space="preserve"> and J.D. Ginther, “Family Interaction: The Expressway to Permanency – Facilitating Successful Visitation” Presentation prepared for Western Training Partnership at the University of Wisconsin River Falls, 2005, 12-13).  Family contact and interaction is important and the relationship between the foster family and biological family can be crucial.</w:t>
      </w:r>
    </w:p>
    <w:p w14:paraId="4E48543A"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sz w:val="18"/>
          <w:szCs w:val="22"/>
        </w:rPr>
        <w:t xml:space="preserve">Because physical proximity with the caregiver is central to the attachment process for infants and toddlers (Ohio Caseload Analysis Initiative, </w:t>
      </w:r>
      <w:r w:rsidRPr="00303766">
        <w:rPr>
          <w:rFonts w:ascii="Arial" w:hAnsi="Arial" w:cs="Arial"/>
          <w:i/>
          <w:sz w:val="18"/>
          <w:szCs w:val="22"/>
        </w:rPr>
        <w:t>Visitation/Family Access Guide: A Best Practice Model for Social Workers and Agencies</w:t>
      </w:r>
      <w:r w:rsidRPr="00303766">
        <w:rPr>
          <w:rFonts w:ascii="Arial" w:hAnsi="Arial" w:cs="Arial"/>
          <w:sz w:val="18"/>
          <w:szCs w:val="22"/>
        </w:rPr>
        <w:t xml:space="preserve">, 2005, 14), </w:t>
      </w:r>
      <w:r w:rsidRPr="00303766">
        <w:rPr>
          <w:rFonts w:ascii="Arial" w:hAnsi="Arial" w:cs="Arial"/>
          <w:b/>
          <w:sz w:val="18"/>
          <w:szCs w:val="22"/>
          <w:u w:val="single"/>
        </w:rPr>
        <w:t>an infant should ideally spend time with the parent(s) daily, and a toddler should see the parent(s) at least every two to three days</w:t>
      </w:r>
      <w:r w:rsidRPr="00303766">
        <w:rPr>
          <w:rFonts w:ascii="Arial" w:hAnsi="Arial" w:cs="Arial"/>
          <w:sz w:val="18"/>
          <w:szCs w:val="22"/>
        </w:rPr>
        <w:t xml:space="preserve"> (Ginther and Ginther, 2005, 10, 21).  [Emphasis added].  To reduce the trauma of sudden separation, the first parent-child visit should occur as soon as possible and no later than 48 hours after the child is removed from the home (Wright, Lois E. </w:t>
      </w:r>
      <w:r w:rsidRPr="00303766">
        <w:rPr>
          <w:rFonts w:ascii="Arial" w:hAnsi="Arial" w:cs="Arial"/>
          <w:i/>
          <w:sz w:val="18"/>
          <w:szCs w:val="22"/>
        </w:rPr>
        <w:t>Toolbox No. 1: Using Visitation to Support Permanency</w:t>
      </w:r>
      <w:r w:rsidRPr="00303766">
        <w:rPr>
          <w:rFonts w:ascii="Arial" w:hAnsi="Arial" w:cs="Arial"/>
          <w:sz w:val="18"/>
          <w:szCs w:val="22"/>
        </w:rPr>
        <w:t xml:space="preserve">.  </w:t>
      </w:r>
      <w:smartTag w:uri="urn:schemas-microsoft-com:office:smarttags" w:element="City">
        <w:r w:rsidRPr="00303766">
          <w:rPr>
            <w:rFonts w:ascii="Arial" w:hAnsi="Arial" w:cs="Arial"/>
            <w:sz w:val="18"/>
            <w:szCs w:val="22"/>
          </w:rPr>
          <w:t>Washington</w:t>
        </w:r>
      </w:smartTag>
      <w:r w:rsidRPr="00303766">
        <w:rPr>
          <w:rFonts w:ascii="Arial" w:hAnsi="Arial" w:cs="Arial"/>
          <w:sz w:val="18"/>
          <w:szCs w:val="22"/>
        </w:rPr>
        <w:t xml:space="preserve"> </w:t>
      </w:r>
      <w:smartTag w:uri="urn:schemas-microsoft-com:office:smarttags" w:element="State">
        <w:r w:rsidRPr="00303766">
          <w:rPr>
            <w:rFonts w:ascii="Arial" w:hAnsi="Arial" w:cs="Arial"/>
            <w:sz w:val="18"/>
            <w:szCs w:val="22"/>
          </w:rPr>
          <w:t>DC</w:t>
        </w:r>
      </w:smartTag>
      <w:r w:rsidRPr="00303766">
        <w:rPr>
          <w:rFonts w:ascii="Arial" w:hAnsi="Arial" w:cs="Arial"/>
          <w:sz w:val="18"/>
          <w:szCs w:val="22"/>
        </w:rPr>
        <w:t xml:space="preserve">: CWLA Press, 2001; </w:t>
      </w:r>
      <w:smartTag w:uri="urn:schemas-microsoft-com:office:smarttags" w:element="State">
        <w:smartTag w:uri="urn:schemas-microsoft-com:office:smarttags" w:element="place">
          <w:r w:rsidRPr="00303766">
            <w:rPr>
              <w:rFonts w:ascii="Arial" w:hAnsi="Arial" w:cs="Arial"/>
              <w:sz w:val="18"/>
              <w:szCs w:val="22"/>
            </w:rPr>
            <w:t>Ohio</w:t>
          </w:r>
        </w:smartTag>
      </w:smartTag>
      <w:r w:rsidRPr="00303766">
        <w:rPr>
          <w:rFonts w:ascii="Arial" w:hAnsi="Arial" w:cs="Arial"/>
          <w:sz w:val="18"/>
          <w:szCs w:val="22"/>
        </w:rPr>
        <w:t xml:space="preserve"> Caseload Analysis Initiative, 2005, 16).</w:t>
      </w:r>
    </w:p>
    <w:p w14:paraId="47D410DB"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sz w:val="18"/>
          <w:szCs w:val="22"/>
        </w:rPr>
        <w:t xml:space="preserve">Visits should promote parent-child attachment and be an opportunity to model good parenting skills.  The length and frequency of visits should reflect the child’s developmental stages and gradually increase as the parent shows she is able to respond to her child’s cues in consistent and nurturing ways, soothe her child, and attend to her child’s needs.  During the initial phase, limiting visits to one-to-two hours allows the parent to experience small successes without becoming overwhelmed.  By the transition phase, as the family </w:t>
      </w:r>
      <w:r w:rsidRPr="00303766">
        <w:rPr>
          <w:rFonts w:ascii="Arial" w:hAnsi="Arial" w:cs="Arial"/>
          <w:sz w:val="18"/>
          <w:szCs w:val="22"/>
        </w:rPr>
        <w:lastRenderedPageBreak/>
        <w:t>approaches reunification, unsupervised, all-day, overnight and weekend visits should be completed (Wright 2001; Ohio Caseload Initiative Analysis, 2005).</w:t>
      </w:r>
    </w:p>
    <w:p w14:paraId="2D978EF5"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sz w:val="18"/>
          <w:szCs w:val="22"/>
        </w:rPr>
        <w:t xml:space="preserve">A young child’s emotional dysregulation following a visit does not necessarily mean the parent did something harmful during the visit (Goldsmith </w:t>
      </w:r>
      <w:r w:rsidRPr="00303766">
        <w:rPr>
          <w:rFonts w:ascii="Arial" w:hAnsi="Arial" w:cs="Arial"/>
          <w:i/>
          <w:sz w:val="18"/>
          <w:szCs w:val="22"/>
        </w:rPr>
        <w:t>et al.</w:t>
      </w:r>
      <w:r w:rsidRPr="00303766">
        <w:rPr>
          <w:rFonts w:ascii="Arial" w:hAnsi="Arial" w:cs="Arial"/>
          <w:sz w:val="18"/>
          <w:szCs w:val="22"/>
        </w:rPr>
        <w:t xml:space="preserve">, 2004, 2; Wright, 2001, 28-32).  Visitation can be extremely upsetting for children, and it is important to understand the developmental context of their feelings and </w:t>
      </w:r>
      <w:proofErr w:type="spellStart"/>
      <w:r w:rsidRPr="00303766">
        <w:rPr>
          <w:rFonts w:ascii="Arial" w:hAnsi="Arial" w:cs="Arial"/>
          <w:sz w:val="18"/>
          <w:szCs w:val="22"/>
        </w:rPr>
        <w:t>behaviors</w:t>
      </w:r>
      <w:proofErr w:type="spellEnd"/>
      <w:r w:rsidRPr="00303766">
        <w:rPr>
          <w:rFonts w:ascii="Arial" w:hAnsi="Arial" w:cs="Arial"/>
          <w:sz w:val="18"/>
          <w:szCs w:val="22"/>
        </w:rPr>
        <w:t xml:space="preserve">.  Very young children cannot understand the separation, and they tend to respond with bewilderment, sadness and grief.  During visits, they may cling or cry, act out, or withdraw from their parent.  At the end of a visit, when another separation is imminent, they may become confused, sad or angry.  Following visits, infants and toddlers may show regressive </w:t>
      </w:r>
      <w:proofErr w:type="spellStart"/>
      <w:r w:rsidRPr="00303766">
        <w:rPr>
          <w:rFonts w:ascii="Arial" w:hAnsi="Arial" w:cs="Arial"/>
          <w:sz w:val="18"/>
          <w:szCs w:val="22"/>
        </w:rPr>
        <w:t>behaviors</w:t>
      </w:r>
      <w:proofErr w:type="spellEnd"/>
      <w:r w:rsidRPr="00303766">
        <w:rPr>
          <w:rFonts w:ascii="Arial" w:hAnsi="Arial" w:cs="Arial"/>
          <w:sz w:val="18"/>
          <w:szCs w:val="22"/>
        </w:rPr>
        <w:t xml:space="preserve">, depression, physical symptoms, or </w:t>
      </w:r>
      <w:proofErr w:type="spellStart"/>
      <w:r w:rsidRPr="00303766">
        <w:rPr>
          <w:rFonts w:ascii="Arial" w:hAnsi="Arial" w:cs="Arial"/>
          <w:sz w:val="18"/>
          <w:szCs w:val="22"/>
        </w:rPr>
        <w:t>behavioral</w:t>
      </w:r>
      <w:proofErr w:type="spellEnd"/>
      <w:r w:rsidRPr="00303766">
        <w:rPr>
          <w:rFonts w:ascii="Arial" w:hAnsi="Arial" w:cs="Arial"/>
          <w:sz w:val="18"/>
          <w:szCs w:val="22"/>
        </w:rPr>
        <w:t xml:space="preserve"> problems.  Foster caregivers may need information to help them understand and support young children who are distressed after a visit.</w:t>
      </w:r>
    </w:p>
    <w:p w14:paraId="2A5407F9"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sz w:val="18"/>
          <w:szCs w:val="22"/>
        </w:rPr>
        <w:t xml:space="preserve">Parents also find visits to be a time of emotional upheaval, particularly during the first phase of placement.  Parents often experience pain and sadness resulting from the separation.  They may feel shame, guilt, depression, denial that there is a problem. Anger and/or worry about the child.  During the first visits, the parent is likely to be awkward, tense, and uncertain.  Visit coaches, caseworkers, and foster parents should help the parent process her emotions and help her interact with her child (Wright 2001, 23-28; Haight, W.L. </w:t>
      </w:r>
      <w:r w:rsidRPr="00303766">
        <w:rPr>
          <w:rFonts w:ascii="Arial" w:hAnsi="Arial" w:cs="Arial"/>
          <w:i/>
          <w:sz w:val="18"/>
          <w:szCs w:val="22"/>
        </w:rPr>
        <w:t>et al</w:t>
      </w:r>
      <w:r w:rsidRPr="00303766">
        <w:rPr>
          <w:rFonts w:ascii="Arial" w:hAnsi="Arial" w:cs="Arial"/>
          <w:sz w:val="18"/>
          <w:szCs w:val="22"/>
        </w:rPr>
        <w:t xml:space="preserve">. “Making Visits Better: The Perspectives of Parents, Foster Parents and Child Welfare Workers” </w:t>
      </w:r>
      <w:r w:rsidRPr="00303766">
        <w:rPr>
          <w:rFonts w:ascii="Arial" w:hAnsi="Arial" w:cs="Arial"/>
          <w:i/>
          <w:sz w:val="18"/>
          <w:szCs w:val="22"/>
        </w:rPr>
        <w:t>Child Welfare</w:t>
      </w:r>
      <w:r w:rsidRPr="00303766">
        <w:rPr>
          <w:rFonts w:ascii="Arial" w:hAnsi="Arial" w:cs="Arial"/>
          <w:sz w:val="18"/>
          <w:szCs w:val="22"/>
        </w:rPr>
        <w:t xml:space="preserve"> 81(2), 2002, 173-202).</w:t>
      </w:r>
    </w:p>
    <w:p w14:paraId="74C2B36C" w14:textId="77777777" w:rsidR="007C5954" w:rsidRPr="00303766" w:rsidRDefault="007C5954" w:rsidP="007C5954">
      <w:pPr>
        <w:spacing w:before="120"/>
        <w:ind w:left="567" w:right="567"/>
        <w:jc w:val="both"/>
        <w:rPr>
          <w:rFonts w:ascii="Arial" w:hAnsi="Arial" w:cs="Arial"/>
          <w:b/>
          <w:sz w:val="18"/>
          <w:szCs w:val="22"/>
          <w:u w:val="single"/>
        </w:rPr>
      </w:pPr>
      <w:r w:rsidRPr="00303766">
        <w:rPr>
          <w:rFonts w:ascii="Arial" w:hAnsi="Arial" w:cs="Arial"/>
          <w:b/>
          <w:sz w:val="18"/>
          <w:szCs w:val="22"/>
          <w:u w:val="single"/>
        </w:rPr>
        <w:t>Ensure frequent sibling contact</w:t>
      </w:r>
    </w:p>
    <w:p w14:paraId="6C6A1983" w14:textId="77777777" w:rsidR="007C5954" w:rsidRPr="00303766" w:rsidRDefault="007C5954" w:rsidP="007C5954">
      <w:pPr>
        <w:spacing w:before="120"/>
        <w:ind w:left="567" w:right="567"/>
        <w:jc w:val="both"/>
        <w:rPr>
          <w:rFonts w:ascii="Arial" w:hAnsi="Arial" w:cs="Arial"/>
          <w:sz w:val="18"/>
          <w:szCs w:val="22"/>
        </w:rPr>
      </w:pPr>
      <w:r w:rsidRPr="00303766">
        <w:rPr>
          <w:rFonts w:ascii="Arial" w:hAnsi="Arial" w:cs="Arial"/>
          <w:sz w:val="18"/>
          <w:szCs w:val="22"/>
        </w:rPr>
        <w:t>The Fostering Connections to Success and Increasing Adoptions Act of 2008 addresses many issues that promote permanency and affect the health and wellbeing of very young children in foster care, including placing greater priority on keeping siblings together.  While placements that can accommodate a very young child’s siblings should be sought, it may be necessary to separate siblings due to the special needs or circumstances of the very young child.  When siblings are not placed together, the importance of siblings to the young child should not be minimized, especially if there is an established bond.  Ensure frequent sibling visits and opportunities to maintain the sibling bond, especially for toddlers and preschools who may perceive their older siblings as caregivers.</w:t>
      </w:r>
    </w:p>
    <w:p w14:paraId="3D61AA5B" w14:textId="77777777" w:rsidR="007C5954" w:rsidRDefault="007C5954" w:rsidP="007C5954">
      <w:pPr>
        <w:jc w:val="both"/>
        <w:rPr>
          <w:rFonts w:ascii="Arial" w:hAnsi="Arial" w:cs="Arial"/>
          <w:sz w:val="20"/>
        </w:rPr>
      </w:pPr>
    </w:p>
    <w:p w14:paraId="66D130F5" w14:textId="7C76B6D1" w:rsidR="007C5954" w:rsidRPr="00FB0F65" w:rsidRDefault="007C5954" w:rsidP="007C5954">
      <w:pPr>
        <w:jc w:val="both"/>
        <w:rPr>
          <w:rFonts w:ascii="Arial" w:hAnsi="Arial" w:cs="Arial"/>
          <w:sz w:val="20"/>
        </w:rPr>
      </w:pPr>
      <w:r>
        <w:rPr>
          <w:rFonts w:ascii="Arial" w:hAnsi="Arial" w:cs="Arial"/>
          <w:sz w:val="20"/>
        </w:rPr>
        <w:t>These guidelines</w:t>
      </w:r>
      <w:r w:rsidR="00247F8B">
        <w:rPr>
          <w:rFonts w:ascii="Arial" w:hAnsi="Arial" w:cs="Arial"/>
          <w:sz w:val="20"/>
        </w:rPr>
        <w:t xml:space="preserve"> </w:t>
      </w:r>
      <w:r>
        <w:rPr>
          <w:rFonts w:ascii="Arial" w:hAnsi="Arial" w:cs="Arial"/>
          <w:sz w:val="20"/>
        </w:rPr>
        <w:t xml:space="preserve">were prepared by </w:t>
      </w:r>
      <w:r w:rsidR="00EA58A9">
        <w:rPr>
          <w:rFonts w:ascii="Arial" w:hAnsi="Arial" w:cs="Arial"/>
          <w:sz w:val="20"/>
        </w:rPr>
        <w:t>a team of</w:t>
      </w:r>
      <w:r>
        <w:rPr>
          <w:rFonts w:ascii="Arial" w:hAnsi="Arial" w:cs="Arial"/>
          <w:sz w:val="20"/>
        </w:rPr>
        <w:t xml:space="preserve"> lawyers and social scientists.</w:t>
      </w:r>
      <w:r w:rsidR="00247F8B">
        <w:rPr>
          <w:rFonts w:ascii="Arial" w:hAnsi="Arial" w:cs="Arial"/>
          <w:sz w:val="20"/>
        </w:rPr>
        <w:t xml:space="preserve">  T</w:t>
      </w:r>
      <w:r>
        <w:rPr>
          <w:rFonts w:ascii="Arial" w:hAnsi="Arial" w:cs="Arial"/>
          <w:sz w:val="20"/>
        </w:rPr>
        <w:t xml:space="preserve">he project was overseen by an Advisory Committee consisting of some of the most respected American social scientists and judicial officers.  These include Dr Joy D. Osofsky (Professor of Public Health, Psychiatry &amp; Paediatrics at Louisiana State University Health Sciences </w:t>
      </w:r>
      <w:proofErr w:type="spellStart"/>
      <w:r>
        <w:rPr>
          <w:rFonts w:ascii="Arial" w:hAnsi="Arial" w:cs="Arial"/>
          <w:sz w:val="20"/>
        </w:rPr>
        <w:t>Center</w:t>
      </w:r>
      <w:proofErr w:type="spellEnd"/>
      <w:r>
        <w:rPr>
          <w:rFonts w:ascii="Arial" w:hAnsi="Arial" w:cs="Arial"/>
          <w:sz w:val="20"/>
        </w:rPr>
        <w:t>), Dr</w:t>
      </w:r>
      <w:r w:rsidR="00EA58A9">
        <w:rPr>
          <w:rFonts w:ascii="Arial" w:hAnsi="Arial" w:cs="Arial"/>
          <w:sz w:val="20"/>
        </w:rPr>
        <w:t> </w:t>
      </w:r>
      <w:r>
        <w:rPr>
          <w:rFonts w:ascii="Arial" w:hAnsi="Arial" w:cs="Arial"/>
          <w:sz w:val="20"/>
        </w:rPr>
        <w:t xml:space="preserve">Sheri L Hill (Early Childhood Policy Specialist Seattle, WA), Dr Brenda Jones Harden (Institute for Child Study, University of Maryland, College Park, MD), The </w:t>
      </w:r>
      <w:proofErr w:type="spellStart"/>
      <w:r>
        <w:rPr>
          <w:rFonts w:ascii="Arial" w:hAnsi="Arial" w:cs="Arial"/>
          <w:sz w:val="20"/>
        </w:rPr>
        <w:t>Honorable</w:t>
      </w:r>
      <w:proofErr w:type="spellEnd"/>
      <w:r>
        <w:rPr>
          <w:rFonts w:ascii="Arial" w:hAnsi="Arial" w:cs="Arial"/>
          <w:sz w:val="20"/>
        </w:rPr>
        <w:t xml:space="preserve"> Pamela L Abernethy (Marion County Circuit Court Salem, OR) and The </w:t>
      </w:r>
      <w:proofErr w:type="spellStart"/>
      <w:r>
        <w:rPr>
          <w:rFonts w:ascii="Arial" w:hAnsi="Arial" w:cs="Arial"/>
          <w:sz w:val="20"/>
        </w:rPr>
        <w:t>Honorable</w:t>
      </w:r>
      <w:proofErr w:type="spellEnd"/>
      <w:r>
        <w:rPr>
          <w:rFonts w:ascii="Arial" w:hAnsi="Arial" w:cs="Arial"/>
          <w:sz w:val="20"/>
        </w:rPr>
        <w:t xml:space="preserve"> Katherine Lucero (Superior Court, Santa Clara County, San Jose, CA).  They are intended for application in the whole of the U.S.A.  As Ju</w:t>
      </w:r>
      <w:r w:rsidR="00C66220">
        <w:rPr>
          <w:rFonts w:ascii="Arial" w:hAnsi="Arial" w:cs="Arial"/>
          <w:sz w:val="20"/>
        </w:rPr>
        <w:t>dge</w:t>
      </w:r>
      <w:r>
        <w:rPr>
          <w:rFonts w:ascii="Arial" w:hAnsi="Arial" w:cs="Arial"/>
          <w:sz w:val="20"/>
        </w:rPr>
        <w:t xml:space="preserve"> Abernethy sa</w:t>
      </w:r>
      <w:r w:rsidR="00EA58A9">
        <w:rPr>
          <w:rFonts w:ascii="Arial" w:hAnsi="Arial" w:cs="Arial"/>
          <w:sz w:val="20"/>
        </w:rPr>
        <w:t>id</w:t>
      </w:r>
      <w:r>
        <w:rPr>
          <w:rFonts w:ascii="Arial" w:hAnsi="Arial" w:cs="Arial"/>
          <w:sz w:val="20"/>
        </w:rPr>
        <w:t xml:space="preserve">: “This guide helps to ensure that </w:t>
      </w:r>
      <w:r w:rsidRPr="00806118">
        <w:rPr>
          <w:rFonts w:ascii="Arial" w:hAnsi="Arial" w:cs="Arial"/>
          <w:b/>
          <w:sz w:val="20"/>
          <w:u w:val="single"/>
        </w:rPr>
        <w:t>as a nation</w:t>
      </w:r>
      <w:r>
        <w:rPr>
          <w:rFonts w:ascii="Arial" w:hAnsi="Arial" w:cs="Arial"/>
          <w:sz w:val="20"/>
        </w:rPr>
        <w:t>, we equip the bench to do better by babies every day.</w:t>
      </w:r>
      <w:r w:rsidR="00247F8B">
        <w:rPr>
          <w:rFonts w:ascii="Arial" w:hAnsi="Arial" w:cs="Arial"/>
          <w:sz w:val="20"/>
        </w:rPr>
        <w:t>” [emphasis added]</w:t>
      </w:r>
    </w:p>
    <w:p w14:paraId="3F12FB8A" w14:textId="77777777" w:rsidR="006F6E4C" w:rsidRDefault="006F6E4C" w:rsidP="006F6E4C">
      <w:pPr>
        <w:jc w:val="both"/>
        <w:rPr>
          <w:rFonts w:ascii="Arial" w:hAnsi="Arial" w:cs="Arial"/>
          <w:color w:val="000000"/>
          <w:sz w:val="20"/>
        </w:rPr>
      </w:pPr>
    </w:p>
    <w:p w14:paraId="75BE3B0F" w14:textId="77777777" w:rsidR="00FB53EB" w:rsidRDefault="00FB53EB" w:rsidP="00FB53EB">
      <w:pPr>
        <w:pStyle w:val="Heading2"/>
        <w:tabs>
          <w:tab w:val="left" w:pos="567"/>
        </w:tabs>
        <w:spacing w:line="240" w:lineRule="auto"/>
        <w:rPr>
          <w:rFonts w:ascii="Arial" w:hAnsi="Arial" w:cs="Arial"/>
          <w:b/>
          <w:bCs/>
        </w:rPr>
      </w:pPr>
      <w:bookmarkStart w:id="1625" w:name="_4.14.4__Contact"/>
      <w:bookmarkStart w:id="1626" w:name="B4144"/>
      <w:bookmarkStart w:id="1627" w:name="_4.15_Cumulative_harm"/>
      <w:bookmarkStart w:id="1628" w:name="B415"/>
      <w:bookmarkEnd w:id="1625"/>
      <w:bookmarkEnd w:id="1626"/>
      <w:bookmarkEnd w:id="1627"/>
      <w:bookmarkEnd w:id="1628"/>
      <w:r>
        <w:rPr>
          <w:rFonts w:ascii="Arial" w:hAnsi="Arial" w:cs="Arial"/>
          <w:b/>
          <w:bCs/>
        </w:rPr>
        <w:t>4.1</w:t>
      </w:r>
      <w:r w:rsidR="00E14F02">
        <w:rPr>
          <w:rFonts w:ascii="Arial" w:hAnsi="Arial" w:cs="Arial"/>
          <w:b/>
          <w:bCs/>
        </w:rPr>
        <w:t>5</w:t>
      </w:r>
      <w:r>
        <w:rPr>
          <w:rFonts w:ascii="Arial" w:hAnsi="Arial" w:cs="Arial"/>
          <w:b/>
          <w:bCs/>
        </w:rPr>
        <w:tab/>
        <w:t>Cumulative harm</w:t>
      </w:r>
    </w:p>
    <w:p w14:paraId="1DECAD01" w14:textId="77777777" w:rsidR="00FB53EB" w:rsidRDefault="00FB53EB" w:rsidP="00FB53EB">
      <w:pPr>
        <w:rPr>
          <w:rFonts w:ascii="Arial" w:hAnsi="Arial" w:cs="Arial"/>
          <w:sz w:val="16"/>
        </w:rPr>
      </w:pPr>
    </w:p>
    <w:p w14:paraId="1BB5D143" w14:textId="77777777" w:rsidR="00FB53EB" w:rsidRDefault="003216F3" w:rsidP="00FB53EB">
      <w:pPr>
        <w:widowControl w:val="0"/>
        <w:jc w:val="both"/>
        <w:rPr>
          <w:rFonts w:ascii="Arial" w:hAnsi="Arial" w:cs="Arial"/>
          <w:sz w:val="20"/>
        </w:rPr>
      </w:pPr>
      <w:r>
        <w:rPr>
          <w:rFonts w:ascii="Arial" w:hAnsi="Arial" w:cs="Arial"/>
          <w:sz w:val="20"/>
        </w:rPr>
        <w:t xml:space="preserve">Section 162(1) of the CYFA sets out </w:t>
      </w:r>
      <w:r w:rsidR="00E55A14">
        <w:rPr>
          <w:rFonts w:ascii="Arial" w:hAnsi="Arial" w:cs="Arial"/>
          <w:sz w:val="20"/>
        </w:rPr>
        <w:t>six</w:t>
      </w:r>
      <w:r>
        <w:rPr>
          <w:rFonts w:ascii="Arial" w:hAnsi="Arial" w:cs="Arial"/>
          <w:sz w:val="20"/>
        </w:rPr>
        <w:t xml:space="preserve"> </w:t>
      </w:r>
      <w:r w:rsidR="00B355F8">
        <w:rPr>
          <w:rFonts w:ascii="Arial" w:hAnsi="Arial" w:cs="Arial"/>
          <w:sz w:val="20"/>
        </w:rPr>
        <w:t>type</w:t>
      </w:r>
      <w:r>
        <w:rPr>
          <w:rFonts w:ascii="Arial" w:hAnsi="Arial" w:cs="Arial"/>
          <w:sz w:val="20"/>
        </w:rPr>
        <w:t xml:space="preserve">s </w:t>
      </w:r>
      <w:r w:rsidR="00B355F8">
        <w:rPr>
          <w:rFonts w:ascii="Arial" w:hAnsi="Arial" w:cs="Arial"/>
          <w:sz w:val="20"/>
        </w:rPr>
        <w:t xml:space="preserve">of harm, any one of which is sufficient to justify a finding that a child is </w:t>
      </w:r>
      <w:r>
        <w:rPr>
          <w:rFonts w:ascii="Arial" w:hAnsi="Arial" w:cs="Arial"/>
          <w:sz w:val="20"/>
        </w:rPr>
        <w:t xml:space="preserve">in need of protection.  These </w:t>
      </w:r>
      <w:r w:rsidR="00B355F8">
        <w:rPr>
          <w:rFonts w:ascii="Arial" w:hAnsi="Arial" w:cs="Arial"/>
          <w:sz w:val="20"/>
        </w:rPr>
        <w:t xml:space="preserve">grounds, which are in identical terms to those </w:t>
      </w:r>
      <w:r w:rsidR="00DD66EE">
        <w:rPr>
          <w:rFonts w:ascii="Arial" w:hAnsi="Arial" w:cs="Arial"/>
          <w:sz w:val="20"/>
        </w:rPr>
        <w:t xml:space="preserve">which were </w:t>
      </w:r>
      <w:r w:rsidR="00B355F8">
        <w:rPr>
          <w:rFonts w:ascii="Arial" w:hAnsi="Arial" w:cs="Arial"/>
          <w:sz w:val="20"/>
        </w:rPr>
        <w:t xml:space="preserve">in s.63 of the CYPA, </w:t>
      </w:r>
      <w:r>
        <w:rPr>
          <w:rFonts w:ascii="Arial" w:hAnsi="Arial" w:cs="Arial"/>
          <w:sz w:val="20"/>
        </w:rPr>
        <w:t>may be summarized as follows:</w:t>
      </w:r>
    </w:p>
    <w:p w14:paraId="2929BF46" w14:textId="77777777" w:rsidR="00693223" w:rsidRDefault="003216F3" w:rsidP="003216F3">
      <w:pPr>
        <w:jc w:val="both"/>
        <w:rPr>
          <w:rFonts w:ascii="Arial" w:hAnsi="Arial" w:cs="Arial"/>
          <w:sz w:val="20"/>
        </w:rPr>
      </w:pPr>
      <w:r w:rsidRPr="003216F3">
        <w:rPr>
          <w:rFonts w:ascii="Arial" w:hAnsi="Arial" w:cs="Arial"/>
          <w:sz w:val="20"/>
        </w:rPr>
        <w:t>(a</w:t>
      </w:r>
      <w:r>
        <w:rPr>
          <w:rFonts w:ascii="Arial" w:hAnsi="Arial" w:cs="Arial"/>
          <w:sz w:val="20"/>
        </w:rPr>
        <w:t>)</w:t>
      </w:r>
      <w:r>
        <w:rPr>
          <w:rFonts w:ascii="Arial" w:hAnsi="Arial" w:cs="Arial"/>
          <w:sz w:val="20"/>
        </w:rPr>
        <w:tab/>
        <w:t>abandonment;</w:t>
      </w:r>
    </w:p>
    <w:p w14:paraId="419BA24B" w14:textId="77777777" w:rsidR="003216F3" w:rsidRDefault="003216F3" w:rsidP="003216F3">
      <w:pPr>
        <w:jc w:val="both"/>
        <w:rPr>
          <w:rFonts w:ascii="Arial" w:hAnsi="Arial" w:cs="Arial"/>
          <w:sz w:val="20"/>
        </w:rPr>
      </w:pPr>
      <w:r>
        <w:rPr>
          <w:rFonts w:ascii="Arial" w:hAnsi="Arial" w:cs="Arial"/>
          <w:sz w:val="20"/>
        </w:rPr>
        <w:t>(b)</w:t>
      </w:r>
      <w:r>
        <w:rPr>
          <w:rFonts w:ascii="Arial" w:hAnsi="Arial" w:cs="Arial"/>
          <w:sz w:val="20"/>
        </w:rPr>
        <w:tab/>
        <w:t>death or incapacity of parent;</w:t>
      </w:r>
    </w:p>
    <w:p w14:paraId="0AADE420" w14:textId="77777777" w:rsidR="003216F3" w:rsidRDefault="003216F3" w:rsidP="003216F3">
      <w:pPr>
        <w:jc w:val="both"/>
        <w:rPr>
          <w:rFonts w:ascii="Arial" w:hAnsi="Arial" w:cs="Arial"/>
          <w:sz w:val="20"/>
        </w:rPr>
      </w:pPr>
      <w:r>
        <w:rPr>
          <w:rFonts w:ascii="Arial" w:hAnsi="Arial" w:cs="Arial"/>
          <w:sz w:val="20"/>
        </w:rPr>
        <w:t>(c)</w:t>
      </w:r>
      <w:r>
        <w:rPr>
          <w:rFonts w:ascii="Arial" w:hAnsi="Arial" w:cs="Arial"/>
          <w:sz w:val="20"/>
        </w:rPr>
        <w:tab/>
        <w:t>physical abuse;</w:t>
      </w:r>
    </w:p>
    <w:p w14:paraId="4C156109" w14:textId="77777777" w:rsidR="003216F3" w:rsidRDefault="003216F3" w:rsidP="003216F3">
      <w:pPr>
        <w:jc w:val="both"/>
        <w:rPr>
          <w:rFonts w:ascii="Arial" w:hAnsi="Arial" w:cs="Arial"/>
          <w:sz w:val="20"/>
        </w:rPr>
      </w:pPr>
      <w:r>
        <w:rPr>
          <w:rFonts w:ascii="Arial" w:hAnsi="Arial" w:cs="Arial"/>
          <w:sz w:val="20"/>
        </w:rPr>
        <w:t>(d)</w:t>
      </w:r>
      <w:r>
        <w:rPr>
          <w:rFonts w:ascii="Arial" w:hAnsi="Arial" w:cs="Arial"/>
          <w:sz w:val="20"/>
        </w:rPr>
        <w:tab/>
        <w:t>sexual abuse;</w:t>
      </w:r>
    </w:p>
    <w:p w14:paraId="6B38860F" w14:textId="77777777" w:rsidR="003216F3" w:rsidRDefault="003216F3" w:rsidP="003216F3">
      <w:pPr>
        <w:jc w:val="both"/>
        <w:rPr>
          <w:rFonts w:ascii="Arial" w:hAnsi="Arial" w:cs="Arial"/>
          <w:sz w:val="20"/>
        </w:rPr>
      </w:pPr>
      <w:r>
        <w:rPr>
          <w:rFonts w:ascii="Arial" w:hAnsi="Arial" w:cs="Arial"/>
          <w:sz w:val="20"/>
        </w:rPr>
        <w:t>(e)</w:t>
      </w:r>
      <w:r>
        <w:rPr>
          <w:rFonts w:ascii="Arial" w:hAnsi="Arial" w:cs="Arial"/>
          <w:sz w:val="20"/>
        </w:rPr>
        <w:tab/>
        <w:t>emotional/psychological abuse; and</w:t>
      </w:r>
    </w:p>
    <w:p w14:paraId="727BEDF3" w14:textId="77777777" w:rsidR="003216F3" w:rsidRDefault="003216F3" w:rsidP="003216F3">
      <w:pPr>
        <w:jc w:val="both"/>
        <w:rPr>
          <w:rFonts w:ascii="Arial" w:hAnsi="Arial" w:cs="Arial"/>
          <w:sz w:val="20"/>
        </w:rPr>
      </w:pPr>
      <w:r>
        <w:rPr>
          <w:rFonts w:ascii="Arial" w:hAnsi="Arial" w:cs="Arial"/>
          <w:sz w:val="20"/>
        </w:rPr>
        <w:t>(f)</w:t>
      </w:r>
      <w:r>
        <w:rPr>
          <w:rFonts w:ascii="Arial" w:hAnsi="Arial" w:cs="Arial"/>
          <w:sz w:val="20"/>
        </w:rPr>
        <w:tab/>
        <w:t>neglect.</w:t>
      </w:r>
    </w:p>
    <w:p w14:paraId="176470E6" w14:textId="77777777" w:rsidR="003216F3" w:rsidRDefault="00B355F8">
      <w:pPr>
        <w:jc w:val="both"/>
        <w:rPr>
          <w:rFonts w:ascii="Arial" w:hAnsi="Arial" w:cs="Arial"/>
          <w:sz w:val="20"/>
        </w:rPr>
      </w:pPr>
      <w:r>
        <w:rPr>
          <w:rFonts w:ascii="Arial" w:hAnsi="Arial" w:cs="Arial"/>
          <w:sz w:val="20"/>
        </w:rPr>
        <w:t>Grounds (c), (d), (e) &amp; (f) may be proved on the basis of actual harm or likelihood of future harm or both.</w:t>
      </w:r>
    </w:p>
    <w:p w14:paraId="034BF782" w14:textId="77777777" w:rsidR="003216F3" w:rsidRDefault="003216F3">
      <w:pPr>
        <w:jc w:val="both"/>
        <w:rPr>
          <w:rFonts w:ascii="Arial" w:hAnsi="Arial" w:cs="Arial"/>
          <w:sz w:val="20"/>
        </w:rPr>
      </w:pPr>
    </w:p>
    <w:p w14:paraId="1462E270" w14:textId="77777777" w:rsidR="00DD66EE" w:rsidRDefault="00B355F8">
      <w:pPr>
        <w:jc w:val="both"/>
        <w:rPr>
          <w:rFonts w:ascii="Arial" w:hAnsi="Arial" w:cs="Arial"/>
          <w:sz w:val="20"/>
        </w:rPr>
      </w:pPr>
      <w:r>
        <w:rPr>
          <w:rFonts w:ascii="Arial" w:hAnsi="Arial" w:cs="Arial"/>
          <w:sz w:val="20"/>
        </w:rPr>
        <w:t xml:space="preserve">Section 162(2) of the CYFA, which had no equivalent in the CYPA, provides that for the purposes of grounds (c), (d), (e) &amp; (f) the harm may be constituted by a single act, omission or circumstance or accumulate through a series of continuing acts, omissions or circumstances.  Although this statutory enactment of the principle of “cumulative harm” dates only from </w:t>
      </w:r>
      <w:smartTag w:uri="urn:schemas-microsoft-com:office:smarttags" w:element="date">
        <w:smartTagPr>
          <w:attr w:name="Month" w:val="4"/>
          <w:attr w:name="Day" w:val="23"/>
          <w:attr w:name="Year" w:val="2007"/>
        </w:smartTagPr>
        <w:r>
          <w:rPr>
            <w:rFonts w:ascii="Arial" w:hAnsi="Arial" w:cs="Arial"/>
            <w:sz w:val="20"/>
          </w:rPr>
          <w:t>23/04/2007</w:t>
        </w:r>
      </w:smartTag>
      <w:r>
        <w:rPr>
          <w:rFonts w:ascii="Arial" w:hAnsi="Arial" w:cs="Arial"/>
          <w:sz w:val="20"/>
        </w:rPr>
        <w:t xml:space="preserve">, the concept of “cumulative harm” is </w:t>
      </w:r>
      <w:r w:rsidRPr="000D2D81">
        <w:rPr>
          <w:rFonts w:ascii="Arial" w:hAnsi="Arial" w:cs="Arial"/>
          <w:sz w:val="20"/>
        </w:rPr>
        <w:t>not</w:t>
      </w:r>
      <w:r>
        <w:rPr>
          <w:rFonts w:ascii="Arial" w:hAnsi="Arial" w:cs="Arial"/>
          <w:sz w:val="20"/>
        </w:rPr>
        <w:t xml:space="preserve"> new.  It has </w:t>
      </w:r>
      <w:r w:rsidR="00C20A4D">
        <w:rPr>
          <w:rFonts w:ascii="Arial" w:hAnsi="Arial" w:cs="Arial"/>
          <w:sz w:val="20"/>
        </w:rPr>
        <w:t xml:space="preserve">long </w:t>
      </w:r>
      <w:r>
        <w:rPr>
          <w:rFonts w:ascii="Arial" w:hAnsi="Arial" w:cs="Arial"/>
          <w:sz w:val="20"/>
        </w:rPr>
        <w:t xml:space="preserve">been accepted and applied both by the Court and by </w:t>
      </w:r>
      <w:r w:rsidR="00785D2D">
        <w:rPr>
          <w:rFonts w:ascii="Arial" w:hAnsi="Arial" w:cs="Arial"/>
          <w:sz w:val="20"/>
        </w:rPr>
        <w:t>DFFH</w:t>
      </w:r>
      <w:r>
        <w:rPr>
          <w:rFonts w:ascii="Arial" w:hAnsi="Arial" w:cs="Arial"/>
          <w:sz w:val="20"/>
        </w:rPr>
        <w:t>.</w:t>
      </w:r>
    </w:p>
    <w:p w14:paraId="30959C9C" w14:textId="77777777" w:rsidR="00DD66EE" w:rsidRDefault="00DD66EE">
      <w:pPr>
        <w:jc w:val="both"/>
        <w:rPr>
          <w:rFonts w:ascii="Arial" w:hAnsi="Arial" w:cs="Arial"/>
          <w:sz w:val="20"/>
        </w:rPr>
      </w:pPr>
    </w:p>
    <w:p w14:paraId="76A5E6CF" w14:textId="112A75A0" w:rsidR="00DD66EE" w:rsidRPr="000D2D81" w:rsidRDefault="00B355F8" w:rsidP="00D74C22">
      <w:pPr>
        <w:jc w:val="both"/>
        <w:rPr>
          <w:rFonts w:ascii="Arial" w:hAnsi="Arial" w:cs="Arial"/>
          <w:sz w:val="16"/>
          <w:szCs w:val="20"/>
        </w:rPr>
      </w:pPr>
      <w:r>
        <w:rPr>
          <w:rFonts w:ascii="Arial" w:hAnsi="Arial" w:cs="Arial"/>
          <w:sz w:val="20"/>
        </w:rPr>
        <w:t>The Department’s Victorian Risk Framework, which ha</w:t>
      </w:r>
      <w:r w:rsidR="000D2D81">
        <w:rPr>
          <w:rFonts w:ascii="Arial" w:hAnsi="Arial" w:cs="Arial"/>
          <w:sz w:val="20"/>
        </w:rPr>
        <w:t>d</w:t>
      </w:r>
      <w:r>
        <w:rPr>
          <w:rFonts w:ascii="Arial" w:hAnsi="Arial" w:cs="Arial"/>
          <w:sz w:val="20"/>
        </w:rPr>
        <w:t xml:space="preserve"> been the risk assessment tool used by </w:t>
      </w:r>
      <w:r w:rsidR="00785D2D">
        <w:rPr>
          <w:rFonts w:ascii="Arial" w:hAnsi="Arial" w:cs="Arial"/>
          <w:sz w:val="20"/>
        </w:rPr>
        <w:t>DFFH</w:t>
      </w:r>
      <w:r>
        <w:rPr>
          <w:rFonts w:ascii="Arial" w:hAnsi="Arial" w:cs="Arial"/>
          <w:sz w:val="20"/>
        </w:rPr>
        <w:t xml:space="preserve"> since 1999, </w:t>
      </w:r>
      <w:r w:rsidR="00C20A4D">
        <w:rPr>
          <w:rFonts w:ascii="Arial" w:hAnsi="Arial" w:cs="Arial"/>
          <w:sz w:val="20"/>
        </w:rPr>
        <w:t>ha</w:t>
      </w:r>
      <w:r w:rsidR="000D2D81">
        <w:rPr>
          <w:rFonts w:ascii="Arial" w:hAnsi="Arial" w:cs="Arial"/>
          <w:sz w:val="20"/>
        </w:rPr>
        <w:t>d</w:t>
      </w:r>
      <w:r w:rsidR="00C20A4D">
        <w:rPr>
          <w:rFonts w:ascii="Arial" w:hAnsi="Arial" w:cs="Arial"/>
          <w:sz w:val="20"/>
        </w:rPr>
        <w:t xml:space="preserve"> a section labelled “Pattern and history of harm” which is part of every intake investigation.  </w:t>
      </w:r>
      <w:r w:rsidR="00D24B43">
        <w:rPr>
          <w:rFonts w:ascii="Arial" w:hAnsi="Arial" w:cs="Arial"/>
          <w:sz w:val="20"/>
        </w:rPr>
        <w:t>Commencing on 20/11/2021 i</w:t>
      </w:r>
      <w:r w:rsidR="000D2D81">
        <w:rPr>
          <w:rFonts w:ascii="Arial" w:hAnsi="Arial" w:cs="Arial"/>
          <w:sz w:val="20"/>
        </w:rPr>
        <w:t>ts successor, the SAFER children framework guide, states at p.34: “</w:t>
      </w:r>
      <w:r w:rsidR="000D2D81" w:rsidRPr="000D2D81">
        <w:rPr>
          <w:rFonts w:ascii="Arial" w:hAnsi="Arial" w:cs="Arial"/>
          <w:sz w:val="20"/>
          <w:szCs w:val="20"/>
          <w:shd w:val="clear" w:color="auto" w:fill="FFFFFF"/>
        </w:rPr>
        <w:t>You can only complete a good-quality, thorough and holistic assessment of safety and risk in child</w:t>
      </w:r>
      <w:r w:rsidR="000D2D81">
        <w:rPr>
          <w:rFonts w:ascii="Arial" w:hAnsi="Arial" w:cs="Arial"/>
          <w:sz w:val="20"/>
          <w:szCs w:val="20"/>
          <w:shd w:val="clear" w:color="auto" w:fill="FFFFFF"/>
        </w:rPr>
        <w:t xml:space="preserve"> </w:t>
      </w:r>
      <w:r w:rsidR="000D2D81" w:rsidRPr="000D2D81">
        <w:rPr>
          <w:rFonts w:ascii="Arial" w:hAnsi="Arial" w:cs="Arial"/>
          <w:sz w:val="20"/>
          <w:szCs w:val="20"/>
          <w:shd w:val="clear" w:color="auto" w:fill="FFFFFF"/>
        </w:rPr>
        <w:t>protection with sufficient information. We always need to think about the information we have</w:t>
      </w:r>
      <w:r w:rsidR="000D2D81">
        <w:rPr>
          <w:rFonts w:ascii="Arial" w:hAnsi="Arial" w:cs="Arial"/>
          <w:sz w:val="20"/>
          <w:szCs w:val="20"/>
          <w:shd w:val="clear" w:color="auto" w:fill="FFFFFF"/>
        </w:rPr>
        <w:t xml:space="preserve"> </w:t>
      </w:r>
      <w:r w:rsidR="000D2D81" w:rsidRPr="000D2D81">
        <w:rPr>
          <w:rFonts w:ascii="Arial" w:hAnsi="Arial" w:cs="Arial"/>
          <w:sz w:val="20"/>
          <w:szCs w:val="20"/>
          <w:shd w:val="clear" w:color="auto" w:fill="FFFFFF"/>
        </w:rPr>
        <w:t>(including pattern and history to identify</w:t>
      </w:r>
      <w:r w:rsidR="000D2D81">
        <w:rPr>
          <w:rFonts w:ascii="Arial" w:hAnsi="Arial" w:cs="Arial"/>
          <w:sz w:val="20"/>
          <w:szCs w:val="20"/>
          <w:shd w:val="clear" w:color="auto" w:fill="FFFFFF"/>
        </w:rPr>
        <w:t xml:space="preserve"> cumulative harm)</w:t>
      </w:r>
      <w:r w:rsidR="000D2D81" w:rsidRPr="000D2D81">
        <w:rPr>
          <w:rFonts w:ascii="Arial" w:hAnsi="Arial" w:cs="Arial"/>
          <w:sz w:val="20"/>
          <w:szCs w:val="20"/>
          <w:shd w:val="clear" w:color="auto" w:fill="FFFFFF"/>
        </w:rPr>
        <w:t xml:space="preserve"> and whether it is sufficient to make</w:t>
      </w:r>
      <w:r w:rsidR="000D2D81">
        <w:rPr>
          <w:rFonts w:ascii="Arial" w:hAnsi="Arial" w:cs="Arial"/>
          <w:sz w:val="20"/>
          <w:szCs w:val="20"/>
          <w:shd w:val="clear" w:color="auto" w:fill="FFFFFF"/>
        </w:rPr>
        <w:t xml:space="preserve"> </w:t>
      </w:r>
      <w:r w:rsidR="000D2D81" w:rsidRPr="000D2D81">
        <w:rPr>
          <w:rFonts w:ascii="Arial" w:hAnsi="Arial" w:cs="Arial"/>
          <w:sz w:val="20"/>
          <w:szCs w:val="20"/>
          <w:shd w:val="clear" w:color="auto" w:fill="FFFFFF"/>
        </w:rPr>
        <w:t>decisions</w:t>
      </w:r>
      <w:r w:rsidR="000D2D81">
        <w:rPr>
          <w:rFonts w:ascii="Arial" w:hAnsi="Arial" w:cs="Arial"/>
          <w:sz w:val="20"/>
          <w:szCs w:val="20"/>
          <w:shd w:val="clear" w:color="auto" w:fill="FFFFFF"/>
        </w:rPr>
        <w:t xml:space="preserve">.”  </w:t>
      </w:r>
      <w:r w:rsidR="00C20A4D">
        <w:rPr>
          <w:rFonts w:ascii="Arial" w:hAnsi="Arial" w:cs="Arial"/>
          <w:sz w:val="20"/>
        </w:rPr>
        <w:t xml:space="preserve">For many years, the Department’s court reports have included a section listing the </w:t>
      </w:r>
      <w:r w:rsidR="00A54088">
        <w:rPr>
          <w:rFonts w:ascii="Arial" w:hAnsi="Arial" w:cs="Arial"/>
          <w:sz w:val="20"/>
        </w:rPr>
        <w:t>details</w:t>
      </w:r>
      <w:r w:rsidR="00C20A4D">
        <w:rPr>
          <w:rFonts w:ascii="Arial" w:hAnsi="Arial" w:cs="Arial"/>
          <w:sz w:val="20"/>
        </w:rPr>
        <w:t xml:space="preserve"> of any earlier involvement which the Department had had with the subject child &amp; family.</w:t>
      </w:r>
    </w:p>
    <w:p w14:paraId="5D5BF604" w14:textId="77777777" w:rsidR="000D2D81" w:rsidRDefault="000D2D81">
      <w:pPr>
        <w:jc w:val="both"/>
        <w:rPr>
          <w:rFonts w:ascii="Arial" w:hAnsi="Arial" w:cs="Arial"/>
          <w:sz w:val="20"/>
        </w:rPr>
      </w:pPr>
    </w:p>
    <w:p w14:paraId="3D1BE871" w14:textId="77777777" w:rsidR="00B355F8" w:rsidRDefault="00DD66EE">
      <w:pPr>
        <w:jc w:val="both"/>
        <w:rPr>
          <w:rFonts w:ascii="Arial" w:hAnsi="Arial" w:cs="Arial"/>
          <w:sz w:val="20"/>
        </w:rPr>
      </w:pPr>
      <w:r>
        <w:rPr>
          <w:rFonts w:ascii="Arial" w:hAnsi="Arial" w:cs="Arial"/>
          <w:sz w:val="20"/>
        </w:rPr>
        <w:t>F</w:t>
      </w:r>
      <w:r w:rsidR="00C20A4D">
        <w:rPr>
          <w:rFonts w:ascii="Arial" w:hAnsi="Arial" w:cs="Arial"/>
          <w:sz w:val="20"/>
        </w:rPr>
        <w:t>or its part, the Court ha</w:t>
      </w:r>
      <w:r w:rsidR="00A54088">
        <w:rPr>
          <w:rFonts w:ascii="Arial" w:hAnsi="Arial" w:cs="Arial"/>
          <w:sz w:val="20"/>
        </w:rPr>
        <w:t>s</w:t>
      </w:r>
      <w:r w:rsidR="00C20A4D">
        <w:rPr>
          <w:rFonts w:ascii="Arial" w:hAnsi="Arial" w:cs="Arial"/>
          <w:sz w:val="20"/>
        </w:rPr>
        <w:t xml:space="preserve"> </w:t>
      </w:r>
      <w:r w:rsidR="00DC7D04">
        <w:rPr>
          <w:rFonts w:ascii="Arial" w:hAnsi="Arial" w:cs="Arial"/>
          <w:sz w:val="20"/>
        </w:rPr>
        <w:t>regularly</w:t>
      </w:r>
      <w:r w:rsidR="00C20A4D">
        <w:rPr>
          <w:rFonts w:ascii="Arial" w:hAnsi="Arial" w:cs="Arial"/>
          <w:sz w:val="20"/>
        </w:rPr>
        <w:t xml:space="preserve"> </w:t>
      </w:r>
      <w:r>
        <w:rPr>
          <w:rFonts w:ascii="Arial" w:hAnsi="Arial" w:cs="Arial"/>
          <w:sz w:val="20"/>
        </w:rPr>
        <w:t>taken into account the notion</w:t>
      </w:r>
      <w:r w:rsidR="00796994">
        <w:rPr>
          <w:rFonts w:ascii="Arial" w:hAnsi="Arial" w:cs="Arial"/>
          <w:sz w:val="20"/>
        </w:rPr>
        <w:t>s</w:t>
      </w:r>
      <w:r>
        <w:rPr>
          <w:rFonts w:ascii="Arial" w:hAnsi="Arial" w:cs="Arial"/>
          <w:sz w:val="20"/>
        </w:rPr>
        <w:t xml:space="preserve"> of cumulative harm</w:t>
      </w:r>
      <w:r w:rsidR="00796994">
        <w:rPr>
          <w:rFonts w:ascii="Arial" w:hAnsi="Arial" w:cs="Arial"/>
          <w:sz w:val="20"/>
        </w:rPr>
        <w:t xml:space="preserve"> and cumulative risk of harm</w:t>
      </w:r>
      <w:r>
        <w:rPr>
          <w:rFonts w:ascii="Arial" w:hAnsi="Arial" w:cs="Arial"/>
          <w:sz w:val="20"/>
        </w:rPr>
        <w:t xml:space="preserve">, </w:t>
      </w:r>
      <w:r w:rsidR="00C20A4D">
        <w:rPr>
          <w:rFonts w:ascii="Arial" w:hAnsi="Arial" w:cs="Arial"/>
          <w:sz w:val="20"/>
        </w:rPr>
        <w:t>appl</w:t>
      </w:r>
      <w:r>
        <w:rPr>
          <w:rFonts w:ascii="Arial" w:hAnsi="Arial" w:cs="Arial"/>
          <w:sz w:val="20"/>
        </w:rPr>
        <w:t>ying where appropriate</w:t>
      </w:r>
      <w:r w:rsidR="00C20A4D">
        <w:rPr>
          <w:rFonts w:ascii="Arial" w:hAnsi="Arial" w:cs="Arial"/>
          <w:sz w:val="20"/>
        </w:rPr>
        <w:t xml:space="preserve"> dicta of Lord Nicholls of Birkenhead (with whom Lord Goff of Chiefly &amp; Lord Mustill agreed) in </w:t>
      </w:r>
      <w:r w:rsidR="00B355F8">
        <w:rPr>
          <w:rFonts w:ascii="Arial" w:hAnsi="Arial" w:cs="Arial"/>
          <w:i/>
          <w:iCs/>
          <w:sz w:val="20"/>
        </w:rPr>
        <w:t>In re H. &amp; Others (Minors)(Sexual Abuse: Standard of Proof)</w:t>
      </w:r>
      <w:r w:rsidR="00C20A4D">
        <w:rPr>
          <w:rFonts w:ascii="Arial" w:hAnsi="Arial" w:cs="Arial"/>
          <w:sz w:val="20"/>
        </w:rPr>
        <w:t xml:space="preserve"> [1996] AC 563 </w:t>
      </w:r>
      <w:r w:rsidR="00B355F8">
        <w:rPr>
          <w:rFonts w:ascii="Arial" w:hAnsi="Arial" w:cs="Arial"/>
          <w:sz w:val="20"/>
        </w:rPr>
        <w:t>at p.5</w:t>
      </w:r>
      <w:r w:rsidR="00C20A4D">
        <w:rPr>
          <w:rFonts w:ascii="Arial" w:hAnsi="Arial" w:cs="Arial"/>
          <w:sz w:val="20"/>
        </w:rPr>
        <w:t>91</w:t>
      </w:r>
      <w:r w:rsidR="00B355F8">
        <w:rPr>
          <w:rFonts w:ascii="Arial" w:hAnsi="Arial" w:cs="Arial"/>
          <w:sz w:val="20"/>
        </w:rPr>
        <w:t>:</w:t>
      </w:r>
    </w:p>
    <w:p w14:paraId="72B114B5" w14:textId="77777777" w:rsidR="00C20A4D" w:rsidRDefault="00C20A4D" w:rsidP="00D74C22">
      <w:pPr>
        <w:spacing w:before="60"/>
        <w:ind w:left="567" w:right="567"/>
        <w:jc w:val="both"/>
        <w:rPr>
          <w:rFonts w:ascii="Arial" w:hAnsi="Arial" w:cs="Arial"/>
          <w:sz w:val="20"/>
        </w:rPr>
      </w:pPr>
      <w:r>
        <w:rPr>
          <w:rFonts w:ascii="Arial" w:hAnsi="Arial" w:cs="Arial"/>
          <w:sz w:val="20"/>
        </w:rPr>
        <w:t>“The range of facts which may properly be taken into account [in determining whether a child is in need of protection] is infinite.  Facts include the history of members of the family, the state of relationships within a family, proposed changes within the membership of a</w:t>
      </w:r>
      <w:r w:rsidR="00A54088">
        <w:rPr>
          <w:rFonts w:ascii="Arial" w:hAnsi="Arial" w:cs="Arial"/>
          <w:sz w:val="20"/>
        </w:rPr>
        <w:t xml:space="preserve"> family, parental attitudes, and omissions which might not reasonably have been expected, just as much as actual physical assaults.  They include threats, and abnormal behaviour by a child…</w:t>
      </w:r>
      <w:r w:rsidR="00A54088" w:rsidRPr="0078379C">
        <w:rPr>
          <w:rFonts w:ascii="Arial" w:hAnsi="Arial" w:cs="Arial"/>
          <w:b/>
          <w:sz w:val="20"/>
          <w:u w:val="single"/>
        </w:rPr>
        <w:t>And facts which are minor or even trivial if considered in isolation, when taken together, may suffice to satisfy the court of the likelihood of future harm.</w:t>
      </w:r>
      <w:r w:rsidR="00A54088">
        <w:rPr>
          <w:rFonts w:ascii="Arial" w:hAnsi="Arial" w:cs="Arial"/>
          <w:sz w:val="20"/>
        </w:rPr>
        <w:t xml:space="preserve">” [emphasis </w:t>
      </w:r>
      <w:r w:rsidR="0078379C">
        <w:rPr>
          <w:rFonts w:ascii="Arial" w:hAnsi="Arial" w:cs="Arial"/>
          <w:sz w:val="20"/>
        </w:rPr>
        <w:t>by the writer</w:t>
      </w:r>
      <w:r w:rsidR="00A54088">
        <w:rPr>
          <w:rFonts w:ascii="Arial" w:hAnsi="Arial" w:cs="Arial"/>
          <w:sz w:val="20"/>
        </w:rPr>
        <w:t>]</w:t>
      </w:r>
    </w:p>
    <w:p w14:paraId="0E7465E8" w14:textId="77777777" w:rsidR="00B355F8" w:rsidRDefault="00B355F8">
      <w:pPr>
        <w:jc w:val="both"/>
        <w:rPr>
          <w:rFonts w:ascii="Arial" w:hAnsi="Arial" w:cs="Arial"/>
          <w:sz w:val="20"/>
        </w:rPr>
      </w:pPr>
    </w:p>
    <w:p w14:paraId="22763C64" w14:textId="77777777" w:rsidR="00A54088" w:rsidRDefault="00DD66EE">
      <w:pPr>
        <w:jc w:val="both"/>
        <w:rPr>
          <w:rFonts w:ascii="Arial" w:hAnsi="Arial" w:cs="Arial"/>
          <w:sz w:val="20"/>
        </w:rPr>
      </w:pPr>
      <w:r>
        <w:rPr>
          <w:rFonts w:ascii="Arial" w:hAnsi="Arial" w:cs="Arial"/>
          <w:sz w:val="20"/>
        </w:rPr>
        <w:t xml:space="preserve">Why, then, was it deemed necessary to include a specific statutory provision to deal with the issue of cumulative harm?  The explanation given by Ms Robyn Miller at p.11 of her paper “Cumulative </w:t>
      </w:r>
      <w:r w:rsidR="002572B5">
        <w:rPr>
          <w:rFonts w:ascii="Arial" w:hAnsi="Arial" w:cs="Arial"/>
          <w:sz w:val="20"/>
        </w:rPr>
        <w:t>H</w:t>
      </w:r>
      <w:r>
        <w:rPr>
          <w:rFonts w:ascii="Arial" w:hAnsi="Arial" w:cs="Arial"/>
          <w:sz w:val="20"/>
        </w:rPr>
        <w:t xml:space="preserve">arm: </w:t>
      </w:r>
      <w:r w:rsidR="002572B5">
        <w:rPr>
          <w:rFonts w:ascii="Arial" w:hAnsi="Arial" w:cs="Arial"/>
          <w:sz w:val="20"/>
        </w:rPr>
        <w:t>A</w:t>
      </w:r>
      <w:r>
        <w:rPr>
          <w:rFonts w:ascii="Arial" w:hAnsi="Arial" w:cs="Arial"/>
          <w:sz w:val="20"/>
        </w:rPr>
        <w:t xml:space="preserve"> </w:t>
      </w:r>
      <w:r w:rsidR="002572B5">
        <w:rPr>
          <w:rFonts w:ascii="Arial" w:hAnsi="Arial" w:cs="Arial"/>
          <w:sz w:val="20"/>
        </w:rPr>
        <w:t>C</w:t>
      </w:r>
      <w:r>
        <w:rPr>
          <w:rFonts w:ascii="Arial" w:hAnsi="Arial" w:cs="Arial"/>
          <w:sz w:val="20"/>
        </w:rPr>
        <w:t xml:space="preserve">onceptual </w:t>
      </w:r>
      <w:r w:rsidR="002572B5">
        <w:rPr>
          <w:rFonts w:ascii="Arial" w:hAnsi="Arial" w:cs="Arial"/>
          <w:sz w:val="20"/>
        </w:rPr>
        <w:t>O</w:t>
      </w:r>
      <w:r>
        <w:rPr>
          <w:rFonts w:ascii="Arial" w:hAnsi="Arial" w:cs="Arial"/>
          <w:sz w:val="20"/>
        </w:rPr>
        <w:t xml:space="preserve">verview” </w:t>
      </w:r>
      <w:r w:rsidR="0055674E">
        <w:rPr>
          <w:rFonts w:ascii="Arial" w:hAnsi="Arial" w:cs="Arial"/>
          <w:sz w:val="20"/>
        </w:rPr>
        <w:t>dated December 2006</w:t>
      </w:r>
      <w:r w:rsidR="007726E2">
        <w:rPr>
          <w:rFonts w:ascii="Arial" w:hAnsi="Arial" w:cs="Arial"/>
          <w:sz w:val="20"/>
        </w:rPr>
        <w:t xml:space="preserve"> </w:t>
      </w:r>
      <w:r>
        <w:rPr>
          <w:rFonts w:ascii="Arial" w:hAnsi="Arial" w:cs="Arial"/>
          <w:sz w:val="20"/>
        </w:rPr>
        <w:t>is as follows:</w:t>
      </w:r>
    </w:p>
    <w:p w14:paraId="2CF78A44" w14:textId="77777777" w:rsidR="00DD66EE" w:rsidRDefault="00DD66EE" w:rsidP="00D74C22">
      <w:pPr>
        <w:spacing w:before="60"/>
        <w:ind w:left="567" w:right="567"/>
        <w:jc w:val="both"/>
        <w:rPr>
          <w:rFonts w:ascii="Arial" w:hAnsi="Arial" w:cs="Arial"/>
          <w:sz w:val="20"/>
        </w:rPr>
      </w:pPr>
      <w:r>
        <w:rPr>
          <w:rFonts w:ascii="Arial" w:hAnsi="Arial" w:cs="Arial"/>
          <w:sz w:val="20"/>
        </w:rPr>
        <w:t xml:space="preserve">“The intention of the previous Act was to respond to vulnerable children and families in respectful, appropriate ways using the minimum intervention required.  One of the </w:t>
      </w:r>
      <w:r w:rsidRPr="00DD66EE">
        <w:rPr>
          <w:rFonts w:ascii="Arial" w:hAnsi="Arial" w:cs="Arial"/>
          <w:b/>
          <w:sz w:val="20"/>
        </w:rPr>
        <w:t>unintended</w:t>
      </w:r>
      <w:r>
        <w:rPr>
          <w:rFonts w:ascii="Arial" w:hAnsi="Arial" w:cs="Arial"/>
          <w:sz w:val="20"/>
        </w:rPr>
        <w:t xml:space="preserve"> consequences of the practice, which developed from the </w:t>
      </w:r>
      <w:r w:rsidRPr="00DD66EE">
        <w:rPr>
          <w:rFonts w:ascii="Arial" w:hAnsi="Arial" w:cs="Arial"/>
          <w:i/>
          <w:sz w:val="20"/>
        </w:rPr>
        <w:t>Children and Young Persons Act 1989</w:t>
      </w:r>
      <w:r>
        <w:rPr>
          <w:rFonts w:ascii="Arial" w:hAnsi="Arial" w:cs="Arial"/>
          <w:sz w:val="20"/>
        </w:rPr>
        <w:t>, is that intake and initial investigations were increasingly based on episodic assessments, which were focused on immediate risk and safety, and less focussed on the developmental wellbeing of children, and patterns of abuse and neglect over time.”</w:t>
      </w:r>
    </w:p>
    <w:p w14:paraId="2F80268D" w14:textId="77777777" w:rsidR="00DD66EE" w:rsidRDefault="00DD66EE">
      <w:pPr>
        <w:jc w:val="both"/>
        <w:rPr>
          <w:rFonts w:ascii="Arial" w:hAnsi="Arial" w:cs="Arial"/>
          <w:sz w:val="20"/>
        </w:rPr>
      </w:pPr>
    </w:p>
    <w:p w14:paraId="6253AC83" w14:textId="77777777" w:rsidR="00DD66EE" w:rsidRDefault="007726E2">
      <w:pPr>
        <w:jc w:val="both"/>
        <w:rPr>
          <w:rFonts w:ascii="Arial" w:hAnsi="Arial" w:cs="Arial"/>
          <w:sz w:val="20"/>
        </w:rPr>
      </w:pPr>
      <w:r>
        <w:rPr>
          <w:rFonts w:ascii="Arial" w:hAnsi="Arial" w:cs="Arial"/>
          <w:sz w:val="20"/>
        </w:rPr>
        <w:t xml:space="preserve">It is not the experience of </w:t>
      </w:r>
      <w:r w:rsidR="009A1245">
        <w:rPr>
          <w:rFonts w:ascii="Arial" w:hAnsi="Arial" w:cs="Arial"/>
          <w:sz w:val="20"/>
        </w:rPr>
        <w:t xml:space="preserve">former </w:t>
      </w:r>
      <w:r w:rsidR="0036761C">
        <w:rPr>
          <w:rFonts w:ascii="Arial" w:hAnsi="Arial" w:cs="Arial"/>
          <w:sz w:val="20"/>
        </w:rPr>
        <w:t>Magistrate Power</w:t>
      </w:r>
      <w:r>
        <w:rPr>
          <w:rFonts w:ascii="Arial" w:hAnsi="Arial" w:cs="Arial"/>
          <w:sz w:val="20"/>
        </w:rPr>
        <w:t xml:space="preserve"> that in Court cases the Department’s focus was so restricted but it must be remembered that only a </w:t>
      </w:r>
      <w:r w:rsidR="00796994">
        <w:rPr>
          <w:rFonts w:ascii="Arial" w:hAnsi="Arial" w:cs="Arial"/>
          <w:sz w:val="20"/>
        </w:rPr>
        <w:t xml:space="preserve">comparatively </w:t>
      </w:r>
      <w:r>
        <w:rPr>
          <w:rFonts w:ascii="Arial" w:hAnsi="Arial" w:cs="Arial"/>
          <w:sz w:val="20"/>
        </w:rPr>
        <w:t xml:space="preserve">small percentage of reports of child abuse eventually find their way to a Court </w:t>
      </w:r>
      <w:r w:rsidR="0036761C">
        <w:rPr>
          <w:rFonts w:ascii="Arial" w:hAnsi="Arial" w:cs="Arial"/>
          <w:sz w:val="20"/>
        </w:rPr>
        <w:t>case and an even smaller percentage find their way to a contested Court hearing</w:t>
      </w:r>
      <w:r>
        <w:rPr>
          <w:rFonts w:ascii="Arial" w:hAnsi="Arial" w:cs="Arial"/>
          <w:sz w:val="20"/>
        </w:rPr>
        <w:t>.</w:t>
      </w:r>
    </w:p>
    <w:p w14:paraId="3F0E0DC2" w14:textId="77777777" w:rsidR="00DD66EE" w:rsidRDefault="00DD66EE">
      <w:pPr>
        <w:jc w:val="both"/>
        <w:rPr>
          <w:rFonts w:ascii="Arial" w:hAnsi="Arial" w:cs="Arial"/>
          <w:sz w:val="20"/>
        </w:rPr>
      </w:pPr>
    </w:p>
    <w:p w14:paraId="1932A219" w14:textId="2CD01340" w:rsidR="00DD66EE" w:rsidRDefault="007726E2">
      <w:pPr>
        <w:jc w:val="both"/>
        <w:rPr>
          <w:rFonts w:ascii="Arial" w:hAnsi="Arial" w:cs="Arial"/>
          <w:sz w:val="20"/>
        </w:rPr>
      </w:pPr>
      <w:r>
        <w:rPr>
          <w:rFonts w:ascii="Arial" w:hAnsi="Arial" w:cs="Arial"/>
          <w:sz w:val="20"/>
        </w:rPr>
        <w:t xml:space="preserve">In her paper Ms Robyn Miller defines </w:t>
      </w:r>
      <w:r w:rsidR="00C45717">
        <w:rPr>
          <w:rFonts w:ascii="Arial" w:hAnsi="Arial" w:cs="Arial"/>
          <w:sz w:val="20"/>
        </w:rPr>
        <w:t>cumulative harm as “the effects of patterns of circumstances in a child’s life, which diminish a child’s sense of safety, stability and wellbeing” resulting from “compounded experiences of multiple episodes of abuse or ‘layers’ of neglect”.</w:t>
      </w:r>
      <w:r w:rsidR="009E48F2">
        <w:rPr>
          <w:rFonts w:ascii="Arial" w:hAnsi="Arial" w:cs="Arial"/>
          <w:sz w:val="20"/>
        </w:rPr>
        <w:t xml:space="preserve">  She goes on to discuss various manifestations of </w:t>
      </w:r>
      <w:r>
        <w:rPr>
          <w:rFonts w:ascii="Arial" w:hAnsi="Arial" w:cs="Arial"/>
          <w:sz w:val="20"/>
        </w:rPr>
        <w:t>cumulative harm and provides a conceptual overview of the issue.  The hist</w:t>
      </w:r>
      <w:r w:rsidR="009E48F2">
        <w:rPr>
          <w:rFonts w:ascii="Arial" w:hAnsi="Arial" w:cs="Arial"/>
          <w:sz w:val="20"/>
        </w:rPr>
        <w:t xml:space="preserve">orical context is discussed, </w:t>
      </w:r>
      <w:r>
        <w:rPr>
          <w:rFonts w:ascii="Arial" w:hAnsi="Arial" w:cs="Arial"/>
          <w:sz w:val="20"/>
        </w:rPr>
        <w:t xml:space="preserve">the theoretical underpinnings </w:t>
      </w:r>
      <w:r w:rsidR="009E48F2">
        <w:rPr>
          <w:rFonts w:ascii="Arial" w:hAnsi="Arial" w:cs="Arial"/>
          <w:sz w:val="20"/>
        </w:rPr>
        <w:t xml:space="preserve">are </w:t>
      </w:r>
      <w:r>
        <w:rPr>
          <w:rFonts w:ascii="Arial" w:hAnsi="Arial" w:cs="Arial"/>
          <w:sz w:val="20"/>
        </w:rPr>
        <w:t>explored and a range of relevant paradigms and research is presented under various headings, including:</w:t>
      </w:r>
    </w:p>
    <w:p w14:paraId="46814BA9"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Culture</w:t>
      </w:r>
    </w:p>
    <w:p w14:paraId="69405D2C"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The impact of cumulative harm on early brain development</w:t>
      </w:r>
    </w:p>
    <w:p w14:paraId="65434576"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Cumulative harm and childhood trauma</w:t>
      </w:r>
    </w:p>
    <w:p w14:paraId="60CCAFF5"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The impact of nurture on nature</w:t>
      </w:r>
    </w:p>
    <w:p w14:paraId="27874005"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Cumulative harm and neglect</w:t>
      </w:r>
    </w:p>
    <w:p w14:paraId="0AAFB685"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The cumulative impact of family violence on development</w:t>
      </w:r>
    </w:p>
    <w:p w14:paraId="11F9B05C"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Early childhood development and cumulative harm</w:t>
      </w:r>
    </w:p>
    <w:p w14:paraId="32EF7B0F" w14:textId="77777777" w:rsidR="007726E2" w:rsidRDefault="007726E2" w:rsidP="00BA6FBE">
      <w:pPr>
        <w:numPr>
          <w:ilvl w:val="0"/>
          <w:numId w:val="3"/>
        </w:numPr>
        <w:ind w:left="284" w:hanging="284"/>
        <w:jc w:val="both"/>
        <w:rPr>
          <w:rFonts w:ascii="Arial" w:hAnsi="Arial" w:cs="Arial"/>
          <w:sz w:val="20"/>
        </w:rPr>
      </w:pPr>
      <w:r>
        <w:rPr>
          <w:rFonts w:ascii="Arial" w:hAnsi="Arial" w:cs="Arial"/>
          <w:sz w:val="20"/>
        </w:rPr>
        <w:t>Broad practice implications</w:t>
      </w:r>
    </w:p>
    <w:p w14:paraId="2850CCC9" w14:textId="77777777" w:rsidR="007726E2" w:rsidRDefault="00C45717">
      <w:pPr>
        <w:jc w:val="both"/>
        <w:rPr>
          <w:rFonts w:ascii="Arial" w:hAnsi="Arial" w:cs="Arial"/>
          <w:sz w:val="20"/>
        </w:rPr>
      </w:pPr>
      <w:r>
        <w:rPr>
          <w:rFonts w:ascii="Arial" w:hAnsi="Arial" w:cs="Arial"/>
          <w:sz w:val="20"/>
        </w:rPr>
        <w:t>While the paper presents an academic discussion of the issues relating to cumulative harm, its aim is to engage workers in the field with the experience of children and young people whose lives are dynamic, evolving and vulnerable to cumulative harm, particularly at the hands of those who are meant to care for and protect them.</w:t>
      </w:r>
    </w:p>
    <w:p w14:paraId="3ECD08CC" w14:textId="77777777" w:rsidR="003216F3" w:rsidRDefault="003216F3">
      <w:pPr>
        <w:jc w:val="both"/>
        <w:rPr>
          <w:rFonts w:ascii="Arial" w:hAnsi="Arial" w:cs="Arial"/>
          <w:sz w:val="20"/>
        </w:rPr>
      </w:pPr>
    </w:p>
    <w:p w14:paraId="5AD7426A" w14:textId="77777777" w:rsidR="00796994" w:rsidRDefault="00796994">
      <w:pPr>
        <w:jc w:val="both"/>
        <w:rPr>
          <w:rFonts w:ascii="Arial" w:hAnsi="Arial" w:cs="Arial"/>
          <w:sz w:val="20"/>
        </w:rPr>
      </w:pPr>
      <w:r>
        <w:rPr>
          <w:rFonts w:ascii="Arial" w:hAnsi="Arial" w:cs="Arial"/>
          <w:sz w:val="20"/>
        </w:rPr>
        <w:lastRenderedPageBreak/>
        <w:t xml:space="preserve">In </w:t>
      </w:r>
      <w:r w:rsidRPr="00796994">
        <w:rPr>
          <w:rFonts w:ascii="Arial" w:hAnsi="Arial" w:cs="Arial"/>
          <w:i/>
          <w:sz w:val="20"/>
        </w:rPr>
        <w:t>DOHS v Mr D &amp; Ms W</w:t>
      </w:r>
      <w:r>
        <w:rPr>
          <w:rFonts w:ascii="Arial" w:hAnsi="Arial" w:cs="Arial"/>
          <w:sz w:val="20"/>
        </w:rPr>
        <w:t xml:space="preserve"> [2009] </w:t>
      </w:r>
      <w:proofErr w:type="spellStart"/>
      <w:r w:rsidR="00C74768">
        <w:rPr>
          <w:rFonts w:ascii="Arial" w:hAnsi="Arial" w:cs="Arial"/>
          <w:sz w:val="20"/>
        </w:rPr>
        <w:t>VChC</w:t>
      </w:r>
      <w:proofErr w:type="spellEnd"/>
      <w:r w:rsidR="00C74768">
        <w:rPr>
          <w:rFonts w:ascii="Arial" w:hAnsi="Arial" w:cs="Arial"/>
          <w:sz w:val="20"/>
        </w:rPr>
        <w:t xml:space="preserve"> 1 </w:t>
      </w:r>
      <w:r>
        <w:rPr>
          <w:rFonts w:ascii="Arial" w:hAnsi="Arial" w:cs="Arial"/>
          <w:sz w:val="20"/>
        </w:rPr>
        <w:t>at pp.94-95, Power M discuss</w:t>
      </w:r>
      <w:r w:rsidR="002572B5">
        <w:rPr>
          <w:rFonts w:ascii="Arial" w:hAnsi="Arial" w:cs="Arial"/>
          <w:sz w:val="20"/>
        </w:rPr>
        <w:t>ed</w:t>
      </w:r>
      <w:r>
        <w:rPr>
          <w:rFonts w:ascii="Arial" w:hAnsi="Arial" w:cs="Arial"/>
          <w:sz w:val="20"/>
        </w:rPr>
        <w:t xml:space="preserve"> what he termed “The Misunderstood Concept of ‘Cumulative Harm’”:</w:t>
      </w:r>
    </w:p>
    <w:p w14:paraId="0F1BC137" w14:textId="77777777" w:rsidR="00796994" w:rsidRPr="00DC7D04" w:rsidRDefault="00796994" w:rsidP="00F04E13">
      <w:pPr>
        <w:spacing w:before="60"/>
        <w:ind w:left="567" w:right="567"/>
        <w:jc w:val="both"/>
        <w:rPr>
          <w:rFonts w:ascii="Arial" w:hAnsi="Arial" w:cs="Arial"/>
          <w:sz w:val="20"/>
        </w:rPr>
      </w:pPr>
      <w:r>
        <w:rPr>
          <w:rFonts w:ascii="Arial" w:hAnsi="Arial" w:cs="Arial"/>
          <w:sz w:val="20"/>
        </w:rPr>
        <w:t xml:space="preserve">“In their reports [the protective workers] have cut and pasted part of Robyn Miller’s paper </w:t>
      </w:r>
      <w:r w:rsidR="00F83923">
        <w:rPr>
          <w:rFonts w:ascii="Arial" w:hAnsi="Arial" w:cs="Arial"/>
          <w:sz w:val="20"/>
        </w:rPr>
        <w:t>‘</w:t>
      </w:r>
      <w:r w:rsidR="00DC7D04" w:rsidRPr="00DC7D04">
        <w:rPr>
          <w:rFonts w:ascii="Arial" w:hAnsi="Arial" w:cs="Arial"/>
          <w:sz w:val="20"/>
        </w:rPr>
        <w:t xml:space="preserve">Cumulative Harm: </w:t>
      </w:r>
      <w:r w:rsidR="0055674E">
        <w:rPr>
          <w:rFonts w:ascii="Arial" w:hAnsi="Arial" w:cs="Arial"/>
          <w:sz w:val="20"/>
        </w:rPr>
        <w:t>A</w:t>
      </w:r>
      <w:r w:rsidR="00DC7D04" w:rsidRPr="00DC7D04">
        <w:rPr>
          <w:rFonts w:ascii="Arial" w:hAnsi="Arial" w:cs="Arial"/>
          <w:sz w:val="20"/>
        </w:rPr>
        <w:t xml:space="preserve"> Co</w:t>
      </w:r>
      <w:r w:rsidR="002572B5">
        <w:rPr>
          <w:rFonts w:ascii="Arial" w:hAnsi="Arial" w:cs="Arial"/>
          <w:sz w:val="20"/>
        </w:rPr>
        <w:t>nceptual Overview</w:t>
      </w:r>
      <w:r w:rsidR="00F83923">
        <w:rPr>
          <w:rFonts w:ascii="Arial" w:hAnsi="Arial" w:cs="Arial"/>
          <w:sz w:val="20"/>
        </w:rPr>
        <w:t>’</w:t>
      </w:r>
      <w:r w:rsidR="002572B5">
        <w:rPr>
          <w:rFonts w:ascii="Arial" w:hAnsi="Arial" w:cs="Arial"/>
          <w:sz w:val="20"/>
        </w:rPr>
        <w:t xml:space="preserve">, </w:t>
      </w:r>
      <w:r w:rsidR="00DC7D04" w:rsidRPr="00DC7D04">
        <w:rPr>
          <w:rFonts w:ascii="Arial" w:hAnsi="Arial" w:cs="Arial"/>
          <w:sz w:val="20"/>
        </w:rPr>
        <w:t>December 2006</w:t>
      </w:r>
      <w:r w:rsidR="002572B5">
        <w:rPr>
          <w:rFonts w:ascii="Arial" w:hAnsi="Arial" w:cs="Arial"/>
          <w:sz w:val="20"/>
        </w:rPr>
        <w:t>,</w:t>
      </w:r>
      <w:r w:rsidR="00DC7D04" w:rsidRPr="00DC7D04">
        <w:rPr>
          <w:rFonts w:ascii="Arial" w:hAnsi="Arial" w:cs="Arial"/>
          <w:sz w:val="20"/>
        </w:rPr>
        <w:t xml:space="preserve"> p.3</w:t>
      </w:r>
      <w:r w:rsidR="00DC7D04">
        <w:rPr>
          <w:rFonts w:ascii="Arial" w:hAnsi="Arial" w:cs="Arial"/>
          <w:sz w:val="20"/>
        </w:rPr>
        <w:t>:</w:t>
      </w:r>
    </w:p>
    <w:p w14:paraId="36D01341" w14:textId="77777777" w:rsidR="00796994" w:rsidRPr="002572B5" w:rsidRDefault="00F83923" w:rsidP="00F04E13">
      <w:pPr>
        <w:spacing w:before="60"/>
        <w:ind w:left="1134" w:right="1134"/>
        <w:jc w:val="both"/>
        <w:rPr>
          <w:rFonts w:ascii="Arial" w:hAnsi="Arial" w:cs="Arial"/>
          <w:i/>
          <w:sz w:val="20"/>
          <w:u w:val="single"/>
        </w:rPr>
      </w:pPr>
      <w:r>
        <w:rPr>
          <w:rFonts w:ascii="Arial" w:hAnsi="Arial" w:cs="Arial"/>
          <w:i/>
          <w:sz w:val="20"/>
        </w:rPr>
        <w:t>‘</w:t>
      </w:r>
      <w:r w:rsidR="00796994" w:rsidRPr="00DC7D04">
        <w:rPr>
          <w:rFonts w:ascii="Arial" w:hAnsi="Arial" w:cs="Arial"/>
          <w:i/>
          <w:sz w:val="20"/>
        </w:rPr>
        <w:t xml:space="preserve">Cumulative harm refers to the effects of patterns of circumstances and events in a child’s life which diminishes a child’s sense of safety, stability and wellbeing.  Cumulative harm is the existence of compounded experiences of multiple episodes of abuse or layers of neglect.  The unremitting daily impact on the child can be profound and exponential, covering multiple dimensions of the child’s life.  Cumulative harm </w:t>
      </w:r>
      <w:r w:rsidR="00796994" w:rsidRPr="002572B5">
        <w:rPr>
          <w:rFonts w:ascii="Arial" w:hAnsi="Arial" w:cs="Arial"/>
          <w:i/>
          <w:sz w:val="20"/>
          <w:u w:val="single"/>
        </w:rPr>
        <w:t>is</w:t>
      </w:r>
      <w:r w:rsidR="00796994" w:rsidRPr="00DC7D04">
        <w:rPr>
          <w:rFonts w:ascii="Arial" w:hAnsi="Arial" w:cs="Arial"/>
          <w:i/>
          <w:sz w:val="20"/>
        </w:rPr>
        <w:t xml:space="preserve"> experienced by a child as a result of a pattern of harmful events and experiences that may be historical, or ongoing with the strong possibility of the risk factors being multiple, interrelated and co-existing over critical developmental periods</w:t>
      </w:r>
      <w:r w:rsidR="00FF670C">
        <w:rPr>
          <w:rFonts w:ascii="Arial" w:hAnsi="Arial" w:cs="Arial"/>
          <w:i/>
          <w:sz w:val="20"/>
        </w:rPr>
        <w:t>’</w:t>
      </w:r>
      <w:r w:rsidR="002572B5">
        <w:rPr>
          <w:rFonts w:ascii="Arial" w:hAnsi="Arial" w:cs="Arial"/>
          <w:i/>
          <w:sz w:val="20"/>
        </w:rPr>
        <w:t xml:space="preserve"> [emphasis by Power M]</w:t>
      </w:r>
    </w:p>
    <w:p w14:paraId="677F67E6" w14:textId="77777777" w:rsidR="00DC7D04" w:rsidRPr="00DC7D04" w:rsidRDefault="00DC7D04" w:rsidP="00D74C22">
      <w:pPr>
        <w:spacing w:before="120"/>
        <w:ind w:left="567" w:right="567"/>
        <w:jc w:val="both"/>
        <w:rPr>
          <w:rFonts w:ascii="Arial" w:hAnsi="Arial" w:cs="Arial"/>
          <w:sz w:val="20"/>
        </w:rPr>
      </w:pPr>
      <w:r>
        <w:rPr>
          <w:rFonts w:ascii="Arial" w:hAnsi="Arial" w:cs="Arial"/>
          <w:sz w:val="20"/>
        </w:rPr>
        <w:t xml:space="preserve">They have also urged that the protection application be proved on [what </w:t>
      </w:r>
      <w:r w:rsidR="002572B5">
        <w:rPr>
          <w:rFonts w:ascii="Arial" w:hAnsi="Arial" w:cs="Arial"/>
          <w:sz w:val="20"/>
        </w:rPr>
        <w:t>wa</w:t>
      </w:r>
      <w:r>
        <w:rPr>
          <w:rFonts w:ascii="Arial" w:hAnsi="Arial" w:cs="Arial"/>
          <w:sz w:val="20"/>
        </w:rPr>
        <w:t>s said to be] the ground set out in s.162(2) of the CYFA which provides:</w:t>
      </w:r>
    </w:p>
    <w:p w14:paraId="1DC1C0BE" w14:textId="00FFA666" w:rsidR="00DC7D04" w:rsidRPr="00DC7D04" w:rsidRDefault="00F83923" w:rsidP="00DC7D04">
      <w:pPr>
        <w:spacing w:before="60"/>
        <w:ind w:left="1134" w:right="1134"/>
        <w:jc w:val="both"/>
        <w:rPr>
          <w:rFonts w:ascii="Arial" w:hAnsi="Arial" w:cs="Arial"/>
          <w:i/>
          <w:sz w:val="20"/>
        </w:rPr>
      </w:pPr>
      <w:r>
        <w:rPr>
          <w:rFonts w:ascii="Arial" w:hAnsi="Arial" w:cs="Arial"/>
          <w:i/>
          <w:sz w:val="20"/>
        </w:rPr>
        <w:t>‘</w:t>
      </w:r>
      <w:r w:rsidR="00DC7D04">
        <w:rPr>
          <w:rFonts w:ascii="Arial" w:hAnsi="Arial" w:cs="Arial"/>
          <w:i/>
          <w:sz w:val="20"/>
        </w:rPr>
        <w:t>For the purposes of subsections (1)(c) to (1)(f), the harm may be constituted by a single act, omission or circumstance or accumulate through a series of acts, omissions or circumstances.</w:t>
      </w:r>
      <w:r>
        <w:rPr>
          <w:rFonts w:ascii="Arial" w:hAnsi="Arial" w:cs="Arial"/>
          <w:i/>
          <w:sz w:val="20"/>
        </w:rPr>
        <w:t>’</w:t>
      </w:r>
    </w:p>
    <w:p w14:paraId="2D0BF8DD" w14:textId="77777777" w:rsidR="00DC7D04" w:rsidRPr="00DC7D04" w:rsidRDefault="00DC7D04" w:rsidP="00806118">
      <w:pPr>
        <w:spacing w:before="120"/>
        <w:ind w:left="567" w:right="567"/>
        <w:jc w:val="both"/>
        <w:rPr>
          <w:rFonts w:ascii="Arial" w:hAnsi="Arial" w:cs="Arial"/>
          <w:sz w:val="20"/>
        </w:rPr>
      </w:pPr>
      <w:r w:rsidRPr="00DC7D04">
        <w:rPr>
          <w:rFonts w:ascii="Arial" w:hAnsi="Arial" w:cs="Arial"/>
          <w:sz w:val="20"/>
        </w:rPr>
        <w:t xml:space="preserve">The concept expressed in s.162(2) is neither new nor revolutionary.  For as long as I can remember this Court has regularly taken into account the notion of cumulative risk of harm, applying where appropriate dicta of Lord Nicholls of Birkenhead (with whom Lord Goff of Chiefly &amp; Lord Mustill agreed) in </w:t>
      </w:r>
      <w:r w:rsidRPr="00DC7D04">
        <w:rPr>
          <w:rFonts w:ascii="Arial" w:hAnsi="Arial" w:cs="Arial"/>
          <w:i/>
          <w:iCs/>
          <w:sz w:val="20"/>
        </w:rPr>
        <w:t>In re H. &amp; Others (Minors)(Sexual Abuse: Standard of Proof)</w:t>
      </w:r>
      <w:r>
        <w:rPr>
          <w:rFonts w:ascii="Arial" w:hAnsi="Arial" w:cs="Arial"/>
          <w:sz w:val="20"/>
        </w:rPr>
        <w:t xml:space="preserve"> [1996] AC 563,591:</w:t>
      </w:r>
    </w:p>
    <w:p w14:paraId="3F5706D5" w14:textId="77777777" w:rsidR="00DC7D04" w:rsidRPr="00DC7D04" w:rsidRDefault="00F83923" w:rsidP="00DC7D04">
      <w:pPr>
        <w:spacing w:before="60"/>
        <w:ind w:left="1134" w:right="1134"/>
        <w:jc w:val="both"/>
        <w:rPr>
          <w:rFonts w:ascii="Arial" w:hAnsi="Arial" w:cs="Arial"/>
          <w:i/>
          <w:sz w:val="20"/>
        </w:rPr>
      </w:pPr>
      <w:r>
        <w:rPr>
          <w:rFonts w:ascii="Arial" w:hAnsi="Arial" w:cs="Arial"/>
          <w:i/>
          <w:sz w:val="20"/>
        </w:rPr>
        <w:t>‘</w:t>
      </w:r>
      <w:r w:rsidR="00DC7D04">
        <w:rPr>
          <w:rFonts w:ascii="Arial" w:hAnsi="Arial" w:cs="Arial"/>
          <w:i/>
          <w:sz w:val="20"/>
        </w:rPr>
        <w:t>Facts which are minor or even trivial if considered in isolation, when taken together, may suffice to satisfy the court of the likelihood of future harm.</w:t>
      </w:r>
      <w:r>
        <w:rPr>
          <w:rFonts w:ascii="Arial" w:hAnsi="Arial" w:cs="Arial"/>
          <w:i/>
          <w:sz w:val="20"/>
        </w:rPr>
        <w:t>’</w:t>
      </w:r>
    </w:p>
    <w:p w14:paraId="08ADFD56" w14:textId="77777777" w:rsidR="00DC7D04" w:rsidRDefault="00862834" w:rsidP="00606909">
      <w:pPr>
        <w:spacing w:before="120"/>
        <w:ind w:left="567" w:right="567"/>
        <w:jc w:val="both"/>
        <w:rPr>
          <w:rFonts w:ascii="Arial" w:hAnsi="Arial" w:cs="Arial"/>
          <w:sz w:val="20"/>
        </w:rPr>
      </w:pPr>
      <w:r w:rsidRPr="00862834">
        <w:rPr>
          <w:rFonts w:ascii="Arial" w:hAnsi="Arial" w:cs="Arial"/>
          <w:sz w:val="20"/>
        </w:rPr>
        <w:t>And</w:t>
      </w:r>
      <w:r w:rsidR="002572B5">
        <w:rPr>
          <w:rFonts w:ascii="Arial" w:hAnsi="Arial" w:cs="Arial"/>
          <w:sz w:val="20"/>
        </w:rPr>
        <w:t>,</w:t>
      </w:r>
      <w:r w:rsidRPr="00862834">
        <w:rPr>
          <w:rFonts w:ascii="Arial" w:hAnsi="Arial" w:cs="Arial"/>
          <w:sz w:val="20"/>
        </w:rPr>
        <w:t xml:space="preserve"> of course</w:t>
      </w:r>
      <w:r w:rsidR="002572B5">
        <w:rPr>
          <w:rFonts w:ascii="Arial" w:hAnsi="Arial" w:cs="Arial"/>
          <w:sz w:val="20"/>
        </w:rPr>
        <w:t>,</w:t>
      </w:r>
      <w:r w:rsidRPr="00862834">
        <w:rPr>
          <w:rFonts w:ascii="Arial" w:hAnsi="Arial" w:cs="Arial"/>
          <w:sz w:val="20"/>
        </w:rPr>
        <w:t xml:space="preserve"> the less minor and less trivial the multiple facts, the more likely it is that their accumulation will suffice to satisfy the court to the requisite level.</w:t>
      </w:r>
    </w:p>
    <w:p w14:paraId="15DC8B8F" w14:textId="6A9F564B" w:rsidR="00862834" w:rsidRDefault="00862834" w:rsidP="00606909">
      <w:pPr>
        <w:spacing w:before="120"/>
        <w:ind w:left="567" w:right="567"/>
        <w:jc w:val="both"/>
        <w:rPr>
          <w:rFonts w:ascii="Arial" w:hAnsi="Arial" w:cs="Arial"/>
          <w:sz w:val="20"/>
        </w:rPr>
      </w:pPr>
      <w:r w:rsidRPr="00862834">
        <w:rPr>
          <w:rFonts w:ascii="Arial" w:hAnsi="Arial" w:cs="Arial"/>
          <w:sz w:val="20"/>
        </w:rPr>
        <w:t>But s</w:t>
      </w:r>
      <w:r>
        <w:rPr>
          <w:rFonts w:ascii="Arial" w:hAnsi="Arial" w:cs="Arial"/>
          <w:sz w:val="20"/>
        </w:rPr>
        <w:t>.</w:t>
      </w:r>
      <w:r w:rsidRPr="00862834">
        <w:rPr>
          <w:rFonts w:ascii="Arial" w:hAnsi="Arial" w:cs="Arial"/>
          <w:sz w:val="20"/>
        </w:rPr>
        <w:t xml:space="preserve">162(2) of the </w:t>
      </w:r>
      <w:r w:rsidRPr="00862834">
        <w:rPr>
          <w:rFonts w:ascii="Arial" w:hAnsi="Arial" w:cs="Arial"/>
          <w:i/>
          <w:sz w:val="20"/>
        </w:rPr>
        <w:t>CYFA</w:t>
      </w:r>
      <w:r w:rsidRPr="00862834">
        <w:rPr>
          <w:rFonts w:ascii="Arial" w:hAnsi="Arial" w:cs="Arial"/>
          <w:sz w:val="20"/>
        </w:rPr>
        <w:t xml:space="preserve"> does not set out a separate ground for proof of a protection application.  It is clear from its wording that it is no more than an evidentiary provision which may, in appropriate circumstances, make it easier for DOHS to prove one or more of the grounds set out in subsections (1)(c) to (1)(f).</w:t>
      </w:r>
    </w:p>
    <w:p w14:paraId="48E2B315" w14:textId="7681630D" w:rsidR="00862834" w:rsidRPr="00862834" w:rsidRDefault="00862834" w:rsidP="008D0BD2">
      <w:pPr>
        <w:spacing w:before="120"/>
        <w:ind w:left="567" w:right="567"/>
        <w:jc w:val="both"/>
        <w:rPr>
          <w:rFonts w:ascii="Arial" w:hAnsi="Arial" w:cs="Arial"/>
          <w:sz w:val="20"/>
        </w:rPr>
      </w:pPr>
      <w:r w:rsidRPr="00862834">
        <w:rPr>
          <w:rFonts w:ascii="Arial" w:hAnsi="Arial" w:cs="Arial"/>
          <w:sz w:val="20"/>
          <w:szCs w:val="20"/>
        </w:rPr>
        <w:t xml:space="preserve">Further, there is one thing in the above extract from Robyn Miller’s fine paper with which I disagree.  That is the underlined word </w:t>
      </w:r>
      <w:r w:rsidR="00F83923">
        <w:rPr>
          <w:rFonts w:ascii="Arial" w:hAnsi="Arial" w:cs="Arial"/>
          <w:sz w:val="20"/>
          <w:szCs w:val="20"/>
        </w:rPr>
        <w:t>‘</w:t>
      </w:r>
      <w:r w:rsidRPr="00862834">
        <w:rPr>
          <w:rFonts w:ascii="Arial" w:hAnsi="Arial" w:cs="Arial"/>
          <w:i/>
          <w:sz w:val="20"/>
          <w:szCs w:val="20"/>
          <w:u w:val="single"/>
        </w:rPr>
        <w:t>is</w:t>
      </w:r>
      <w:r w:rsidR="00F83923">
        <w:rPr>
          <w:rFonts w:ascii="Arial" w:hAnsi="Arial" w:cs="Arial"/>
          <w:sz w:val="20"/>
          <w:szCs w:val="20"/>
        </w:rPr>
        <w:t>’</w:t>
      </w:r>
      <w:r w:rsidRPr="00862834">
        <w:rPr>
          <w:rFonts w:ascii="Arial" w:hAnsi="Arial" w:cs="Arial"/>
          <w:sz w:val="20"/>
          <w:szCs w:val="20"/>
        </w:rPr>
        <w:t xml:space="preserve">.  In my view it should read </w:t>
      </w:r>
      <w:r w:rsidR="00F83923">
        <w:rPr>
          <w:rFonts w:ascii="Arial" w:hAnsi="Arial" w:cs="Arial"/>
          <w:sz w:val="20"/>
          <w:szCs w:val="20"/>
        </w:rPr>
        <w:t>‘</w:t>
      </w:r>
      <w:r w:rsidRPr="00862834">
        <w:rPr>
          <w:rFonts w:ascii="Arial" w:hAnsi="Arial" w:cs="Arial"/>
          <w:i/>
          <w:sz w:val="20"/>
          <w:szCs w:val="20"/>
          <w:u w:val="single"/>
        </w:rPr>
        <w:t>may be</w:t>
      </w:r>
      <w:r w:rsidR="00F83923">
        <w:rPr>
          <w:rFonts w:ascii="Arial" w:hAnsi="Arial" w:cs="Arial"/>
          <w:sz w:val="20"/>
          <w:szCs w:val="20"/>
        </w:rPr>
        <w:t>’</w:t>
      </w:r>
      <w:r w:rsidRPr="00862834">
        <w:rPr>
          <w:rFonts w:ascii="Arial" w:hAnsi="Arial" w:cs="Arial"/>
          <w:sz w:val="20"/>
          <w:szCs w:val="20"/>
        </w:rPr>
        <w:t xml:space="preserve">.  To say that harm </w:t>
      </w:r>
      <w:r w:rsidRPr="00862834">
        <w:rPr>
          <w:rFonts w:ascii="Arial" w:hAnsi="Arial" w:cs="Arial"/>
          <w:i/>
          <w:sz w:val="20"/>
          <w:szCs w:val="20"/>
          <w:u w:val="single"/>
        </w:rPr>
        <w:t>is</w:t>
      </w:r>
      <w:r w:rsidRPr="00862834">
        <w:rPr>
          <w:rFonts w:ascii="Arial" w:hAnsi="Arial" w:cs="Arial"/>
          <w:sz w:val="20"/>
          <w:szCs w:val="20"/>
        </w:rPr>
        <w:t xml:space="preserve"> experienced by a child as a result of harmful events and experiences ignores the reality of resilience and treats a child as a automaton.  Some children may be harmed by exposure to relatively minor events. Other children may not be harmed by exposure to relatively traumatic events. It all depends on the resilience of the child. There is no evidence in this case that </w:t>
      </w:r>
      <w:r>
        <w:rPr>
          <w:rFonts w:ascii="Arial" w:hAnsi="Arial" w:cs="Arial"/>
          <w:sz w:val="20"/>
          <w:szCs w:val="20"/>
        </w:rPr>
        <w:t>[any of the three children]</w:t>
      </w:r>
      <w:r w:rsidRPr="00862834">
        <w:rPr>
          <w:rFonts w:ascii="Arial" w:hAnsi="Arial" w:cs="Arial"/>
          <w:sz w:val="20"/>
          <w:szCs w:val="20"/>
        </w:rPr>
        <w:t xml:space="preserve"> have actually been physically harmed or psychologically harmed as yet by exposure to life events. This suggests to me that they are probably rather robust, resilient children since their life experiences to date could fairly be described as somewhat chaotic. If they have not yet suffered harm, it makes no sense to speak of them having suffered cumulative harm. In algebraic terms 0</w:t>
      </w:r>
      <w:r w:rsidRPr="00862834">
        <w:rPr>
          <w:rFonts w:ascii="Arial" w:hAnsi="Arial" w:cs="Arial"/>
          <w:sz w:val="20"/>
          <w:szCs w:val="20"/>
          <w:vertAlign w:val="superscript"/>
        </w:rPr>
        <w:t>x</w:t>
      </w:r>
      <w:r w:rsidRPr="00862834">
        <w:rPr>
          <w:rFonts w:ascii="Arial" w:hAnsi="Arial" w:cs="Arial"/>
          <w:sz w:val="20"/>
          <w:szCs w:val="20"/>
        </w:rPr>
        <w:t xml:space="preserve"> = 0. The relevance of Robyn Miller’s thesis to the present case is in relation to cumulative </w:t>
      </w:r>
      <w:r w:rsidRPr="00862834">
        <w:rPr>
          <w:rFonts w:ascii="Arial" w:hAnsi="Arial" w:cs="Arial"/>
          <w:sz w:val="20"/>
          <w:szCs w:val="20"/>
          <w:u w:val="single"/>
        </w:rPr>
        <w:t>risk of</w:t>
      </w:r>
      <w:r w:rsidRPr="00862834">
        <w:rPr>
          <w:rFonts w:ascii="Arial" w:hAnsi="Arial" w:cs="Arial"/>
          <w:sz w:val="20"/>
          <w:szCs w:val="20"/>
        </w:rPr>
        <w:t xml:space="preserve"> harm, not to cumulative harm </w:t>
      </w:r>
      <w:r w:rsidRPr="00862834">
        <w:rPr>
          <w:rFonts w:ascii="Arial" w:hAnsi="Arial" w:cs="Arial"/>
          <w:i/>
          <w:sz w:val="20"/>
          <w:szCs w:val="20"/>
        </w:rPr>
        <w:t>per</w:t>
      </w:r>
      <w:r w:rsidR="00630C81">
        <w:rPr>
          <w:rFonts w:ascii="Arial" w:hAnsi="Arial" w:cs="Arial"/>
          <w:i/>
          <w:sz w:val="20"/>
          <w:szCs w:val="20"/>
        </w:rPr>
        <w:t xml:space="preserve"> </w:t>
      </w:r>
      <w:r w:rsidRPr="00862834">
        <w:rPr>
          <w:rFonts w:ascii="Arial" w:hAnsi="Arial" w:cs="Arial"/>
          <w:i/>
          <w:sz w:val="20"/>
          <w:szCs w:val="20"/>
        </w:rPr>
        <w:t>se</w:t>
      </w:r>
      <w:r w:rsidRPr="00862834">
        <w:rPr>
          <w:rFonts w:ascii="Arial" w:hAnsi="Arial" w:cs="Arial"/>
          <w:sz w:val="20"/>
          <w:szCs w:val="20"/>
        </w:rPr>
        <w:t>.</w:t>
      </w:r>
      <w:r>
        <w:rPr>
          <w:rFonts w:ascii="Arial" w:hAnsi="Arial" w:cs="Arial"/>
          <w:sz w:val="20"/>
          <w:szCs w:val="20"/>
        </w:rPr>
        <w:t>”</w:t>
      </w:r>
    </w:p>
    <w:p w14:paraId="3BFD0711" w14:textId="77777777" w:rsidR="00F034D2" w:rsidRDefault="00F034D2" w:rsidP="00F034D2">
      <w:pPr>
        <w:jc w:val="both"/>
        <w:rPr>
          <w:rFonts w:ascii="Arial" w:hAnsi="Arial" w:cs="Arial"/>
          <w:sz w:val="20"/>
        </w:rPr>
      </w:pPr>
    </w:p>
    <w:p w14:paraId="0BA05FF4" w14:textId="4037C934" w:rsidR="00693223" w:rsidRDefault="00693223" w:rsidP="00CA2663">
      <w:pPr>
        <w:pStyle w:val="Heading2"/>
        <w:keepNext/>
        <w:keepLines/>
        <w:tabs>
          <w:tab w:val="left" w:pos="567"/>
        </w:tabs>
        <w:spacing w:line="240" w:lineRule="auto"/>
        <w:rPr>
          <w:rFonts w:ascii="Arial" w:hAnsi="Arial" w:cs="Arial"/>
          <w:b/>
          <w:bCs/>
        </w:rPr>
      </w:pPr>
      <w:bookmarkStart w:id="1629" w:name="_4.16_Effect_on"/>
      <w:bookmarkStart w:id="1630" w:name="B416"/>
      <w:bookmarkStart w:id="1631" w:name="_4.17_Family_Drug"/>
      <w:bookmarkStart w:id="1632" w:name="B417"/>
      <w:bookmarkStart w:id="1633" w:name="_Toc60736220"/>
      <w:bookmarkEnd w:id="1629"/>
      <w:bookmarkEnd w:id="1630"/>
      <w:bookmarkEnd w:id="1631"/>
      <w:bookmarkEnd w:id="1632"/>
      <w:r>
        <w:rPr>
          <w:rFonts w:ascii="Arial" w:hAnsi="Arial" w:cs="Arial"/>
          <w:b/>
          <w:bCs/>
        </w:rPr>
        <w:t>4.1</w:t>
      </w:r>
      <w:r w:rsidR="00E3723D">
        <w:rPr>
          <w:rFonts w:ascii="Arial" w:hAnsi="Arial" w:cs="Arial"/>
          <w:b/>
          <w:bCs/>
          <w:color w:val="000000"/>
        </w:rPr>
        <w:t>6</w:t>
      </w:r>
      <w:r>
        <w:rPr>
          <w:rFonts w:ascii="Arial" w:hAnsi="Arial" w:cs="Arial"/>
          <w:b/>
          <w:bCs/>
        </w:rPr>
        <w:tab/>
      </w:r>
      <w:bookmarkEnd w:id="1633"/>
      <w:r w:rsidR="00B22DF4">
        <w:rPr>
          <w:rFonts w:ascii="Arial" w:hAnsi="Arial" w:cs="Arial"/>
          <w:b/>
          <w:bCs/>
        </w:rPr>
        <w:t>Family Drug Treatment Court</w:t>
      </w:r>
    </w:p>
    <w:p w14:paraId="228DD38E" w14:textId="77777777" w:rsidR="00693223" w:rsidRDefault="00693223">
      <w:pPr>
        <w:rPr>
          <w:rFonts w:ascii="Arial" w:hAnsi="Arial" w:cs="Arial"/>
          <w:sz w:val="16"/>
        </w:rPr>
      </w:pPr>
    </w:p>
    <w:p w14:paraId="35F9C61A" w14:textId="77777777" w:rsidR="00B22DF4" w:rsidRDefault="00B22DF4" w:rsidP="00B22DF4">
      <w:pPr>
        <w:jc w:val="both"/>
        <w:rPr>
          <w:rFonts w:ascii="Arial" w:hAnsi="Arial" w:cs="Arial"/>
          <w:sz w:val="20"/>
        </w:rPr>
      </w:pPr>
      <w:r>
        <w:rPr>
          <w:rFonts w:ascii="Arial" w:hAnsi="Arial" w:cs="Arial"/>
          <w:sz w:val="20"/>
        </w:rPr>
        <w:t xml:space="preserve">The Family Drug Treatment Court [‘FDTC’] was launched by the Children’s Court of Victoria in May 2014.  It is based on a paper prepared by Magistrate Greg Levine </w:t>
      </w:r>
      <w:r w:rsidR="00EE0D10">
        <w:rPr>
          <w:rFonts w:ascii="Arial" w:hAnsi="Arial" w:cs="Arial"/>
          <w:sz w:val="20"/>
        </w:rPr>
        <w:t xml:space="preserve">OAM </w:t>
      </w:r>
      <w:r>
        <w:rPr>
          <w:rFonts w:ascii="Arial" w:hAnsi="Arial" w:cs="Arial"/>
          <w:sz w:val="20"/>
        </w:rPr>
        <w:t xml:space="preserve">for the purposes of his Churchill Fellowship which details observations made by His Honour of similar ‘problem-solving courts’ </w:t>
      </w:r>
      <w:r w:rsidR="00276528">
        <w:rPr>
          <w:rFonts w:ascii="Arial" w:hAnsi="Arial" w:cs="Arial"/>
          <w:sz w:val="20"/>
        </w:rPr>
        <w:t xml:space="preserve">operating </w:t>
      </w:r>
      <w:r>
        <w:rPr>
          <w:rFonts w:ascii="Arial" w:hAnsi="Arial" w:cs="Arial"/>
          <w:sz w:val="20"/>
        </w:rPr>
        <w:t>in U</w:t>
      </w:r>
      <w:r w:rsidR="008D1A09">
        <w:rPr>
          <w:rFonts w:ascii="Arial" w:hAnsi="Arial" w:cs="Arial"/>
          <w:sz w:val="20"/>
        </w:rPr>
        <w:t>.S.A. &amp; England.</w:t>
      </w:r>
    </w:p>
    <w:p w14:paraId="4A31B347" w14:textId="77777777" w:rsidR="008D1A09" w:rsidRDefault="008D1A09" w:rsidP="00B22DF4">
      <w:pPr>
        <w:jc w:val="both"/>
        <w:rPr>
          <w:rFonts w:ascii="Arial" w:hAnsi="Arial" w:cs="Arial"/>
          <w:sz w:val="20"/>
        </w:rPr>
      </w:pPr>
    </w:p>
    <w:p w14:paraId="6FB790D8" w14:textId="7CBC6189" w:rsidR="008D1A09" w:rsidRDefault="00E81E1D" w:rsidP="00B22DF4">
      <w:pPr>
        <w:jc w:val="both"/>
        <w:rPr>
          <w:rFonts w:ascii="Arial" w:hAnsi="Arial" w:cs="Arial"/>
          <w:sz w:val="20"/>
        </w:rPr>
      </w:pPr>
      <w:r>
        <w:rPr>
          <w:rFonts w:ascii="Arial" w:hAnsi="Arial" w:cs="Arial"/>
          <w:sz w:val="20"/>
        </w:rPr>
        <w:t>The F</w:t>
      </w:r>
      <w:r w:rsidR="008D1A09">
        <w:rPr>
          <w:rFonts w:ascii="Arial" w:hAnsi="Arial" w:cs="Arial"/>
          <w:sz w:val="20"/>
        </w:rPr>
        <w:t>D</w:t>
      </w:r>
      <w:r>
        <w:rPr>
          <w:rFonts w:ascii="Arial" w:hAnsi="Arial" w:cs="Arial"/>
          <w:sz w:val="20"/>
        </w:rPr>
        <w:t>T</w:t>
      </w:r>
      <w:r w:rsidR="008D1A09">
        <w:rPr>
          <w:rFonts w:ascii="Arial" w:hAnsi="Arial" w:cs="Arial"/>
          <w:sz w:val="20"/>
        </w:rPr>
        <w:t xml:space="preserve">C </w:t>
      </w:r>
      <w:r w:rsidR="003D782E">
        <w:rPr>
          <w:rFonts w:ascii="Arial" w:hAnsi="Arial" w:cs="Arial"/>
          <w:sz w:val="20"/>
        </w:rPr>
        <w:t xml:space="preserve">is a </w:t>
      </w:r>
      <w:r w:rsidR="008D1A09">
        <w:rPr>
          <w:rFonts w:ascii="Arial" w:hAnsi="Arial" w:cs="Arial"/>
          <w:sz w:val="20"/>
        </w:rPr>
        <w:t xml:space="preserve">program operating within the Family Division of the Children’s Court.  It engages parents whose </w:t>
      </w:r>
      <w:r w:rsidR="007650BD">
        <w:rPr>
          <w:rFonts w:ascii="Arial" w:hAnsi="Arial" w:cs="Arial"/>
          <w:sz w:val="20"/>
        </w:rPr>
        <w:t>drug and/or alcohol</w:t>
      </w:r>
      <w:r w:rsidR="008D1A09">
        <w:rPr>
          <w:rFonts w:ascii="Arial" w:hAnsi="Arial" w:cs="Arial"/>
          <w:sz w:val="20"/>
        </w:rPr>
        <w:t xml:space="preserve"> misuse/dependence has played a significant part in their </w:t>
      </w:r>
      <w:r w:rsidR="008D1A09">
        <w:rPr>
          <w:rFonts w:ascii="Arial" w:hAnsi="Arial" w:cs="Arial"/>
          <w:sz w:val="20"/>
        </w:rPr>
        <w:lastRenderedPageBreak/>
        <w:t xml:space="preserve">removal of their child/children from their care.  </w:t>
      </w:r>
      <w:r>
        <w:rPr>
          <w:rFonts w:ascii="Arial" w:hAnsi="Arial" w:cs="Arial"/>
          <w:sz w:val="20"/>
        </w:rPr>
        <w:t>Utilising intensive case coordination and therapeutic intervention to address issues of substance misuse/dependence, mental health, housing and deficits in parenting and financial management, amongst other things, the FDTC aims to achieve permanent, sustainable family reunification of children with their parents.</w:t>
      </w:r>
    </w:p>
    <w:p w14:paraId="703C9771" w14:textId="77777777" w:rsidR="00E81E1D" w:rsidRDefault="00E81E1D" w:rsidP="00B22DF4">
      <w:pPr>
        <w:jc w:val="both"/>
        <w:rPr>
          <w:rFonts w:ascii="Arial" w:hAnsi="Arial" w:cs="Arial"/>
          <w:sz w:val="20"/>
        </w:rPr>
      </w:pPr>
    </w:p>
    <w:p w14:paraId="5F8AB652" w14:textId="77777777" w:rsidR="00E81E1D" w:rsidRDefault="00E81E1D" w:rsidP="00B22DF4">
      <w:pPr>
        <w:jc w:val="both"/>
        <w:rPr>
          <w:rFonts w:ascii="Arial" w:hAnsi="Arial" w:cs="Arial"/>
          <w:sz w:val="20"/>
        </w:rPr>
      </w:pPr>
      <w:r>
        <w:rPr>
          <w:rFonts w:ascii="Arial" w:hAnsi="Arial" w:cs="Arial"/>
          <w:sz w:val="20"/>
        </w:rPr>
        <w:t>The FDTC comprises a dedicated multi-disciplinary team of professionals across a variety of government agencies and non-government organisations, led by a dedicated Children’s Court judicial officer.  By combining such a diverse range of professionals, the underpinning philosophy of collaborative practice is maintained and positive outcomes are more likely to be achieved.</w:t>
      </w:r>
    </w:p>
    <w:p w14:paraId="678153C2" w14:textId="77777777" w:rsidR="00E81E1D" w:rsidRDefault="00E81E1D" w:rsidP="00B22DF4">
      <w:pPr>
        <w:jc w:val="both"/>
        <w:rPr>
          <w:rFonts w:ascii="Arial" w:hAnsi="Arial" w:cs="Arial"/>
          <w:sz w:val="20"/>
        </w:rPr>
      </w:pPr>
    </w:p>
    <w:p w14:paraId="67772FDC" w14:textId="77777777" w:rsidR="00E81E1D" w:rsidRDefault="00E81E1D" w:rsidP="00B22DF4">
      <w:pPr>
        <w:jc w:val="both"/>
        <w:rPr>
          <w:rFonts w:ascii="Arial" w:hAnsi="Arial" w:cs="Arial"/>
          <w:sz w:val="20"/>
        </w:rPr>
      </w:pPr>
      <w:r>
        <w:rPr>
          <w:rFonts w:ascii="Arial" w:hAnsi="Arial" w:cs="Arial"/>
          <w:sz w:val="20"/>
        </w:rPr>
        <w:t>Once a referral to the program has been made, the parent must undergo an eligibility screening conducted by the Court.  This is followed by a clinical assessment to determine the parent’s suitability and identify issues of substance misuse, mental and physical health and a variety of other factors that may have led to the removal of the parent’s child/children.  This assessment forms the basis for the parent’s individual treatment plan whilst on the program.</w:t>
      </w:r>
    </w:p>
    <w:p w14:paraId="62740AD3" w14:textId="77777777" w:rsidR="00E81E1D" w:rsidRDefault="00E81E1D" w:rsidP="00B22DF4">
      <w:pPr>
        <w:jc w:val="both"/>
        <w:rPr>
          <w:rFonts w:ascii="Arial" w:hAnsi="Arial" w:cs="Arial"/>
          <w:sz w:val="20"/>
        </w:rPr>
      </w:pPr>
    </w:p>
    <w:p w14:paraId="18D01CD1" w14:textId="77777777" w:rsidR="00276528" w:rsidRDefault="00E81E1D" w:rsidP="00B22DF4">
      <w:pPr>
        <w:jc w:val="both"/>
        <w:rPr>
          <w:rFonts w:ascii="Arial" w:hAnsi="Arial" w:cs="Arial"/>
          <w:sz w:val="20"/>
        </w:rPr>
      </w:pPr>
      <w:r>
        <w:rPr>
          <w:rFonts w:ascii="Arial" w:hAnsi="Arial" w:cs="Arial"/>
          <w:sz w:val="20"/>
        </w:rPr>
        <w:t xml:space="preserve">Once an individual treatment plan has been formulated and treatment begins the parent is required to participate fully in </w:t>
      </w:r>
      <w:r w:rsidR="00276528">
        <w:rPr>
          <w:rFonts w:ascii="Arial" w:hAnsi="Arial" w:cs="Arial"/>
          <w:sz w:val="20"/>
        </w:rPr>
        <w:t>the activities he/she has agreed to as part of his/her rehabilitation.  These may include-</w:t>
      </w:r>
    </w:p>
    <w:p w14:paraId="02EE4171" w14:textId="77777777" w:rsidR="00E81E1D" w:rsidRDefault="00276528">
      <w:pPr>
        <w:numPr>
          <w:ilvl w:val="0"/>
          <w:numId w:val="39"/>
        </w:numPr>
        <w:ind w:left="357" w:hanging="357"/>
        <w:jc w:val="both"/>
        <w:rPr>
          <w:rFonts w:ascii="Arial" w:hAnsi="Arial" w:cs="Arial"/>
          <w:sz w:val="20"/>
        </w:rPr>
      </w:pPr>
      <w:r>
        <w:rPr>
          <w:rFonts w:ascii="Arial" w:hAnsi="Arial" w:cs="Arial"/>
          <w:sz w:val="20"/>
        </w:rPr>
        <w:t>regular court appearances to facilitate monitoring of progress by the FDTC judicial officer;</w:t>
      </w:r>
    </w:p>
    <w:p w14:paraId="0951326B" w14:textId="77777777" w:rsidR="00276528" w:rsidRDefault="00276528">
      <w:pPr>
        <w:numPr>
          <w:ilvl w:val="0"/>
          <w:numId w:val="39"/>
        </w:numPr>
        <w:ind w:left="357" w:hanging="357"/>
        <w:jc w:val="both"/>
        <w:rPr>
          <w:rFonts w:ascii="Arial" w:hAnsi="Arial" w:cs="Arial"/>
          <w:sz w:val="20"/>
        </w:rPr>
      </w:pPr>
      <w:r>
        <w:rPr>
          <w:rFonts w:ascii="Arial" w:hAnsi="Arial" w:cs="Arial"/>
          <w:sz w:val="20"/>
        </w:rPr>
        <w:t>participating in regular tests for the use of non-prescribed substances; and</w:t>
      </w:r>
    </w:p>
    <w:p w14:paraId="0B07E65A" w14:textId="77777777" w:rsidR="00276528" w:rsidRDefault="00276528">
      <w:pPr>
        <w:numPr>
          <w:ilvl w:val="0"/>
          <w:numId w:val="39"/>
        </w:numPr>
        <w:ind w:left="357" w:hanging="357"/>
        <w:jc w:val="both"/>
        <w:rPr>
          <w:rFonts w:ascii="Arial" w:hAnsi="Arial" w:cs="Arial"/>
          <w:sz w:val="20"/>
        </w:rPr>
      </w:pPr>
      <w:r>
        <w:rPr>
          <w:rFonts w:ascii="Arial" w:hAnsi="Arial" w:cs="Arial"/>
          <w:sz w:val="20"/>
        </w:rPr>
        <w:t>attending a range of treatment and case management services as well as parenting support programs.</w:t>
      </w:r>
    </w:p>
    <w:p w14:paraId="70F13A10" w14:textId="77777777" w:rsidR="00276528" w:rsidRDefault="00276528" w:rsidP="00276528">
      <w:pPr>
        <w:jc w:val="both"/>
        <w:rPr>
          <w:rFonts w:ascii="Arial" w:hAnsi="Arial" w:cs="Arial"/>
          <w:sz w:val="20"/>
        </w:rPr>
      </w:pPr>
    </w:p>
    <w:p w14:paraId="714D728B" w14:textId="77777777" w:rsidR="00276528" w:rsidRDefault="00276528" w:rsidP="00276528">
      <w:pPr>
        <w:jc w:val="both"/>
        <w:rPr>
          <w:rFonts w:ascii="Arial" w:hAnsi="Arial" w:cs="Arial"/>
          <w:sz w:val="20"/>
        </w:rPr>
      </w:pPr>
      <w:r>
        <w:rPr>
          <w:rFonts w:ascii="Arial" w:hAnsi="Arial" w:cs="Arial"/>
          <w:sz w:val="20"/>
        </w:rPr>
        <w:t>Once a parent has achieved significant progress in his/her recovery, the FDTC team will work with that parent to prepare for incremental reunification of the children with the parent.  Parents fully graduate from the program once unconditional reunification of the family has been achieved.  This process is generally expected to take approximately 12 months.</w:t>
      </w:r>
    </w:p>
    <w:p w14:paraId="43302CB7" w14:textId="77777777" w:rsidR="00276528" w:rsidRDefault="00276528" w:rsidP="00276528">
      <w:pPr>
        <w:jc w:val="both"/>
        <w:rPr>
          <w:rFonts w:ascii="Arial" w:hAnsi="Arial" w:cs="Arial"/>
          <w:sz w:val="20"/>
        </w:rPr>
      </w:pPr>
    </w:p>
    <w:p w14:paraId="2A3049D0" w14:textId="77777777" w:rsidR="00276528" w:rsidRDefault="00276528" w:rsidP="00276528">
      <w:pPr>
        <w:jc w:val="both"/>
        <w:rPr>
          <w:rFonts w:ascii="Arial" w:hAnsi="Arial" w:cs="Arial"/>
          <w:sz w:val="20"/>
        </w:rPr>
      </w:pPr>
      <w:r>
        <w:rPr>
          <w:rFonts w:ascii="Arial" w:hAnsi="Arial" w:cs="Arial"/>
          <w:sz w:val="20"/>
        </w:rPr>
        <w:t>Parents who are unable to achieve unconditional family reunification at the end of their involvement in the FDTC program may have their children placed permanently in out of home care and any further court involvement with the family’s case will be heard in the mainstream Family Division of the Children’s Court.</w:t>
      </w:r>
    </w:p>
    <w:p w14:paraId="198C8888" w14:textId="77777777" w:rsidR="00276528" w:rsidRDefault="00276528" w:rsidP="00276528">
      <w:pPr>
        <w:jc w:val="both"/>
        <w:rPr>
          <w:rFonts w:ascii="Arial" w:hAnsi="Arial" w:cs="Arial"/>
          <w:sz w:val="20"/>
        </w:rPr>
      </w:pPr>
    </w:p>
    <w:p w14:paraId="3F5E8653" w14:textId="705B489F" w:rsidR="003D782E" w:rsidRDefault="003D782E" w:rsidP="00276528">
      <w:pPr>
        <w:jc w:val="both"/>
        <w:rPr>
          <w:rFonts w:ascii="Arial" w:hAnsi="Arial" w:cs="Arial"/>
          <w:sz w:val="20"/>
        </w:rPr>
      </w:pPr>
      <w:r>
        <w:rPr>
          <w:rFonts w:ascii="Arial" w:hAnsi="Arial" w:cs="Arial"/>
          <w:sz w:val="20"/>
        </w:rPr>
        <w:t>In 2019 the FDTC received the Robin Clark ‘Making a Difference’ award at the Victorian Protecting Children Awards ceremony. The award recognises an individual, team or group within the child and family service sector that has made an exceptional contribution to directly improve the lives of children, young people and families in Victoria.  It is the first time this kind of award has been conferred on a court-based program.</w:t>
      </w:r>
    </w:p>
    <w:p w14:paraId="2853EB7B" w14:textId="77777777" w:rsidR="003D782E" w:rsidRDefault="003D782E" w:rsidP="00276528">
      <w:pPr>
        <w:jc w:val="both"/>
        <w:rPr>
          <w:rFonts w:ascii="Arial" w:hAnsi="Arial" w:cs="Arial"/>
          <w:sz w:val="20"/>
        </w:rPr>
      </w:pPr>
    </w:p>
    <w:p w14:paraId="367D928B" w14:textId="6F98F22A" w:rsidR="00EE0D10" w:rsidRDefault="00EE0D10" w:rsidP="00EE0D10">
      <w:pPr>
        <w:jc w:val="both"/>
        <w:rPr>
          <w:rFonts w:ascii="Arial" w:hAnsi="Arial" w:cs="Arial"/>
          <w:sz w:val="20"/>
        </w:rPr>
      </w:pPr>
      <w:r>
        <w:rPr>
          <w:rFonts w:ascii="Arial" w:hAnsi="Arial" w:cs="Arial"/>
          <w:sz w:val="20"/>
        </w:rPr>
        <w:t xml:space="preserve">The FDTC operates only in respect of cases involving </w:t>
      </w:r>
      <w:r w:rsidR="00785D2D">
        <w:rPr>
          <w:rFonts w:ascii="Arial" w:hAnsi="Arial" w:cs="Arial"/>
          <w:sz w:val="20"/>
        </w:rPr>
        <w:t>DFFH</w:t>
      </w:r>
      <w:r>
        <w:rPr>
          <w:rFonts w:ascii="Arial" w:hAnsi="Arial" w:cs="Arial"/>
          <w:sz w:val="20"/>
        </w:rPr>
        <w:t>’</w:t>
      </w:r>
      <w:r w:rsidR="003D782E">
        <w:rPr>
          <w:rFonts w:ascii="Arial" w:hAnsi="Arial" w:cs="Arial"/>
          <w:sz w:val="20"/>
        </w:rPr>
        <w:t>s</w:t>
      </w:r>
      <w:r>
        <w:rPr>
          <w:rFonts w:ascii="Arial" w:hAnsi="Arial" w:cs="Arial"/>
          <w:sz w:val="20"/>
        </w:rPr>
        <w:t xml:space="preserve"> Preston </w:t>
      </w:r>
      <w:r w:rsidR="00D24154">
        <w:rPr>
          <w:rFonts w:ascii="Arial" w:hAnsi="Arial" w:cs="Arial"/>
          <w:sz w:val="20"/>
        </w:rPr>
        <w:t xml:space="preserve">&amp; Shepparton </w:t>
      </w:r>
      <w:r>
        <w:rPr>
          <w:rFonts w:ascii="Arial" w:hAnsi="Arial" w:cs="Arial"/>
          <w:sz w:val="20"/>
        </w:rPr>
        <w:t>office</w:t>
      </w:r>
      <w:r w:rsidR="00D24154">
        <w:rPr>
          <w:rFonts w:ascii="Arial" w:hAnsi="Arial" w:cs="Arial"/>
          <w:sz w:val="20"/>
        </w:rPr>
        <w:t>s</w:t>
      </w:r>
      <w:r>
        <w:rPr>
          <w:rFonts w:ascii="Arial" w:hAnsi="Arial" w:cs="Arial"/>
          <w:sz w:val="20"/>
        </w:rPr>
        <w:t>.</w:t>
      </w:r>
      <w:r w:rsidR="009E418F">
        <w:rPr>
          <w:rFonts w:ascii="Arial" w:hAnsi="Arial" w:cs="Arial"/>
          <w:sz w:val="20"/>
        </w:rPr>
        <w:t xml:space="preserve"> It</w:t>
      </w:r>
      <w:r w:rsidR="00CE1749">
        <w:rPr>
          <w:rFonts w:ascii="Arial" w:hAnsi="Arial" w:cs="Arial"/>
          <w:sz w:val="20"/>
        </w:rPr>
        <w:t> </w:t>
      </w:r>
      <w:r w:rsidR="009E418F">
        <w:rPr>
          <w:rFonts w:ascii="Arial" w:hAnsi="Arial" w:cs="Arial"/>
          <w:sz w:val="20"/>
        </w:rPr>
        <w:t>originally sat in Melbourne but since November 2015 it has sat at the new Broadmeadows Children’s Court.</w:t>
      </w:r>
      <w:r w:rsidR="00D24154">
        <w:rPr>
          <w:rFonts w:ascii="Arial" w:hAnsi="Arial" w:cs="Arial"/>
          <w:sz w:val="20"/>
        </w:rPr>
        <w:t xml:space="preserve">  </w:t>
      </w:r>
      <w:r w:rsidR="003D782E">
        <w:rPr>
          <w:rFonts w:ascii="Arial" w:hAnsi="Arial" w:cs="Arial"/>
          <w:sz w:val="20"/>
        </w:rPr>
        <w:t xml:space="preserve">It now also sits </w:t>
      </w:r>
      <w:r w:rsidR="00D24154">
        <w:rPr>
          <w:rFonts w:ascii="Arial" w:hAnsi="Arial" w:cs="Arial"/>
          <w:sz w:val="20"/>
        </w:rPr>
        <w:t>at Shepparton Children’s Court.</w:t>
      </w:r>
    </w:p>
    <w:p w14:paraId="0A6BB591" w14:textId="77777777" w:rsidR="00B22DF4" w:rsidRDefault="00B22DF4" w:rsidP="00B22DF4">
      <w:pPr>
        <w:rPr>
          <w:rFonts w:ascii="Arial" w:hAnsi="Arial" w:cs="Arial"/>
          <w:sz w:val="16"/>
        </w:rPr>
      </w:pPr>
    </w:p>
    <w:p w14:paraId="612131B3" w14:textId="77777777" w:rsidR="00D24154" w:rsidRDefault="00D24154" w:rsidP="00B22DF4">
      <w:pPr>
        <w:rPr>
          <w:rFonts w:ascii="Arial" w:hAnsi="Arial" w:cs="Arial"/>
          <w:sz w:val="20"/>
          <w:szCs w:val="32"/>
        </w:rPr>
      </w:pPr>
      <w:r w:rsidRPr="00D24154">
        <w:rPr>
          <w:rFonts w:ascii="Arial" w:hAnsi="Arial" w:cs="Arial"/>
          <w:sz w:val="20"/>
          <w:szCs w:val="32"/>
        </w:rPr>
        <w:t xml:space="preserve">In the Children’s Court of Victoria 2018/19 Annual Report the </w:t>
      </w:r>
      <w:r>
        <w:rPr>
          <w:rFonts w:ascii="Arial" w:hAnsi="Arial" w:cs="Arial"/>
          <w:sz w:val="20"/>
          <w:szCs w:val="32"/>
        </w:rPr>
        <w:t>following information is provided about the FDTC:</w:t>
      </w:r>
    </w:p>
    <w:p w14:paraId="517C7871" w14:textId="77777777" w:rsidR="00D24154" w:rsidRPr="00D24154" w:rsidRDefault="00D24154" w:rsidP="00D24154">
      <w:pPr>
        <w:spacing w:before="60"/>
        <w:ind w:left="567" w:right="567"/>
        <w:jc w:val="both"/>
        <w:rPr>
          <w:rFonts w:ascii="Arial" w:hAnsi="Arial" w:cs="Arial"/>
          <w:sz w:val="20"/>
          <w:szCs w:val="32"/>
        </w:rPr>
      </w:pPr>
      <w:r>
        <w:rPr>
          <w:rFonts w:ascii="Arial" w:hAnsi="Arial" w:cs="Arial"/>
          <w:sz w:val="20"/>
          <w:szCs w:val="32"/>
        </w:rPr>
        <w:t>“Throughout 2018-19, the FDTC program received 65 referrals and worked with 56 parents of 85 children across Broadmeadows and Shepparton.  It is too early into the program for meaningful outcome data from Shepparton but in the 2018-19 period 52% of the parents on the program achieved reunification with their children.  A total of 80% of program participants who maintained engagement for at least 9 months of the 12 month program have achieved reunification with their children.”</w:t>
      </w:r>
    </w:p>
    <w:p w14:paraId="2F256DC7" w14:textId="77777777" w:rsidR="003D782E" w:rsidRDefault="003D782E" w:rsidP="003D782E">
      <w:pPr>
        <w:rPr>
          <w:rFonts w:ascii="Arial" w:hAnsi="Arial" w:cs="Arial"/>
          <w:sz w:val="16"/>
        </w:rPr>
      </w:pPr>
    </w:p>
    <w:p w14:paraId="49F14641" w14:textId="02529EAF" w:rsidR="003D782E" w:rsidRDefault="003D782E" w:rsidP="003D782E">
      <w:pPr>
        <w:rPr>
          <w:rFonts w:ascii="Arial" w:hAnsi="Arial" w:cs="Arial"/>
          <w:sz w:val="20"/>
          <w:szCs w:val="32"/>
        </w:rPr>
      </w:pPr>
      <w:r w:rsidRPr="00D24154">
        <w:rPr>
          <w:rFonts w:ascii="Arial" w:hAnsi="Arial" w:cs="Arial"/>
          <w:sz w:val="20"/>
          <w:szCs w:val="32"/>
        </w:rPr>
        <w:t>In the 201</w:t>
      </w:r>
      <w:r>
        <w:rPr>
          <w:rFonts w:ascii="Arial" w:hAnsi="Arial" w:cs="Arial"/>
          <w:sz w:val="20"/>
          <w:szCs w:val="32"/>
        </w:rPr>
        <w:t>9</w:t>
      </w:r>
      <w:r w:rsidRPr="00D24154">
        <w:rPr>
          <w:rFonts w:ascii="Arial" w:hAnsi="Arial" w:cs="Arial"/>
          <w:sz w:val="20"/>
          <w:szCs w:val="32"/>
        </w:rPr>
        <w:t>/</w:t>
      </w:r>
      <w:r>
        <w:rPr>
          <w:rFonts w:ascii="Arial" w:hAnsi="Arial" w:cs="Arial"/>
          <w:sz w:val="20"/>
          <w:szCs w:val="32"/>
        </w:rPr>
        <w:t>20</w:t>
      </w:r>
      <w:r w:rsidRPr="00D24154">
        <w:rPr>
          <w:rFonts w:ascii="Arial" w:hAnsi="Arial" w:cs="Arial"/>
          <w:sz w:val="20"/>
          <w:szCs w:val="32"/>
        </w:rPr>
        <w:t xml:space="preserve"> Annual Report the </w:t>
      </w:r>
      <w:r>
        <w:rPr>
          <w:rFonts w:ascii="Arial" w:hAnsi="Arial" w:cs="Arial"/>
          <w:sz w:val="20"/>
          <w:szCs w:val="32"/>
        </w:rPr>
        <w:t>following information is provided about the FDTC:</w:t>
      </w:r>
    </w:p>
    <w:p w14:paraId="48211915" w14:textId="77777777" w:rsidR="003D782E" w:rsidRDefault="003D782E" w:rsidP="003D782E">
      <w:pPr>
        <w:spacing w:before="60"/>
        <w:ind w:left="567" w:right="567"/>
        <w:jc w:val="both"/>
        <w:rPr>
          <w:rFonts w:ascii="Arial" w:hAnsi="Arial" w:cs="Arial"/>
          <w:sz w:val="20"/>
          <w:szCs w:val="32"/>
        </w:rPr>
      </w:pPr>
      <w:r>
        <w:rPr>
          <w:rFonts w:ascii="Arial" w:hAnsi="Arial" w:cs="Arial"/>
          <w:sz w:val="20"/>
          <w:szCs w:val="32"/>
        </w:rPr>
        <w:t>“</w:t>
      </w:r>
      <w:r w:rsidR="00026072">
        <w:rPr>
          <w:rFonts w:ascii="Arial" w:hAnsi="Arial" w:cs="Arial"/>
          <w:sz w:val="20"/>
          <w:szCs w:val="32"/>
        </w:rPr>
        <w:t xml:space="preserve">During the reporting period, the </w:t>
      </w:r>
      <w:r>
        <w:rPr>
          <w:rFonts w:ascii="Arial" w:hAnsi="Arial" w:cs="Arial"/>
          <w:sz w:val="20"/>
          <w:szCs w:val="32"/>
        </w:rPr>
        <w:t xml:space="preserve">FDTC </w:t>
      </w:r>
      <w:r w:rsidR="00026072">
        <w:rPr>
          <w:rFonts w:ascii="Arial" w:hAnsi="Arial" w:cs="Arial"/>
          <w:sz w:val="20"/>
          <w:szCs w:val="32"/>
        </w:rPr>
        <w:t xml:space="preserve">program received referrals for 62 parents of 118 children across both the Broadmeadows and Shepparton program locations, leading to the induction into the program of 30 parents of 59 children.  Of the total number of FDTC participants (inclusive of those inducted prior to the commencement of the 2019-20 year) 57% achieved reunification with their </w:t>
      </w:r>
      <w:r w:rsidR="00026072">
        <w:rPr>
          <w:rFonts w:ascii="Arial" w:hAnsi="Arial" w:cs="Arial"/>
          <w:sz w:val="20"/>
          <w:szCs w:val="32"/>
        </w:rPr>
        <w:lastRenderedPageBreak/>
        <w:t>children.  There is a notable difference in the reunification rate between participants in Broadmeadows (71% reunification rate) and Shepparton (36%).  The reunification gap can be attributed to the Broadmeadows FDTC program being delivered within a specialist Children’s Court context, whereas the Shepparton FDTC program operates with more limited capacity.</w:t>
      </w:r>
    </w:p>
    <w:p w14:paraId="38CC22EE" w14:textId="77777777" w:rsidR="00026072" w:rsidRPr="00D24154" w:rsidRDefault="00026072" w:rsidP="003D782E">
      <w:pPr>
        <w:spacing w:before="60"/>
        <w:ind w:left="567" w:right="567"/>
        <w:jc w:val="both"/>
        <w:rPr>
          <w:rFonts w:ascii="Arial" w:hAnsi="Arial" w:cs="Arial"/>
          <w:sz w:val="20"/>
          <w:szCs w:val="32"/>
        </w:rPr>
      </w:pPr>
      <w:r>
        <w:rPr>
          <w:rFonts w:ascii="Arial" w:hAnsi="Arial" w:cs="Arial"/>
          <w:sz w:val="20"/>
          <w:szCs w:val="32"/>
        </w:rPr>
        <w:t>Since the FDTC program moved online from March 2020, limited access to technology, and generally poorer internet connectivity compared with metropolitan Melbourne may also have reduced program efficacy in Shepparton.”</w:t>
      </w:r>
    </w:p>
    <w:p w14:paraId="0A64D84F" w14:textId="77777777" w:rsidR="002520EE" w:rsidRDefault="002520EE" w:rsidP="002520EE">
      <w:pPr>
        <w:rPr>
          <w:rFonts w:ascii="Arial" w:hAnsi="Arial" w:cs="Arial"/>
          <w:sz w:val="16"/>
        </w:rPr>
      </w:pPr>
    </w:p>
    <w:p w14:paraId="59CB0BFD" w14:textId="369E421E" w:rsidR="002520EE" w:rsidRDefault="002520EE" w:rsidP="002520EE">
      <w:pPr>
        <w:rPr>
          <w:rFonts w:ascii="Arial" w:hAnsi="Arial" w:cs="Arial"/>
          <w:sz w:val="20"/>
          <w:szCs w:val="32"/>
        </w:rPr>
      </w:pPr>
      <w:r>
        <w:rPr>
          <w:rFonts w:ascii="Arial" w:hAnsi="Arial" w:cs="Arial"/>
          <w:sz w:val="20"/>
          <w:szCs w:val="32"/>
        </w:rPr>
        <w:t>T</w:t>
      </w:r>
      <w:r w:rsidRPr="00D24154">
        <w:rPr>
          <w:rFonts w:ascii="Arial" w:hAnsi="Arial" w:cs="Arial"/>
          <w:sz w:val="20"/>
          <w:szCs w:val="32"/>
        </w:rPr>
        <w:t>he 20</w:t>
      </w:r>
      <w:r>
        <w:rPr>
          <w:rFonts w:ascii="Arial" w:hAnsi="Arial" w:cs="Arial"/>
          <w:sz w:val="20"/>
          <w:szCs w:val="32"/>
        </w:rPr>
        <w:t>20</w:t>
      </w:r>
      <w:r w:rsidRPr="00D24154">
        <w:rPr>
          <w:rFonts w:ascii="Arial" w:hAnsi="Arial" w:cs="Arial"/>
          <w:sz w:val="20"/>
          <w:szCs w:val="32"/>
        </w:rPr>
        <w:t>/</w:t>
      </w:r>
      <w:r>
        <w:rPr>
          <w:rFonts w:ascii="Arial" w:hAnsi="Arial" w:cs="Arial"/>
          <w:sz w:val="20"/>
          <w:szCs w:val="32"/>
        </w:rPr>
        <w:t>21</w:t>
      </w:r>
      <w:r w:rsidRPr="00D24154">
        <w:rPr>
          <w:rFonts w:ascii="Arial" w:hAnsi="Arial" w:cs="Arial"/>
          <w:sz w:val="20"/>
          <w:szCs w:val="32"/>
        </w:rPr>
        <w:t xml:space="preserve"> Annual Report </w:t>
      </w:r>
      <w:r>
        <w:rPr>
          <w:rFonts w:ascii="Arial" w:hAnsi="Arial" w:cs="Arial"/>
          <w:sz w:val="20"/>
          <w:szCs w:val="32"/>
        </w:rPr>
        <w:t xml:space="preserve">contains </w:t>
      </w:r>
      <w:r w:rsidRPr="00D24154">
        <w:rPr>
          <w:rFonts w:ascii="Arial" w:hAnsi="Arial" w:cs="Arial"/>
          <w:sz w:val="20"/>
          <w:szCs w:val="32"/>
        </w:rPr>
        <w:t xml:space="preserve">the </w:t>
      </w:r>
      <w:r>
        <w:rPr>
          <w:rFonts w:ascii="Arial" w:hAnsi="Arial" w:cs="Arial"/>
          <w:sz w:val="20"/>
          <w:szCs w:val="32"/>
        </w:rPr>
        <w:t>following information about the FDTC:</w:t>
      </w:r>
    </w:p>
    <w:p w14:paraId="5D97D914" w14:textId="77777777" w:rsidR="002520EE" w:rsidRDefault="002520EE" w:rsidP="002520EE">
      <w:pPr>
        <w:spacing w:before="60"/>
        <w:ind w:left="567" w:right="567"/>
        <w:jc w:val="both"/>
        <w:rPr>
          <w:rFonts w:ascii="Arial" w:hAnsi="Arial" w:cs="Arial"/>
          <w:sz w:val="20"/>
          <w:szCs w:val="32"/>
        </w:rPr>
      </w:pPr>
      <w:r>
        <w:rPr>
          <w:rFonts w:ascii="Arial" w:hAnsi="Arial" w:cs="Arial"/>
          <w:sz w:val="20"/>
          <w:szCs w:val="32"/>
        </w:rPr>
        <w:t>“Despite the challenges of online operations in response to COVID-19, the FDTC has continued to achieve great success in assisting participants to achieve a level of recovery that has enhanced rates of sustainable reunification of parents to children.  Inductions into the FDTC grew over the reporting period with 19 parents of 38 children inducted at Broadmeadows and 17 parents of 34 children inducted at Shepparton.</w:t>
      </w:r>
    </w:p>
    <w:p w14:paraId="256FAAE2" w14:textId="77777777" w:rsidR="002520EE" w:rsidRDefault="001E0C00" w:rsidP="002520EE">
      <w:pPr>
        <w:spacing w:before="60"/>
        <w:ind w:left="567" w:right="567"/>
        <w:jc w:val="both"/>
        <w:rPr>
          <w:rFonts w:ascii="Arial" w:hAnsi="Arial" w:cs="Arial"/>
          <w:sz w:val="20"/>
          <w:szCs w:val="32"/>
        </w:rPr>
      </w:pPr>
      <w:r>
        <w:rPr>
          <w:rFonts w:ascii="Arial" w:hAnsi="Arial" w:cs="Arial"/>
          <w:sz w:val="20"/>
          <w:szCs w:val="32"/>
        </w:rPr>
        <w:t>Reunification rates amongst FDTC participants continue to exceed the rate of reunification for children removed from parental care due to drug and alcohol use whose cases are heard in mainstream courts (estimated at 43% through a matched sample).  Reunification rates increase significantly the longer parents engage with the FDTC program, with 59% of participants who engaged for over 6 months achieving reunification in the reporting period.”</w:t>
      </w:r>
    </w:p>
    <w:p w14:paraId="25C5F5D9" w14:textId="77777777" w:rsidR="00B361C8" w:rsidRPr="00D306A9" w:rsidRDefault="00B361C8" w:rsidP="00B361C8">
      <w:pPr>
        <w:jc w:val="both"/>
        <w:rPr>
          <w:rFonts w:ascii="Arial" w:hAnsi="Arial" w:cs="Arial"/>
          <w:sz w:val="16"/>
          <w:szCs w:val="20"/>
        </w:rPr>
      </w:pPr>
    </w:p>
    <w:p w14:paraId="36755E79" w14:textId="7FBFF623" w:rsidR="00B361C8" w:rsidRDefault="00B361C8" w:rsidP="00B361C8">
      <w:pPr>
        <w:jc w:val="both"/>
        <w:rPr>
          <w:rFonts w:ascii="Arial" w:hAnsi="Arial" w:cs="Arial"/>
          <w:sz w:val="20"/>
          <w:szCs w:val="32"/>
        </w:rPr>
      </w:pPr>
      <w:r>
        <w:rPr>
          <w:rFonts w:ascii="Arial" w:hAnsi="Arial" w:cs="Arial"/>
          <w:sz w:val="20"/>
          <w:szCs w:val="32"/>
        </w:rPr>
        <w:t>T</w:t>
      </w:r>
      <w:r w:rsidRPr="00D24154">
        <w:rPr>
          <w:rFonts w:ascii="Arial" w:hAnsi="Arial" w:cs="Arial"/>
          <w:sz w:val="20"/>
          <w:szCs w:val="32"/>
        </w:rPr>
        <w:t>he 20</w:t>
      </w:r>
      <w:r>
        <w:rPr>
          <w:rFonts w:ascii="Arial" w:hAnsi="Arial" w:cs="Arial"/>
          <w:sz w:val="20"/>
          <w:szCs w:val="32"/>
        </w:rPr>
        <w:t>21</w:t>
      </w:r>
      <w:r w:rsidRPr="00D24154">
        <w:rPr>
          <w:rFonts w:ascii="Arial" w:hAnsi="Arial" w:cs="Arial"/>
          <w:sz w:val="20"/>
          <w:szCs w:val="32"/>
        </w:rPr>
        <w:t>/</w:t>
      </w:r>
      <w:r>
        <w:rPr>
          <w:rFonts w:ascii="Arial" w:hAnsi="Arial" w:cs="Arial"/>
          <w:sz w:val="20"/>
          <w:szCs w:val="32"/>
        </w:rPr>
        <w:t>22</w:t>
      </w:r>
      <w:r w:rsidRPr="00D24154">
        <w:rPr>
          <w:rFonts w:ascii="Arial" w:hAnsi="Arial" w:cs="Arial"/>
          <w:sz w:val="20"/>
          <w:szCs w:val="32"/>
        </w:rPr>
        <w:t xml:space="preserve"> Annual Report </w:t>
      </w:r>
      <w:r>
        <w:rPr>
          <w:rFonts w:ascii="Arial" w:hAnsi="Arial" w:cs="Arial"/>
          <w:sz w:val="20"/>
          <w:szCs w:val="32"/>
        </w:rPr>
        <w:t xml:space="preserve">contains </w:t>
      </w:r>
      <w:r w:rsidRPr="00D24154">
        <w:rPr>
          <w:rFonts w:ascii="Arial" w:hAnsi="Arial" w:cs="Arial"/>
          <w:sz w:val="20"/>
          <w:szCs w:val="32"/>
        </w:rPr>
        <w:t xml:space="preserve">the </w:t>
      </w:r>
      <w:r>
        <w:rPr>
          <w:rFonts w:ascii="Arial" w:hAnsi="Arial" w:cs="Arial"/>
          <w:sz w:val="20"/>
          <w:szCs w:val="32"/>
        </w:rPr>
        <w:t>following information about the FDTC:</w:t>
      </w:r>
    </w:p>
    <w:p w14:paraId="4FB61D3A" w14:textId="08BAC263" w:rsidR="00B361C8" w:rsidRDefault="00B361C8" w:rsidP="00B361C8">
      <w:pPr>
        <w:spacing w:before="60"/>
        <w:ind w:left="567" w:right="567"/>
        <w:jc w:val="both"/>
        <w:rPr>
          <w:noProof/>
          <w:color w:val="000000"/>
        </w:rPr>
      </w:pPr>
      <w:r>
        <w:rPr>
          <w:rFonts w:ascii="Arial" w:hAnsi="Arial" w:cs="Arial"/>
          <w:sz w:val="20"/>
          <w:szCs w:val="32"/>
        </w:rPr>
        <w:t>“Throughout 2021/22, the FDTC has supported 64 parents in working to address their drug and alcohol use with a view to achieving safe and sustainable reunification with their children.  To date, greater than 80% of all participants who completed the 12-month FDTC program have achieved reunification with their children.  Overall, 94% of program graduates have achieved reunification.  In</w:t>
      </w:r>
      <w:r w:rsidR="00CE1749">
        <w:rPr>
          <w:rFonts w:ascii="Arial" w:hAnsi="Arial" w:cs="Arial"/>
          <w:sz w:val="20"/>
          <w:szCs w:val="32"/>
        </w:rPr>
        <w:t xml:space="preserve"> </w:t>
      </w:r>
      <w:r>
        <w:rPr>
          <w:rFonts w:ascii="Arial" w:hAnsi="Arial" w:cs="Arial"/>
          <w:sz w:val="20"/>
          <w:szCs w:val="32"/>
        </w:rPr>
        <w:t>each of Broadmeadows and Shepparton 23 parents were newly inducted in the FDTC during 2021/22.”</w:t>
      </w:r>
      <w:r w:rsidRPr="00C87CED">
        <w:rPr>
          <w:noProof/>
          <w:color w:val="000000"/>
        </w:rPr>
        <w:t xml:space="preserve"> </w:t>
      </w:r>
    </w:p>
    <w:p w14:paraId="47FB790B" w14:textId="38D9B34F" w:rsidR="00D74C22" w:rsidRPr="00CE7BF6" w:rsidRDefault="00D74C22" w:rsidP="00D74C22">
      <w:pPr>
        <w:jc w:val="both"/>
        <w:rPr>
          <w:rFonts w:ascii="Arial" w:hAnsi="Arial" w:cs="Arial"/>
          <w:sz w:val="16"/>
          <w:szCs w:val="20"/>
        </w:rPr>
      </w:pPr>
    </w:p>
    <w:p w14:paraId="5BAA4016" w14:textId="00E5E129" w:rsidR="007650BD" w:rsidRDefault="00D306A9" w:rsidP="007650BD">
      <w:pPr>
        <w:jc w:val="both"/>
        <w:rPr>
          <w:rFonts w:ascii="Arial" w:hAnsi="Arial" w:cs="Arial"/>
          <w:sz w:val="20"/>
          <w:szCs w:val="32"/>
        </w:rPr>
      </w:pPr>
      <w:r>
        <w:rPr>
          <w:rFonts w:ascii="Arial" w:hAnsi="Arial" w:cs="Arial"/>
          <w:sz w:val="20"/>
          <w:szCs w:val="32"/>
        </w:rPr>
        <w:t>T</w:t>
      </w:r>
      <w:r w:rsidRPr="00D24154">
        <w:rPr>
          <w:rFonts w:ascii="Arial" w:hAnsi="Arial" w:cs="Arial"/>
          <w:sz w:val="20"/>
          <w:szCs w:val="32"/>
        </w:rPr>
        <w:t>he 20</w:t>
      </w:r>
      <w:r>
        <w:rPr>
          <w:rFonts w:ascii="Arial" w:hAnsi="Arial" w:cs="Arial"/>
          <w:sz w:val="20"/>
          <w:szCs w:val="32"/>
        </w:rPr>
        <w:t>2</w:t>
      </w:r>
      <w:r w:rsidR="00B361C8">
        <w:rPr>
          <w:rFonts w:ascii="Arial" w:hAnsi="Arial" w:cs="Arial"/>
          <w:sz w:val="20"/>
          <w:szCs w:val="32"/>
        </w:rPr>
        <w:t>2</w:t>
      </w:r>
      <w:r w:rsidRPr="00D24154">
        <w:rPr>
          <w:rFonts w:ascii="Arial" w:hAnsi="Arial" w:cs="Arial"/>
          <w:sz w:val="20"/>
          <w:szCs w:val="32"/>
        </w:rPr>
        <w:t>/</w:t>
      </w:r>
      <w:r>
        <w:rPr>
          <w:rFonts w:ascii="Arial" w:hAnsi="Arial" w:cs="Arial"/>
          <w:sz w:val="20"/>
          <w:szCs w:val="32"/>
        </w:rPr>
        <w:t>2</w:t>
      </w:r>
      <w:r w:rsidR="00B361C8">
        <w:rPr>
          <w:rFonts w:ascii="Arial" w:hAnsi="Arial" w:cs="Arial"/>
          <w:sz w:val="20"/>
          <w:szCs w:val="32"/>
        </w:rPr>
        <w:t>3</w:t>
      </w:r>
      <w:r w:rsidRPr="00D24154">
        <w:rPr>
          <w:rFonts w:ascii="Arial" w:hAnsi="Arial" w:cs="Arial"/>
          <w:sz w:val="20"/>
          <w:szCs w:val="32"/>
        </w:rPr>
        <w:t xml:space="preserve"> Annual Report </w:t>
      </w:r>
      <w:r w:rsidR="007650BD">
        <w:rPr>
          <w:rFonts w:ascii="Arial" w:hAnsi="Arial" w:cs="Arial"/>
          <w:sz w:val="20"/>
          <w:szCs w:val="32"/>
        </w:rPr>
        <w:t>notes that during 2022/23:</w:t>
      </w:r>
    </w:p>
    <w:p w14:paraId="0CBE4CC6" w14:textId="787F27D7" w:rsidR="007650BD" w:rsidRDefault="007650BD">
      <w:pPr>
        <w:pStyle w:val="ListParagraph"/>
        <w:numPr>
          <w:ilvl w:val="0"/>
          <w:numId w:val="99"/>
        </w:numPr>
        <w:ind w:left="357" w:hanging="357"/>
        <w:jc w:val="both"/>
        <w:rPr>
          <w:rFonts w:ascii="Arial" w:hAnsi="Arial" w:cs="Arial"/>
          <w:sz w:val="20"/>
          <w:szCs w:val="32"/>
        </w:rPr>
      </w:pPr>
      <w:r w:rsidRPr="007650BD">
        <w:rPr>
          <w:rFonts w:ascii="Arial" w:hAnsi="Arial" w:cs="Arial"/>
          <w:sz w:val="20"/>
          <w:szCs w:val="32"/>
        </w:rPr>
        <w:t xml:space="preserve">“the FDTC has supported 76 parents to address their drug and alcohol use </w:t>
      </w:r>
      <w:r>
        <w:rPr>
          <w:rFonts w:ascii="Arial" w:hAnsi="Arial" w:cs="Arial"/>
          <w:sz w:val="20"/>
          <w:szCs w:val="32"/>
        </w:rPr>
        <w:t>with a view to achieving safe and sustainable reunification with their children”; and</w:t>
      </w:r>
    </w:p>
    <w:p w14:paraId="4FE7FAF2" w14:textId="205FBF8E" w:rsidR="007650BD" w:rsidRDefault="007650BD">
      <w:pPr>
        <w:pStyle w:val="ListParagraph"/>
        <w:numPr>
          <w:ilvl w:val="0"/>
          <w:numId w:val="99"/>
        </w:numPr>
        <w:ind w:left="357" w:hanging="357"/>
        <w:jc w:val="both"/>
        <w:rPr>
          <w:rFonts w:ascii="Arial" w:hAnsi="Arial" w:cs="Arial"/>
          <w:sz w:val="20"/>
          <w:szCs w:val="32"/>
        </w:rPr>
      </w:pPr>
      <w:r>
        <w:rPr>
          <w:rFonts w:ascii="Arial" w:hAnsi="Arial" w:cs="Arial"/>
          <w:sz w:val="20"/>
          <w:szCs w:val="32"/>
        </w:rPr>
        <w:t xml:space="preserve">the FDTC program received referrals for </w:t>
      </w:r>
      <w:r w:rsidR="00C84871">
        <w:rPr>
          <w:rFonts w:ascii="Arial" w:hAnsi="Arial" w:cs="Arial"/>
          <w:sz w:val="20"/>
          <w:szCs w:val="32"/>
        </w:rPr>
        <w:t>84</w:t>
      </w:r>
      <w:r>
        <w:rPr>
          <w:rFonts w:ascii="Arial" w:hAnsi="Arial" w:cs="Arial"/>
          <w:sz w:val="20"/>
          <w:szCs w:val="32"/>
        </w:rPr>
        <w:t xml:space="preserve"> parents, leading to </w:t>
      </w:r>
      <w:r w:rsidR="00C84871">
        <w:rPr>
          <w:rFonts w:ascii="Arial" w:hAnsi="Arial" w:cs="Arial"/>
          <w:sz w:val="20"/>
          <w:szCs w:val="32"/>
        </w:rPr>
        <w:t xml:space="preserve">40 inductions as follows: </w:t>
      </w:r>
      <w:r w:rsidR="00C84871" w:rsidRPr="00C84871">
        <w:rPr>
          <w:rFonts w:ascii="Arial" w:hAnsi="Arial" w:cs="Arial"/>
          <w:b/>
          <w:bCs/>
          <w:sz w:val="20"/>
          <w:szCs w:val="32"/>
        </w:rPr>
        <w:t>Broadmeadows</w:t>
      </w:r>
      <w:r w:rsidR="00C84871">
        <w:rPr>
          <w:rFonts w:ascii="Arial" w:hAnsi="Arial" w:cs="Arial"/>
          <w:sz w:val="20"/>
          <w:szCs w:val="32"/>
        </w:rPr>
        <w:t xml:space="preserve">: 48 referrals/17 inductions – </w:t>
      </w:r>
      <w:r w:rsidR="00C84871" w:rsidRPr="00C84871">
        <w:rPr>
          <w:rFonts w:ascii="Arial" w:hAnsi="Arial" w:cs="Arial"/>
          <w:b/>
          <w:bCs/>
          <w:sz w:val="20"/>
          <w:szCs w:val="32"/>
        </w:rPr>
        <w:t>Shepparton</w:t>
      </w:r>
      <w:r w:rsidR="00C84871">
        <w:rPr>
          <w:rFonts w:ascii="Arial" w:hAnsi="Arial" w:cs="Arial"/>
          <w:sz w:val="20"/>
          <w:szCs w:val="32"/>
        </w:rPr>
        <w:t xml:space="preserve"> 36 referrals/23 inductions.</w:t>
      </w:r>
    </w:p>
    <w:p w14:paraId="4E74A1CF" w14:textId="77777777" w:rsidR="00BA7079" w:rsidRPr="00CE7BF6" w:rsidRDefault="00BA7079" w:rsidP="00BA7079">
      <w:pPr>
        <w:jc w:val="both"/>
        <w:rPr>
          <w:rFonts w:ascii="Arial" w:hAnsi="Arial" w:cs="Arial"/>
          <w:sz w:val="16"/>
          <w:szCs w:val="20"/>
        </w:rPr>
      </w:pPr>
    </w:p>
    <w:p w14:paraId="64326A8F" w14:textId="77777777" w:rsidR="009F297A" w:rsidRDefault="00880806" w:rsidP="00BA7079">
      <w:pPr>
        <w:jc w:val="both"/>
        <w:rPr>
          <w:rFonts w:ascii="Arial" w:hAnsi="Arial" w:cs="Arial"/>
          <w:sz w:val="20"/>
        </w:rPr>
      </w:pPr>
      <w:r>
        <w:rPr>
          <w:rFonts w:ascii="Arial" w:hAnsi="Arial" w:cs="Arial"/>
          <w:sz w:val="20"/>
        </w:rPr>
        <w:t>The 2023/24 Annual Report notes that during 2023/24</w:t>
      </w:r>
      <w:r w:rsidR="009F297A">
        <w:rPr>
          <w:rFonts w:ascii="Arial" w:hAnsi="Arial" w:cs="Arial"/>
          <w:sz w:val="20"/>
        </w:rPr>
        <w:t>:</w:t>
      </w:r>
    </w:p>
    <w:p w14:paraId="1F0F60E3" w14:textId="4A1749C3" w:rsidR="009F297A" w:rsidRPr="009F297A" w:rsidRDefault="009F297A">
      <w:pPr>
        <w:pStyle w:val="ListParagraph"/>
        <w:numPr>
          <w:ilvl w:val="0"/>
          <w:numId w:val="99"/>
        </w:numPr>
        <w:ind w:left="357" w:hanging="357"/>
        <w:jc w:val="both"/>
        <w:rPr>
          <w:rFonts w:ascii="Arial" w:hAnsi="Arial" w:cs="Arial"/>
          <w:sz w:val="20"/>
          <w:szCs w:val="32"/>
        </w:rPr>
      </w:pPr>
      <w:r w:rsidRPr="007650BD">
        <w:rPr>
          <w:rFonts w:ascii="Arial" w:hAnsi="Arial" w:cs="Arial"/>
          <w:sz w:val="20"/>
          <w:szCs w:val="32"/>
        </w:rPr>
        <w:t xml:space="preserve">“the FDTC has supported 76 parents to address their drug and alcohol use </w:t>
      </w:r>
      <w:r>
        <w:rPr>
          <w:rFonts w:ascii="Arial" w:hAnsi="Arial" w:cs="Arial"/>
          <w:sz w:val="20"/>
          <w:szCs w:val="32"/>
        </w:rPr>
        <w:t>with a view to achieving safe and sustainable reunification with their children”; and</w:t>
      </w:r>
    </w:p>
    <w:p w14:paraId="08C367C1" w14:textId="3EF7E658" w:rsidR="009F297A" w:rsidRDefault="009F297A">
      <w:pPr>
        <w:pStyle w:val="ListParagraph"/>
        <w:numPr>
          <w:ilvl w:val="0"/>
          <w:numId w:val="99"/>
        </w:numPr>
        <w:ind w:left="357" w:hanging="357"/>
        <w:jc w:val="both"/>
        <w:rPr>
          <w:rFonts w:ascii="Arial" w:hAnsi="Arial" w:cs="Arial"/>
          <w:sz w:val="20"/>
          <w:szCs w:val="32"/>
        </w:rPr>
      </w:pPr>
      <w:r>
        <w:rPr>
          <w:rFonts w:ascii="Arial" w:hAnsi="Arial" w:cs="Arial"/>
          <w:sz w:val="20"/>
        </w:rPr>
        <w:t xml:space="preserve">the FDTC program received referrals for 83 parents, leading to 50 inductions as follows: </w:t>
      </w:r>
      <w:r w:rsidRPr="00C84871">
        <w:rPr>
          <w:rFonts w:ascii="Arial" w:hAnsi="Arial" w:cs="Arial"/>
          <w:b/>
          <w:bCs/>
          <w:sz w:val="20"/>
          <w:szCs w:val="32"/>
        </w:rPr>
        <w:t>Broadmeadows</w:t>
      </w:r>
      <w:r>
        <w:rPr>
          <w:rFonts w:ascii="Arial" w:hAnsi="Arial" w:cs="Arial"/>
          <w:sz w:val="20"/>
          <w:szCs w:val="32"/>
        </w:rPr>
        <w:t xml:space="preserve">: 49 referrals/26 inductions – </w:t>
      </w:r>
      <w:r w:rsidRPr="00C84871">
        <w:rPr>
          <w:rFonts w:ascii="Arial" w:hAnsi="Arial" w:cs="Arial"/>
          <w:b/>
          <w:bCs/>
          <w:sz w:val="20"/>
          <w:szCs w:val="32"/>
        </w:rPr>
        <w:t>Shepparton</w:t>
      </w:r>
      <w:r>
        <w:rPr>
          <w:rFonts w:ascii="Arial" w:hAnsi="Arial" w:cs="Arial"/>
          <w:sz w:val="20"/>
          <w:szCs w:val="32"/>
        </w:rPr>
        <w:t xml:space="preserve"> 34 referrals/24 inductions.</w:t>
      </w:r>
    </w:p>
    <w:p w14:paraId="52D3D949" w14:textId="77777777" w:rsidR="00880806" w:rsidRDefault="00880806" w:rsidP="00BA7079">
      <w:pPr>
        <w:jc w:val="both"/>
        <w:rPr>
          <w:rFonts w:ascii="Arial" w:hAnsi="Arial" w:cs="Arial"/>
          <w:sz w:val="20"/>
        </w:rPr>
      </w:pPr>
    </w:p>
    <w:p w14:paraId="6B7054EB" w14:textId="5503A098" w:rsidR="00BA7079" w:rsidRDefault="00BA7079" w:rsidP="00BA7079">
      <w:pPr>
        <w:pStyle w:val="Heading2"/>
        <w:keepNext/>
        <w:keepLines/>
        <w:widowControl/>
        <w:tabs>
          <w:tab w:val="left" w:pos="567"/>
        </w:tabs>
        <w:spacing w:line="240" w:lineRule="auto"/>
        <w:rPr>
          <w:rFonts w:ascii="Arial" w:hAnsi="Arial" w:cs="Arial"/>
          <w:b/>
          <w:bCs/>
        </w:rPr>
      </w:pPr>
      <w:bookmarkStart w:id="1634" w:name="_4.17_Working_with"/>
      <w:bookmarkEnd w:id="1634"/>
      <w:r>
        <w:rPr>
          <w:rFonts w:ascii="Arial" w:hAnsi="Arial" w:cs="Arial"/>
          <w:b/>
          <w:bCs/>
        </w:rPr>
        <w:t>4.1</w:t>
      </w:r>
      <w:r>
        <w:rPr>
          <w:rFonts w:ascii="Arial" w:hAnsi="Arial" w:cs="Arial"/>
          <w:b/>
          <w:bCs/>
          <w:color w:val="000000"/>
        </w:rPr>
        <w:t>7</w:t>
      </w:r>
      <w:r>
        <w:rPr>
          <w:rFonts w:ascii="Arial" w:hAnsi="Arial" w:cs="Arial"/>
          <w:b/>
          <w:bCs/>
        </w:rPr>
        <w:tab/>
        <w:t>Working with children checks</w:t>
      </w:r>
    </w:p>
    <w:p w14:paraId="4F76A997" w14:textId="77777777" w:rsidR="00BA7079" w:rsidRDefault="00BA7079" w:rsidP="00BA7079">
      <w:pPr>
        <w:keepNext/>
        <w:keepLines/>
        <w:rPr>
          <w:rFonts w:ascii="Arial" w:hAnsi="Arial" w:cs="Arial"/>
          <w:sz w:val="16"/>
        </w:rPr>
      </w:pPr>
    </w:p>
    <w:p w14:paraId="1C6549C7" w14:textId="65396868" w:rsidR="00BA7079" w:rsidRPr="002B574E" w:rsidRDefault="00E666FB" w:rsidP="00BA7079">
      <w:pPr>
        <w:keepNext/>
        <w:keepLines/>
        <w:jc w:val="both"/>
        <w:rPr>
          <w:rFonts w:ascii="Arial" w:hAnsi="Arial" w:cs="Arial"/>
          <w:sz w:val="20"/>
          <w:szCs w:val="20"/>
        </w:rPr>
      </w:pPr>
      <w:bookmarkStart w:id="1635" w:name="_Hlk174375436"/>
      <w:r>
        <w:rPr>
          <w:rFonts w:ascii="Arial" w:hAnsi="Arial" w:cs="Arial"/>
          <w:sz w:val="20"/>
          <w:szCs w:val="20"/>
        </w:rPr>
        <w:t xml:space="preserve">The Victorian statutory regime in relation to working with children [WWC] checks is contained in the </w:t>
      </w:r>
      <w:r w:rsidRPr="00E666FB">
        <w:rPr>
          <w:rFonts w:ascii="Arial" w:hAnsi="Arial" w:cs="Arial"/>
          <w:i/>
          <w:iCs/>
          <w:sz w:val="20"/>
          <w:szCs w:val="20"/>
        </w:rPr>
        <w:t>Worker Screening Act 2020</w:t>
      </w:r>
      <w:r>
        <w:rPr>
          <w:rFonts w:ascii="Arial" w:hAnsi="Arial" w:cs="Arial"/>
          <w:sz w:val="20"/>
          <w:szCs w:val="20"/>
        </w:rPr>
        <w:t xml:space="preserve"> [WSA].  </w:t>
      </w:r>
      <w:r w:rsidR="00BA7079" w:rsidRPr="002B574E">
        <w:rPr>
          <w:rFonts w:ascii="Arial" w:hAnsi="Arial" w:cs="Arial"/>
          <w:sz w:val="20"/>
          <w:szCs w:val="20"/>
        </w:rPr>
        <w:t xml:space="preserve">In </w:t>
      </w:r>
      <w:r w:rsidR="002B574E" w:rsidRPr="002B574E">
        <w:rPr>
          <w:rFonts w:ascii="Arial" w:hAnsi="Arial" w:cs="Arial"/>
          <w:i/>
          <w:iCs/>
          <w:sz w:val="20"/>
          <w:szCs w:val="20"/>
        </w:rPr>
        <w:t>Secretary to the Department of Justice and Community Safety v TXD (a pseudonym) &amp; VCAT</w:t>
      </w:r>
      <w:r w:rsidR="002B574E" w:rsidRPr="002B574E">
        <w:rPr>
          <w:rFonts w:ascii="Arial" w:hAnsi="Arial" w:cs="Arial"/>
          <w:sz w:val="20"/>
          <w:szCs w:val="20"/>
        </w:rPr>
        <w:t xml:space="preserve"> [2024] VSCA 169 </w:t>
      </w:r>
      <w:r w:rsidR="002B574E">
        <w:rPr>
          <w:rFonts w:ascii="Arial" w:hAnsi="Arial" w:cs="Arial"/>
          <w:sz w:val="20"/>
          <w:szCs w:val="20"/>
        </w:rPr>
        <w:t>the Court of Appeal (M</w:t>
      </w:r>
      <w:r w:rsidR="002B574E" w:rsidRPr="002B574E">
        <w:rPr>
          <w:rFonts w:ascii="Arial" w:hAnsi="Arial" w:cs="Arial"/>
          <w:sz w:val="20"/>
          <w:szCs w:val="20"/>
        </w:rPr>
        <w:t>c</w:t>
      </w:r>
      <w:r w:rsidR="002B574E">
        <w:rPr>
          <w:rFonts w:ascii="Arial" w:hAnsi="Arial" w:cs="Arial"/>
          <w:sz w:val="20"/>
          <w:szCs w:val="20"/>
        </w:rPr>
        <w:t>L</w:t>
      </w:r>
      <w:r w:rsidR="002B574E" w:rsidRPr="002B574E">
        <w:rPr>
          <w:rFonts w:ascii="Arial" w:hAnsi="Arial" w:cs="Arial"/>
          <w:sz w:val="20"/>
          <w:szCs w:val="20"/>
        </w:rPr>
        <w:t>eish, M</w:t>
      </w:r>
      <w:r w:rsidR="002B574E">
        <w:rPr>
          <w:rFonts w:ascii="Arial" w:hAnsi="Arial" w:cs="Arial"/>
          <w:sz w:val="20"/>
          <w:szCs w:val="20"/>
        </w:rPr>
        <w:t>acaulay &amp; Lyons</w:t>
      </w:r>
      <w:r w:rsidR="002B574E" w:rsidRPr="002B574E">
        <w:rPr>
          <w:rFonts w:ascii="Arial" w:hAnsi="Arial" w:cs="Arial"/>
          <w:sz w:val="20"/>
          <w:szCs w:val="20"/>
        </w:rPr>
        <w:t xml:space="preserve"> JJA</w:t>
      </w:r>
      <w:r w:rsidR="002B574E">
        <w:rPr>
          <w:rFonts w:ascii="Arial" w:hAnsi="Arial" w:cs="Arial"/>
          <w:sz w:val="20"/>
          <w:szCs w:val="20"/>
        </w:rPr>
        <w:t>) said</w:t>
      </w:r>
      <w:r w:rsidR="00FC7121">
        <w:rPr>
          <w:rFonts w:ascii="Arial" w:hAnsi="Arial" w:cs="Arial"/>
          <w:sz w:val="20"/>
          <w:szCs w:val="20"/>
        </w:rPr>
        <w:t xml:space="preserve"> </w:t>
      </w:r>
      <w:r w:rsidR="00FC7121" w:rsidRPr="002B574E">
        <w:rPr>
          <w:rFonts w:ascii="Arial" w:hAnsi="Arial" w:cs="Arial"/>
          <w:sz w:val="20"/>
          <w:szCs w:val="20"/>
        </w:rPr>
        <w:t>at [8]</w:t>
      </w:r>
      <w:r w:rsidR="00FC7121">
        <w:rPr>
          <w:rFonts w:ascii="Arial" w:hAnsi="Arial" w:cs="Arial"/>
          <w:sz w:val="20"/>
          <w:szCs w:val="20"/>
        </w:rPr>
        <w:t>-</w:t>
      </w:r>
      <w:r w:rsidR="00FC7121" w:rsidRPr="002B574E">
        <w:rPr>
          <w:rFonts w:ascii="Arial" w:hAnsi="Arial" w:cs="Arial"/>
          <w:sz w:val="20"/>
          <w:szCs w:val="20"/>
        </w:rPr>
        <w:t>[9]</w:t>
      </w:r>
      <w:r w:rsidR="002B574E">
        <w:rPr>
          <w:rFonts w:ascii="Arial" w:hAnsi="Arial" w:cs="Arial"/>
          <w:sz w:val="20"/>
          <w:szCs w:val="20"/>
        </w:rPr>
        <w:t>:</w:t>
      </w:r>
    </w:p>
    <w:bookmarkEnd w:id="1635"/>
    <w:p w14:paraId="1654E731" w14:textId="74EB18EF" w:rsidR="00BA7079" w:rsidRDefault="00BA7079" w:rsidP="00116AA0">
      <w:pPr>
        <w:spacing w:before="60"/>
        <w:ind w:left="567" w:right="567"/>
        <w:jc w:val="both"/>
        <w:rPr>
          <w:rFonts w:ascii="Arial" w:hAnsi="Arial" w:cs="Arial"/>
          <w:sz w:val="20"/>
          <w:szCs w:val="32"/>
        </w:rPr>
      </w:pPr>
      <w:r>
        <w:rPr>
          <w:rFonts w:ascii="Arial" w:hAnsi="Arial" w:cs="Arial"/>
          <w:sz w:val="20"/>
        </w:rPr>
        <w:t xml:space="preserve">[8] “One of the main purposes of the </w:t>
      </w:r>
      <w:r w:rsidRPr="00BA7079">
        <w:rPr>
          <w:rFonts w:ascii="Arial" w:hAnsi="Arial" w:cs="Arial"/>
          <w:i/>
          <w:iCs/>
          <w:sz w:val="20"/>
        </w:rPr>
        <w:t>Worker Screening Act 2020</w:t>
      </w:r>
      <w:r>
        <w:rPr>
          <w:rFonts w:ascii="Arial" w:hAnsi="Arial" w:cs="Arial"/>
          <w:sz w:val="20"/>
        </w:rPr>
        <w:t xml:space="preserve">, which repeals the previous </w:t>
      </w:r>
      <w:r w:rsidRPr="00BA7079">
        <w:rPr>
          <w:rFonts w:ascii="Arial" w:hAnsi="Arial" w:cs="Arial"/>
          <w:i/>
          <w:iCs/>
          <w:sz w:val="20"/>
        </w:rPr>
        <w:t>Working with Children Act 2005</w:t>
      </w:r>
      <w:r>
        <w:rPr>
          <w:rFonts w:ascii="Arial" w:hAnsi="Arial" w:cs="Arial"/>
          <w:sz w:val="20"/>
        </w:rPr>
        <w:t xml:space="preserve">, is ‘to assist in </w:t>
      </w:r>
      <w:r w:rsidRPr="00BA7079">
        <w:rPr>
          <w:rFonts w:ascii="Arial" w:hAnsi="Arial" w:cs="Arial"/>
          <w:sz w:val="20"/>
          <w:szCs w:val="32"/>
        </w:rPr>
        <w:t>protecting children from sexual and physical harm by providing for screening of persons who work with, or care for, children</w:t>
      </w:r>
      <w:r>
        <w:rPr>
          <w:rFonts w:ascii="Arial" w:hAnsi="Arial" w:cs="Arial"/>
          <w:sz w:val="20"/>
          <w:szCs w:val="32"/>
        </w:rPr>
        <w:t xml:space="preserve">’: </w:t>
      </w:r>
      <w:r w:rsidR="00E666FB">
        <w:rPr>
          <w:rFonts w:ascii="Arial" w:hAnsi="Arial" w:cs="Arial"/>
          <w:sz w:val="20"/>
          <w:szCs w:val="32"/>
        </w:rPr>
        <w:t xml:space="preserve">see ss.1(a)-(b).  Section </w:t>
      </w:r>
      <w:r w:rsidR="002B574E">
        <w:rPr>
          <w:rFonts w:ascii="Arial" w:hAnsi="Arial" w:cs="Arial"/>
          <w:sz w:val="20"/>
          <w:szCs w:val="32"/>
        </w:rPr>
        <w:t xml:space="preserve">11 of the WSA provides </w:t>
      </w:r>
      <w:r w:rsidR="002B574E" w:rsidRPr="00BA7079">
        <w:rPr>
          <w:rFonts w:ascii="Arial" w:hAnsi="Arial" w:cs="Arial"/>
          <w:sz w:val="20"/>
          <w:szCs w:val="32"/>
        </w:rPr>
        <w:t>that when the Secretary or the Tribunal makes a decision or takes action under the WS</w:t>
      </w:r>
      <w:r w:rsidR="00E666FB">
        <w:rPr>
          <w:rFonts w:ascii="Arial" w:hAnsi="Arial" w:cs="Arial"/>
          <w:sz w:val="20"/>
          <w:szCs w:val="32"/>
        </w:rPr>
        <w:t xml:space="preserve">A </w:t>
      </w:r>
      <w:r w:rsidR="002B574E" w:rsidRPr="00BA7079">
        <w:rPr>
          <w:rFonts w:ascii="Arial" w:hAnsi="Arial" w:cs="Arial"/>
          <w:sz w:val="20"/>
          <w:szCs w:val="32"/>
        </w:rPr>
        <w:t xml:space="preserve">in relation to an applicant for a </w:t>
      </w:r>
      <w:r w:rsidR="00E666FB">
        <w:rPr>
          <w:rFonts w:ascii="Arial" w:hAnsi="Arial" w:cs="Arial"/>
          <w:sz w:val="20"/>
          <w:szCs w:val="32"/>
        </w:rPr>
        <w:t xml:space="preserve">working with children check </w:t>
      </w:r>
      <w:r w:rsidR="002B574E" w:rsidRPr="00BA7079">
        <w:rPr>
          <w:rFonts w:ascii="Arial" w:hAnsi="Arial" w:cs="Arial"/>
          <w:sz w:val="20"/>
          <w:szCs w:val="32"/>
        </w:rPr>
        <w:t>or the holder of a WWC clearance ‘the protection of children from sexual or physical harm must be the paramount consideration’.</w:t>
      </w:r>
    </w:p>
    <w:p w14:paraId="1C89AEFB" w14:textId="7927403D" w:rsidR="002B574E" w:rsidRDefault="002B574E" w:rsidP="002B574E">
      <w:pPr>
        <w:spacing w:before="60"/>
        <w:ind w:left="567" w:right="567"/>
        <w:jc w:val="both"/>
        <w:rPr>
          <w:rFonts w:ascii="Arial" w:hAnsi="Arial" w:cs="Arial"/>
          <w:sz w:val="20"/>
        </w:rPr>
      </w:pPr>
      <w:r>
        <w:rPr>
          <w:rFonts w:ascii="Arial" w:hAnsi="Arial" w:cs="Arial"/>
          <w:sz w:val="20"/>
          <w:szCs w:val="32"/>
        </w:rPr>
        <w:t xml:space="preserve">[9] </w:t>
      </w:r>
      <w:r w:rsidRPr="00BA7079">
        <w:rPr>
          <w:rFonts w:ascii="Arial" w:hAnsi="Arial" w:cs="Arial"/>
          <w:sz w:val="20"/>
          <w:szCs w:val="32"/>
        </w:rPr>
        <w:t>Chapter 3 of the WS</w:t>
      </w:r>
      <w:r w:rsidR="00EF6D3C">
        <w:rPr>
          <w:rFonts w:ascii="Arial" w:hAnsi="Arial" w:cs="Arial"/>
          <w:sz w:val="20"/>
          <w:szCs w:val="32"/>
        </w:rPr>
        <w:t>A</w:t>
      </w:r>
      <w:r w:rsidRPr="00BA7079">
        <w:rPr>
          <w:rFonts w:ascii="Arial" w:hAnsi="Arial" w:cs="Arial"/>
          <w:sz w:val="20"/>
          <w:szCs w:val="32"/>
        </w:rPr>
        <w:t xml:space="preserve"> establishes a process for the Secretary, upon receiving an application, to assess or re-assess whether a person may engage in ‘child-related work’ (‘WWC check’). </w:t>
      </w:r>
      <w:r w:rsidR="00EF6D3C">
        <w:rPr>
          <w:rFonts w:ascii="Arial" w:hAnsi="Arial" w:cs="Arial"/>
          <w:sz w:val="20"/>
          <w:szCs w:val="32"/>
        </w:rPr>
        <w:t xml:space="preserve"> </w:t>
      </w:r>
      <w:r w:rsidRPr="00BA7079">
        <w:rPr>
          <w:rFonts w:ascii="Arial" w:hAnsi="Arial" w:cs="Arial"/>
          <w:sz w:val="20"/>
          <w:szCs w:val="32"/>
        </w:rPr>
        <w:t xml:space="preserve">In brief, a successful WWC check entitles the person </w:t>
      </w:r>
      <w:r w:rsidRPr="00BA7079">
        <w:rPr>
          <w:rFonts w:ascii="Arial" w:hAnsi="Arial" w:cs="Arial"/>
          <w:sz w:val="20"/>
          <w:szCs w:val="32"/>
        </w:rPr>
        <w:lastRenderedPageBreak/>
        <w:t>to be issued with a WWC clearance, permitting that person to engage in child related-work</w:t>
      </w:r>
      <w:r w:rsidR="00EF6D3C">
        <w:rPr>
          <w:rFonts w:ascii="Arial" w:hAnsi="Arial" w:cs="Arial"/>
          <w:sz w:val="20"/>
          <w:szCs w:val="32"/>
        </w:rPr>
        <w:t>: see s.68(1) &amp; Part 4.3</w:t>
      </w:r>
      <w:r w:rsidRPr="00BA7079">
        <w:rPr>
          <w:rFonts w:ascii="Arial" w:hAnsi="Arial" w:cs="Arial"/>
          <w:sz w:val="20"/>
          <w:szCs w:val="32"/>
        </w:rPr>
        <w:t xml:space="preserve">. </w:t>
      </w:r>
      <w:r w:rsidR="00EF6D3C">
        <w:rPr>
          <w:rFonts w:ascii="Arial" w:hAnsi="Arial" w:cs="Arial"/>
          <w:sz w:val="20"/>
          <w:szCs w:val="32"/>
        </w:rPr>
        <w:t xml:space="preserve"> </w:t>
      </w:r>
      <w:r w:rsidRPr="00BA7079">
        <w:rPr>
          <w:rFonts w:ascii="Arial" w:hAnsi="Arial" w:cs="Arial"/>
          <w:sz w:val="20"/>
          <w:szCs w:val="32"/>
        </w:rPr>
        <w:t>Conversely, the Secretary must give a WWC exclusion to an applicant who is refused a WWC clearance</w:t>
      </w:r>
      <w:r w:rsidR="00EF6D3C">
        <w:rPr>
          <w:rFonts w:ascii="Arial" w:hAnsi="Arial" w:cs="Arial"/>
          <w:sz w:val="20"/>
          <w:szCs w:val="32"/>
        </w:rPr>
        <w:t xml:space="preserve"> [s.68(2)]</w:t>
      </w:r>
      <w:r w:rsidRPr="00BA7079">
        <w:rPr>
          <w:rFonts w:ascii="Arial" w:hAnsi="Arial" w:cs="Arial"/>
          <w:sz w:val="20"/>
          <w:szCs w:val="32"/>
        </w:rPr>
        <w:t xml:space="preserve"> or whose WWC clearance has been revoked</w:t>
      </w:r>
      <w:r w:rsidR="00EF6D3C">
        <w:rPr>
          <w:rFonts w:ascii="Arial" w:hAnsi="Arial" w:cs="Arial"/>
          <w:sz w:val="20"/>
          <w:szCs w:val="32"/>
        </w:rPr>
        <w:t xml:space="preserve"> [ss.89-91]</w:t>
      </w:r>
      <w:r w:rsidRPr="00BA7079">
        <w:rPr>
          <w:rFonts w:ascii="Arial" w:hAnsi="Arial" w:cs="Arial"/>
          <w:sz w:val="20"/>
          <w:szCs w:val="32"/>
        </w:rPr>
        <w:t>, which prohibits that person’s engagement in such work</w:t>
      </w:r>
      <w:r w:rsidR="00EF6D3C">
        <w:rPr>
          <w:rFonts w:ascii="Arial" w:hAnsi="Arial" w:cs="Arial"/>
          <w:sz w:val="20"/>
          <w:szCs w:val="32"/>
        </w:rPr>
        <w:t xml:space="preserve"> [ss.121-122]</w:t>
      </w:r>
      <w:r w:rsidRPr="00BA7079">
        <w:rPr>
          <w:rFonts w:ascii="Arial" w:hAnsi="Arial" w:cs="Arial"/>
          <w:sz w:val="20"/>
          <w:szCs w:val="32"/>
        </w:rPr>
        <w:t>.</w:t>
      </w:r>
      <w:r w:rsidR="00EF6D3C">
        <w:rPr>
          <w:rFonts w:ascii="Arial" w:hAnsi="Arial" w:cs="Arial"/>
          <w:sz w:val="20"/>
          <w:szCs w:val="32"/>
        </w:rPr>
        <w:t>”</w:t>
      </w:r>
    </w:p>
    <w:p w14:paraId="3A645EB0" w14:textId="77777777" w:rsidR="00BA7079" w:rsidRDefault="00BA7079" w:rsidP="00BA7079">
      <w:pPr>
        <w:jc w:val="both"/>
        <w:rPr>
          <w:rFonts w:ascii="Arial" w:hAnsi="Arial" w:cs="Arial"/>
          <w:sz w:val="20"/>
          <w:szCs w:val="32"/>
        </w:rPr>
      </w:pPr>
    </w:p>
    <w:p w14:paraId="5F36A569" w14:textId="5260EB97" w:rsidR="00BA7079" w:rsidRDefault="00FC7121" w:rsidP="00BA7079">
      <w:pPr>
        <w:jc w:val="both"/>
        <w:rPr>
          <w:rFonts w:ascii="Arial" w:hAnsi="Arial" w:cs="Arial"/>
          <w:sz w:val="20"/>
          <w:szCs w:val="32"/>
        </w:rPr>
      </w:pPr>
      <w:r>
        <w:rPr>
          <w:rFonts w:ascii="Arial" w:hAnsi="Arial" w:cs="Arial"/>
          <w:sz w:val="20"/>
          <w:szCs w:val="32"/>
        </w:rPr>
        <w:t>The most relevant provisions of the WSA for Children’ Court Family Division purposes are probably ss.7</w:t>
      </w:r>
      <w:r w:rsidR="00621D13">
        <w:rPr>
          <w:rFonts w:ascii="Arial" w:hAnsi="Arial" w:cs="Arial"/>
          <w:sz w:val="20"/>
          <w:szCs w:val="32"/>
        </w:rPr>
        <w:t xml:space="preserve"> [especially s.7(6)]</w:t>
      </w:r>
      <w:r>
        <w:rPr>
          <w:rFonts w:ascii="Arial" w:hAnsi="Arial" w:cs="Arial"/>
          <w:sz w:val="20"/>
          <w:szCs w:val="32"/>
        </w:rPr>
        <w:t>, 111(1) &amp; 121</w:t>
      </w:r>
      <w:r w:rsidR="00E6194D">
        <w:rPr>
          <w:rFonts w:ascii="Arial" w:hAnsi="Arial" w:cs="Arial"/>
          <w:sz w:val="20"/>
          <w:szCs w:val="32"/>
        </w:rPr>
        <w:t>.</w:t>
      </w:r>
    </w:p>
    <w:p w14:paraId="6F697FCC" w14:textId="63C7C70B" w:rsidR="00FC7121" w:rsidRPr="00FC7121" w:rsidRDefault="00FC7121">
      <w:pPr>
        <w:pStyle w:val="DraftHeading2"/>
        <w:numPr>
          <w:ilvl w:val="0"/>
          <w:numId w:val="112"/>
        </w:numPr>
        <w:tabs>
          <w:tab w:val="right" w:pos="1247"/>
        </w:tabs>
        <w:spacing w:before="80"/>
        <w:ind w:left="924" w:hanging="357"/>
        <w:jc w:val="both"/>
        <w:rPr>
          <w:rFonts w:ascii="Arial" w:hAnsi="Arial" w:cs="Arial"/>
          <w:sz w:val="20"/>
        </w:rPr>
      </w:pPr>
      <w:r w:rsidRPr="00FC7121">
        <w:rPr>
          <w:rFonts w:ascii="Arial" w:hAnsi="Arial" w:cs="Arial"/>
          <w:b/>
          <w:bCs/>
          <w:sz w:val="20"/>
        </w:rPr>
        <w:t>Section 7</w:t>
      </w:r>
      <w:r w:rsidRPr="00FC7121">
        <w:rPr>
          <w:rFonts w:ascii="Arial" w:hAnsi="Arial" w:cs="Arial"/>
          <w:sz w:val="20"/>
        </w:rPr>
        <w:t xml:space="preserve"> of the</w:t>
      </w:r>
      <w:r>
        <w:rPr>
          <w:rFonts w:ascii="Arial" w:hAnsi="Arial" w:cs="Arial"/>
          <w:sz w:val="20"/>
        </w:rPr>
        <w:t xml:space="preserve"> WSA </w:t>
      </w:r>
      <w:r w:rsidRPr="00FC7121">
        <w:rPr>
          <w:rFonts w:ascii="Arial" w:hAnsi="Arial" w:cs="Arial"/>
          <w:sz w:val="20"/>
        </w:rPr>
        <w:t>provides</w:t>
      </w:r>
      <w:r w:rsidR="00621D13">
        <w:rPr>
          <w:rFonts w:ascii="Arial" w:hAnsi="Arial" w:cs="Arial"/>
          <w:sz w:val="20"/>
        </w:rPr>
        <w:t xml:space="preserve"> so far as is relevant</w:t>
      </w:r>
      <w:r w:rsidRPr="00FC7121">
        <w:rPr>
          <w:rFonts w:ascii="Arial" w:hAnsi="Arial" w:cs="Arial"/>
          <w:sz w:val="20"/>
        </w:rPr>
        <w:t>:</w:t>
      </w:r>
    </w:p>
    <w:p w14:paraId="1BC445B8" w14:textId="59B73295" w:rsidR="00621D13" w:rsidRDefault="00621D13" w:rsidP="00116AA0">
      <w:pPr>
        <w:pStyle w:val="DraftHeading2"/>
        <w:tabs>
          <w:tab w:val="right" w:pos="1247"/>
        </w:tabs>
        <w:spacing w:before="60"/>
        <w:ind w:left="1491" w:right="567" w:hanging="567"/>
        <w:jc w:val="both"/>
        <w:rPr>
          <w:rFonts w:ascii="Arial" w:hAnsi="Arial" w:cs="Arial"/>
          <w:sz w:val="20"/>
        </w:rPr>
      </w:pPr>
      <w:r>
        <w:rPr>
          <w:rFonts w:ascii="Arial" w:hAnsi="Arial" w:cs="Arial"/>
          <w:sz w:val="20"/>
        </w:rPr>
        <w:t>(1)</w:t>
      </w:r>
      <w:r>
        <w:rPr>
          <w:rFonts w:ascii="Arial" w:hAnsi="Arial" w:cs="Arial"/>
          <w:sz w:val="20"/>
        </w:rPr>
        <w:tab/>
      </w:r>
      <w:r>
        <w:rPr>
          <w:rFonts w:ascii="Arial" w:hAnsi="Arial" w:cs="Arial"/>
          <w:sz w:val="20"/>
        </w:rPr>
        <w:tab/>
        <w:t xml:space="preserve">Subject to subsection (2), in this Act, </w:t>
      </w:r>
      <w:r w:rsidRPr="00621D13">
        <w:rPr>
          <w:rFonts w:ascii="Arial" w:hAnsi="Arial" w:cs="Arial"/>
          <w:b/>
          <w:bCs/>
          <w:i/>
          <w:iCs/>
          <w:sz w:val="20"/>
        </w:rPr>
        <w:t>child-related work</w:t>
      </w:r>
      <w:r>
        <w:rPr>
          <w:rFonts w:ascii="Arial" w:hAnsi="Arial" w:cs="Arial"/>
          <w:sz w:val="20"/>
        </w:rPr>
        <w:t xml:space="preserve"> means work</w:t>
      </w:r>
      <w:r w:rsidRPr="00FC7121">
        <w:rPr>
          <w:rFonts w:ascii="Arial" w:hAnsi="Arial" w:cs="Arial"/>
          <w:sz w:val="20"/>
        </w:rPr>
        <w:t>—</w:t>
      </w:r>
    </w:p>
    <w:p w14:paraId="08AD31E6" w14:textId="561BFF8B" w:rsidR="00621D13" w:rsidRPr="00FC7121" w:rsidRDefault="00621D13" w:rsidP="00621D13">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r>
      <w:r>
        <w:rPr>
          <w:rFonts w:ascii="Arial" w:hAnsi="Arial" w:cs="Arial"/>
          <w:sz w:val="20"/>
        </w:rPr>
        <w:t>at or for a service, body or place, or that involves an activity specified in subsection (3)</w:t>
      </w:r>
      <w:r w:rsidRPr="00FC7121">
        <w:rPr>
          <w:rFonts w:ascii="Arial" w:hAnsi="Arial" w:cs="Arial"/>
          <w:sz w:val="20"/>
        </w:rPr>
        <w:t>; and</w:t>
      </w:r>
    </w:p>
    <w:p w14:paraId="776005D0" w14:textId="6DBD9A91" w:rsidR="00621D13" w:rsidRDefault="00621D13" w:rsidP="00621D13">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(b)</w:t>
      </w:r>
      <w:r w:rsidRPr="00FC7121">
        <w:rPr>
          <w:rFonts w:ascii="Arial" w:hAnsi="Arial" w:cs="Arial"/>
          <w:sz w:val="20"/>
        </w:rPr>
        <w:tab/>
      </w:r>
      <w:r>
        <w:rPr>
          <w:rFonts w:ascii="Arial" w:hAnsi="Arial" w:cs="Arial"/>
          <w:sz w:val="20"/>
        </w:rPr>
        <w:t>that usually involves direct contact with a child.</w:t>
      </w:r>
    </w:p>
    <w:p w14:paraId="276A462E" w14:textId="12383D54" w:rsidR="00621D13" w:rsidRDefault="00621D13" w:rsidP="00621D13">
      <w:pPr>
        <w:pStyle w:val="DraftHeading2"/>
        <w:tabs>
          <w:tab w:val="right" w:pos="1247"/>
        </w:tabs>
        <w:spacing w:before="60"/>
        <w:ind w:left="1491" w:right="567" w:hanging="567"/>
        <w:jc w:val="both"/>
        <w:rPr>
          <w:rFonts w:ascii="Arial" w:hAnsi="Arial" w:cs="Arial"/>
          <w:sz w:val="20"/>
        </w:rPr>
      </w:pPr>
      <w:r>
        <w:rPr>
          <w:rFonts w:ascii="Arial" w:hAnsi="Arial" w:cs="Arial"/>
          <w:sz w:val="20"/>
        </w:rPr>
        <w:t>(2)</w:t>
      </w:r>
      <w:r>
        <w:rPr>
          <w:rFonts w:ascii="Arial" w:hAnsi="Arial" w:cs="Arial"/>
          <w:sz w:val="20"/>
        </w:rPr>
        <w:tab/>
      </w:r>
      <w:r>
        <w:rPr>
          <w:rFonts w:ascii="Arial" w:hAnsi="Arial" w:cs="Arial"/>
          <w:sz w:val="20"/>
        </w:rPr>
        <w:tab/>
        <w:t xml:space="preserve">For the purposes of this Act, work is not </w:t>
      </w:r>
      <w:r w:rsidRPr="00621D13">
        <w:rPr>
          <w:rFonts w:ascii="Arial" w:hAnsi="Arial" w:cs="Arial"/>
          <w:sz w:val="20"/>
        </w:rPr>
        <w:t xml:space="preserve">child-related work </w:t>
      </w:r>
      <w:r>
        <w:rPr>
          <w:rFonts w:ascii="Arial" w:hAnsi="Arial" w:cs="Arial"/>
          <w:sz w:val="20"/>
        </w:rPr>
        <w:t>by reason only of occasional direct contact with children that is incidental to the work.</w:t>
      </w:r>
    </w:p>
    <w:p w14:paraId="33131AA5" w14:textId="2D3465A6" w:rsidR="00621D13" w:rsidRDefault="00621D13" w:rsidP="00621D13">
      <w:pPr>
        <w:pStyle w:val="DraftHeading2"/>
        <w:tabs>
          <w:tab w:val="right" w:pos="1247"/>
        </w:tabs>
        <w:spacing w:before="60"/>
        <w:ind w:left="1491" w:right="567" w:hanging="567"/>
        <w:jc w:val="both"/>
        <w:rPr>
          <w:rFonts w:ascii="Arial" w:hAnsi="Arial" w:cs="Arial"/>
          <w:sz w:val="20"/>
        </w:rPr>
      </w:pPr>
      <w:r>
        <w:rPr>
          <w:rFonts w:ascii="Arial" w:hAnsi="Arial" w:cs="Arial"/>
          <w:sz w:val="20"/>
        </w:rPr>
        <w:t>(3)</w:t>
      </w:r>
      <w:r>
        <w:rPr>
          <w:rFonts w:ascii="Arial" w:hAnsi="Arial" w:cs="Arial"/>
          <w:sz w:val="20"/>
        </w:rPr>
        <w:tab/>
      </w:r>
      <w:r>
        <w:rPr>
          <w:rFonts w:ascii="Arial" w:hAnsi="Arial" w:cs="Arial"/>
          <w:sz w:val="20"/>
        </w:rPr>
        <w:tab/>
        <w:t>For the purposes of subsection (1)(a), the following services, bodies, places or activities are specified</w:t>
      </w:r>
      <w:r w:rsidRPr="00FC7121">
        <w:rPr>
          <w:rFonts w:ascii="Arial" w:hAnsi="Arial" w:cs="Arial"/>
          <w:sz w:val="20"/>
        </w:rPr>
        <w:t>—</w:t>
      </w:r>
    </w:p>
    <w:p w14:paraId="14239526" w14:textId="47024BEB" w:rsidR="00621D13" w:rsidRPr="00FC7121" w:rsidRDefault="00621D13" w:rsidP="00621D13">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r>
      <w:r>
        <w:rPr>
          <w:rFonts w:ascii="Arial" w:hAnsi="Arial" w:cs="Arial"/>
          <w:sz w:val="20"/>
        </w:rPr>
        <w:t>child protection services;</w:t>
      </w:r>
    </w:p>
    <w:p w14:paraId="341D9425" w14:textId="4F4DDD93" w:rsidR="00621D13" w:rsidRPr="00FC7121" w:rsidRDefault="00621D13" w:rsidP="00621D13">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r>
      <w:r>
        <w:rPr>
          <w:rFonts w:ascii="Arial" w:hAnsi="Arial" w:cs="Arial"/>
          <w:sz w:val="20"/>
        </w:rPr>
        <w:t>…</w:t>
      </w:r>
    </w:p>
    <w:p w14:paraId="3D58AAAC" w14:textId="2B3E9AC5" w:rsidR="00FC7121" w:rsidRPr="00FC7121" w:rsidRDefault="00FC7121" w:rsidP="000B762E">
      <w:pPr>
        <w:pStyle w:val="DraftHeading2"/>
        <w:tabs>
          <w:tab w:val="right" w:pos="1247"/>
        </w:tabs>
        <w:spacing w:before="60"/>
        <w:ind w:left="1491" w:right="567" w:hanging="567"/>
        <w:jc w:val="both"/>
        <w:rPr>
          <w:rFonts w:ascii="Arial" w:hAnsi="Arial" w:cs="Arial"/>
          <w:sz w:val="20"/>
        </w:rPr>
      </w:pPr>
      <w:r w:rsidRPr="00FC7121">
        <w:rPr>
          <w:rFonts w:ascii="Arial" w:hAnsi="Arial" w:cs="Arial"/>
          <w:sz w:val="20"/>
        </w:rPr>
        <w:t>(6)</w:t>
      </w:r>
      <w:r w:rsidRPr="00FC7121">
        <w:rPr>
          <w:rFonts w:ascii="Arial" w:hAnsi="Arial" w:cs="Arial"/>
          <w:sz w:val="20"/>
        </w:rPr>
        <w:tab/>
      </w:r>
      <w:r>
        <w:rPr>
          <w:rFonts w:ascii="Arial" w:hAnsi="Arial" w:cs="Arial"/>
          <w:sz w:val="20"/>
        </w:rPr>
        <w:tab/>
      </w:r>
      <w:r w:rsidRPr="00FC7121">
        <w:rPr>
          <w:rFonts w:ascii="Arial" w:hAnsi="Arial" w:cs="Arial"/>
          <w:sz w:val="20"/>
        </w:rPr>
        <w:t>Despite any other provision of this section, a person is engaged in child-related work if—</w:t>
      </w:r>
    </w:p>
    <w:p w14:paraId="0D98622D" w14:textId="3D009566"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t>the person is a family member or other person of significance to a child other than a parent; and</w:t>
      </w:r>
    </w:p>
    <w:p w14:paraId="29FB1C16" w14:textId="57353C2E" w:rsidR="00FC7121" w:rsidRDefault="00FC7121" w:rsidP="00FC7121">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(b)</w:t>
      </w:r>
      <w:r w:rsidRPr="00FC7121">
        <w:rPr>
          <w:rFonts w:ascii="Arial" w:hAnsi="Arial" w:cs="Arial"/>
          <w:sz w:val="20"/>
        </w:rPr>
        <w:tab/>
        <w:t xml:space="preserve">the child is placed in the out of home care of that person under the </w:t>
      </w:r>
      <w:r w:rsidRPr="00FC7121">
        <w:rPr>
          <w:rFonts w:ascii="Arial" w:hAnsi="Arial" w:cs="Arial"/>
          <w:b/>
          <w:bCs/>
          <w:sz w:val="20"/>
        </w:rPr>
        <w:t>Children, Youth and Families Act 2005</w:t>
      </w:r>
      <w:r w:rsidRPr="00FC7121">
        <w:rPr>
          <w:rFonts w:ascii="Arial" w:hAnsi="Arial" w:cs="Arial"/>
          <w:sz w:val="20"/>
        </w:rPr>
        <w:t>.</w:t>
      </w:r>
    </w:p>
    <w:p w14:paraId="5C50E40F" w14:textId="1BAFE241" w:rsidR="00FC7121" w:rsidRPr="00FC7121" w:rsidRDefault="00FC7121">
      <w:pPr>
        <w:pStyle w:val="DraftHeading2"/>
        <w:numPr>
          <w:ilvl w:val="0"/>
          <w:numId w:val="112"/>
        </w:numPr>
        <w:tabs>
          <w:tab w:val="right" w:pos="1247"/>
        </w:tabs>
        <w:spacing w:before="80"/>
        <w:ind w:left="924" w:hanging="357"/>
        <w:jc w:val="both"/>
        <w:rPr>
          <w:rFonts w:ascii="Arial" w:hAnsi="Arial" w:cs="Arial"/>
          <w:sz w:val="20"/>
        </w:rPr>
      </w:pPr>
      <w:r w:rsidRPr="00FC7121">
        <w:rPr>
          <w:rFonts w:ascii="Arial" w:hAnsi="Arial" w:cs="Arial"/>
          <w:b/>
          <w:bCs/>
          <w:sz w:val="20"/>
        </w:rPr>
        <w:t>Section</w:t>
      </w:r>
      <w:r w:rsidR="000B762E">
        <w:rPr>
          <w:rFonts w:ascii="Arial" w:hAnsi="Arial" w:cs="Arial"/>
          <w:b/>
          <w:bCs/>
          <w:sz w:val="20"/>
        </w:rPr>
        <w:t xml:space="preserve"> </w:t>
      </w:r>
      <w:r>
        <w:rPr>
          <w:rFonts w:ascii="Arial" w:hAnsi="Arial" w:cs="Arial"/>
          <w:b/>
          <w:bCs/>
          <w:sz w:val="20"/>
        </w:rPr>
        <w:t>111(1)</w:t>
      </w:r>
      <w:r w:rsidRPr="00FC7121">
        <w:rPr>
          <w:rFonts w:ascii="Arial" w:hAnsi="Arial" w:cs="Arial"/>
          <w:sz w:val="20"/>
        </w:rPr>
        <w:t xml:space="preserve"> of the</w:t>
      </w:r>
      <w:r>
        <w:rPr>
          <w:rFonts w:ascii="Arial" w:hAnsi="Arial" w:cs="Arial"/>
          <w:sz w:val="20"/>
        </w:rPr>
        <w:t xml:space="preserve"> WSA </w:t>
      </w:r>
      <w:r w:rsidRPr="00FC7121">
        <w:rPr>
          <w:rFonts w:ascii="Arial" w:hAnsi="Arial" w:cs="Arial"/>
          <w:sz w:val="20"/>
        </w:rPr>
        <w:t>provides:</w:t>
      </w:r>
    </w:p>
    <w:p w14:paraId="37EA4AB9" w14:textId="7FB8FE57" w:rsidR="00FC7121" w:rsidRPr="00FC7121" w:rsidRDefault="00FC7121" w:rsidP="00F67FBF">
      <w:pPr>
        <w:pStyle w:val="DraftHeading1"/>
        <w:tabs>
          <w:tab w:val="right" w:pos="680"/>
        </w:tabs>
        <w:spacing w:before="60"/>
        <w:ind w:left="1491" w:hanging="567"/>
        <w:rPr>
          <w:rFonts w:ascii="Arial" w:hAnsi="Arial" w:cs="Arial"/>
          <w:sz w:val="20"/>
          <w:szCs w:val="20"/>
        </w:rPr>
      </w:pPr>
      <w:bookmarkStart w:id="1636" w:name="_Toc158273983"/>
      <w:r w:rsidRPr="00FC7121">
        <w:rPr>
          <w:rFonts w:ascii="Arial" w:hAnsi="Arial" w:cs="Arial"/>
          <w:sz w:val="20"/>
          <w:szCs w:val="20"/>
        </w:rPr>
        <w:t>111</w:t>
      </w:r>
      <w:r w:rsidRPr="00FC7121">
        <w:rPr>
          <w:rFonts w:ascii="Arial" w:hAnsi="Arial" w:cs="Arial"/>
          <w:sz w:val="20"/>
          <w:szCs w:val="20"/>
        </w:rPr>
        <w:tab/>
        <w:t>Person working with closely related child</w:t>
      </w:r>
      <w:bookmarkEnd w:id="1636"/>
      <w:r w:rsidRPr="00FC7121">
        <w:rPr>
          <w:rFonts w:ascii="Arial" w:hAnsi="Arial" w:cs="Arial"/>
          <w:sz w:val="20"/>
          <w:szCs w:val="20"/>
        </w:rPr>
        <w:t xml:space="preserve"> </w:t>
      </w:r>
    </w:p>
    <w:p w14:paraId="4E23E0CB" w14:textId="53052992" w:rsidR="000B762E" w:rsidRPr="00FC7121" w:rsidRDefault="00FC7121" w:rsidP="00CF4A2E">
      <w:pPr>
        <w:pStyle w:val="DraftHeading2"/>
        <w:tabs>
          <w:tab w:val="right" w:pos="1247"/>
        </w:tabs>
        <w:spacing w:before="60"/>
        <w:ind w:left="1491" w:right="567" w:hanging="567"/>
        <w:jc w:val="both"/>
        <w:rPr>
          <w:rFonts w:ascii="Arial" w:hAnsi="Arial" w:cs="Arial"/>
          <w:sz w:val="20"/>
        </w:rPr>
      </w:pPr>
      <w:r w:rsidRPr="00FC7121">
        <w:rPr>
          <w:rFonts w:ascii="Arial" w:hAnsi="Arial" w:cs="Arial"/>
          <w:sz w:val="20"/>
        </w:rPr>
        <w:t>(1)</w:t>
      </w:r>
      <w:r w:rsidRPr="00FC7121">
        <w:rPr>
          <w:rFonts w:ascii="Arial" w:hAnsi="Arial" w:cs="Arial"/>
          <w:sz w:val="20"/>
        </w:rPr>
        <w:tab/>
      </w:r>
      <w:r w:rsidR="000B762E">
        <w:rPr>
          <w:rFonts w:ascii="Arial" w:hAnsi="Arial" w:cs="Arial"/>
          <w:sz w:val="20"/>
        </w:rPr>
        <w:tab/>
      </w:r>
      <w:r w:rsidRPr="00FC7121">
        <w:rPr>
          <w:rFonts w:ascii="Arial" w:hAnsi="Arial" w:cs="Arial"/>
          <w:sz w:val="20"/>
        </w:rPr>
        <w:t>A person engaging in child-related work (other than a person who engages in child-related work described in section 7(6)) where each child with whom the person is required to have direct contact during the work is a child who is closely related to that person is exempt from a WWC check in respect of that work.</w:t>
      </w:r>
    </w:p>
    <w:p w14:paraId="34916018" w14:textId="007D4B93" w:rsidR="000B762E" w:rsidRPr="00FC7121" w:rsidRDefault="000B762E">
      <w:pPr>
        <w:pStyle w:val="DraftHeading2"/>
        <w:numPr>
          <w:ilvl w:val="0"/>
          <w:numId w:val="112"/>
        </w:numPr>
        <w:tabs>
          <w:tab w:val="right" w:pos="1247"/>
        </w:tabs>
        <w:spacing w:before="80"/>
        <w:ind w:left="924" w:hanging="357"/>
        <w:jc w:val="both"/>
        <w:rPr>
          <w:rFonts w:ascii="Arial" w:hAnsi="Arial" w:cs="Arial"/>
          <w:sz w:val="20"/>
        </w:rPr>
      </w:pPr>
      <w:r w:rsidRPr="00FC7121">
        <w:rPr>
          <w:rFonts w:ascii="Arial" w:hAnsi="Arial" w:cs="Arial"/>
          <w:b/>
          <w:bCs/>
          <w:sz w:val="20"/>
        </w:rPr>
        <w:t>Section</w:t>
      </w:r>
      <w:r>
        <w:rPr>
          <w:rFonts w:ascii="Arial" w:hAnsi="Arial" w:cs="Arial"/>
          <w:b/>
          <w:bCs/>
          <w:sz w:val="20"/>
        </w:rPr>
        <w:t xml:space="preserve"> 121</w:t>
      </w:r>
      <w:r w:rsidRPr="00FC7121">
        <w:rPr>
          <w:rFonts w:ascii="Arial" w:hAnsi="Arial" w:cs="Arial"/>
          <w:sz w:val="20"/>
        </w:rPr>
        <w:t xml:space="preserve"> provides</w:t>
      </w:r>
      <w:r w:rsidR="00F64DBF">
        <w:rPr>
          <w:rFonts w:ascii="Arial" w:hAnsi="Arial" w:cs="Arial"/>
          <w:sz w:val="20"/>
        </w:rPr>
        <w:t xml:space="preserve"> in relation to </w:t>
      </w:r>
      <w:r w:rsidR="00EF2AF2">
        <w:rPr>
          <w:rFonts w:ascii="Arial" w:hAnsi="Arial" w:cs="Arial"/>
          <w:sz w:val="20"/>
        </w:rPr>
        <w:t>an offence under the WSA</w:t>
      </w:r>
      <w:r w:rsidRPr="00FC7121">
        <w:rPr>
          <w:rFonts w:ascii="Arial" w:hAnsi="Arial" w:cs="Arial"/>
          <w:sz w:val="20"/>
        </w:rPr>
        <w:t>:</w:t>
      </w:r>
    </w:p>
    <w:p w14:paraId="482056D4" w14:textId="68A5D748" w:rsidR="000B762E" w:rsidRPr="00FC7121" w:rsidRDefault="000B762E" w:rsidP="00F67FBF">
      <w:pPr>
        <w:pStyle w:val="DraftHeading1"/>
        <w:tabs>
          <w:tab w:val="right" w:pos="680"/>
        </w:tabs>
        <w:spacing w:before="60"/>
        <w:ind w:left="1491" w:hanging="567"/>
        <w:rPr>
          <w:rFonts w:ascii="Arial" w:hAnsi="Arial" w:cs="Arial"/>
          <w:sz w:val="20"/>
          <w:szCs w:val="20"/>
        </w:rPr>
      </w:pPr>
      <w:r w:rsidRPr="00FC7121">
        <w:rPr>
          <w:rFonts w:ascii="Arial" w:hAnsi="Arial" w:cs="Arial"/>
          <w:sz w:val="20"/>
          <w:szCs w:val="20"/>
        </w:rPr>
        <w:t>1</w:t>
      </w:r>
      <w:r>
        <w:rPr>
          <w:rFonts w:ascii="Arial" w:hAnsi="Arial" w:cs="Arial"/>
          <w:sz w:val="20"/>
          <w:szCs w:val="20"/>
        </w:rPr>
        <w:t>2</w:t>
      </w:r>
      <w:r w:rsidRPr="00FC7121">
        <w:rPr>
          <w:rFonts w:ascii="Arial" w:hAnsi="Arial" w:cs="Arial"/>
          <w:sz w:val="20"/>
          <w:szCs w:val="20"/>
        </w:rPr>
        <w:t>1</w:t>
      </w:r>
      <w:r w:rsidRPr="00FC7121">
        <w:rPr>
          <w:rFonts w:ascii="Arial" w:hAnsi="Arial" w:cs="Arial"/>
          <w:sz w:val="20"/>
          <w:szCs w:val="20"/>
        </w:rPr>
        <w:tab/>
        <w:t>Engaging in child-related work without a WWC clearance</w:t>
      </w:r>
    </w:p>
    <w:p w14:paraId="60A3A758" w14:textId="32840AAF" w:rsidR="00F67FBF" w:rsidRPr="00FC7121" w:rsidRDefault="00FC7121" w:rsidP="00CF4A2E">
      <w:pPr>
        <w:pStyle w:val="DraftHeading2"/>
        <w:tabs>
          <w:tab w:val="right" w:pos="1247"/>
        </w:tabs>
        <w:spacing w:before="60"/>
        <w:ind w:left="1491" w:right="567" w:hanging="567"/>
        <w:jc w:val="both"/>
        <w:rPr>
          <w:rFonts w:ascii="Arial" w:hAnsi="Arial" w:cs="Arial"/>
          <w:sz w:val="20"/>
        </w:rPr>
      </w:pPr>
      <w:r w:rsidRPr="00FC7121">
        <w:rPr>
          <w:rFonts w:ascii="Arial" w:hAnsi="Arial" w:cs="Arial"/>
          <w:sz w:val="20"/>
        </w:rPr>
        <w:t>(1)</w:t>
      </w:r>
      <w:r w:rsidRPr="00FC7121">
        <w:rPr>
          <w:rFonts w:ascii="Arial" w:hAnsi="Arial" w:cs="Arial"/>
          <w:sz w:val="20"/>
        </w:rPr>
        <w:tab/>
      </w:r>
      <w:r w:rsidR="00F67FBF">
        <w:rPr>
          <w:rFonts w:ascii="Arial" w:hAnsi="Arial" w:cs="Arial"/>
          <w:sz w:val="20"/>
        </w:rPr>
        <w:tab/>
      </w:r>
      <w:r w:rsidRPr="00FC7121">
        <w:rPr>
          <w:rFonts w:ascii="Arial" w:hAnsi="Arial" w:cs="Arial"/>
          <w:sz w:val="20"/>
        </w:rPr>
        <w:t>A person must not engage in child-related work if—</w:t>
      </w:r>
    </w:p>
    <w:p w14:paraId="1FE979DE" w14:textId="77777777" w:rsidR="00F67FBF"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t>the person does not have a current WWC clearance; and</w:t>
      </w:r>
    </w:p>
    <w:p w14:paraId="75A2DFC9" w14:textId="2BC83C49"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(b)</w:t>
      </w:r>
      <w:r w:rsidRPr="00FC7121">
        <w:rPr>
          <w:rFonts w:ascii="Arial" w:hAnsi="Arial" w:cs="Arial"/>
          <w:sz w:val="20"/>
        </w:rPr>
        <w:tab/>
        <w:t xml:space="preserve">the person engages in the work knowing that it is child-related work; </w:t>
      </w:r>
      <w:r w:rsidR="00EF2AF2">
        <w:rPr>
          <w:rFonts w:ascii="Arial" w:hAnsi="Arial" w:cs="Arial"/>
          <w:sz w:val="20"/>
        </w:rPr>
        <w:t>and</w:t>
      </w:r>
    </w:p>
    <w:p w14:paraId="04700FA5" w14:textId="77777777"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(c)</w:t>
      </w:r>
      <w:r w:rsidRPr="00FC7121">
        <w:rPr>
          <w:rFonts w:ascii="Arial" w:hAnsi="Arial" w:cs="Arial"/>
          <w:sz w:val="20"/>
        </w:rPr>
        <w:tab/>
        <w:t>the person knows that they do not have a current WWC clearance or is reckless as to whether or not they have one.</w:t>
      </w:r>
    </w:p>
    <w:p w14:paraId="5A14D686" w14:textId="77777777" w:rsidR="00FC7121" w:rsidRPr="00FC7121" w:rsidRDefault="00FC7121" w:rsidP="00CF4A2E">
      <w:pPr>
        <w:pStyle w:val="DraftPenalty2"/>
        <w:tabs>
          <w:tab w:val="clear" w:pos="851"/>
          <w:tab w:val="clear" w:pos="1361"/>
          <w:tab w:val="clear" w:pos="1871"/>
          <w:tab w:val="clear" w:pos="2381"/>
          <w:tab w:val="clear" w:pos="2892"/>
          <w:tab w:val="clear" w:pos="3402"/>
        </w:tabs>
        <w:spacing w:before="60"/>
        <w:ind w:left="2455" w:right="567" w:hanging="924"/>
        <w:jc w:val="both"/>
        <w:rPr>
          <w:rFonts w:ascii="Arial" w:hAnsi="Arial" w:cs="Arial"/>
          <w:sz w:val="20"/>
        </w:rPr>
      </w:pPr>
      <w:r w:rsidRPr="00FC7121">
        <w:rPr>
          <w:rFonts w:ascii="Arial" w:hAnsi="Arial" w:cs="Arial"/>
          <w:sz w:val="20"/>
        </w:rPr>
        <w:t>Penalty:</w:t>
      </w:r>
      <w:r w:rsidRPr="00FC7121">
        <w:rPr>
          <w:rFonts w:ascii="Arial" w:hAnsi="Arial" w:cs="Arial"/>
          <w:sz w:val="20"/>
        </w:rPr>
        <w:tab/>
        <w:t>Level 7 imprisonment (2 years maximum) or a level 7 fine (240 penalty units maximum) or both.</w:t>
      </w:r>
    </w:p>
    <w:p w14:paraId="444258CB" w14:textId="074234DE" w:rsidR="00DB5165" w:rsidRPr="00FC7121" w:rsidRDefault="00DB5165" w:rsidP="00CF4A2E">
      <w:pPr>
        <w:pStyle w:val="DraftHeading2"/>
        <w:tabs>
          <w:tab w:val="right" w:pos="1247"/>
        </w:tabs>
        <w:spacing w:before="60"/>
        <w:ind w:left="1491" w:right="567" w:hanging="567"/>
        <w:jc w:val="both"/>
        <w:rPr>
          <w:rFonts w:ascii="Arial" w:hAnsi="Arial" w:cs="Arial"/>
          <w:sz w:val="20"/>
        </w:rPr>
      </w:pPr>
      <w:r>
        <w:rPr>
          <w:rFonts w:ascii="Arial" w:hAnsi="Arial" w:cs="Arial"/>
          <w:sz w:val="20"/>
        </w:rPr>
        <w:t>(</w:t>
      </w:r>
      <w:r w:rsidR="00FC7121" w:rsidRPr="00FC7121">
        <w:rPr>
          <w:rFonts w:ascii="Arial" w:hAnsi="Arial" w:cs="Arial"/>
          <w:sz w:val="20"/>
        </w:rPr>
        <w:t>2)</w:t>
      </w:r>
      <w:r w:rsidR="00FC7121" w:rsidRPr="00FC7121">
        <w:rPr>
          <w:rFonts w:ascii="Arial" w:hAnsi="Arial" w:cs="Arial"/>
          <w:sz w:val="20"/>
        </w:rPr>
        <w:tab/>
      </w:r>
      <w:r>
        <w:rPr>
          <w:rFonts w:ascii="Arial" w:hAnsi="Arial" w:cs="Arial"/>
          <w:sz w:val="20"/>
        </w:rPr>
        <w:tab/>
      </w:r>
      <w:r w:rsidR="00FC7121" w:rsidRPr="00FC7121">
        <w:rPr>
          <w:rFonts w:ascii="Arial" w:hAnsi="Arial" w:cs="Arial"/>
          <w:sz w:val="20"/>
        </w:rPr>
        <w:t>A person is not guilty of an offence against subsection (1) if, at the time the offence is alleged to have been committed, the accused—</w:t>
      </w:r>
    </w:p>
    <w:p w14:paraId="719E6637" w14:textId="77777777" w:rsidR="00FC7121" w:rsidRPr="00FC7121" w:rsidRDefault="00FC7121" w:rsidP="003C44FB">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t>had applied for a WWC check and the application had not been finally decided or withdrawn and the person—</w:t>
      </w:r>
    </w:p>
    <w:p w14:paraId="64C4364D" w14:textId="70F85FFA" w:rsidR="00FC7121" w:rsidRPr="00FC7121" w:rsidRDefault="00FC7121" w:rsidP="003C44FB">
      <w:pPr>
        <w:pStyle w:val="DraftHeading4"/>
        <w:tabs>
          <w:tab w:val="right" w:pos="2268"/>
        </w:tabs>
        <w:spacing w:before="60"/>
        <w:ind w:left="2438" w:right="567" w:hanging="567"/>
        <w:jc w:val="both"/>
        <w:rPr>
          <w:rFonts w:ascii="Arial" w:hAnsi="Arial" w:cs="Arial"/>
          <w:sz w:val="20"/>
        </w:rPr>
      </w:pPr>
      <w:r w:rsidRPr="00FC7121">
        <w:rPr>
          <w:rFonts w:ascii="Arial" w:hAnsi="Arial" w:cs="Arial"/>
          <w:sz w:val="20"/>
        </w:rPr>
        <w:t>(i)</w:t>
      </w:r>
      <w:r w:rsidRPr="00FC7121">
        <w:rPr>
          <w:rFonts w:ascii="Arial" w:hAnsi="Arial" w:cs="Arial"/>
          <w:sz w:val="20"/>
        </w:rPr>
        <w:tab/>
      </w:r>
      <w:r w:rsidR="003C44FB">
        <w:rPr>
          <w:rFonts w:ascii="Arial" w:hAnsi="Arial" w:cs="Arial"/>
          <w:sz w:val="20"/>
        </w:rPr>
        <w:tab/>
      </w:r>
      <w:r w:rsidRPr="00FC7121">
        <w:rPr>
          <w:rFonts w:ascii="Arial" w:hAnsi="Arial" w:cs="Arial"/>
          <w:sz w:val="20"/>
        </w:rPr>
        <w:t>had not at any time been given a WWC exclusion or, having been given a WWC exclusion, had subsequently been given a WWC clearance; and</w:t>
      </w:r>
    </w:p>
    <w:p w14:paraId="123B0142" w14:textId="28AD5CF0" w:rsidR="003C44FB" w:rsidRPr="00FC7121" w:rsidRDefault="00FC7121" w:rsidP="003C44FB">
      <w:pPr>
        <w:pStyle w:val="DraftHeading4"/>
        <w:tabs>
          <w:tab w:val="right" w:pos="2268"/>
        </w:tabs>
        <w:spacing w:before="60"/>
        <w:ind w:left="2438" w:right="567" w:hanging="567"/>
        <w:jc w:val="both"/>
        <w:rPr>
          <w:rFonts w:ascii="Arial" w:hAnsi="Arial" w:cs="Arial"/>
          <w:sz w:val="20"/>
        </w:rPr>
      </w:pPr>
      <w:r w:rsidRPr="00FC7121">
        <w:rPr>
          <w:rFonts w:ascii="Arial" w:hAnsi="Arial" w:cs="Arial"/>
          <w:sz w:val="20"/>
        </w:rPr>
        <w:t>(ii)</w:t>
      </w:r>
      <w:r w:rsidRPr="00FC7121">
        <w:rPr>
          <w:rFonts w:ascii="Arial" w:hAnsi="Arial" w:cs="Arial"/>
          <w:sz w:val="20"/>
        </w:rPr>
        <w:tab/>
      </w:r>
      <w:r w:rsidR="003C44FB">
        <w:rPr>
          <w:rFonts w:ascii="Arial" w:hAnsi="Arial" w:cs="Arial"/>
          <w:sz w:val="20"/>
        </w:rPr>
        <w:tab/>
      </w:r>
      <w:r w:rsidRPr="00FC7121">
        <w:rPr>
          <w:rFonts w:ascii="Arial" w:hAnsi="Arial" w:cs="Arial"/>
          <w:sz w:val="20"/>
        </w:rPr>
        <w:t>was not excluded from child-related work under a corresponding working with children law; and</w:t>
      </w:r>
    </w:p>
    <w:p w14:paraId="28FA990D" w14:textId="30925AF1" w:rsidR="003C44FB" w:rsidRPr="00FC7121" w:rsidRDefault="00FC7121" w:rsidP="003C44FB">
      <w:pPr>
        <w:pStyle w:val="DraftHeading4"/>
        <w:tabs>
          <w:tab w:val="right" w:pos="2268"/>
        </w:tabs>
        <w:spacing w:before="60"/>
        <w:ind w:left="2438" w:right="567" w:hanging="567"/>
        <w:jc w:val="both"/>
        <w:rPr>
          <w:rFonts w:ascii="Arial" w:hAnsi="Arial" w:cs="Arial"/>
          <w:sz w:val="20"/>
        </w:rPr>
      </w:pPr>
      <w:r w:rsidRPr="00FC7121">
        <w:rPr>
          <w:rFonts w:ascii="Arial" w:hAnsi="Arial" w:cs="Arial"/>
          <w:sz w:val="20"/>
        </w:rPr>
        <w:t>(iii)</w:t>
      </w:r>
      <w:r w:rsidRPr="00FC7121">
        <w:rPr>
          <w:rFonts w:ascii="Arial" w:hAnsi="Arial" w:cs="Arial"/>
          <w:sz w:val="20"/>
        </w:rPr>
        <w:tab/>
      </w:r>
      <w:r w:rsidR="003C44FB">
        <w:rPr>
          <w:rFonts w:ascii="Arial" w:hAnsi="Arial" w:cs="Arial"/>
          <w:sz w:val="20"/>
        </w:rPr>
        <w:tab/>
      </w:r>
      <w:r w:rsidRPr="00FC7121">
        <w:rPr>
          <w:rFonts w:ascii="Arial" w:hAnsi="Arial" w:cs="Arial"/>
          <w:sz w:val="20"/>
        </w:rPr>
        <w:t>was not subject to an obligation or order specified in clause 1 of Schedule 5; and</w:t>
      </w:r>
    </w:p>
    <w:p w14:paraId="713BB81E" w14:textId="045E9B45" w:rsidR="003C44FB" w:rsidRPr="00FC7121" w:rsidRDefault="00FC7121" w:rsidP="003C44FB">
      <w:pPr>
        <w:pStyle w:val="DraftHeading4"/>
        <w:tabs>
          <w:tab w:val="right" w:pos="2268"/>
        </w:tabs>
        <w:spacing w:before="60"/>
        <w:ind w:left="2438" w:right="567" w:hanging="567"/>
        <w:jc w:val="both"/>
        <w:rPr>
          <w:rFonts w:ascii="Arial" w:hAnsi="Arial" w:cs="Arial"/>
          <w:sz w:val="20"/>
        </w:rPr>
      </w:pPr>
      <w:r w:rsidRPr="00FC7121">
        <w:rPr>
          <w:rFonts w:ascii="Arial" w:hAnsi="Arial" w:cs="Arial"/>
          <w:sz w:val="20"/>
        </w:rPr>
        <w:lastRenderedPageBreak/>
        <w:t>(iv)</w:t>
      </w:r>
      <w:r w:rsidRPr="00FC7121">
        <w:rPr>
          <w:rFonts w:ascii="Arial" w:hAnsi="Arial" w:cs="Arial"/>
          <w:sz w:val="20"/>
        </w:rPr>
        <w:tab/>
      </w:r>
      <w:r w:rsidR="003C44FB">
        <w:rPr>
          <w:rFonts w:ascii="Arial" w:hAnsi="Arial" w:cs="Arial"/>
          <w:sz w:val="20"/>
        </w:rPr>
        <w:tab/>
      </w:r>
      <w:r w:rsidRPr="00FC7121">
        <w:rPr>
          <w:rFonts w:ascii="Arial" w:hAnsi="Arial" w:cs="Arial"/>
          <w:sz w:val="20"/>
        </w:rPr>
        <w:t>was not charged with or had not been convicted or found guilty of an offence specified in clause 2 of Schedule 5; or</w:t>
      </w:r>
    </w:p>
    <w:p w14:paraId="58741286" w14:textId="77777777" w:rsidR="00FC7121" w:rsidRPr="00FC7121" w:rsidRDefault="00FC7121" w:rsidP="00166173">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(b)</w:t>
      </w:r>
      <w:r w:rsidRPr="00FC7121">
        <w:rPr>
          <w:rFonts w:ascii="Arial" w:hAnsi="Arial" w:cs="Arial"/>
          <w:sz w:val="20"/>
        </w:rPr>
        <w:tab/>
        <w:t>was exempt from a WWC check in respect of the work under Chapter 5 and the accused was not subject to an obligation or order specified in clause 1 of Schedule 5; or</w:t>
      </w:r>
    </w:p>
    <w:p w14:paraId="77F78734" w14:textId="77777777" w:rsidR="00FC7121" w:rsidRPr="00FC7121" w:rsidRDefault="00FC7121" w:rsidP="00166173">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(c)</w:t>
      </w:r>
      <w:r w:rsidRPr="00FC7121">
        <w:rPr>
          <w:rFonts w:ascii="Arial" w:hAnsi="Arial" w:cs="Arial"/>
          <w:sz w:val="20"/>
        </w:rPr>
        <w:tab/>
        <w:t>unless engaging in the work as a volunteer or undertaking practical training—</w:t>
      </w:r>
    </w:p>
    <w:p w14:paraId="12FC7D33" w14:textId="30609ABF" w:rsidR="00F64DBF" w:rsidRPr="00FC7121" w:rsidRDefault="00FC7121" w:rsidP="00F64DBF">
      <w:pPr>
        <w:pStyle w:val="DraftHeading4"/>
        <w:tabs>
          <w:tab w:val="right" w:pos="2268"/>
        </w:tabs>
        <w:spacing w:before="60"/>
        <w:ind w:left="2438" w:right="567" w:hanging="567"/>
        <w:jc w:val="both"/>
        <w:rPr>
          <w:rFonts w:ascii="Arial" w:hAnsi="Arial" w:cs="Arial"/>
          <w:sz w:val="20"/>
        </w:rPr>
      </w:pPr>
      <w:r w:rsidRPr="00FC7121">
        <w:rPr>
          <w:rFonts w:ascii="Arial" w:hAnsi="Arial" w:cs="Arial"/>
          <w:sz w:val="20"/>
        </w:rPr>
        <w:t>(i)</w:t>
      </w:r>
      <w:r w:rsidRPr="00FC7121">
        <w:rPr>
          <w:rFonts w:ascii="Arial" w:hAnsi="Arial" w:cs="Arial"/>
          <w:sz w:val="20"/>
        </w:rPr>
        <w:tab/>
      </w:r>
      <w:r w:rsidR="00F64DBF">
        <w:rPr>
          <w:rFonts w:ascii="Arial" w:hAnsi="Arial" w:cs="Arial"/>
          <w:sz w:val="20"/>
        </w:rPr>
        <w:tab/>
      </w:r>
      <w:r w:rsidRPr="00FC7121">
        <w:rPr>
          <w:rFonts w:ascii="Arial" w:hAnsi="Arial" w:cs="Arial"/>
          <w:sz w:val="20"/>
        </w:rPr>
        <w:t>having applied for a WWC check and been given a WWC exclusion, had notified their employer of the giving of that WWC exclusion; and</w:t>
      </w:r>
    </w:p>
    <w:p w14:paraId="051D605D" w14:textId="4DD6EC44" w:rsidR="00F64DBF" w:rsidRPr="00FC7121" w:rsidRDefault="00FC7121" w:rsidP="00F64DBF">
      <w:pPr>
        <w:pStyle w:val="DraftHeading4"/>
        <w:tabs>
          <w:tab w:val="right" w:pos="2268"/>
        </w:tabs>
        <w:spacing w:before="60"/>
        <w:ind w:left="2438" w:right="567" w:hanging="567"/>
        <w:jc w:val="both"/>
        <w:rPr>
          <w:rFonts w:ascii="Arial" w:hAnsi="Arial" w:cs="Arial"/>
          <w:sz w:val="20"/>
        </w:rPr>
      </w:pPr>
      <w:r w:rsidRPr="00FC7121">
        <w:rPr>
          <w:rFonts w:ascii="Arial" w:hAnsi="Arial" w:cs="Arial"/>
          <w:sz w:val="20"/>
        </w:rPr>
        <w:t>(ii)</w:t>
      </w:r>
      <w:r w:rsidRPr="00FC7121">
        <w:rPr>
          <w:rFonts w:ascii="Arial" w:hAnsi="Arial" w:cs="Arial"/>
          <w:sz w:val="20"/>
        </w:rPr>
        <w:tab/>
      </w:r>
      <w:r w:rsidR="00F64DBF">
        <w:rPr>
          <w:rFonts w:ascii="Arial" w:hAnsi="Arial" w:cs="Arial"/>
          <w:sz w:val="20"/>
        </w:rPr>
        <w:tab/>
      </w:r>
      <w:r w:rsidRPr="00FC7121">
        <w:rPr>
          <w:rFonts w:ascii="Arial" w:hAnsi="Arial" w:cs="Arial"/>
          <w:sz w:val="20"/>
        </w:rPr>
        <w:t>the accused's employer was in the process of—</w:t>
      </w:r>
    </w:p>
    <w:p w14:paraId="1C3CA5C2" w14:textId="74B9EED5" w:rsidR="00FC7121" w:rsidRPr="00FC7121" w:rsidRDefault="00EF2AF2" w:rsidP="00EF2AF2">
      <w:pPr>
        <w:pStyle w:val="DraftHeading5"/>
        <w:tabs>
          <w:tab w:val="right" w:pos="2722"/>
        </w:tabs>
        <w:spacing w:before="60"/>
        <w:ind w:left="2892" w:right="567" w:hanging="2892"/>
        <w:jc w:val="both"/>
        <w:rPr>
          <w:rFonts w:ascii="Arial" w:hAnsi="Arial" w:cs="Arial"/>
          <w:sz w:val="20"/>
        </w:rPr>
      </w:pPr>
      <w:r>
        <w:rPr>
          <w:rFonts w:ascii="Arial" w:hAnsi="Arial" w:cs="Arial"/>
          <w:sz w:val="20"/>
        </w:rPr>
        <w:tab/>
      </w:r>
      <w:r w:rsidR="00FC7121" w:rsidRPr="00FC7121">
        <w:rPr>
          <w:rFonts w:ascii="Arial" w:hAnsi="Arial" w:cs="Arial"/>
          <w:sz w:val="20"/>
        </w:rPr>
        <w:t>(A)</w:t>
      </w:r>
      <w:r w:rsidR="00FC7121" w:rsidRPr="00FC7121">
        <w:rPr>
          <w:rFonts w:ascii="Arial" w:hAnsi="Arial" w:cs="Arial"/>
          <w:sz w:val="20"/>
        </w:rPr>
        <w:tab/>
        <w:t>transferring the accused to work that was not child-related work; or</w:t>
      </w:r>
    </w:p>
    <w:p w14:paraId="5DAFCE41" w14:textId="77777777" w:rsidR="00FC7121" w:rsidRPr="00FC7121" w:rsidRDefault="00FC7121" w:rsidP="00EF2AF2">
      <w:pPr>
        <w:pStyle w:val="DraftHeading5"/>
        <w:tabs>
          <w:tab w:val="right" w:pos="2722"/>
        </w:tabs>
        <w:spacing w:before="60"/>
        <w:ind w:left="2892" w:right="567" w:hanging="2892"/>
        <w:jc w:val="both"/>
        <w:rPr>
          <w:rFonts w:ascii="Arial" w:hAnsi="Arial" w:cs="Arial"/>
          <w:sz w:val="20"/>
        </w:rPr>
      </w:pPr>
      <w:r w:rsidRPr="00FC7121">
        <w:rPr>
          <w:rFonts w:ascii="Arial" w:hAnsi="Arial" w:cs="Arial"/>
          <w:sz w:val="20"/>
        </w:rPr>
        <w:tab/>
        <w:t>(B)</w:t>
      </w:r>
      <w:r w:rsidRPr="00FC7121">
        <w:rPr>
          <w:rFonts w:ascii="Arial" w:hAnsi="Arial" w:cs="Arial"/>
          <w:sz w:val="20"/>
        </w:rPr>
        <w:tab/>
        <w:t>terminating the accused's employment in accordance with the requirements of the Fair Work Act 2009 of the Commonwealth.</w:t>
      </w:r>
    </w:p>
    <w:p w14:paraId="46EB2274" w14:textId="09DA8A28" w:rsidR="00EF2AF2" w:rsidRPr="00FC7121" w:rsidRDefault="00FC7121" w:rsidP="00EF2AF2">
      <w:pPr>
        <w:pStyle w:val="DraftHeading2"/>
        <w:tabs>
          <w:tab w:val="right" w:pos="1247"/>
        </w:tabs>
        <w:spacing w:before="60"/>
        <w:ind w:left="1491" w:right="567" w:hanging="567"/>
        <w:jc w:val="both"/>
        <w:rPr>
          <w:rFonts w:ascii="Arial" w:hAnsi="Arial" w:cs="Arial"/>
          <w:sz w:val="20"/>
        </w:rPr>
      </w:pPr>
      <w:r w:rsidRPr="00FC7121">
        <w:rPr>
          <w:rFonts w:ascii="Arial" w:hAnsi="Arial" w:cs="Arial"/>
          <w:sz w:val="20"/>
        </w:rPr>
        <w:t>(3)</w:t>
      </w:r>
      <w:r w:rsidRPr="00FC7121">
        <w:rPr>
          <w:rFonts w:ascii="Arial" w:hAnsi="Arial" w:cs="Arial"/>
          <w:sz w:val="20"/>
        </w:rPr>
        <w:tab/>
      </w:r>
      <w:r w:rsidR="00EF2AF2">
        <w:rPr>
          <w:rFonts w:ascii="Arial" w:hAnsi="Arial" w:cs="Arial"/>
          <w:sz w:val="20"/>
        </w:rPr>
        <w:tab/>
      </w:r>
      <w:r w:rsidRPr="00FC7121">
        <w:rPr>
          <w:rFonts w:ascii="Arial" w:hAnsi="Arial" w:cs="Arial"/>
          <w:sz w:val="20"/>
        </w:rPr>
        <w:t>A person is not guilty of an offence against subsection (1) if, at the time the offence is alleged to have been committed—</w:t>
      </w:r>
    </w:p>
    <w:p w14:paraId="5A73FA72" w14:textId="77777777"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t>the person had been given a WWC exclusion by the Secretary and had applied to VCAT under section 106(1) for a WWC clearance; and</w:t>
      </w:r>
    </w:p>
    <w:p w14:paraId="2E5BDD6D" w14:textId="77777777"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(b)</w:t>
      </w:r>
      <w:r w:rsidRPr="00FC7121">
        <w:rPr>
          <w:rFonts w:ascii="Arial" w:hAnsi="Arial" w:cs="Arial"/>
          <w:sz w:val="20"/>
        </w:rPr>
        <w:tab/>
        <w:t>the decision of the Secretary was the subject of an order by VCAT staying the operation of the decision.</w:t>
      </w:r>
    </w:p>
    <w:p w14:paraId="120326D8" w14:textId="7C2CFDA0" w:rsidR="00EF2AF2" w:rsidRPr="00FC7121" w:rsidRDefault="00FC7121" w:rsidP="00EF2AF2">
      <w:pPr>
        <w:pStyle w:val="DraftHeading2"/>
        <w:tabs>
          <w:tab w:val="right" w:pos="1247"/>
        </w:tabs>
        <w:spacing w:before="60"/>
        <w:ind w:left="1491" w:right="567" w:hanging="567"/>
        <w:jc w:val="both"/>
        <w:rPr>
          <w:rFonts w:ascii="Arial" w:hAnsi="Arial" w:cs="Arial"/>
          <w:sz w:val="20"/>
        </w:rPr>
      </w:pPr>
      <w:r w:rsidRPr="00FC7121">
        <w:rPr>
          <w:rFonts w:ascii="Arial" w:hAnsi="Arial" w:cs="Arial"/>
          <w:sz w:val="20"/>
        </w:rPr>
        <w:t>(4)</w:t>
      </w:r>
      <w:r w:rsidR="00EF2AF2">
        <w:rPr>
          <w:rFonts w:ascii="Arial" w:hAnsi="Arial" w:cs="Arial"/>
          <w:sz w:val="20"/>
        </w:rPr>
        <w:tab/>
      </w:r>
      <w:r w:rsidRPr="00FC7121">
        <w:rPr>
          <w:rFonts w:ascii="Arial" w:hAnsi="Arial" w:cs="Arial"/>
          <w:sz w:val="20"/>
        </w:rPr>
        <w:tab/>
        <w:t>A person is not guilty of an offence against subsection (1) if—</w:t>
      </w:r>
    </w:p>
    <w:p w14:paraId="6576CCCC" w14:textId="77777777"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(a)</w:t>
      </w:r>
      <w:r w:rsidRPr="00FC7121">
        <w:rPr>
          <w:rFonts w:ascii="Arial" w:hAnsi="Arial" w:cs="Arial"/>
          <w:sz w:val="20"/>
        </w:rPr>
        <w:tab/>
        <w:t>at the time the offence is alleged to have been committed, the work engaged in is child-related work described in section 7(6); and</w:t>
      </w:r>
    </w:p>
    <w:p w14:paraId="199B961D" w14:textId="77777777" w:rsidR="00FC7121" w:rsidRPr="00FC7121" w:rsidRDefault="00FC7121" w:rsidP="00CF4A2E">
      <w:pPr>
        <w:pStyle w:val="DraftHeading3"/>
        <w:tabs>
          <w:tab w:val="right" w:pos="1757"/>
        </w:tabs>
        <w:spacing w:before="60"/>
        <w:ind w:left="1871" w:right="567" w:hanging="1871"/>
        <w:jc w:val="both"/>
        <w:rPr>
          <w:rFonts w:ascii="Arial" w:hAnsi="Arial" w:cs="Arial"/>
          <w:sz w:val="20"/>
        </w:rPr>
      </w:pPr>
      <w:r w:rsidRPr="00FC7121">
        <w:rPr>
          <w:rFonts w:ascii="Arial" w:hAnsi="Arial" w:cs="Arial"/>
          <w:sz w:val="20"/>
        </w:rPr>
        <w:tab/>
        <w:t>(b)</w:t>
      </w:r>
      <w:r w:rsidRPr="00FC7121">
        <w:rPr>
          <w:rFonts w:ascii="Arial" w:hAnsi="Arial" w:cs="Arial"/>
          <w:sz w:val="20"/>
        </w:rPr>
        <w:tab/>
        <w:t>the person applies, within 21 days after first engaging in that work, for a WWC check to be carried out.</w:t>
      </w:r>
    </w:p>
    <w:p w14:paraId="583677E5" w14:textId="77777777" w:rsidR="00116AA0" w:rsidRDefault="00116AA0" w:rsidP="00116AA0">
      <w:pPr>
        <w:jc w:val="both"/>
        <w:rPr>
          <w:rFonts w:ascii="Arial" w:hAnsi="Arial" w:cs="Arial"/>
          <w:sz w:val="20"/>
          <w:szCs w:val="32"/>
        </w:rPr>
      </w:pPr>
    </w:p>
    <w:p w14:paraId="704C3C28" w14:textId="230B52C0" w:rsidR="00EF2AF2" w:rsidRPr="00FC7121" w:rsidRDefault="00EF2AF2" w:rsidP="00116AA0">
      <w:pPr>
        <w:jc w:val="both"/>
        <w:rPr>
          <w:rFonts w:ascii="Arial" w:hAnsi="Arial" w:cs="Arial"/>
          <w:sz w:val="20"/>
          <w:szCs w:val="20"/>
        </w:rPr>
      </w:pPr>
      <w:r>
        <w:rPr>
          <w:rFonts w:ascii="Arial" w:hAnsi="Arial" w:cs="Arial"/>
          <w:sz w:val="20"/>
          <w:szCs w:val="20"/>
        </w:rPr>
        <w:t>The Explanatory Memorandum to s.121 says in relation to ss.121(2)(a) &amp; 121(4):</w:t>
      </w:r>
    </w:p>
    <w:p w14:paraId="333E438E" w14:textId="63AB4121" w:rsidR="00EF2AF2" w:rsidRPr="00EF2AF2" w:rsidRDefault="00EF2AF2" w:rsidP="00EF2AF2">
      <w:pPr>
        <w:pStyle w:val="DraftHeading1"/>
        <w:tabs>
          <w:tab w:val="right" w:pos="680"/>
        </w:tabs>
        <w:spacing w:before="60"/>
        <w:ind w:left="567" w:right="567"/>
        <w:jc w:val="both"/>
        <w:rPr>
          <w:rFonts w:ascii="Arial" w:hAnsi="Arial" w:cs="Arial"/>
          <w:b w:val="0"/>
          <w:bCs/>
          <w:sz w:val="20"/>
          <w:szCs w:val="20"/>
        </w:rPr>
      </w:pPr>
      <w:r w:rsidRPr="00EF2AF2">
        <w:rPr>
          <w:rFonts w:ascii="Arial" w:hAnsi="Arial" w:cs="Arial"/>
          <w:b w:val="0"/>
          <w:bCs/>
          <w:sz w:val="20"/>
          <w:szCs w:val="20"/>
        </w:rPr>
        <w:t>“The defence at subclause (2)(a) operates to allow most applicants to ‘work on a receipt’ and enables a person to engage in child-related work without a current WWC clearance if certain conditions are met, specifically that the person had applied for a WWC check and the application had not been finally decided or withdrawn and the person [fits within paragraphs (i) to (iv) of s.121(2)(a)].  Subclause (4) provides a distinct exception to an offence against subclause (1) for kinship carers by providing such a person with 21 days following their commencement as a kinship carer before they are required to apply for a WWC check… This acknowledges the unique and challenging situations that often give rise to a kinship care placement, such as through emergency placements.”</w:t>
      </w:r>
    </w:p>
    <w:p w14:paraId="6735F121" w14:textId="77777777" w:rsidR="00116AA0" w:rsidRPr="00921CA0" w:rsidRDefault="00116AA0" w:rsidP="00116AA0">
      <w:pPr>
        <w:rPr>
          <w:rFonts w:ascii="Arial" w:hAnsi="Arial" w:cs="Arial"/>
          <w:sz w:val="20"/>
          <w:szCs w:val="20"/>
        </w:rPr>
      </w:pPr>
    </w:p>
    <w:p w14:paraId="19FA27C8" w14:textId="4CBC3D32" w:rsidR="00EE5A03" w:rsidRPr="00EE5A03" w:rsidRDefault="00EE5A03" w:rsidP="00EE5A03">
      <w:pPr>
        <w:jc w:val="both"/>
        <w:rPr>
          <w:sz w:val="20"/>
          <w:szCs w:val="20"/>
        </w:rPr>
      </w:pPr>
      <w:r w:rsidRPr="00EE5A03">
        <w:rPr>
          <w:rFonts w:ascii="Arial" w:hAnsi="Arial" w:cs="Arial"/>
          <w:sz w:val="20"/>
          <w:szCs w:val="20"/>
        </w:rPr>
        <w:t xml:space="preserve">The circumstances detailed in ss.121(2)(b), 121(2)(c) &amp; 121(3) </w:t>
      </w:r>
      <w:r w:rsidR="00790EB2">
        <w:rPr>
          <w:rFonts w:ascii="Arial" w:hAnsi="Arial" w:cs="Arial"/>
          <w:sz w:val="20"/>
          <w:szCs w:val="20"/>
        </w:rPr>
        <w:t>WSA</w:t>
      </w:r>
      <w:r w:rsidRPr="00EE5A03">
        <w:rPr>
          <w:rFonts w:ascii="Arial" w:hAnsi="Arial" w:cs="Arial"/>
          <w:sz w:val="20"/>
          <w:szCs w:val="20"/>
        </w:rPr>
        <w:t xml:space="preserve"> also give rise to a defence to a charge laid under s.121(1) WSA but are fairly unlikely to be encountered in practice in cases</w:t>
      </w:r>
      <w:r>
        <w:rPr>
          <w:rFonts w:ascii="Arial" w:hAnsi="Arial" w:cs="Arial"/>
          <w:sz w:val="20"/>
          <w:szCs w:val="20"/>
        </w:rPr>
        <w:t xml:space="preserve"> in the Children’s Court</w:t>
      </w:r>
      <w:r w:rsidRPr="00EE5A03">
        <w:rPr>
          <w:rFonts w:ascii="Arial" w:hAnsi="Arial" w:cs="Arial"/>
          <w:sz w:val="20"/>
          <w:szCs w:val="20"/>
        </w:rPr>
        <w:t>.</w:t>
      </w:r>
    </w:p>
    <w:p w14:paraId="03CF59C3" w14:textId="77777777" w:rsidR="00EE5A03" w:rsidRPr="00921CA0" w:rsidRDefault="00EE5A03" w:rsidP="00EE5A03">
      <w:pPr>
        <w:pStyle w:val="DraftHeading2"/>
        <w:tabs>
          <w:tab w:val="right" w:pos="1247"/>
        </w:tabs>
        <w:spacing w:before="0"/>
        <w:ind w:left="1361" w:hanging="1361"/>
        <w:jc w:val="both"/>
        <w:rPr>
          <w:rFonts w:ascii="Arial" w:hAnsi="Arial" w:cs="Arial"/>
          <w:sz w:val="20"/>
          <w:szCs w:val="16"/>
        </w:rPr>
      </w:pPr>
    </w:p>
    <w:p w14:paraId="3DA4522A" w14:textId="4CA9F92F" w:rsidR="00EE5A03" w:rsidRPr="00EE5A03" w:rsidRDefault="00EE5A03" w:rsidP="00EE5A03">
      <w:pPr>
        <w:jc w:val="both"/>
        <w:rPr>
          <w:rFonts w:ascii="Arial" w:hAnsi="Arial" w:cs="Arial"/>
          <w:b/>
          <w:bCs/>
          <w:sz w:val="20"/>
          <w:szCs w:val="20"/>
        </w:rPr>
      </w:pPr>
      <w:r>
        <w:rPr>
          <w:rFonts w:ascii="Arial" w:hAnsi="Arial" w:cs="Arial"/>
          <w:b/>
          <w:bCs/>
          <w:sz w:val="20"/>
          <w:szCs w:val="20"/>
        </w:rPr>
        <w:t>I</w:t>
      </w:r>
      <w:r w:rsidRPr="00EE5A03">
        <w:rPr>
          <w:rFonts w:ascii="Arial" w:hAnsi="Arial" w:cs="Arial"/>
          <w:b/>
          <w:bCs/>
          <w:sz w:val="20"/>
          <w:szCs w:val="20"/>
        </w:rPr>
        <w:t>n summary, a non-parent family member/significant person who does not have a current WWC clearance but who is the carer for a child pursuant to an order under the CYFA is not at risk of a penalty under s.121(1) of the WSA–</w:t>
      </w:r>
    </w:p>
    <w:p w14:paraId="63F0F5C3" w14:textId="77777777" w:rsidR="00EE5A03" w:rsidRPr="00EE5A03" w:rsidRDefault="00EE5A03">
      <w:pPr>
        <w:pStyle w:val="DraftHeading2"/>
        <w:numPr>
          <w:ilvl w:val="0"/>
          <w:numId w:val="111"/>
        </w:numPr>
        <w:spacing w:before="0"/>
        <w:ind w:left="357" w:hanging="357"/>
        <w:jc w:val="both"/>
        <w:rPr>
          <w:rFonts w:ascii="Arial" w:hAnsi="Arial" w:cs="Arial"/>
          <w:b/>
          <w:bCs/>
          <w:sz w:val="20"/>
          <w:szCs w:val="16"/>
        </w:rPr>
      </w:pPr>
      <w:r w:rsidRPr="00EE5A03">
        <w:rPr>
          <w:rFonts w:ascii="Arial" w:hAnsi="Arial" w:cs="Arial"/>
          <w:b/>
          <w:bCs/>
          <w:sz w:val="20"/>
          <w:szCs w:val="16"/>
        </w:rPr>
        <w:t>for the first 21 days of caring for the child; and</w:t>
      </w:r>
    </w:p>
    <w:p w14:paraId="2E11383F" w14:textId="7F479540" w:rsidR="00EE5A03" w:rsidRPr="00EE5A03" w:rsidRDefault="00EE5A03">
      <w:pPr>
        <w:pStyle w:val="DraftHeading2"/>
        <w:numPr>
          <w:ilvl w:val="0"/>
          <w:numId w:val="111"/>
        </w:numPr>
        <w:spacing w:before="0"/>
        <w:ind w:left="357" w:hanging="357"/>
        <w:jc w:val="both"/>
        <w:rPr>
          <w:rFonts w:ascii="Arial" w:hAnsi="Arial" w:cs="Arial"/>
          <w:b/>
          <w:bCs/>
          <w:sz w:val="20"/>
          <w:szCs w:val="16"/>
        </w:rPr>
      </w:pPr>
      <w:r w:rsidRPr="00EE5A03">
        <w:rPr>
          <w:rFonts w:ascii="Arial" w:hAnsi="Arial" w:cs="Arial"/>
          <w:b/>
          <w:bCs/>
          <w:sz w:val="20"/>
          <w:szCs w:val="16"/>
        </w:rPr>
        <w:t>for any further consecutive days of caring for the child provided that the person fits within paragraphs (i) to (iv) of s.121(2)(a) and had applied for a WWC check before or during the first 21 days but the application had not yet been determined.</w:t>
      </w:r>
    </w:p>
    <w:p w14:paraId="0A8717A2" w14:textId="77777777" w:rsidR="00473105" w:rsidRDefault="00473105" w:rsidP="00473105">
      <w:pPr>
        <w:rPr>
          <w:rFonts w:ascii="Arial" w:hAnsi="Arial" w:cs="Arial"/>
          <w:sz w:val="20"/>
        </w:rPr>
      </w:pPr>
    </w:p>
    <w:p w14:paraId="74C9A1FB" w14:textId="693DB49B" w:rsidR="007F48F0" w:rsidRDefault="007F48F0" w:rsidP="007F48F0">
      <w:pPr>
        <w:jc w:val="both"/>
        <w:rPr>
          <w:rFonts w:ascii="Arial" w:hAnsi="Arial" w:cs="Arial"/>
          <w:sz w:val="20"/>
        </w:rPr>
      </w:pPr>
      <w:r>
        <w:rPr>
          <w:rFonts w:ascii="Arial" w:hAnsi="Arial" w:cs="Arial"/>
          <w:sz w:val="20"/>
        </w:rPr>
        <w:t xml:space="preserve">A person who is aggrieved by a decision in relation to a WWC check may seek review of the decision </w:t>
      </w:r>
      <w:r w:rsidR="001F48FC">
        <w:rPr>
          <w:rFonts w:ascii="Arial" w:hAnsi="Arial" w:cs="Arial"/>
          <w:sz w:val="20"/>
        </w:rPr>
        <w:t>by</w:t>
      </w:r>
      <w:r>
        <w:rPr>
          <w:rFonts w:ascii="Arial" w:hAnsi="Arial" w:cs="Arial"/>
          <w:sz w:val="20"/>
        </w:rPr>
        <w:t xml:space="preserve"> the Victorian Civil and Administrative Tribunal [VCAT]. In </w:t>
      </w:r>
      <w:r w:rsidRPr="007F48F0">
        <w:rPr>
          <w:rFonts w:ascii="Arial" w:hAnsi="Arial" w:cs="Arial"/>
          <w:i/>
          <w:iCs/>
          <w:sz w:val="20"/>
        </w:rPr>
        <w:t>XX v Secretary to the Department of Government Services</w:t>
      </w:r>
      <w:r>
        <w:rPr>
          <w:rFonts w:ascii="Arial" w:hAnsi="Arial" w:cs="Arial"/>
          <w:sz w:val="20"/>
        </w:rPr>
        <w:t xml:space="preserve"> the applicant was the grandfather of 4 children aged </w:t>
      </w:r>
      <w:r w:rsidR="00A422DA">
        <w:rPr>
          <w:rFonts w:ascii="Arial" w:hAnsi="Arial" w:cs="Arial"/>
          <w:sz w:val="20"/>
        </w:rPr>
        <w:t xml:space="preserve">between 8 &amp; </w:t>
      </w:r>
      <w:r>
        <w:rPr>
          <w:rFonts w:ascii="Arial" w:hAnsi="Arial" w:cs="Arial"/>
          <w:sz w:val="20"/>
        </w:rPr>
        <w:t xml:space="preserve">14. His WWC clearance had been </w:t>
      </w:r>
      <w:r w:rsidR="00A422DA">
        <w:rPr>
          <w:rFonts w:ascii="Arial" w:hAnsi="Arial" w:cs="Arial"/>
          <w:sz w:val="20"/>
        </w:rPr>
        <w:t>revok</w:t>
      </w:r>
      <w:r>
        <w:rPr>
          <w:rFonts w:ascii="Arial" w:hAnsi="Arial" w:cs="Arial"/>
          <w:sz w:val="20"/>
        </w:rPr>
        <w:t xml:space="preserve">ed by the respondent and he sought a review of that decision. </w:t>
      </w:r>
      <w:r w:rsidR="00A422DA">
        <w:rPr>
          <w:rFonts w:ascii="Arial" w:hAnsi="Arial" w:cs="Arial"/>
          <w:sz w:val="20"/>
        </w:rPr>
        <w:t xml:space="preserve">Subsequently VCAT </w:t>
      </w:r>
      <w:r>
        <w:rPr>
          <w:rFonts w:ascii="Arial" w:hAnsi="Arial" w:cs="Arial"/>
          <w:sz w:val="20"/>
        </w:rPr>
        <w:t xml:space="preserve">made the following </w:t>
      </w:r>
      <w:r w:rsidR="00D216F3">
        <w:rPr>
          <w:rFonts w:ascii="Arial" w:hAnsi="Arial" w:cs="Arial"/>
          <w:sz w:val="20"/>
        </w:rPr>
        <w:t xml:space="preserve">interim </w:t>
      </w:r>
      <w:r>
        <w:rPr>
          <w:rFonts w:ascii="Arial" w:hAnsi="Arial" w:cs="Arial"/>
          <w:sz w:val="20"/>
        </w:rPr>
        <w:t>stay order by consent:</w:t>
      </w:r>
    </w:p>
    <w:p w14:paraId="6E956FA6" w14:textId="0BC4615B" w:rsidR="007F48F0" w:rsidRDefault="007F48F0">
      <w:pPr>
        <w:pStyle w:val="DraftHeading1"/>
        <w:numPr>
          <w:ilvl w:val="3"/>
          <w:numId w:val="46"/>
        </w:numPr>
        <w:tabs>
          <w:tab w:val="right" w:pos="680"/>
        </w:tabs>
        <w:spacing w:before="60"/>
        <w:ind w:right="567"/>
        <w:jc w:val="both"/>
        <w:rPr>
          <w:rFonts w:ascii="Arial" w:hAnsi="Arial" w:cs="Arial"/>
          <w:b w:val="0"/>
          <w:bCs/>
          <w:sz w:val="20"/>
          <w:szCs w:val="20"/>
        </w:rPr>
      </w:pPr>
      <w:r>
        <w:rPr>
          <w:rFonts w:ascii="Arial" w:hAnsi="Arial" w:cs="Arial"/>
          <w:b w:val="0"/>
          <w:bCs/>
          <w:sz w:val="20"/>
          <w:szCs w:val="20"/>
        </w:rPr>
        <w:lastRenderedPageBreak/>
        <w:t xml:space="preserve">Under s.50 of the </w:t>
      </w:r>
      <w:r w:rsidRPr="001D43CC">
        <w:rPr>
          <w:rFonts w:ascii="Arial" w:hAnsi="Arial" w:cs="Arial"/>
          <w:b w:val="0"/>
          <w:bCs/>
          <w:i/>
          <w:iCs/>
          <w:sz w:val="20"/>
          <w:szCs w:val="20"/>
        </w:rPr>
        <w:t xml:space="preserve">Victorian Civil and Administrative </w:t>
      </w:r>
      <w:r w:rsidR="00D216F3" w:rsidRPr="001D43CC">
        <w:rPr>
          <w:rFonts w:ascii="Arial" w:hAnsi="Arial" w:cs="Arial"/>
          <w:b w:val="0"/>
          <w:bCs/>
          <w:i/>
          <w:iCs/>
          <w:sz w:val="20"/>
          <w:szCs w:val="20"/>
        </w:rPr>
        <w:t>Tribunal Act 1998</w:t>
      </w:r>
      <w:r w:rsidR="00D216F3">
        <w:rPr>
          <w:rFonts w:ascii="Arial" w:hAnsi="Arial" w:cs="Arial"/>
          <w:b w:val="0"/>
          <w:bCs/>
          <w:sz w:val="20"/>
          <w:szCs w:val="20"/>
        </w:rPr>
        <w:t xml:space="preserve"> (Vic), VCAT conditionally stays the respondent’s decision made on </w:t>
      </w:r>
      <w:r w:rsidR="00A422DA">
        <w:rPr>
          <w:rFonts w:ascii="Arial" w:hAnsi="Arial" w:cs="Arial"/>
          <w:b w:val="0"/>
          <w:bCs/>
          <w:sz w:val="20"/>
          <w:szCs w:val="20"/>
        </w:rPr>
        <w:t>[date]</w:t>
      </w:r>
      <w:r w:rsidR="00D216F3">
        <w:rPr>
          <w:rFonts w:ascii="Arial" w:hAnsi="Arial" w:cs="Arial"/>
          <w:b w:val="0"/>
          <w:bCs/>
          <w:sz w:val="20"/>
          <w:szCs w:val="20"/>
        </w:rPr>
        <w:t xml:space="preserve"> until the hearing and determination of this proceeding or further order.</w:t>
      </w:r>
    </w:p>
    <w:p w14:paraId="19851D35" w14:textId="75D79670" w:rsidR="00D216F3" w:rsidRPr="00D216F3" w:rsidRDefault="00D216F3">
      <w:pPr>
        <w:pStyle w:val="ListParagraph"/>
        <w:numPr>
          <w:ilvl w:val="3"/>
          <w:numId w:val="46"/>
        </w:numPr>
        <w:spacing w:before="60"/>
        <w:ind w:left="714" w:hanging="357"/>
        <w:jc w:val="both"/>
        <w:rPr>
          <w:rFonts w:ascii="Arial" w:hAnsi="Arial" w:cs="Arial"/>
          <w:sz w:val="20"/>
        </w:rPr>
      </w:pPr>
      <w:r w:rsidRPr="00D216F3">
        <w:rPr>
          <w:rFonts w:ascii="Arial" w:hAnsi="Arial" w:cs="Arial"/>
          <w:sz w:val="20"/>
        </w:rPr>
        <w:t>The condition to be applied is as follows:</w:t>
      </w:r>
    </w:p>
    <w:p w14:paraId="2B134FA5" w14:textId="7602D4DB" w:rsidR="007F48F0" w:rsidRDefault="00D216F3" w:rsidP="00A422DA">
      <w:pPr>
        <w:spacing w:before="60"/>
        <w:ind w:left="1281" w:right="1021"/>
        <w:jc w:val="both"/>
        <w:rPr>
          <w:rFonts w:ascii="Arial" w:hAnsi="Arial" w:cs="Arial"/>
          <w:sz w:val="20"/>
        </w:rPr>
      </w:pPr>
      <w:r>
        <w:rPr>
          <w:rFonts w:ascii="Arial" w:hAnsi="Arial" w:cs="Arial"/>
          <w:sz w:val="20"/>
        </w:rPr>
        <w:t xml:space="preserve">The applicant’s WWC clearance only applies to the extent necessary to enable him to care for his four grandchildren [identified by date of birth] as a family member or other person of significance to the children, other than a parent, whether or not the grandchildren have been formally placed in his care under the </w:t>
      </w:r>
      <w:r w:rsidRPr="00D216F3">
        <w:rPr>
          <w:rFonts w:ascii="Arial" w:hAnsi="Arial" w:cs="Arial"/>
          <w:i/>
          <w:iCs/>
          <w:sz w:val="20"/>
        </w:rPr>
        <w:t>Children, Youth and Families Act 2005</w:t>
      </w:r>
      <w:r>
        <w:rPr>
          <w:rFonts w:ascii="Arial" w:hAnsi="Arial" w:cs="Arial"/>
          <w:sz w:val="20"/>
        </w:rPr>
        <w:t>.</w:t>
      </w:r>
    </w:p>
    <w:p w14:paraId="17F03F85" w14:textId="77777777" w:rsidR="00D216F3" w:rsidRPr="00473105" w:rsidRDefault="00D216F3" w:rsidP="00473105">
      <w:pPr>
        <w:rPr>
          <w:rFonts w:ascii="Arial" w:hAnsi="Arial" w:cs="Arial"/>
          <w:sz w:val="20"/>
        </w:rPr>
      </w:pPr>
    </w:p>
    <w:p w14:paraId="7BA269EE" w14:textId="77777777" w:rsidR="00473105" w:rsidRPr="00473105" w:rsidRDefault="00473105" w:rsidP="00473105">
      <w:pPr>
        <w:jc w:val="center"/>
        <w:rPr>
          <w:rFonts w:ascii="Arial" w:hAnsi="Arial" w:cs="Arial"/>
          <w:color w:val="000000"/>
          <w:sz w:val="20"/>
        </w:rPr>
      </w:pPr>
      <w:r>
        <w:rPr>
          <w:noProof/>
        </w:rPr>
        <w:drawing>
          <wp:inline distT="0" distB="0" distL="0" distR="0" wp14:anchorId="20C6C5A0" wp14:editId="04984FD7">
            <wp:extent cx="1797050" cy="416560"/>
            <wp:effectExtent l="0" t="0" r="0" b="0"/>
            <wp:docPr id="1863878474" name="Picture 186387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97050" cy="416560"/>
                    </a:xfrm>
                    <a:prstGeom prst="rect">
                      <a:avLst/>
                    </a:prstGeom>
                    <a:noFill/>
                    <a:ln>
                      <a:noFill/>
                    </a:ln>
                  </pic:spPr>
                </pic:pic>
              </a:graphicData>
            </a:graphic>
          </wp:inline>
        </w:drawing>
      </w:r>
    </w:p>
    <w:sectPr w:rsidR="00473105" w:rsidRPr="00473105">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298" w:right="1797" w:bottom="1298" w:left="179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2E46" w14:textId="77777777" w:rsidR="00BB48AA" w:rsidRDefault="00BB48AA">
      <w:r>
        <w:separator/>
      </w:r>
    </w:p>
  </w:endnote>
  <w:endnote w:type="continuationSeparator" w:id="0">
    <w:p w14:paraId="14AE0E2C" w14:textId="77777777" w:rsidR="00BB48AA" w:rsidRDefault="00BB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FE0A" w14:textId="77777777" w:rsidR="00153B35" w:rsidRDefault="00153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5FD2" w14:textId="77777777" w:rsidR="00FF1EA6" w:rsidRDefault="00FF1EA6">
    <w:pPr>
      <w:pStyle w:val="Footer"/>
      <w:pBdr>
        <w:top w:val="single" w:sz="4" w:space="1" w:color="auto"/>
      </w:pBdr>
      <w:rPr>
        <w:rStyle w:val="PageNumber"/>
        <w:rFonts w:ascii="Arial" w:hAnsi="Arial" w:cs="Arial"/>
        <w:b/>
        <w:bCs/>
        <w:sz w:val="16"/>
      </w:rPr>
    </w:pPr>
    <w:r>
      <w:rPr>
        <w:rStyle w:val="PageNumber"/>
        <w:rFonts w:ascii="Arial" w:hAnsi="Arial" w:cs="Arial"/>
        <w:b/>
        <w:bCs/>
        <w:sz w:val="16"/>
      </w:rPr>
      <w:t xml:space="preserve">Produced by </w:t>
    </w:r>
    <w:r w:rsidR="0058307D">
      <w:rPr>
        <w:rStyle w:val="PageNumber"/>
        <w:rFonts w:ascii="Arial" w:hAnsi="Arial" w:cs="Arial"/>
        <w:b/>
        <w:bCs/>
        <w:sz w:val="16"/>
      </w:rPr>
      <w:t>former</w:t>
    </w:r>
    <w:r w:rsidR="00B874BC">
      <w:rPr>
        <w:rStyle w:val="PageNumber"/>
        <w:rFonts w:ascii="Arial" w:hAnsi="Arial" w:cs="Arial"/>
        <w:b/>
        <w:bCs/>
        <w:sz w:val="16"/>
      </w:rPr>
      <w:t xml:space="preserve"> </w:t>
    </w:r>
    <w:r>
      <w:rPr>
        <w:rStyle w:val="PageNumber"/>
        <w:rFonts w:ascii="Arial" w:hAnsi="Arial" w:cs="Arial"/>
        <w:b/>
        <w:bCs/>
        <w:sz w:val="16"/>
      </w:rPr>
      <w:t>Magistrate Peter Power for the Children's Court of Victoria</w:t>
    </w:r>
  </w:p>
  <w:p w14:paraId="47D9D20E" w14:textId="77CC9E8F" w:rsidR="00FF1EA6" w:rsidRPr="00B05537" w:rsidRDefault="00FF1EA6">
    <w:pPr>
      <w:pStyle w:val="Footer"/>
      <w:rPr>
        <w:color w:val="000000"/>
      </w:rPr>
    </w:pPr>
    <w:r w:rsidRPr="00B05537">
      <w:rPr>
        <w:rStyle w:val="PageNumber"/>
        <w:rFonts w:ascii="Arial" w:hAnsi="Arial" w:cs="Arial"/>
        <w:b/>
        <w:bCs/>
        <w:color w:val="000000"/>
        <w:sz w:val="16"/>
      </w:rPr>
      <w:t xml:space="preserve">Last updated </w:t>
    </w:r>
    <w:r w:rsidR="00153B35">
      <w:rPr>
        <w:rStyle w:val="PageNumber"/>
        <w:rFonts w:ascii="Arial" w:hAnsi="Arial" w:cs="Arial"/>
        <w:b/>
        <w:bCs/>
        <w:color w:val="000000"/>
        <w:sz w:val="16"/>
      </w:rPr>
      <w:t xml:space="preserve">04 </w:t>
    </w:r>
    <w:r w:rsidR="00153B35">
      <w:rPr>
        <w:rStyle w:val="PageNumber"/>
        <w:rFonts w:ascii="Arial" w:hAnsi="Arial" w:cs="Arial"/>
        <w:b/>
        <w:bCs/>
        <w:color w:val="000000"/>
        <w:sz w:val="16"/>
      </w:rPr>
      <w:t>September</w:t>
    </w:r>
    <w:r w:rsidR="00DD536E">
      <w:rPr>
        <w:rStyle w:val="PageNumber"/>
        <w:rFonts w:ascii="Arial" w:hAnsi="Arial" w:cs="Arial"/>
        <w:b/>
        <w:bCs/>
        <w:color w:val="000000"/>
        <w:sz w:val="16"/>
      </w:rPr>
      <w:t xml:space="preserve"> 202</w:t>
    </w:r>
    <w:r w:rsidR="005F5B22">
      <w:rPr>
        <w:rStyle w:val="PageNumber"/>
        <w:rFonts w:ascii="Arial" w:hAnsi="Arial" w:cs="Arial"/>
        <w:b/>
        <w:bCs/>
        <w:color w:val="000000"/>
        <w:sz w:val="16"/>
      </w:rPr>
      <w:t>6</w:t>
    </w:r>
    <w:r w:rsidRPr="00B05537">
      <w:rPr>
        <w:rStyle w:val="PageNumber"/>
        <w:rFonts w:ascii="Arial" w:hAnsi="Arial" w:cs="Arial"/>
        <w:b/>
        <w:bCs/>
        <w:color w:val="000000"/>
        <w:sz w:val="18"/>
      </w:rPr>
      <w:tab/>
    </w:r>
    <w:r w:rsidRPr="00B05537">
      <w:rPr>
        <w:rStyle w:val="PageNumber"/>
        <w:rFonts w:ascii="Arial" w:hAnsi="Arial" w:cs="Arial"/>
        <w:b/>
        <w:bCs/>
        <w:color w:val="000000"/>
      </w:rPr>
      <w:tab/>
    </w:r>
    <w:r w:rsidRPr="00B05537">
      <w:rPr>
        <w:rStyle w:val="PageNumber"/>
        <w:rFonts w:ascii="Arial" w:hAnsi="Arial" w:cs="Arial"/>
        <w:b/>
        <w:bCs/>
        <w:color w:val="000000"/>
        <w:sz w:val="16"/>
      </w:rPr>
      <w:t>4.</w:t>
    </w:r>
    <w:r w:rsidRPr="00B05537">
      <w:rPr>
        <w:rStyle w:val="PageNumber"/>
        <w:rFonts w:ascii="Arial" w:hAnsi="Arial" w:cs="Arial"/>
        <w:b/>
        <w:bCs/>
        <w:color w:val="000000"/>
        <w:sz w:val="16"/>
      </w:rPr>
      <w:fldChar w:fldCharType="begin"/>
    </w:r>
    <w:r w:rsidRPr="00B05537">
      <w:rPr>
        <w:rStyle w:val="PageNumber"/>
        <w:rFonts w:ascii="Arial" w:hAnsi="Arial" w:cs="Arial"/>
        <w:b/>
        <w:bCs/>
        <w:color w:val="000000"/>
        <w:sz w:val="16"/>
      </w:rPr>
      <w:instrText xml:space="preserve"> PAGE </w:instrText>
    </w:r>
    <w:r w:rsidRPr="00B05537">
      <w:rPr>
        <w:rStyle w:val="PageNumber"/>
        <w:rFonts w:ascii="Arial" w:hAnsi="Arial" w:cs="Arial"/>
        <w:b/>
        <w:bCs/>
        <w:color w:val="000000"/>
        <w:sz w:val="16"/>
      </w:rPr>
      <w:fldChar w:fldCharType="separate"/>
    </w:r>
    <w:r w:rsidR="00F47DF6">
      <w:rPr>
        <w:rStyle w:val="PageNumber"/>
        <w:rFonts w:ascii="Arial" w:hAnsi="Arial" w:cs="Arial"/>
        <w:b/>
        <w:bCs/>
        <w:noProof/>
        <w:color w:val="000000"/>
        <w:sz w:val="16"/>
      </w:rPr>
      <w:t>70</w:t>
    </w:r>
    <w:r w:rsidRPr="00B05537">
      <w:rPr>
        <w:rStyle w:val="PageNumber"/>
        <w:rFonts w:ascii="Arial" w:hAnsi="Arial" w:cs="Arial"/>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2ABB" w14:textId="77777777" w:rsidR="00153B35" w:rsidRDefault="00153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1ACC0" w14:textId="77777777" w:rsidR="00BB48AA" w:rsidRDefault="00BB48AA">
      <w:r>
        <w:separator/>
      </w:r>
    </w:p>
  </w:footnote>
  <w:footnote w:type="continuationSeparator" w:id="0">
    <w:p w14:paraId="480363D7" w14:textId="77777777" w:rsidR="00BB48AA" w:rsidRDefault="00BB4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3424" w14:textId="77777777" w:rsidR="00153B35" w:rsidRDefault="00153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DA70" w14:textId="77777777" w:rsidR="00153B35" w:rsidRDefault="00153B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955A" w14:textId="77777777" w:rsidR="00153B35" w:rsidRDefault="00153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8622B28"/>
    <w:lvl w:ilvl="0">
      <w:start w:val="1"/>
      <w:numFmt w:val="decimal"/>
      <w:lvlText w:val="%1"/>
      <w:lvlJc w:val="left"/>
      <w:pPr>
        <w:tabs>
          <w:tab w:val="num" w:pos="0"/>
        </w:tabs>
        <w:ind w:left="720" w:hanging="720"/>
      </w:pPr>
      <w:rPr>
        <w:sz w:val="20"/>
      </w:rPr>
    </w:lvl>
    <w:lvl w:ilvl="1">
      <w:start w:val="1"/>
      <w:numFmt w:val="lowerLetter"/>
      <w:lvlText w:val="(%2)"/>
      <w:lvlJc w:val="left"/>
      <w:pPr>
        <w:tabs>
          <w:tab w:val="num" w:pos="0"/>
        </w:tabs>
        <w:ind w:left="1440" w:hanging="720"/>
      </w:pPr>
    </w:lvl>
    <w:lvl w:ilvl="2">
      <w:start w:val="1"/>
      <w:numFmt w:val="lowerRoman"/>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pStyle w:val="Heading5"/>
      <w:lvlText w:val="(%5)"/>
      <w:lvlJc w:val="left"/>
      <w:pPr>
        <w:tabs>
          <w:tab w:val="num" w:pos="0"/>
        </w:tabs>
        <w:ind w:left="3600" w:hanging="720"/>
      </w:pPr>
    </w:lvl>
    <w:lvl w:ilvl="5">
      <w:start w:val="1"/>
      <w:numFmt w:val="lowerLetter"/>
      <w:pStyle w:val="Heading6"/>
      <w:lvlText w:val="(%6)"/>
      <w:lvlJc w:val="left"/>
      <w:pPr>
        <w:tabs>
          <w:tab w:val="num" w:pos="0"/>
        </w:tabs>
        <w:ind w:left="4320" w:hanging="720"/>
      </w:pPr>
    </w:lvl>
    <w:lvl w:ilvl="6">
      <w:start w:val="1"/>
      <w:numFmt w:val="lowerRoman"/>
      <w:pStyle w:val="Heading7"/>
      <w:lvlText w:val="(%7)"/>
      <w:lvlJc w:val="left"/>
      <w:pPr>
        <w:tabs>
          <w:tab w:val="num" w:pos="0"/>
        </w:tabs>
        <w:ind w:left="5040" w:hanging="720"/>
      </w:pPr>
    </w:lvl>
    <w:lvl w:ilvl="7">
      <w:start w:val="1"/>
      <w:numFmt w:val="lowerLetter"/>
      <w:pStyle w:val="Heading8"/>
      <w:lvlText w:val="(%8)"/>
      <w:lvlJc w:val="left"/>
      <w:pPr>
        <w:tabs>
          <w:tab w:val="num" w:pos="0"/>
        </w:tabs>
        <w:ind w:left="5760" w:hanging="720"/>
      </w:pPr>
    </w:lvl>
    <w:lvl w:ilvl="8">
      <w:start w:val="1"/>
      <w:numFmt w:val="lowerRoman"/>
      <w:pStyle w:val="Heading9"/>
      <w:lvlText w:val="(%9)"/>
      <w:lvlJc w:val="left"/>
      <w:pPr>
        <w:tabs>
          <w:tab w:val="num" w:pos="0"/>
        </w:tabs>
        <w:ind w:left="6480" w:hanging="720"/>
      </w:pPr>
    </w:lvl>
  </w:abstractNum>
  <w:abstractNum w:abstractNumId="1" w15:restartNumberingAfterBreak="0">
    <w:nsid w:val="0062628D"/>
    <w:multiLevelType w:val="hybridMultilevel"/>
    <w:tmpl w:val="28CA412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03F57A23"/>
    <w:multiLevelType w:val="hybridMultilevel"/>
    <w:tmpl w:val="B9882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612227"/>
    <w:multiLevelType w:val="hybridMultilevel"/>
    <w:tmpl w:val="5E568466"/>
    <w:lvl w:ilvl="0" w:tplc="FFFFFFFF">
      <w:start w:val="1"/>
      <w:numFmt w:val="lowerRoman"/>
      <w:lvlText w:val="(%1)"/>
      <w:lvlJc w:val="left"/>
      <w:pPr>
        <w:ind w:left="1434" w:hanging="72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4" w15:restartNumberingAfterBreak="0">
    <w:nsid w:val="04CB1F2F"/>
    <w:multiLevelType w:val="hybridMultilevel"/>
    <w:tmpl w:val="6BA072EA"/>
    <w:lvl w:ilvl="0" w:tplc="498025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9B0579"/>
    <w:multiLevelType w:val="hybridMultilevel"/>
    <w:tmpl w:val="D9F2C79A"/>
    <w:lvl w:ilvl="0" w:tplc="E3CE0E82">
      <w:start w:val="1"/>
      <w:numFmt w:val="upp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082527D2"/>
    <w:multiLevelType w:val="hybridMultilevel"/>
    <w:tmpl w:val="A9908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873C4A"/>
    <w:multiLevelType w:val="hybridMultilevel"/>
    <w:tmpl w:val="36D4F196"/>
    <w:lvl w:ilvl="0" w:tplc="933E5B80">
      <w:start w:val="4"/>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CA34AE"/>
    <w:multiLevelType w:val="hybridMultilevel"/>
    <w:tmpl w:val="35426F98"/>
    <w:lvl w:ilvl="0" w:tplc="B3AC3F0C">
      <w:start w:val="1"/>
      <w:numFmt w:val="decimal"/>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9F05ECA"/>
    <w:multiLevelType w:val="hybridMultilevel"/>
    <w:tmpl w:val="606EB91E"/>
    <w:lvl w:ilvl="0" w:tplc="D7906682">
      <w:start w:val="1"/>
      <w:numFmt w:val="lowerLetter"/>
      <w:lvlText w:val="(%1)"/>
      <w:lvlJc w:val="left"/>
      <w:pPr>
        <w:ind w:left="98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D53731"/>
    <w:multiLevelType w:val="hybridMultilevel"/>
    <w:tmpl w:val="0298D9F6"/>
    <w:lvl w:ilvl="0" w:tplc="5032E154">
      <w:start w:val="1"/>
      <w:numFmt w:val="lowerLetter"/>
      <w:lvlText w:val="%1."/>
      <w:lvlJc w:val="left"/>
      <w:pPr>
        <w:ind w:left="72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751069"/>
    <w:multiLevelType w:val="hybridMultilevel"/>
    <w:tmpl w:val="727445E2"/>
    <w:lvl w:ilvl="0" w:tplc="FFFFFFFF">
      <w:start w:val="1"/>
      <w:numFmt w:val="bullet"/>
      <w:lvlText w:val=""/>
      <w:lvlJc w:val="left"/>
      <w:pPr>
        <w:tabs>
          <w:tab w:val="num" w:pos="420"/>
        </w:tabs>
        <w:ind w:left="420" w:hanging="360"/>
      </w:pPr>
      <w:rPr>
        <w:rFonts w:ascii="Symbol" w:hAnsi="Symbol" w:hint="default"/>
        <w:b/>
        <w:i w:val="0"/>
        <w:sz w:val="20"/>
        <w:szCs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0C956D44"/>
    <w:multiLevelType w:val="hybridMultilevel"/>
    <w:tmpl w:val="CF5A6336"/>
    <w:lvl w:ilvl="0" w:tplc="7C449B2E">
      <w:start w:val="1"/>
      <w:numFmt w:val="lowerLetter"/>
      <w:lvlText w:val="(%1)"/>
      <w:lvlJc w:val="left"/>
      <w:pPr>
        <w:tabs>
          <w:tab w:val="num" w:pos="1267"/>
        </w:tabs>
        <w:ind w:left="1267" w:hanging="360"/>
      </w:pPr>
      <w:rPr>
        <w:rFonts w:hint="default"/>
      </w:rPr>
    </w:lvl>
    <w:lvl w:ilvl="1" w:tplc="0C090019" w:tentative="1">
      <w:start w:val="1"/>
      <w:numFmt w:val="lowerLetter"/>
      <w:lvlText w:val="%2."/>
      <w:lvlJc w:val="left"/>
      <w:pPr>
        <w:tabs>
          <w:tab w:val="num" w:pos="1987"/>
        </w:tabs>
        <w:ind w:left="1987" w:hanging="360"/>
      </w:pPr>
    </w:lvl>
    <w:lvl w:ilvl="2" w:tplc="0C09001B" w:tentative="1">
      <w:start w:val="1"/>
      <w:numFmt w:val="lowerRoman"/>
      <w:lvlText w:val="%3."/>
      <w:lvlJc w:val="right"/>
      <w:pPr>
        <w:tabs>
          <w:tab w:val="num" w:pos="2707"/>
        </w:tabs>
        <w:ind w:left="2707" w:hanging="180"/>
      </w:pPr>
    </w:lvl>
    <w:lvl w:ilvl="3" w:tplc="0C09000F" w:tentative="1">
      <w:start w:val="1"/>
      <w:numFmt w:val="decimal"/>
      <w:lvlText w:val="%4."/>
      <w:lvlJc w:val="left"/>
      <w:pPr>
        <w:tabs>
          <w:tab w:val="num" w:pos="3427"/>
        </w:tabs>
        <w:ind w:left="3427" w:hanging="360"/>
      </w:pPr>
    </w:lvl>
    <w:lvl w:ilvl="4" w:tplc="0C090019" w:tentative="1">
      <w:start w:val="1"/>
      <w:numFmt w:val="lowerLetter"/>
      <w:lvlText w:val="%5."/>
      <w:lvlJc w:val="left"/>
      <w:pPr>
        <w:tabs>
          <w:tab w:val="num" w:pos="4147"/>
        </w:tabs>
        <w:ind w:left="4147" w:hanging="360"/>
      </w:pPr>
    </w:lvl>
    <w:lvl w:ilvl="5" w:tplc="0C09001B" w:tentative="1">
      <w:start w:val="1"/>
      <w:numFmt w:val="lowerRoman"/>
      <w:lvlText w:val="%6."/>
      <w:lvlJc w:val="right"/>
      <w:pPr>
        <w:tabs>
          <w:tab w:val="num" w:pos="4867"/>
        </w:tabs>
        <w:ind w:left="4867" w:hanging="180"/>
      </w:pPr>
    </w:lvl>
    <w:lvl w:ilvl="6" w:tplc="0C09000F" w:tentative="1">
      <w:start w:val="1"/>
      <w:numFmt w:val="decimal"/>
      <w:lvlText w:val="%7."/>
      <w:lvlJc w:val="left"/>
      <w:pPr>
        <w:tabs>
          <w:tab w:val="num" w:pos="5587"/>
        </w:tabs>
        <w:ind w:left="5587" w:hanging="360"/>
      </w:pPr>
    </w:lvl>
    <w:lvl w:ilvl="7" w:tplc="0C090019" w:tentative="1">
      <w:start w:val="1"/>
      <w:numFmt w:val="lowerLetter"/>
      <w:lvlText w:val="%8."/>
      <w:lvlJc w:val="left"/>
      <w:pPr>
        <w:tabs>
          <w:tab w:val="num" w:pos="6307"/>
        </w:tabs>
        <w:ind w:left="6307" w:hanging="360"/>
      </w:pPr>
    </w:lvl>
    <w:lvl w:ilvl="8" w:tplc="0C09001B" w:tentative="1">
      <w:start w:val="1"/>
      <w:numFmt w:val="lowerRoman"/>
      <w:lvlText w:val="%9."/>
      <w:lvlJc w:val="right"/>
      <w:pPr>
        <w:tabs>
          <w:tab w:val="num" w:pos="7027"/>
        </w:tabs>
        <w:ind w:left="7027" w:hanging="180"/>
      </w:pPr>
    </w:lvl>
  </w:abstractNum>
  <w:abstractNum w:abstractNumId="13" w15:restartNumberingAfterBreak="0">
    <w:nsid w:val="0E160478"/>
    <w:multiLevelType w:val="hybridMultilevel"/>
    <w:tmpl w:val="ADF4EDC8"/>
    <w:lvl w:ilvl="0" w:tplc="261E947A">
      <w:start w:val="1"/>
      <w:numFmt w:val="decimal"/>
      <w:lvlText w:val="%1."/>
      <w:lvlJc w:val="left"/>
      <w:pPr>
        <w:ind w:left="720" w:hanging="360"/>
      </w:pPr>
      <w:rPr>
        <w:rFonts w:ascii="Arial" w:hAnsi="Arial" w:cs="Arial" w:hint="default"/>
        <w:b w:val="0"/>
        <w:bCs/>
        <w:i w:val="0"/>
        <w:iCs w:val="0"/>
        <w:color w:val="auto"/>
        <w:sz w:val="20"/>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2929B5"/>
    <w:multiLevelType w:val="hybridMultilevel"/>
    <w:tmpl w:val="37D077F8"/>
    <w:lvl w:ilvl="0" w:tplc="FFFFFFFF">
      <w:start w:val="1"/>
      <w:numFmt w:val="decimal"/>
      <w:lvlText w:val="%1."/>
      <w:lvlJc w:val="left"/>
      <w:pPr>
        <w:ind w:left="720" w:hanging="360"/>
      </w:pPr>
      <w:rPr>
        <w:rFonts w:ascii="Arial" w:hAnsi="Arial" w:cs="Arial" w:hint="default"/>
        <w:b w:val="0"/>
        <w:bCs/>
        <w:i w:val="0"/>
        <w:iCs w:val="0"/>
        <w:color w:val="auto"/>
        <w:sz w:val="20"/>
        <w:szCs w:val="22"/>
      </w:rPr>
    </w:lvl>
    <w:lvl w:ilvl="1" w:tplc="F7504868">
      <w:start w:val="1"/>
      <w:numFmt w:val="lowerLetter"/>
      <w:lvlText w:val="%2."/>
      <w:lvlJc w:val="left"/>
      <w:pPr>
        <w:ind w:left="1440" w:hanging="360"/>
      </w:pPr>
      <w:rPr>
        <w:rFonts w:ascii="Arial" w:hAnsi="Arial" w:hint="default"/>
        <w:b w:val="0"/>
        <w:bCs/>
        <w:color w:val="auto"/>
        <w:sz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3DC2BBD8">
      <w:start w:val="1"/>
      <w:numFmt w:val="lowerRoman"/>
      <w:lvlText w:val="(%5)"/>
      <w:lvlJc w:val="left"/>
      <w:pPr>
        <w:ind w:left="3960" w:hanging="720"/>
      </w:pPr>
      <w:rPr>
        <w:rFonts w:hint="default"/>
        <w:sz w:val="2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3455A7"/>
    <w:multiLevelType w:val="hybridMultilevel"/>
    <w:tmpl w:val="41920140"/>
    <w:lvl w:ilvl="0" w:tplc="1DD4A9DC">
      <w:start w:val="1"/>
      <w:numFmt w:val="lowerLetter"/>
      <w:lvlText w:val="%1."/>
      <w:lvlJc w:val="left"/>
      <w:pPr>
        <w:ind w:left="72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57258DB"/>
    <w:multiLevelType w:val="hybridMultilevel"/>
    <w:tmpl w:val="FE5A5C48"/>
    <w:lvl w:ilvl="0" w:tplc="6F4A0374">
      <w:start w:val="1"/>
      <w:numFmt w:val="decimal"/>
      <w:lvlText w:val="%1."/>
      <w:lvlJc w:val="left"/>
      <w:pPr>
        <w:ind w:left="720" w:hanging="360"/>
      </w:pPr>
      <w:rPr>
        <w:rFonts w:ascii="Arial" w:hAnsi="Arial" w:cs="Arial" w:hint="default"/>
        <w:b w:val="0"/>
        <w:bCs/>
        <w:i w:val="0"/>
        <w:iCs w:val="0"/>
        <w:color w:val="auto"/>
        <w:sz w:val="20"/>
        <w:szCs w:val="22"/>
      </w:rPr>
    </w:lvl>
    <w:lvl w:ilvl="1" w:tplc="192299A2">
      <w:start w:val="1"/>
      <w:numFmt w:val="lowerLetter"/>
      <w:lvlText w:val="%2."/>
      <w:lvlJc w:val="left"/>
      <w:pPr>
        <w:ind w:left="1440" w:hanging="360"/>
      </w:pPr>
      <w:rPr>
        <w:b w:val="0"/>
        <w:bCs/>
        <w:color w:val="auto"/>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6C25341"/>
    <w:multiLevelType w:val="hybridMultilevel"/>
    <w:tmpl w:val="4B86B22A"/>
    <w:lvl w:ilvl="0" w:tplc="39C0D2FA">
      <w:start w:val="1"/>
      <w:numFmt w:val="bullet"/>
      <w:lvlText w:val=""/>
      <w:lvlJc w:val="left"/>
      <w:pPr>
        <w:tabs>
          <w:tab w:val="num" w:pos="420"/>
        </w:tabs>
        <w:ind w:left="420" w:hanging="360"/>
      </w:pPr>
      <w:rPr>
        <w:rFonts w:ascii="Symbol" w:hAnsi="Symbol"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1A62497F"/>
    <w:multiLevelType w:val="hybridMultilevel"/>
    <w:tmpl w:val="AA48F702"/>
    <w:lvl w:ilvl="0" w:tplc="191236A6">
      <w:start w:val="2"/>
      <w:numFmt w:val="bullet"/>
      <w:lvlText w:val=""/>
      <w:lvlJc w:val="left"/>
      <w:pPr>
        <w:tabs>
          <w:tab w:val="num" w:pos="420"/>
        </w:tabs>
        <w:ind w:left="60" w:firstLine="0"/>
      </w:pPr>
      <w:rPr>
        <w:rFonts w:ascii="Wingdings 2" w:hAnsi="Wingdings 2"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1CAA635C"/>
    <w:multiLevelType w:val="hybridMultilevel"/>
    <w:tmpl w:val="0B760346"/>
    <w:lvl w:ilvl="0" w:tplc="5E403910">
      <w:start w:val="2"/>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3121F0"/>
    <w:multiLevelType w:val="multilevel"/>
    <w:tmpl w:val="EE48E4B4"/>
    <w:lvl w:ilvl="0">
      <w:start w:val="1"/>
      <w:numFmt w:val="bullet"/>
      <w:lvlText w:val=""/>
      <w:lvlJc w:val="left"/>
      <w:pPr>
        <w:ind w:left="284" w:hanging="284"/>
      </w:pPr>
      <w:rPr>
        <w:rFonts w:ascii="Symbol" w:hAnsi="Symbol" w:hint="default"/>
        <w:sz w:val="20"/>
      </w:rPr>
    </w:lvl>
    <w:lvl w:ilvl="1">
      <w:start w:val="1"/>
      <w:numFmt w:val="bullet"/>
      <w:lvlRestart w:val="0"/>
      <w:lvlText w:val="–"/>
      <w:lvlJc w:val="left"/>
      <w:pPr>
        <w:ind w:left="567" w:hanging="283"/>
      </w:pPr>
      <w:rPr>
        <w:rFonts w:ascii="Calibri" w:hAnsi="Calibri" w:cs="Times New Roman" w:hint="default"/>
      </w:r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21" w15:restartNumberingAfterBreak="0">
    <w:nsid w:val="1E1542A2"/>
    <w:multiLevelType w:val="hybridMultilevel"/>
    <w:tmpl w:val="19367B96"/>
    <w:lvl w:ilvl="0" w:tplc="191236A6">
      <w:start w:val="2"/>
      <w:numFmt w:val="bullet"/>
      <w:lvlText w:val=""/>
      <w:lvlJc w:val="left"/>
      <w:pPr>
        <w:tabs>
          <w:tab w:val="num" w:pos="420"/>
        </w:tabs>
        <w:ind w:left="60" w:firstLine="0"/>
      </w:pPr>
      <w:rPr>
        <w:rFonts w:ascii="Wingdings 2" w:hAnsi="Wingdings 2"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1EB957DA"/>
    <w:multiLevelType w:val="hybridMultilevel"/>
    <w:tmpl w:val="B5A4C90C"/>
    <w:lvl w:ilvl="0" w:tplc="F7CC069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1ED21B0B"/>
    <w:multiLevelType w:val="hybridMultilevel"/>
    <w:tmpl w:val="467C84D6"/>
    <w:lvl w:ilvl="0" w:tplc="C400DA0E">
      <w:start w:val="2"/>
      <w:numFmt w:val="bullet"/>
      <w:lvlText w:val=""/>
      <w:lvlJc w:val="left"/>
      <w:pPr>
        <w:ind w:left="774" w:hanging="360"/>
      </w:pPr>
      <w:rPr>
        <w:rFonts w:ascii="Wingdings 2" w:hAnsi="Wingdings 2" w:hint="default"/>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4" w15:restartNumberingAfterBreak="0">
    <w:nsid w:val="1EF60D39"/>
    <w:multiLevelType w:val="hybridMultilevel"/>
    <w:tmpl w:val="CC403574"/>
    <w:lvl w:ilvl="0" w:tplc="36E2E596">
      <w:start w:val="2"/>
      <w:numFmt w:val="bullet"/>
      <w:lvlText w:val=""/>
      <w:lvlJc w:val="left"/>
      <w:pPr>
        <w:tabs>
          <w:tab w:val="num" w:pos="735"/>
        </w:tabs>
        <w:ind w:left="735" w:hanging="363"/>
      </w:pPr>
      <w:rPr>
        <w:rFonts w:ascii="Wingdings 2" w:hAnsi="Wingdings 2" w:hint="default"/>
        <w:sz w:val="20"/>
      </w:r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25" w15:restartNumberingAfterBreak="0">
    <w:nsid w:val="1F524812"/>
    <w:multiLevelType w:val="hybridMultilevel"/>
    <w:tmpl w:val="2D22E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F7F7C6D"/>
    <w:multiLevelType w:val="hybridMultilevel"/>
    <w:tmpl w:val="8E88A398"/>
    <w:lvl w:ilvl="0" w:tplc="34E8294E">
      <w:start w:val="1"/>
      <w:numFmt w:val="bullet"/>
      <w:lvlText w:val=""/>
      <w:lvlJc w:val="left"/>
      <w:pPr>
        <w:ind w:left="720" w:hanging="360"/>
      </w:pPr>
      <w:rPr>
        <w:rFonts w:ascii="Wingdings" w:hAnsi="Wingdings"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0767FB0"/>
    <w:multiLevelType w:val="hybridMultilevel"/>
    <w:tmpl w:val="C8F88C14"/>
    <w:lvl w:ilvl="0" w:tplc="34E8294E">
      <w:start w:val="1"/>
      <w:numFmt w:val="bullet"/>
      <w:lvlText w:val=""/>
      <w:lvlJc w:val="left"/>
      <w:pPr>
        <w:ind w:left="720" w:hanging="360"/>
      </w:pPr>
      <w:rPr>
        <w:rFonts w:ascii="Wingdings" w:hAnsi="Wingdings"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1C9559A"/>
    <w:multiLevelType w:val="hybridMultilevel"/>
    <w:tmpl w:val="E0303A0A"/>
    <w:lvl w:ilvl="0" w:tplc="B71C571C">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2740606"/>
    <w:multiLevelType w:val="hybridMultilevel"/>
    <w:tmpl w:val="71F8CA7C"/>
    <w:lvl w:ilvl="0" w:tplc="6EA074FC">
      <w:start w:val="1"/>
      <w:numFmt w:val="bullet"/>
      <w:lvlText w:val=""/>
      <w:lvlJc w:val="left"/>
      <w:pPr>
        <w:ind w:left="1440" w:hanging="360"/>
      </w:pPr>
      <w:rPr>
        <w:rFonts w:ascii="Wingdings" w:hAnsi="Wingdings"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2BE1988"/>
    <w:multiLevelType w:val="hybridMultilevel"/>
    <w:tmpl w:val="ECF03A7E"/>
    <w:lvl w:ilvl="0" w:tplc="00982926">
      <w:start w:val="19"/>
      <w:numFmt w:val="decimal"/>
      <w:pStyle w:val="NumberList1"/>
      <w:lvlText w:val="%1."/>
      <w:lvlJc w:val="left"/>
      <w:pPr>
        <w:tabs>
          <w:tab w:val="num" w:pos="720"/>
        </w:tabs>
        <w:ind w:left="720" w:hanging="360"/>
      </w:pPr>
      <w:rPr>
        <w:rFonts w:hint="default"/>
        <w:b w:val="0"/>
        <w:i w:val="0"/>
        <w:color w:val="auto"/>
      </w:rPr>
    </w:lvl>
    <w:lvl w:ilvl="1" w:tplc="8A020FF6">
      <w:start w:val="1"/>
      <w:numFmt w:val="lowerLetter"/>
      <w:lvlText w:val="%2."/>
      <w:lvlJc w:val="left"/>
      <w:pPr>
        <w:tabs>
          <w:tab w:val="num" w:pos="1440"/>
        </w:tabs>
        <w:ind w:left="1440" w:hanging="360"/>
      </w:pPr>
      <w:rPr>
        <w:i w:val="0"/>
        <w:color w:val="auto"/>
      </w:rPr>
    </w:lvl>
    <w:lvl w:ilvl="2" w:tplc="23863806">
      <w:start w:val="1"/>
      <w:numFmt w:val="lowerRoman"/>
      <w:lvlText w:val="%3."/>
      <w:lvlJc w:val="right"/>
      <w:pPr>
        <w:tabs>
          <w:tab w:val="num" w:pos="2160"/>
        </w:tabs>
        <w:ind w:left="2160" w:hanging="180"/>
      </w:pPr>
      <w:rPr>
        <w:rFonts w:ascii="Arial" w:eastAsia="Times New Roman" w:hAnsi="Arial" w:cs="Times New Roman"/>
        <w:color w:val="auto"/>
      </w:r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1" w15:restartNumberingAfterBreak="0">
    <w:nsid w:val="22CB0D59"/>
    <w:multiLevelType w:val="hybridMultilevel"/>
    <w:tmpl w:val="9E7A390A"/>
    <w:lvl w:ilvl="0" w:tplc="D7E625BE">
      <w:start w:val="1"/>
      <w:numFmt w:val="upperLetter"/>
      <w:lvlText w:val="%1."/>
      <w:lvlJc w:val="left"/>
      <w:pPr>
        <w:ind w:left="144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30F2DB6"/>
    <w:multiLevelType w:val="hybridMultilevel"/>
    <w:tmpl w:val="BEE27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1F2832"/>
    <w:multiLevelType w:val="hybridMultilevel"/>
    <w:tmpl w:val="4F9C6E86"/>
    <w:lvl w:ilvl="0" w:tplc="98E89B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37B6395"/>
    <w:multiLevelType w:val="hybridMultilevel"/>
    <w:tmpl w:val="8DAA2878"/>
    <w:lvl w:ilvl="0" w:tplc="044630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7B32F9B"/>
    <w:multiLevelType w:val="hybridMultilevel"/>
    <w:tmpl w:val="EC9CE662"/>
    <w:lvl w:ilvl="0" w:tplc="0C3CC648">
      <w:start w:val="1"/>
      <w:numFmt w:val="lowerRoman"/>
      <w:pStyle w:val="ListNumber"/>
      <w:lvlText w:val="%1."/>
      <w:lvlJc w:val="left"/>
      <w:pPr>
        <w:tabs>
          <w:tab w:val="num" w:pos="720"/>
        </w:tabs>
        <w:ind w:left="363" w:hanging="363"/>
      </w:pPr>
      <w:rPr>
        <w:rFont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281C6F88"/>
    <w:multiLevelType w:val="hybridMultilevel"/>
    <w:tmpl w:val="AA08982C"/>
    <w:lvl w:ilvl="0" w:tplc="9B629716">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7" w15:restartNumberingAfterBreak="0">
    <w:nsid w:val="289D5421"/>
    <w:multiLevelType w:val="hybridMultilevel"/>
    <w:tmpl w:val="28AA7C74"/>
    <w:lvl w:ilvl="0" w:tplc="43E65B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2AFB1D9E"/>
    <w:multiLevelType w:val="hybridMultilevel"/>
    <w:tmpl w:val="B9D6BF8E"/>
    <w:lvl w:ilvl="0" w:tplc="0409000F">
      <w:start w:val="1"/>
      <w:numFmt w:val="decimal"/>
      <w:lvlText w:val="%1."/>
      <w:lvlJc w:val="left"/>
      <w:pPr>
        <w:tabs>
          <w:tab w:val="num" w:pos="720"/>
        </w:tabs>
        <w:ind w:left="720" w:hanging="360"/>
      </w:pPr>
    </w:lvl>
    <w:lvl w:ilvl="1" w:tplc="44C0FEB8">
      <w:start w:val="1"/>
      <w:numFmt w:val="lowerLetter"/>
      <w:lvlText w:val="(%2)"/>
      <w:lvlJc w:val="left"/>
      <w:pPr>
        <w:tabs>
          <w:tab w:val="num" w:pos="1800"/>
        </w:tabs>
        <w:ind w:left="1800" w:hanging="720"/>
      </w:pPr>
      <w:rPr>
        <w:rFonts w:hint="default"/>
      </w:rPr>
    </w:lvl>
    <w:lvl w:ilvl="2" w:tplc="2642369E">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2D1E0D74"/>
    <w:multiLevelType w:val="hybridMultilevel"/>
    <w:tmpl w:val="A2F4E46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0" w15:restartNumberingAfterBreak="0">
    <w:nsid w:val="2D3F096A"/>
    <w:multiLevelType w:val="hybridMultilevel"/>
    <w:tmpl w:val="BC522DD6"/>
    <w:lvl w:ilvl="0" w:tplc="7402E1C2">
      <w:start w:val="1"/>
      <w:numFmt w:val="bullet"/>
      <w:lvlText w:val=""/>
      <w:lvlJc w:val="left"/>
      <w:pPr>
        <w:tabs>
          <w:tab w:val="num" w:pos="0"/>
        </w:tabs>
        <w:ind w:left="1003" w:hanging="283"/>
      </w:pPr>
      <w:rPr>
        <w:rFonts w:ascii="Symbol" w:hAnsi="Symbol" w:hint="default"/>
        <w:color w:val="000000"/>
      </w:rPr>
    </w:lvl>
    <w:lvl w:ilvl="1" w:tplc="E4DC48A8">
      <w:start w:val="1"/>
      <w:numFmt w:val="bullet"/>
      <w:lvlText w:val=""/>
      <w:lvlJc w:val="left"/>
      <w:pPr>
        <w:tabs>
          <w:tab w:val="num" w:pos="1020"/>
        </w:tabs>
        <w:ind w:left="1363" w:hanging="283"/>
      </w:pPr>
      <w:rPr>
        <w:rFonts w:ascii="Symbol" w:hAnsi="Symbol" w:hint="default"/>
        <w:color w:val="000000"/>
        <w:sz w:val="20"/>
        <w:szCs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DBF42AD"/>
    <w:multiLevelType w:val="hybridMultilevel"/>
    <w:tmpl w:val="5B58A964"/>
    <w:lvl w:ilvl="0" w:tplc="8FF2C78C">
      <w:start w:val="2"/>
      <w:numFmt w:val="bullet"/>
      <w:lvlText w:val=""/>
      <w:lvlJc w:val="left"/>
      <w:pPr>
        <w:tabs>
          <w:tab w:val="num" w:pos="363"/>
        </w:tabs>
        <w:ind w:left="363" w:hanging="363"/>
      </w:pPr>
      <w:rPr>
        <w:rFonts w:ascii="Wingdings 2" w:hAnsi="Wingdings 2" w:hint="default"/>
        <w:sz w:val="20"/>
      </w:rPr>
    </w:lvl>
    <w:lvl w:ilvl="1" w:tplc="191236A6">
      <w:start w:val="2"/>
      <w:numFmt w:val="bullet"/>
      <w:lvlText w:val=""/>
      <w:lvlJc w:val="left"/>
      <w:pPr>
        <w:tabs>
          <w:tab w:val="num" w:pos="1440"/>
        </w:tabs>
        <w:ind w:left="1080" w:firstLine="0"/>
      </w:pPr>
      <w:rPr>
        <w:rFonts w:ascii="Wingdings 2" w:hAnsi="Wingdings 2"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DE42CFA"/>
    <w:multiLevelType w:val="hybridMultilevel"/>
    <w:tmpl w:val="7460ED10"/>
    <w:lvl w:ilvl="0" w:tplc="D5AE1E46">
      <w:start w:val="1"/>
      <w:numFmt w:val="lowerLetter"/>
      <w:lvlText w:val="(%1)"/>
      <w:lvlJc w:val="left"/>
      <w:pPr>
        <w:ind w:left="98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E9B1FE1"/>
    <w:multiLevelType w:val="singleLevel"/>
    <w:tmpl w:val="FFFFFFFF"/>
    <w:lvl w:ilvl="0">
      <w:start w:val="1"/>
      <w:numFmt w:val="bullet"/>
      <w:lvlText w:val=""/>
      <w:legacy w:legacy="1" w:legacySpace="0" w:legacyIndent="283"/>
      <w:lvlJc w:val="left"/>
      <w:pPr>
        <w:ind w:left="1003" w:hanging="283"/>
      </w:pPr>
      <w:rPr>
        <w:rFonts w:ascii="Symbol" w:hAnsi="Symbol" w:hint="default"/>
      </w:rPr>
    </w:lvl>
  </w:abstractNum>
  <w:abstractNum w:abstractNumId="44" w15:restartNumberingAfterBreak="0">
    <w:nsid w:val="300615A2"/>
    <w:multiLevelType w:val="hybridMultilevel"/>
    <w:tmpl w:val="390030FA"/>
    <w:lvl w:ilvl="0" w:tplc="1A9EA4FE">
      <w:numFmt w:val="bullet"/>
      <w:lvlText w:val=""/>
      <w:lvlJc w:val="left"/>
      <w:pPr>
        <w:tabs>
          <w:tab w:val="num" w:pos="644"/>
        </w:tabs>
        <w:ind w:left="644" w:hanging="360"/>
      </w:pPr>
      <w:rPr>
        <w:rFonts w:ascii="Wingdings" w:hAnsi="Wingdings" w:cs="Times New Roman" w:hint="default"/>
        <w:color w:val="000000"/>
        <w:sz w:val="24"/>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45" w15:restartNumberingAfterBreak="0">
    <w:nsid w:val="328839F4"/>
    <w:multiLevelType w:val="hybridMultilevel"/>
    <w:tmpl w:val="03181AE8"/>
    <w:lvl w:ilvl="0" w:tplc="84A637BA">
      <w:start w:val="1"/>
      <w:numFmt w:val="bullet"/>
      <w:lvlText w:val=""/>
      <w:lvlJc w:val="left"/>
      <w:pPr>
        <w:ind w:left="1174" w:hanging="360"/>
      </w:pPr>
      <w:rPr>
        <w:rFonts w:ascii="Symbol" w:hAnsi="Symbol" w:hint="default"/>
        <w:color w:val="000000" w:themeColor="text1"/>
        <w:sz w:val="20"/>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46"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47" w15:restartNumberingAfterBreak="0">
    <w:nsid w:val="349E5B05"/>
    <w:multiLevelType w:val="hybridMultilevel"/>
    <w:tmpl w:val="5E568466"/>
    <w:lvl w:ilvl="0" w:tplc="ACA01BF2">
      <w:start w:val="1"/>
      <w:numFmt w:val="lowerRoman"/>
      <w:lvlText w:val="(%1)"/>
      <w:lvlJc w:val="left"/>
      <w:pPr>
        <w:ind w:left="1434" w:hanging="72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8" w15:restartNumberingAfterBreak="0">
    <w:nsid w:val="356F1BCE"/>
    <w:multiLevelType w:val="hybridMultilevel"/>
    <w:tmpl w:val="C6E49D1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5B4767E"/>
    <w:multiLevelType w:val="hybridMultilevel"/>
    <w:tmpl w:val="24CE7CA0"/>
    <w:lvl w:ilvl="0" w:tplc="CBECD572">
      <w:start w:val="1"/>
      <w:numFmt w:val="decimal"/>
      <w:lvlText w:val="%1."/>
      <w:lvlJc w:val="left"/>
      <w:pPr>
        <w:tabs>
          <w:tab w:val="num" w:pos="928"/>
        </w:tabs>
        <w:ind w:left="928" w:hanging="360"/>
      </w:pPr>
      <w:rPr>
        <w:rFonts w:hint="default"/>
      </w:rPr>
    </w:lvl>
    <w:lvl w:ilvl="1" w:tplc="0C090019" w:tentative="1">
      <w:start w:val="1"/>
      <w:numFmt w:val="lowerLetter"/>
      <w:lvlText w:val="%2."/>
      <w:lvlJc w:val="left"/>
      <w:pPr>
        <w:tabs>
          <w:tab w:val="num" w:pos="1724"/>
        </w:tabs>
        <w:ind w:left="1724" w:hanging="360"/>
      </w:pPr>
    </w:lvl>
    <w:lvl w:ilvl="2" w:tplc="0C09001B" w:tentative="1">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50" w15:restartNumberingAfterBreak="0">
    <w:nsid w:val="38637B2A"/>
    <w:multiLevelType w:val="hybridMultilevel"/>
    <w:tmpl w:val="6F6E4DDE"/>
    <w:lvl w:ilvl="0" w:tplc="E4DC48A8">
      <w:start w:val="1"/>
      <w:numFmt w:val="bullet"/>
      <w:lvlText w:val=""/>
      <w:lvlJc w:val="left"/>
      <w:pPr>
        <w:ind w:left="1434" w:hanging="360"/>
      </w:pPr>
      <w:rPr>
        <w:rFonts w:ascii="Symbol" w:hAnsi="Symbol" w:hint="default"/>
        <w:color w:val="000000"/>
        <w:sz w:val="20"/>
        <w:szCs w:val="24"/>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1" w15:restartNumberingAfterBreak="0">
    <w:nsid w:val="39A34FEE"/>
    <w:multiLevelType w:val="hybridMultilevel"/>
    <w:tmpl w:val="261C787A"/>
    <w:lvl w:ilvl="0" w:tplc="9B24430C">
      <w:start w:val="4"/>
      <w:numFmt w:val="lowerLetter"/>
      <w:lvlText w:val="(%1)"/>
      <w:lvlJc w:val="left"/>
      <w:pPr>
        <w:tabs>
          <w:tab w:val="num" w:pos="1267"/>
        </w:tabs>
        <w:ind w:left="1267"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2" w15:restartNumberingAfterBreak="0">
    <w:nsid w:val="3A3308DD"/>
    <w:multiLevelType w:val="hybridMultilevel"/>
    <w:tmpl w:val="84D2F7C6"/>
    <w:lvl w:ilvl="0" w:tplc="01E4F2F2">
      <w:start w:val="1"/>
      <w:numFmt w:val="decimal"/>
      <w:lvlText w:val="%1."/>
      <w:lvlJc w:val="left"/>
      <w:pPr>
        <w:tabs>
          <w:tab w:val="num" w:pos="930"/>
        </w:tabs>
        <w:ind w:left="930" w:hanging="363"/>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53" w15:restartNumberingAfterBreak="0">
    <w:nsid w:val="3BFE509F"/>
    <w:multiLevelType w:val="hybridMultilevel"/>
    <w:tmpl w:val="2FECC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D110219"/>
    <w:multiLevelType w:val="hybridMultilevel"/>
    <w:tmpl w:val="A78E7928"/>
    <w:lvl w:ilvl="0" w:tplc="7D3A7BFA">
      <w:start w:val="1"/>
      <w:numFmt w:val="bullet"/>
      <w:lvlText w:val=""/>
      <w:lvlJc w:val="left"/>
      <w:pPr>
        <w:tabs>
          <w:tab w:val="num" w:pos="0"/>
        </w:tabs>
        <w:ind w:left="283" w:hanging="283"/>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DAB79E8"/>
    <w:multiLevelType w:val="hybridMultilevel"/>
    <w:tmpl w:val="EE90966C"/>
    <w:lvl w:ilvl="0" w:tplc="6F76619C">
      <w:start w:val="1"/>
      <w:numFmt w:val="decimal"/>
      <w:lvlText w:val="%1."/>
      <w:lvlJc w:val="left"/>
      <w:pPr>
        <w:ind w:left="720" w:hanging="360"/>
      </w:pPr>
      <w:rPr>
        <w:rFonts w:ascii="Arial" w:hAnsi="Arial" w:cs="Arial" w:hint="default"/>
        <w:b w:val="0"/>
        <w:bCs/>
        <w:i w:val="0"/>
        <w:iCs w:val="0"/>
        <w:color w:val="auto"/>
        <w:sz w:val="20"/>
        <w:szCs w:val="22"/>
      </w:rPr>
    </w:lvl>
    <w:lvl w:ilvl="1" w:tplc="73785160">
      <w:start w:val="1"/>
      <w:numFmt w:val="lowerLetter"/>
      <w:lvlText w:val="%2."/>
      <w:lvlJc w:val="left"/>
      <w:pPr>
        <w:ind w:left="1440" w:hanging="360"/>
      </w:pPr>
      <w:rPr>
        <w:rFonts w:hint="default"/>
        <w:b w:val="0"/>
        <w:bCs/>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41663602">
      <w:start w:val="2"/>
      <w:numFmt w:val="lowerLetter"/>
      <w:lvlText w:val="(%5)"/>
      <w:lvlJc w:val="left"/>
      <w:pPr>
        <w:ind w:left="3904" w:hanging="360"/>
      </w:pPr>
      <w:rPr>
        <w:rFonts w:hint="default"/>
      </w:rPr>
    </w:lvl>
    <w:lvl w:ilvl="5" w:tplc="F9B0590E">
      <w:start w:val="1"/>
      <w:numFmt w:val="decimal"/>
      <w:lvlText w:val="(%6)"/>
      <w:lvlJc w:val="left"/>
      <w:pPr>
        <w:ind w:left="4590" w:hanging="450"/>
      </w:pPr>
      <w:rPr>
        <w:rFonts w:hint="default"/>
      </w:rPr>
    </w:lvl>
    <w:lvl w:ilvl="6" w:tplc="89DC53CE">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EC37320"/>
    <w:multiLevelType w:val="hybridMultilevel"/>
    <w:tmpl w:val="50E4B654"/>
    <w:lvl w:ilvl="0" w:tplc="FAC27E20">
      <w:start w:val="1"/>
      <w:numFmt w:val="decimal"/>
      <w:lvlText w:val="%1."/>
      <w:lvlJc w:val="left"/>
      <w:pPr>
        <w:ind w:left="720" w:hanging="360"/>
      </w:pPr>
      <w:rPr>
        <w:rFonts w:ascii="Arial" w:hAnsi="Arial" w:cs="Arial" w:hint="default"/>
        <w:b w:val="0"/>
        <w:bCs/>
        <w:i w:val="0"/>
        <w:iCs w:val="0"/>
        <w:color w:val="auto"/>
        <w:sz w:val="20"/>
        <w:szCs w:val="22"/>
      </w:rPr>
    </w:lvl>
    <w:lvl w:ilvl="1" w:tplc="1DD4A9DC">
      <w:start w:val="1"/>
      <w:numFmt w:val="lowerLetter"/>
      <w:lvlText w:val="%2."/>
      <w:lvlJc w:val="left"/>
      <w:pPr>
        <w:ind w:left="1440" w:hanging="360"/>
      </w:pPr>
      <w:rPr>
        <w:rFonts w:hint="default"/>
        <w:b w:val="0"/>
        <w:bCs/>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F043D60"/>
    <w:multiLevelType w:val="hybridMultilevel"/>
    <w:tmpl w:val="759423BE"/>
    <w:lvl w:ilvl="0" w:tplc="8A7C522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F7A657F"/>
    <w:multiLevelType w:val="hybridMultilevel"/>
    <w:tmpl w:val="9934C73E"/>
    <w:lvl w:ilvl="0" w:tplc="E1B20614">
      <w:start w:val="1"/>
      <w:numFmt w:val="lowerLetter"/>
      <w:lvlText w:val="(%1)"/>
      <w:lvlJc w:val="left"/>
      <w:pPr>
        <w:ind w:left="1795" w:hanging="360"/>
      </w:pPr>
      <w:rPr>
        <w:rFonts w:hint="default"/>
      </w:rPr>
    </w:lvl>
    <w:lvl w:ilvl="1" w:tplc="0C090019" w:tentative="1">
      <w:start w:val="1"/>
      <w:numFmt w:val="lowerLetter"/>
      <w:lvlText w:val="%2."/>
      <w:lvlJc w:val="left"/>
      <w:pPr>
        <w:ind w:left="2515" w:hanging="360"/>
      </w:pPr>
    </w:lvl>
    <w:lvl w:ilvl="2" w:tplc="0C09001B" w:tentative="1">
      <w:start w:val="1"/>
      <w:numFmt w:val="lowerRoman"/>
      <w:lvlText w:val="%3."/>
      <w:lvlJc w:val="right"/>
      <w:pPr>
        <w:ind w:left="3235" w:hanging="180"/>
      </w:pPr>
    </w:lvl>
    <w:lvl w:ilvl="3" w:tplc="0C09000F" w:tentative="1">
      <w:start w:val="1"/>
      <w:numFmt w:val="decimal"/>
      <w:lvlText w:val="%4."/>
      <w:lvlJc w:val="left"/>
      <w:pPr>
        <w:ind w:left="3955" w:hanging="360"/>
      </w:pPr>
    </w:lvl>
    <w:lvl w:ilvl="4" w:tplc="0C090019" w:tentative="1">
      <w:start w:val="1"/>
      <w:numFmt w:val="lowerLetter"/>
      <w:lvlText w:val="%5."/>
      <w:lvlJc w:val="left"/>
      <w:pPr>
        <w:ind w:left="4675" w:hanging="360"/>
      </w:pPr>
    </w:lvl>
    <w:lvl w:ilvl="5" w:tplc="0C09001B" w:tentative="1">
      <w:start w:val="1"/>
      <w:numFmt w:val="lowerRoman"/>
      <w:lvlText w:val="%6."/>
      <w:lvlJc w:val="right"/>
      <w:pPr>
        <w:ind w:left="5395" w:hanging="180"/>
      </w:pPr>
    </w:lvl>
    <w:lvl w:ilvl="6" w:tplc="0C09000F" w:tentative="1">
      <w:start w:val="1"/>
      <w:numFmt w:val="decimal"/>
      <w:lvlText w:val="%7."/>
      <w:lvlJc w:val="left"/>
      <w:pPr>
        <w:ind w:left="6115" w:hanging="360"/>
      </w:pPr>
    </w:lvl>
    <w:lvl w:ilvl="7" w:tplc="0C090019" w:tentative="1">
      <w:start w:val="1"/>
      <w:numFmt w:val="lowerLetter"/>
      <w:lvlText w:val="%8."/>
      <w:lvlJc w:val="left"/>
      <w:pPr>
        <w:ind w:left="6835" w:hanging="360"/>
      </w:pPr>
    </w:lvl>
    <w:lvl w:ilvl="8" w:tplc="0C09001B" w:tentative="1">
      <w:start w:val="1"/>
      <w:numFmt w:val="lowerRoman"/>
      <w:lvlText w:val="%9."/>
      <w:lvlJc w:val="right"/>
      <w:pPr>
        <w:ind w:left="7555" w:hanging="180"/>
      </w:pPr>
    </w:lvl>
  </w:abstractNum>
  <w:abstractNum w:abstractNumId="59" w15:restartNumberingAfterBreak="0">
    <w:nsid w:val="403A2461"/>
    <w:multiLevelType w:val="hybridMultilevel"/>
    <w:tmpl w:val="01A2E77C"/>
    <w:lvl w:ilvl="0" w:tplc="4CFCCEEE">
      <w:start w:val="1"/>
      <w:numFmt w:val="lowerLetter"/>
      <w:lvlText w:val="(%1)"/>
      <w:lvlJc w:val="left"/>
      <w:pPr>
        <w:tabs>
          <w:tab w:val="num" w:pos="717"/>
        </w:tabs>
        <w:ind w:left="717" w:hanging="360"/>
      </w:pPr>
      <w:rPr>
        <w:rFonts w:hint="default"/>
      </w:rPr>
    </w:lvl>
    <w:lvl w:ilvl="1" w:tplc="0C090019" w:tentative="1">
      <w:start w:val="1"/>
      <w:numFmt w:val="lowerLetter"/>
      <w:lvlText w:val="%2."/>
      <w:lvlJc w:val="left"/>
      <w:pPr>
        <w:tabs>
          <w:tab w:val="num" w:pos="1437"/>
        </w:tabs>
        <w:ind w:left="1437" w:hanging="360"/>
      </w:pPr>
    </w:lvl>
    <w:lvl w:ilvl="2" w:tplc="0C09001B" w:tentative="1">
      <w:start w:val="1"/>
      <w:numFmt w:val="lowerRoman"/>
      <w:lvlText w:val="%3."/>
      <w:lvlJc w:val="right"/>
      <w:pPr>
        <w:tabs>
          <w:tab w:val="num" w:pos="2157"/>
        </w:tabs>
        <w:ind w:left="2157" w:hanging="180"/>
      </w:pPr>
    </w:lvl>
    <w:lvl w:ilvl="3" w:tplc="0C09000F" w:tentative="1">
      <w:start w:val="1"/>
      <w:numFmt w:val="decimal"/>
      <w:lvlText w:val="%4."/>
      <w:lvlJc w:val="left"/>
      <w:pPr>
        <w:tabs>
          <w:tab w:val="num" w:pos="2877"/>
        </w:tabs>
        <w:ind w:left="2877" w:hanging="360"/>
      </w:pPr>
    </w:lvl>
    <w:lvl w:ilvl="4" w:tplc="0C090019" w:tentative="1">
      <w:start w:val="1"/>
      <w:numFmt w:val="lowerLetter"/>
      <w:lvlText w:val="%5."/>
      <w:lvlJc w:val="left"/>
      <w:pPr>
        <w:tabs>
          <w:tab w:val="num" w:pos="3597"/>
        </w:tabs>
        <w:ind w:left="3597" w:hanging="360"/>
      </w:pPr>
    </w:lvl>
    <w:lvl w:ilvl="5" w:tplc="0C09001B" w:tentative="1">
      <w:start w:val="1"/>
      <w:numFmt w:val="lowerRoman"/>
      <w:lvlText w:val="%6."/>
      <w:lvlJc w:val="right"/>
      <w:pPr>
        <w:tabs>
          <w:tab w:val="num" w:pos="4317"/>
        </w:tabs>
        <w:ind w:left="4317" w:hanging="180"/>
      </w:pPr>
    </w:lvl>
    <w:lvl w:ilvl="6" w:tplc="0C09000F" w:tentative="1">
      <w:start w:val="1"/>
      <w:numFmt w:val="decimal"/>
      <w:lvlText w:val="%7."/>
      <w:lvlJc w:val="left"/>
      <w:pPr>
        <w:tabs>
          <w:tab w:val="num" w:pos="5037"/>
        </w:tabs>
        <w:ind w:left="5037" w:hanging="360"/>
      </w:pPr>
    </w:lvl>
    <w:lvl w:ilvl="7" w:tplc="0C090019" w:tentative="1">
      <w:start w:val="1"/>
      <w:numFmt w:val="lowerLetter"/>
      <w:lvlText w:val="%8."/>
      <w:lvlJc w:val="left"/>
      <w:pPr>
        <w:tabs>
          <w:tab w:val="num" w:pos="5757"/>
        </w:tabs>
        <w:ind w:left="5757" w:hanging="360"/>
      </w:pPr>
    </w:lvl>
    <w:lvl w:ilvl="8" w:tplc="0C09001B" w:tentative="1">
      <w:start w:val="1"/>
      <w:numFmt w:val="lowerRoman"/>
      <w:lvlText w:val="%9."/>
      <w:lvlJc w:val="right"/>
      <w:pPr>
        <w:tabs>
          <w:tab w:val="num" w:pos="6477"/>
        </w:tabs>
        <w:ind w:left="6477" w:hanging="180"/>
      </w:pPr>
    </w:lvl>
  </w:abstractNum>
  <w:abstractNum w:abstractNumId="60" w15:restartNumberingAfterBreak="0">
    <w:nsid w:val="40496ECD"/>
    <w:multiLevelType w:val="hybridMultilevel"/>
    <w:tmpl w:val="0F4C54E6"/>
    <w:lvl w:ilvl="0" w:tplc="0C090001">
      <w:start w:val="1"/>
      <w:numFmt w:val="bullet"/>
      <w:lvlText w:val=""/>
      <w:lvlJc w:val="left"/>
      <w:pPr>
        <w:tabs>
          <w:tab w:val="num" w:pos="720"/>
        </w:tabs>
        <w:ind w:left="720" w:hanging="360"/>
      </w:pPr>
      <w:rPr>
        <w:rFonts w:ascii="Symbol" w:hAnsi="Symbol" w:hint="default"/>
        <w:b w:val="0"/>
        <w:i w:val="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0996E62"/>
    <w:multiLevelType w:val="hybridMultilevel"/>
    <w:tmpl w:val="BBECD0CE"/>
    <w:lvl w:ilvl="0" w:tplc="0C09000F">
      <w:start w:val="1"/>
      <w:numFmt w:val="decimal"/>
      <w:lvlText w:val="%1."/>
      <w:lvlJc w:val="left"/>
      <w:pPr>
        <w:ind w:left="360" w:hanging="360"/>
      </w:pPr>
      <w:rPr>
        <w:rFonts w:hint="default"/>
      </w:rPr>
    </w:lvl>
    <w:lvl w:ilvl="1" w:tplc="EBA6DC1C">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1466EF6"/>
    <w:multiLevelType w:val="hybridMultilevel"/>
    <w:tmpl w:val="39248AE2"/>
    <w:lvl w:ilvl="0" w:tplc="5C78E8CA">
      <w:start w:val="1"/>
      <w:numFmt w:val="bullet"/>
      <w:lvlText w:val=""/>
      <w:lvlJc w:val="left"/>
      <w:pPr>
        <w:tabs>
          <w:tab w:val="num" w:pos="0"/>
        </w:tabs>
        <w:ind w:left="1003" w:hanging="283"/>
      </w:pPr>
      <w:rPr>
        <w:rFonts w:ascii="Symbol" w:hAnsi="Symbol" w:hint="default"/>
        <w:color w:val="FF0000"/>
      </w:rPr>
    </w:lvl>
    <w:lvl w:ilvl="1" w:tplc="AF0AA450">
      <w:start w:val="1"/>
      <w:numFmt w:val="bullet"/>
      <w:lvlText w:val=""/>
      <w:lvlJc w:val="left"/>
      <w:pPr>
        <w:tabs>
          <w:tab w:val="num" w:pos="1020"/>
        </w:tabs>
        <w:ind w:left="1363" w:hanging="283"/>
      </w:pPr>
      <w:rPr>
        <w:rFonts w:ascii="Symbol" w:hAnsi="Symbol" w:hint="default"/>
        <w:b/>
        <w:i w:val="0"/>
        <w:color w:val="000000"/>
        <w:sz w:val="20"/>
        <w:szCs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3C522D2"/>
    <w:multiLevelType w:val="hybridMultilevel"/>
    <w:tmpl w:val="BE86B702"/>
    <w:lvl w:ilvl="0" w:tplc="FFFFFFFF">
      <w:start w:val="1"/>
      <w:numFmt w:val="lowerLetter"/>
      <w:lvlText w:val="(%1)"/>
      <w:lvlJc w:val="left"/>
      <w:pPr>
        <w:ind w:left="1290" w:hanging="57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43F5635A"/>
    <w:multiLevelType w:val="hybridMultilevel"/>
    <w:tmpl w:val="913044F4"/>
    <w:lvl w:ilvl="0" w:tplc="D4C416FA">
      <w:start w:val="3"/>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46650DA"/>
    <w:multiLevelType w:val="hybridMultilevel"/>
    <w:tmpl w:val="718A3076"/>
    <w:lvl w:ilvl="0" w:tplc="FFFFFFFF">
      <w:start w:val="1"/>
      <w:numFmt w:val="lowerLetter"/>
      <w:lvlText w:val="(%1)"/>
      <w:lvlJc w:val="left"/>
      <w:pPr>
        <w:ind w:left="1287" w:hanging="360"/>
      </w:pPr>
      <w:rPr>
        <w:rFonts w:ascii="Arial" w:hAnsi="Arial" w:hint="default"/>
        <w:sz w:val="20"/>
      </w:rPr>
    </w:lvl>
    <w:lvl w:ilvl="1" w:tplc="72582C2E">
      <w:start w:val="1"/>
      <w:numFmt w:val="lowerLetter"/>
      <w:lvlText w:val="(%2)"/>
      <w:lvlJc w:val="left"/>
      <w:pPr>
        <w:ind w:left="1440" w:hanging="360"/>
      </w:pPr>
      <w:rPr>
        <w:rFonts w:hint="default"/>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5B8565F"/>
    <w:multiLevelType w:val="hybridMultilevel"/>
    <w:tmpl w:val="9D7045E2"/>
    <w:lvl w:ilvl="0" w:tplc="07B86B8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6723F60"/>
    <w:multiLevelType w:val="hybridMultilevel"/>
    <w:tmpl w:val="1562A16A"/>
    <w:lvl w:ilvl="0" w:tplc="C400DA0E">
      <w:start w:val="2"/>
      <w:numFmt w:val="bullet"/>
      <w:lvlText w:val=""/>
      <w:lvlJc w:val="left"/>
      <w:pPr>
        <w:ind w:left="720" w:hanging="360"/>
      </w:pPr>
      <w:rPr>
        <w:rFonts w:ascii="Wingdings 2" w:hAnsi="Wingdings 2"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6D1087C"/>
    <w:multiLevelType w:val="hybridMultilevel"/>
    <w:tmpl w:val="60A2C560"/>
    <w:lvl w:ilvl="0" w:tplc="00028DA6">
      <w:start w:val="2"/>
      <w:numFmt w:val="bullet"/>
      <w:lvlText w:val=""/>
      <w:lvlJc w:val="left"/>
      <w:pPr>
        <w:ind w:left="720" w:hanging="360"/>
      </w:pPr>
      <w:rPr>
        <w:rFonts w:ascii="Wingdings 2" w:hAnsi="Wingdings 2" w:hint="default"/>
        <w:color w:val="00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7486595"/>
    <w:multiLevelType w:val="hybridMultilevel"/>
    <w:tmpl w:val="830602B6"/>
    <w:lvl w:ilvl="0" w:tplc="C3B696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47C336C6"/>
    <w:multiLevelType w:val="hybridMultilevel"/>
    <w:tmpl w:val="201A03A2"/>
    <w:lvl w:ilvl="0" w:tplc="520C0BC8">
      <w:start w:val="2"/>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49076036"/>
    <w:multiLevelType w:val="hybridMultilevel"/>
    <w:tmpl w:val="74D20DAA"/>
    <w:lvl w:ilvl="0" w:tplc="C396CF08">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93E1F64"/>
    <w:multiLevelType w:val="hybridMultilevel"/>
    <w:tmpl w:val="B310F532"/>
    <w:lvl w:ilvl="0" w:tplc="C2A6DD42">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3" w15:restartNumberingAfterBreak="0">
    <w:nsid w:val="4A5E3DCF"/>
    <w:multiLevelType w:val="hybridMultilevel"/>
    <w:tmpl w:val="E55C844A"/>
    <w:lvl w:ilvl="0" w:tplc="23A00F4C">
      <w:start w:val="1"/>
      <w:numFmt w:val="bullet"/>
      <w:lvlText w:val=""/>
      <w:lvlJc w:val="left"/>
      <w:pPr>
        <w:tabs>
          <w:tab w:val="num" w:pos="-60"/>
        </w:tabs>
        <w:ind w:left="283" w:hanging="283"/>
      </w:pPr>
      <w:rPr>
        <w:rFonts w:ascii="Symbol" w:hAnsi="Symbol" w:hint="default"/>
        <w:color w:val="000000"/>
        <w:sz w:val="20"/>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BF77E59"/>
    <w:multiLevelType w:val="hybridMultilevel"/>
    <w:tmpl w:val="C4C2CD8A"/>
    <w:lvl w:ilvl="0" w:tplc="7D083FE4">
      <w:start w:val="8"/>
      <w:numFmt w:val="decimal"/>
      <w:lvlText w:val="%1."/>
      <w:lvlJc w:val="left"/>
      <w:pPr>
        <w:ind w:left="720" w:hanging="360"/>
      </w:pPr>
      <w:rPr>
        <w:rFonts w:ascii="Arial" w:hAnsi="Arial" w:cs="Arial" w:hint="default"/>
        <w:b w:val="0"/>
        <w:bCs/>
        <w:i w:val="0"/>
        <w:iCs w:val="0"/>
        <w:color w:val="auto"/>
        <w:sz w:val="20"/>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4D6F51FA"/>
    <w:multiLevelType w:val="hybridMultilevel"/>
    <w:tmpl w:val="8EB09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E125BA4"/>
    <w:multiLevelType w:val="hybridMultilevel"/>
    <w:tmpl w:val="D9761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01A34E8"/>
    <w:multiLevelType w:val="hybridMultilevel"/>
    <w:tmpl w:val="BE1E2D28"/>
    <w:lvl w:ilvl="0" w:tplc="39C0D2FA">
      <w:start w:val="1"/>
      <w:numFmt w:val="bullet"/>
      <w:lvlText w:val=""/>
      <w:lvlJc w:val="left"/>
      <w:pPr>
        <w:tabs>
          <w:tab w:val="num" w:pos="420"/>
        </w:tabs>
        <w:ind w:left="420" w:hanging="360"/>
      </w:pPr>
      <w:rPr>
        <w:rFonts w:ascii="Symbol" w:hAnsi="Symbol"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8" w15:restartNumberingAfterBreak="0">
    <w:nsid w:val="501F6E88"/>
    <w:multiLevelType w:val="hybridMultilevel"/>
    <w:tmpl w:val="68282B7C"/>
    <w:lvl w:ilvl="0" w:tplc="7714D114">
      <w:numFmt w:val="bullet"/>
      <w:lvlText w:val=""/>
      <w:lvlJc w:val="left"/>
      <w:pPr>
        <w:tabs>
          <w:tab w:val="num" w:pos="1574"/>
        </w:tabs>
        <w:ind w:left="1574" w:hanging="287"/>
      </w:pPr>
      <w:rPr>
        <w:rFonts w:ascii="Wingdings" w:hAnsi="Wingdings" w:cs="Times New Roman" w:hint="default"/>
        <w:color w:val="000000"/>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248627B"/>
    <w:multiLevelType w:val="hybridMultilevel"/>
    <w:tmpl w:val="87A8A800"/>
    <w:lvl w:ilvl="0" w:tplc="BA2CE0AC">
      <w:start w:val="1"/>
      <w:numFmt w:val="bullet"/>
      <w:lvlText w:val=""/>
      <w:lvlJc w:val="left"/>
      <w:pPr>
        <w:ind w:left="1440" w:hanging="360"/>
      </w:pPr>
      <w:rPr>
        <w:rFonts w:ascii="Wingdings" w:hAnsi="Wingdings" w:hint="default"/>
        <w:sz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0" w15:restartNumberingAfterBreak="0">
    <w:nsid w:val="5306457D"/>
    <w:multiLevelType w:val="hybridMultilevel"/>
    <w:tmpl w:val="F9609A32"/>
    <w:lvl w:ilvl="0" w:tplc="79C62E7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1" w15:restartNumberingAfterBreak="0">
    <w:nsid w:val="5373336C"/>
    <w:multiLevelType w:val="hybridMultilevel"/>
    <w:tmpl w:val="EF46D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4A33DAC"/>
    <w:multiLevelType w:val="hybridMultilevel"/>
    <w:tmpl w:val="6054E888"/>
    <w:lvl w:ilvl="0" w:tplc="3B12B2F6">
      <w:start w:val="1"/>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54FB6D85"/>
    <w:multiLevelType w:val="hybridMultilevel"/>
    <w:tmpl w:val="9126F05A"/>
    <w:lvl w:ilvl="0" w:tplc="9230E7EC">
      <w:start w:val="2"/>
      <w:numFmt w:val="decimal"/>
      <w:lvlText w:val="(%1)"/>
      <w:lvlJc w:val="left"/>
      <w:pPr>
        <w:ind w:left="459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513069D"/>
    <w:multiLevelType w:val="hybridMultilevel"/>
    <w:tmpl w:val="B1A4949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53F24CC"/>
    <w:multiLevelType w:val="hybridMultilevel"/>
    <w:tmpl w:val="E2C2B5D6"/>
    <w:lvl w:ilvl="0" w:tplc="38E62AF0">
      <w:start w:val="1"/>
      <w:numFmt w:val="lowerLetter"/>
      <w:lvlText w:val="%1."/>
      <w:lvlJc w:val="left"/>
      <w:pPr>
        <w:ind w:left="144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561C3078"/>
    <w:multiLevelType w:val="hybridMultilevel"/>
    <w:tmpl w:val="5C56E2E0"/>
    <w:lvl w:ilvl="0" w:tplc="C396CF08">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82722C1"/>
    <w:multiLevelType w:val="hybridMultilevel"/>
    <w:tmpl w:val="566CC7E2"/>
    <w:lvl w:ilvl="0" w:tplc="DB388C22">
      <w:start w:val="1"/>
      <w:numFmt w:val="decimal"/>
      <w:lvlText w:val="%1."/>
      <w:lvlJc w:val="left"/>
      <w:pPr>
        <w:tabs>
          <w:tab w:val="num" w:pos="1494"/>
        </w:tabs>
        <w:ind w:left="1494" w:hanging="360"/>
      </w:pPr>
      <w:rPr>
        <w:rFonts w:hint="default"/>
      </w:rPr>
    </w:lvl>
    <w:lvl w:ilvl="1" w:tplc="0C090019" w:tentative="1">
      <w:start w:val="1"/>
      <w:numFmt w:val="lowerLetter"/>
      <w:lvlText w:val="%2."/>
      <w:lvlJc w:val="left"/>
      <w:pPr>
        <w:tabs>
          <w:tab w:val="num" w:pos="2214"/>
        </w:tabs>
        <w:ind w:left="2214" w:hanging="360"/>
      </w:pPr>
    </w:lvl>
    <w:lvl w:ilvl="2" w:tplc="0C09001B" w:tentative="1">
      <w:start w:val="1"/>
      <w:numFmt w:val="lowerRoman"/>
      <w:lvlText w:val="%3."/>
      <w:lvlJc w:val="right"/>
      <w:pPr>
        <w:tabs>
          <w:tab w:val="num" w:pos="2934"/>
        </w:tabs>
        <w:ind w:left="2934" w:hanging="180"/>
      </w:pPr>
    </w:lvl>
    <w:lvl w:ilvl="3" w:tplc="0C09000F" w:tentative="1">
      <w:start w:val="1"/>
      <w:numFmt w:val="decimal"/>
      <w:lvlText w:val="%4."/>
      <w:lvlJc w:val="left"/>
      <w:pPr>
        <w:tabs>
          <w:tab w:val="num" w:pos="3654"/>
        </w:tabs>
        <w:ind w:left="3654" w:hanging="360"/>
      </w:pPr>
    </w:lvl>
    <w:lvl w:ilvl="4" w:tplc="0C090019" w:tentative="1">
      <w:start w:val="1"/>
      <w:numFmt w:val="lowerLetter"/>
      <w:lvlText w:val="%5."/>
      <w:lvlJc w:val="left"/>
      <w:pPr>
        <w:tabs>
          <w:tab w:val="num" w:pos="4374"/>
        </w:tabs>
        <w:ind w:left="4374" w:hanging="360"/>
      </w:pPr>
    </w:lvl>
    <w:lvl w:ilvl="5" w:tplc="0C09001B" w:tentative="1">
      <w:start w:val="1"/>
      <w:numFmt w:val="lowerRoman"/>
      <w:lvlText w:val="%6."/>
      <w:lvlJc w:val="right"/>
      <w:pPr>
        <w:tabs>
          <w:tab w:val="num" w:pos="5094"/>
        </w:tabs>
        <w:ind w:left="5094" w:hanging="180"/>
      </w:pPr>
    </w:lvl>
    <w:lvl w:ilvl="6" w:tplc="0C09000F" w:tentative="1">
      <w:start w:val="1"/>
      <w:numFmt w:val="decimal"/>
      <w:lvlText w:val="%7."/>
      <w:lvlJc w:val="left"/>
      <w:pPr>
        <w:tabs>
          <w:tab w:val="num" w:pos="5814"/>
        </w:tabs>
        <w:ind w:left="5814" w:hanging="360"/>
      </w:pPr>
    </w:lvl>
    <w:lvl w:ilvl="7" w:tplc="0C090019" w:tentative="1">
      <w:start w:val="1"/>
      <w:numFmt w:val="lowerLetter"/>
      <w:lvlText w:val="%8."/>
      <w:lvlJc w:val="left"/>
      <w:pPr>
        <w:tabs>
          <w:tab w:val="num" w:pos="6534"/>
        </w:tabs>
        <w:ind w:left="6534" w:hanging="360"/>
      </w:pPr>
    </w:lvl>
    <w:lvl w:ilvl="8" w:tplc="0C09001B" w:tentative="1">
      <w:start w:val="1"/>
      <w:numFmt w:val="lowerRoman"/>
      <w:lvlText w:val="%9."/>
      <w:lvlJc w:val="right"/>
      <w:pPr>
        <w:tabs>
          <w:tab w:val="num" w:pos="7254"/>
        </w:tabs>
        <w:ind w:left="7254" w:hanging="180"/>
      </w:pPr>
    </w:lvl>
  </w:abstractNum>
  <w:abstractNum w:abstractNumId="88" w15:restartNumberingAfterBreak="0">
    <w:nsid w:val="59A56628"/>
    <w:multiLevelType w:val="hybridMultilevel"/>
    <w:tmpl w:val="95AC7D3C"/>
    <w:lvl w:ilvl="0" w:tplc="D6F86FCC">
      <w:start w:val="7"/>
      <w:numFmt w:val="lowerLetter"/>
      <w:lvlText w:val="(%1)"/>
      <w:lvlJc w:val="left"/>
      <w:pPr>
        <w:ind w:left="129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59A60287"/>
    <w:multiLevelType w:val="hybridMultilevel"/>
    <w:tmpl w:val="2FDA3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DAA0979"/>
    <w:multiLevelType w:val="hybridMultilevel"/>
    <w:tmpl w:val="4CBADBFA"/>
    <w:lvl w:ilvl="0" w:tplc="CC8EEF54">
      <w:start w:val="1"/>
      <w:numFmt w:val="bullet"/>
      <w:lvlText w:val=""/>
      <w:lvlJc w:val="left"/>
      <w:pPr>
        <w:ind w:left="774" w:hanging="360"/>
      </w:pPr>
      <w:rPr>
        <w:rFonts w:ascii="Symbol" w:hAnsi="Symbol" w:hint="default"/>
        <w:color w:val="000000" w:themeColor="text1"/>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1" w15:restartNumberingAfterBreak="0">
    <w:nsid w:val="5DBF304D"/>
    <w:multiLevelType w:val="hybridMultilevel"/>
    <w:tmpl w:val="8308342A"/>
    <w:lvl w:ilvl="0" w:tplc="B5503FE0">
      <w:start w:val="9"/>
      <w:numFmt w:val="lowerLetter"/>
      <w:lvlText w:val="(%1)"/>
      <w:lvlJc w:val="left"/>
      <w:pPr>
        <w:ind w:left="129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F132141"/>
    <w:multiLevelType w:val="hybridMultilevel"/>
    <w:tmpl w:val="CF381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1A82456"/>
    <w:multiLevelType w:val="multilevel"/>
    <w:tmpl w:val="3466A0DE"/>
    <w:lvl w:ilvl="0">
      <w:start w:val="1"/>
      <w:numFmt w:val="decimal"/>
      <w:lvlText w:val="%1."/>
      <w:lvlJc w:val="left"/>
      <w:pPr>
        <w:ind w:left="720" w:hanging="360"/>
      </w:pPr>
      <w:rPr>
        <w:rFonts w:ascii="Arial" w:hAnsi="Arial" w:cs="Arial" w:hint="default"/>
        <w:b w:val="0"/>
        <w:bCs/>
        <w:i w:val="0"/>
        <w:iCs w:val="0"/>
        <w:color w:val="auto"/>
        <w:sz w:val="20"/>
        <w:szCs w:val="22"/>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623E28A5"/>
    <w:multiLevelType w:val="hybridMultilevel"/>
    <w:tmpl w:val="1640D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2A76E56"/>
    <w:multiLevelType w:val="hybridMultilevel"/>
    <w:tmpl w:val="56069132"/>
    <w:lvl w:ilvl="0" w:tplc="A9744BC6">
      <w:start w:val="1"/>
      <w:numFmt w:val="decimal"/>
      <w:lvlText w:val="(%1)"/>
      <w:lvlJc w:val="left"/>
      <w:pPr>
        <w:tabs>
          <w:tab w:val="num" w:pos="360"/>
        </w:tabs>
        <w:ind w:left="360" w:hanging="360"/>
      </w:pPr>
      <w:rPr>
        <w:rFonts w:ascii="Arial" w:hAnsi="Arial" w:cs="Book Antiqua" w:hint="default"/>
        <w:b w:val="0"/>
        <w:i w:val="0"/>
        <w:strike w:val="0"/>
        <w:dstrike w:val="0"/>
        <w:color w:val="000000"/>
        <w:sz w:val="20"/>
        <w:szCs w:val="22"/>
        <w:u w:val="none" w:color="000000"/>
        <w:vertAlign w:val="baseline"/>
      </w:rPr>
    </w:lvl>
    <w:lvl w:ilvl="1" w:tplc="D8ACE6D2">
      <w:start w:val="1"/>
      <w:numFmt w:val="bullet"/>
      <w:lvlText w:val="o"/>
      <w:lvlJc w:val="left"/>
      <w:pPr>
        <w:tabs>
          <w:tab w:val="num" w:pos="1080"/>
        </w:tabs>
        <w:ind w:left="1080" w:hanging="360"/>
      </w:pPr>
      <w:rPr>
        <w:rFonts w:ascii="Courier New" w:hAnsi="Courier New" w:hint="default"/>
        <w:sz w:val="20"/>
      </w:rPr>
    </w:lvl>
    <w:lvl w:ilvl="2" w:tplc="8806F04E" w:tentative="1">
      <w:start w:val="1"/>
      <w:numFmt w:val="bullet"/>
      <w:lvlText w:val=""/>
      <w:lvlJc w:val="left"/>
      <w:pPr>
        <w:tabs>
          <w:tab w:val="num" w:pos="1800"/>
        </w:tabs>
        <w:ind w:left="1800" w:hanging="360"/>
      </w:pPr>
      <w:rPr>
        <w:rFonts w:ascii="Wingdings" w:hAnsi="Wingdings" w:hint="default"/>
        <w:sz w:val="20"/>
      </w:rPr>
    </w:lvl>
    <w:lvl w:ilvl="3" w:tplc="7BE20F6C" w:tentative="1">
      <w:start w:val="1"/>
      <w:numFmt w:val="bullet"/>
      <w:lvlText w:val=""/>
      <w:lvlJc w:val="left"/>
      <w:pPr>
        <w:tabs>
          <w:tab w:val="num" w:pos="2520"/>
        </w:tabs>
        <w:ind w:left="2520" w:hanging="360"/>
      </w:pPr>
      <w:rPr>
        <w:rFonts w:ascii="Wingdings" w:hAnsi="Wingdings" w:hint="default"/>
        <w:sz w:val="20"/>
      </w:rPr>
    </w:lvl>
    <w:lvl w:ilvl="4" w:tplc="FCBEACEE" w:tentative="1">
      <w:start w:val="1"/>
      <w:numFmt w:val="bullet"/>
      <w:lvlText w:val=""/>
      <w:lvlJc w:val="left"/>
      <w:pPr>
        <w:tabs>
          <w:tab w:val="num" w:pos="3240"/>
        </w:tabs>
        <w:ind w:left="3240" w:hanging="360"/>
      </w:pPr>
      <w:rPr>
        <w:rFonts w:ascii="Wingdings" w:hAnsi="Wingdings" w:hint="default"/>
        <w:sz w:val="20"/>
      </w:rPr>
    </w:lvl>
    <w:lvl w:ilvl="5" w:tplc="AC4ED528" w:tentative="1">
      <w:start w:val="1"/>
      <w:numFmt w:val="bullet"/>
      <w:lvlText w:val=""/>
      <w:lvlJc w:val="left"/>
      <w:pPr>
        <w:tabs>
          <w:tab w:val="num" w:pos="3960"/>
        </w:tabs>
        <w:ind w:left="3960" w:hanging="360"/>
      </w:pPr>
      <w:rPr>
        <w:rFonts w:ascii="Wingdings" w:hAnsi="Wingdings" w:hint="default"/>
        <w:sz w:val="20"/>
      </w:rPr>
    </w:lvl>
    <w:lvl w:ilvl="6" w:tplc="0C627F2C" w:tentative="1">
      <w:start w:val="1"/>
      <w:numFmt w:val="bullet"/>
      <w:lvlText w:val=""/>
      <w:lvlJc w:val="left"/>
      <w:pPr>
        <w:tabs>
          <w:tab w:val="num" w:pos="4680"/>
        </w:tabs>
        <w:ind w:left="4680" w:hanging="360"/>
      </w:pPr>
      <w:rPr>
        <w:rFonts w:ascii="Wingdings" w:hAnsi="Wingdings" w:hint="default"/>
        <w:sz w:val="20"/>
      </w:rPr>
    </w:lvl>
    <w:lvl w:ilvl="7" w:tplc="1F36BC5E" w:tentative="1">
      <w:start w:val="1"/>
      <w:numFmt w:val="bullet"/>
      <w:lvlText w:val=""/>
      <w:lvlJc w:val="left"/>
      <w:pPr>
        <w:tabs>
          <w:tab w:val="num" w:pos="5400"/>
        </w:tabs>
        <w:ind w:left="5400" w:hanging="360"/>
      </w:pPr>
      <w:rPr>
        <w:rFonts w:ascii="Wingdings" w:hAnsi="Wingdings" w:hint="default"/>
        <w:sz w:val="20"/>
      </w:rPr>
    </w:lvl>
    <w:lvl w:ilvl="8" w:tplc="135879CA" w:tentative="1">
      <w:start w:val="1"/>
      <w:numFmt w:val="bullet"/>
      <w:lvlText w:val=""/>
      <w:lvlJc w:val="left"/>
      <w:pPr>
        <w:tabs>
          <w:tab w:val="num" w:pos="6120"/>
        </w:tabs>
        <w:ind w:left="6120" w:hanging="360"/>
      </w:pPr>
      <w:rPr>
        <w:rFonts w:ascii="Wingdings" w:hAnsi="Wingdings" w:hint="default"/>
        <w:sz w:val="20"/>
      </w:rPr>
    </w:lvl>
  </w:abstractNum>
  <w:abstractNum w:abstractNumId="96" w15:restartNumberingAfterBreak="0">
    <w:nsid w:val="647103B6"/>
    <w:multiLevelType w:val="hybridMultilevel"/>
    <w:tmpl w:val="31BC7CC8"/>
    <w:lvl w:ilvl="0" w:tplc="7714D114">
      <w:numFmt w:val="bullet"/>
      <w:lvlText w:val=""/>
      <w:lvlJc w:val="left"/>
      <w:pPr>
        <w:tabs>
          <w:tab w:val="num" w:pos="1634"/>
        </w:tabs>
        <w:ind w:left="1634" w:hanging="287"/>
      </w:pPr>
      <w:rPr>
        <w:rFonts w:ascii="Wingdings" w:hAnsi="Wingdings" w:cs="Times New Roman" w:hint="default"/>
        <w:color w:val="000000"/>
        <w:sz w:val="24"/>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7" w15:restartNumberingAfterBreak="0">
    <w:nsid w:val="666174D3"/>
    <w:multiLevelType w:val="hybridMultilevel"/>
    <w:tmpl w:val="2C729958"/>
    <w:lvl w:ilvl="0" w:tplc="9ACAC0A4">
      <w:start w:val="4"/>
      <w:numFmt w:val="lowerLetter"/>
      <w:lvlText w:val="(%1)"/>
      <w:lvlJc w:val="left"/>
      <w:pPr>
        <w:ind w:left="36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69007B51"/>
    <w:multiLevelType w:val="hybridMultilevel"/>
    <w:tmpl w:val="53B48DC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9" w15:restartNumberingAfterBreak="0">
    <w:nsid w:val="6A550FCC"/>
    <w:multiLevelType w:val="hybridMultilevel"/>
    <w:tmpl w:val="F98E4314"/>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0" w15:restartNumberingAfterBreak="0">
    <w:nsid w:val="6B235A47"/>
    <w:multiLevelType w:val="hybridMultilevel"/>
    <w:tmpl w:val="53404A38"/>
    <w:lvl w:ilvl="0" w:tplc="FC84FB98">
      <w:start w:val="1"/>
      <w:numFmt w:val="bullet"/>
      <w:lvlText w:val=""/>
      <w:lvlJc w:val="left"/>
      <w:pPr>
        <w:tabs>
          <w:tab w:val="num" w:pos="1647"/>
        </w:tabs>
        <w:ind w:left="1647" w:hanging="360"/>
      </w:pPr>
      <w:rPr>
        <w:rFonts w:ascii="Symbol" w:hAnsi="Symbol" w:hint="default"/>
        <w:b w:val="0"/>
        <w:i w:val="0"/>
        <w:color w:val="000000" w:themeColor="text1"/>
        <w:sz w:val="20"/>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6B4C2142"/>
    <w:multiLevelType w:val="hybridMultilevel"/>
    <w:tmpl w:val="838E7AC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2BFA6E70">
      <w:start w:val="1"/>
      <w:numFmt w:val="decimal"/>
      <w:lvlText w:val="%4."/>
      <w:lvlJc w:val="left"/>
      <w:pPr>
        <w:ind w:left="720" w:hanging="360"/>
      </w:pPr>
      <w:rPr>
        <w:rFonts w:ascii="Arial" w:hAnsi="Arial" w:hint="default"/>
        <w:b w:val="0"/>
        <w:i w:val="0"/>
        <w:sz w:val="20"/>
      </w:r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2" w15:restartNumberingAfterBreak="0">
    <w:nsid w:val="6CA246CA"/>
    <w:multiLevelType w:val="hybridMultilevel"/>
    <w:tmpl w:val="A2B4595C"/>
    <w:lvl w:ilvl="0" w:tplc="CA187D8A">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3" w15:restartNumberingAfterBreak="0">
    <w:nsid w:val="6D3C53AB"/>
    <w:multiLevelType w:val="hybridMultilevel"/>
    <w:tmpl w:val="283A8808"/>
    <w:lvl w:ilvl="0" w:tplc="90CA1818">
      <w:start w:val="4"/>
      <w:numFmt w:val="lowerLetter"/>
      <w:lvlText w:val="(%1)"/>
      <w:lvlJc w:val="left"/>
      <w:pPr>
        <w:ind w:left="129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6D3D7A9A"/>
    <w:multiLevelType w:val="hybridMultilevel"/>
    <w:tmpl w:val="965A9110"/>
    <w:lvl w:ilvl="0" w:tplc="FFFFFFFF">
      <w:start w:val="1"/>
      <w:numFmt w:val="lowerLetter"/>
      <w:lvlText w:val="%1."/>
      <w:lvlJc w:val="left"/>
      <w:pPr>
        <w:ind w:left="720" w:hanging="360"/>
      </w:pPr>
      <w:rPr>
        <w:rFonts w:hint="default"/>
        <w:b w:val="0"/>
        <w:bCs/>
        <w:color w:val="auto"/>
      </w:rPr>
    </w:lvl>
    <w:lvl w:ilvl="1" w:tplc="B7F6D38C">
      <w:start w:val="1"/>
      <w:numFmt w:val="lowerLetter"/>
      <w:lvlText w:val="(%2)"/>
      <w:lvlJc w:val="left"/>
      <w:pPr>
        <w:ind w:left="1530" w:hanging="45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F4F7BBA"/>
    <w:multiLevelType w:val="hybridMultilevel"/>
    <w:tmpl w:val="E64A3C98"/>
    <w:lvl w:ilvl="0" w:tplc="D56E8F06">
      <w:start w:val="11"/>
      <w:numFmt w:val="lowerLetter"/>
      <w:lvlText w:val="(%1)"/>
      <w:lvlJc w:val="left"/>
      <w:pPr>
        <w:ind w:left="129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707D3C69"/>
    <w:multiLevelType w:val="hybridMultilevel"/>
    <w:tmpl w:val="7A047FF2"/>
    <w:lvl w:ilvl="0" w:tplc="A9BAC308">
      <w:start w:val="1"/>
      <w:numFmt w:val="bullet"/>
      <w:lvlText w:val=""/>
      <w:lvlJc w:val="left"/>
      <w:pPr>
        <w:tabs>
          <w:tab w:val="num" w:pos="-60"/>
        </w:tabs>
        <w:ind w:left="283" w:hanging="283"/>
      </w:pPr>
      <w:rPr>
        <w:rFonts w:ascii="Symbol" w:hAnsi="Symbol" w:hint="default"/>
        <w:color w:val="000000"/>
        <w:sz w:val="20"/>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0C45364"/>
    <w:multiLevelType w:val="hybridMultilevel"/>
    <w:tmpl w:val="28AA7C7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72241387"/>
    <w:multiLevelType w:val="hybridMultilevel"/>
    <w:tmpl w:val="D3AAA930"/>
    <w:lvl w:ilvl="0" w:tplc="13981F8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73363B59"/>
    <w:multiLevelType w:val="hybridMultilevel"/>
    <w:tmpl w:val="F692E98C"/>
    <w:lvl w:ilvl="0" w:tplc="36E2E596">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364013E"/>
    <w:multiLevelType w:val="hybridMultilevel"/>
    <w:tmpl w:val="1018A438"/>
    <w:lvl w:ilvl="0" w:tplc="3CB6A1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73C65470"/>
    <w:multiLevelType w:val="hybridMultilevel"/>
    <w:tmpl w:val="40EE7298"/>
    <w:lvl w:ilvl="0" w:tplc="4034651C">
      <w:start w:val="1"/>
      <w:numFmt w:val="lowerLetter"/>
      <w:lvlText w:val="(%1)"/>
      <w:lvlJc w:val="left"/>
      <w:pPr>
        <w:tabs>
          <w:tab w:val="num" w:pos="1062"/>
        </w:tabs>
        <w:ind w:left="1062" w:hanging="495"/>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112" w15:restartNumberingAfterBreak="0">
    <w:nsid w:val="74814B08"/>
    <w:multiLevelType w:val="hybridMultilevel"/>
    <w:tmpl w:val="44922A88"/>
    <w:lvl w:ilvl="0" w:tplc="95209046">
      <w:start w:val="1"/>
      <w:numFmt w:val="bullet"/>
      <w:lvlText w:val=""/>
      <w:lvlJc w:val="left"/>
      <w:pPr>
        <w:ind w:left="144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66D013F"/>
    <w:multiLevelType w:val="hybridMultilevel"/>
    <w:tmpl w:val="6B8E9EE4"/>
    <w:lvl w:ilvl="0" w:tplc="41081C7A">
      <w:start w:val="1"/>
      <w:numFmt w:val="lowerLetter"/>
      <w:lvlText w:val="(%1)"/>
      <w:lvlJc w:val="left"/>
      <w:pPr>
        <w:tabs>
          <w:tab w:val="num" w:pos="1070"/>
        </w:tabs>
        <w:ind w:left="1070" w:hanging="360"/>
      </w:pPr>
      <w:rPr>
        <w:rFonts w:ascii="Arial" w:hAnsi="Arial" w:cs="Times New Roman" w:hint="default"/>
      </w:rPr>
    </w:lvl>
    <w:lvl w:ilvl="1" w:tplc="0C090019" w:tentative="1">
      <w:start w:val="1"/>
      <w:numFmt w:val="lowerLetter"/>
      <w:lvlText w:val="%2."/>
      <w:lvlJc w:val="left"/>
      <w:pPr>
        <w:tabs>
          <w:tab w:val="num" w:pos="1790"/>
        </w:tabs>
        <w:ind w:left="1790" w:hanging="360"/>
      </w:pPr>
    </w:lvl>
    <w:lvl w:ilvl="2" w:tplc="0C09001B" w:tentative="1">
      <w:start w:val="1"/>
      <w:numFmt w:val="lowerRoman"/>
      <w:lvlText w:val="%3."/>
      <w:lvlJc w:val="right"/>
      <w:pPr>
        <w:tabs>
          <w:tab w:val="num" w:pos="2510"/>
        </w:tabs>
        <w:ind w:left="2510" w:hanging="180"/>
      </w:pPr>
    </w:lvl>
    <w:lvl w:ilvl="3" w:tplc="0C09000F" w:tentative="1">
      <w:start w:val="1"/>
      <w:numFmt w:val="decimal"/>
      <w:lvlText w:val="%4."/>
      <w:lvlJc w:val="left"/>
      <w:pPr>
        <w:tabs>
          <w:tab w:val="num" w:pos="3230"/>
        </w:tabs>
        <w:ind w:left="3230" w:hanging="360"/>
      </w:pPr>
    </w:lvl>
    <w:lvl w:ilvl="4" w:tplc="0C090019" w:tentative="1">
      <w:start w:val="1"/>
      <w:numFmt w:val="lowerLetter"/>
      <w:lvlText w:val="%5."/>
      <w:lvlJc w:val="left"/>
      <w:pPr>
        <w:tabs>
          <w:tab w:val="num" w:pos="3950"/>
        </w:tabs>
        <w:ind w:left="3950" w:hanging="360"/>
      </w:pPr>
    </w:lvl>
    <w:lvl w:ilvl="5" w:tplc="0C09001B" w:tentative="1">
      <w:start w:val="1"/>
      <w:numFmt w:val="lowerRoman"/>
      <w:lvlText w:val="%6."/>
      <w:lvlJc w:val="right"/>
      <w:pPr>
        <w:tabs>
          <w:tab w:val="num" w:pos="4670"/>
        </w:tabs>
        <w:ind w:left="4670" w:hanging="180"/>
      </w:pPr>
    </w:lvl>
    <w:lvl w:ilvl="6" w:tplc="0C09000F" w:tentative="1">
      <w:start w:val="1"/>
      <w:numFmt w:val="decimal"/>
      <w:lvlText w:val="%7."/>
      <w:lvlJc w:val="left"/>
      <w:pPr>
        <w:tabs>
          <w:tab w:val="num" w:pos="5390"/>
        </w:tabs>
        <w:ind w:left="5390" w:hanging="360"/>
      </w:pPr>
    </w:lvl>
    <w:lvl w:ilvl="7" w:tplc="0C090019" w:tentative="1">
      <w:start w:val="1"/>
      <w:numFmt w:val="lowerLetter"/>
      <w:lvlText w:val="%8."/>
      <w:lvlJc w:val="left"/>
      <w:pPr>
        <w:tabs>
          <w:tab w:val="num" w:pos="6110"/>
        </w:tabs>
        <w:ind w:left="6110" w:hanging="360"/>
      </w:pPr>
    </w:lvl>
    <w:lvl w:ilvl="8" w:tplc="0C09001B" w:tentative="1">
      <w:start w:val="1"/>
      <w:numFmt w:val="lowerRoman"/>
      <w:lvlText w:val="%9."/>
      <w:lvlJc w:val="right"/>
      <w:pPr>
        <w:tabs>
          <w:tab w:val="num" w:pos="6830"/>
        </w:tabs>
        <w:ind w:left="6830" w:hanging="180"/>
      </w:pPr>
    </w:lvl>
  </w:abstractNum>
  <w:abstractNum w:abstractNumId="114" w15:restartNumberingAfterBreak="0">
    <w:nsid w:val="776834AE"/>
    <w:multiLevelType w:val="hybridMultilevel"/>
    <w:tmpl w:val="1DE2EF46"/>
    <w:lvl w:ilvl="0" w:tplc="63705CDC">
      <w:start w:val="1"/>
      <w:numFmt w:val="bullet"/>
      <w:lvlText w:val=""/>
      <w:lvlJc w:val="left"/>
      <w:pPr>
        <w:tabs>
          <w:tab w:val="num" w:pos="360"/>
        </w:tabs>
        <w:ind w:left="0" w:firstLine="0"/>
      </w:pPr>
      <w:rPr>
        <w:rFonts w:ascii="Wingdings" w:hAnsi="Wingdings" w:cs="Times New Roman"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77B72EF"/>
    <w:multiLevelType w:val="hybridMultilevel"/>
    <w:tmpl w:val="180AAD70"/>
    <w:lvl w:ilvl="0" w:tplc="2B1C2A8E">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783F62BC"/>
    <w:multiLevelType w:val="hybridMultilevel"/>
    <w:tmpl w:val="03AC2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78CF6A44"/>
    <w:multiLevelType w:val="hybridMultilevel"/>
    <w:tmpl w:val="7D8826FC"/>
    <w:lvl w:ilvl="0" w:tplc="911A2908">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9947F4A"/>
    <w:multiLevelType w:val="hybridMultilevel"/>
    <w:tmpl w:val="DBBAED86"/>
    <w:lvl w:ilvl="0" w:tplc="2E8883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79BF646A"/>
    <w:multiLevelType w:val="hybridMultilevel"/>
    <w:tmpl w:val="0298D9F6"/>
    <w:lvl w:ilvl="0" w:tplc="FFFFFFFF">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A5A2D52"/>
    <w:multiLevelType w:val="hybridMultilevel"/>
    <w:tmpl w:val="98AC72EA"/>
    <w:lvl w:ilvl="0" w:tplc="4E92C582">
      <w:start w:val="1"/>
      <w:numFmt w:val="lowerLetter"/>
      <w:lvlText w:val="(%1)"/>
      <w:lvlJc w:val="left"/>
      <w:pPr>
        <w:tabs>
          <w:tab w:val="num" w:pos="717"/>
        </w:tabs>
        <w:ind w:left="717" w:hanging="360"/>
      </w:pPr>
      <w:rPr>
        <w:rFonts w:hint="default"/>
      </w:rPr>
    </w:lvl>
    <w:lvl w:ilvl="1" w:tplc="0C090019" w:tentative="1">
      <w:start w:val="1"/>
      <w:numFmt w:val="lowerLetter"/>
      <w:lvlText w:val="%2."/>
      <w:lvlJc w:val="left"/>
      <w:pPr>
        <w:tabs>
          <w:tab w:val="num" w:pos="1437"/>
        </w:tabs>
        <w:ind w:left="1437" w:hanging="360"/>
      </w:pPr>
    </w:lvl>
    <w:lvl w:ilvl="2" w:tplc="0C09001B" w:tentative="1">
      <w:start w:val="1"/>
      <w:numFmt w:val="lowerRoman"/>
      <w:lvlText w:val="%3."/>
      <w:lvlJc w:val="right"/>
      <w:pPr>
        <w:tabs>
          <w:tab w:val="num" w:pos="2157"/>
        </w:tabs>
        <w:ind w:left="2157" w:hanging="180"/>
      </w:pPr>
    </w:lvl>
    <w:lvl w:ilvl="3" w:tplc="0C09000F" w:tentative="1">
      <w:start w:val="1"/>
      <w:numFmt w:val="decimal"/>
      <w:lvlText w:val="%4."/>
      <w:lvlJc w:val="left"/>
      <w:pPr>
        <w:tabs>
          <w:tab w:val="num" w:pos="2877"/>
        </w:tabs>
        <w:ind w:left="2877" w:hanging="360"/>
      </w:pPr>
    </w:lvl>
    <w:lvl w:ilvl="4" w:tplc="0C090019" w:tentative="1">
      <w:start w:val="1"/>
      <w:numFmt w:val="lowerLetter"/>
      <w:lvlText w:val="%5."/>
      <w:lvlJc w:val="left"/>
      <w:pPr>
        <w:tabs>
          <w:tab w:val="num" w:pos="3597"/>
        </w:tabs>
        <w:ind w:left="3597" w:hanging="360"/>
      </w:pPr>
    </w:lvl>
    <w:lvl w:ilvl="5" w:tplc="0C09001B" w:tentative="1">
      <w:start w:val="1"/>
      <w:numFmt w:val="lowerRoman"/>
      <w:lvlText w:val="%6."/>
      <w:lvlJc w:val="right"/>
      <w:pPr>
        <w:tabs>
          <w:tab w:val="num" w:pos="4317"/>
        </w:tabs>
        <w:ind w:left="4317" w:hanging="180"/>
      </w:pPr>
    </w:lvl>
    <w:lvl w:ilvl="6" w:tplc="0C09000F" w:tentative="1">
      <w:start w:val="1"/>
      <w:numFmt w:val="decimal"/>
      <w:lvlText w:val="%7."/>
      <w:lvlJc w:val="left"/>
      <w:pPr>
        <w:tabs>
          <w:tab w:val="num" w:pos="5037"/>
        </w:tabs>
        <w:ind w:left="5037" w:hanging="360"/>
      </w:pPr>
    </w:lvl>
    <w:lvl w:ilvl="7" w:tplc="0C090019" w:tentative="1">
      <w:start w:val="1"/>
      <w:numFmt w:val="lowerLetter"/>
      <w:lvlText w:val="%8."/>
      <w:lvlJc w:val="left"/>
      <w:pPr>
        <w:tabs>
          <w:tab w:val="num" w:pos="5757"/>
        </w:tabs>
        <w:ind w:left="5757" w:hanging="360"/>
      </w:pPr>
    </w:lvl>
    <w:lvl w:ilvl="8" w:tplc="0C09001B" w:tentative="1">
      <w:start w:val="1"/>
      <w:numFmt w:val="lowerRoman"/>
      <w:lvlText w:val="%9."/>
      <w:lvlJc w:val="right"/>
      <w:pPr>
        <w:tabs>
          <w:tab w:val="num" w:pos="6477"/>
        </w:tabs>
        <w:ind w:left="6477" w:hanging="180"/>
      </w:pPr>
    </w:lvl>
  </w:abstractNum>
  <w:abstractNum w:abstractNumId="121" w15:restartNumberingAfterBreak="0">
    <w:nsid w:val="7A876E9A"/>
    <w:multiLevelType w:val="multilevel"/>
    <w:tmpl w:val="C37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BC17483"/>
    <w:multiLevelType w:val="multilevel"/>
    <w:tmpl w:val="F898754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7C4820AF"/>
    <w:multiLevelType w:val="hybridMultilevel"/>
    <w:tmpl w:val="199857A8"/>
    <w:lvl w:ilvl="0" w:tplc="D6806E6C">
      <w:start w:val="1"/>
      <w:numFmt w:val="lowerRoman"/>
      <w:lvlText w:val="%1."/>
      <w:lvlJc w:val="left"/>
      <w:pPr>
        <w:tabs>
          <w:tab w:val="num" w:pos="1083"/>
        </w:tabs>
        <w:ind w:left="720" w:hanging="35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4" w15:restartNumberingAfterBreak="0">
    <w:nsid w:val="7E914F9B"/>
    <w:multiLevelType w:val="hybridMultilevel"/>
    <w:tmpl w:val="537C4BB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5" w15:restartNumberingAfterBreak="0">
    <w:nsid w:val="7F900781"/>
    <w:multiLevelType w:val="hybridMultilevel"/>
    <w:tmpl w:val="FC749922"/>
    <w:lvl w:ilvl="0" w:tplc="1DD4A9DC">
      <w:start w:val="1"/>
      <w:numFmt w:val="lowerLetter"/>
      <w:lvlText w:val="%1."/>
      <w:lvlJc w:val="left"/>
      <w:pPr>
        <w:ind w:left="72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FB21B0D"/>
    <w:multiLevelType w:val="hybridMultilevel"/>
    <w:tmpl w:val="EDEE50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272085749">
    <w:abstractNumId w:val="41"/>
  </w:num>
  <w:num w:numId="2" w16cid:durableId="537427637">
    <w:abstractNumId w:val="46"/>
  </w:num>
  <w:num w:numId="3" w16cid:durableId="1157919316">
    <w:abstractNumId w:val="54"/>
  </w:num>
  <w:num w:numId="4" w16cid:durableId="1581449325">
    <w:abstractNumId w:val="114"/>
  </w:num>
  <w:num w:numId="5" w16cid:durableId="1341274011">
    <w:abstractNumId w:val="52"/>
  </w:num>
  <w:num w:numId="6" w16cid:durableId="54547052">
    <w:abstractNumId w:val="43"/>
  </w:num>
  <w:num w:numId="7" w16cid:durableId="780146371">
    <w:abstractNumId w:val="17"/>
  </w:num>
  <w:num w:numId="8" w16cid:durableId="1993095879">
    <w:abstractNumId w:val="77"/>
  </w:num>
  <w:num w:numId="9" w16cid:durableId="1268655812">
    <w:abstractNumId w:val="71"/>
  </w:num>
  <w:num w:numId="10" w16cid:durableId="618535251">
    <w:abstractNumId w:val="86"/>
  </w:num>
  <w:num w:numId="11" w16cid:durableId="1700626281">
    <w:abstractNumId w:val="18"/>
  </w:num>
  <w:num w:numId="12" w16cid:durableId="1844079464">
    <w:abstractNumId w:val="21"/>
  </w:num>
  <w:num w:numId="13" w16cid:durableId="1518351421">
    <w:abstractNumId w:val="38"/>
  </w:num>
  <w:num w:numId="14" w16cid:durableId="120658375">
    <w:abstractNumId w:val="109"/>
  </w:num>
  <w:num w:numId="15" w16cid:durableId="2010325439">
    <w:abstractNumId w:val="35"/>
  </w:num>
  <w:num w:numId="16" w16cid:durableId="1698309263">
    <w:abstractNumId w:val="24"/>
  </w:num>
  <w:num w:numId="17" w16cid:durableId="1587110854">
    <w:abstractNumId w:val="0"/>
  </w:num>
  <w:num w:numId="18" w16cid:durableId="292832713">
    <w:abstractNumId w:val="124"/>
  </w:num>
  <w:num w:numId="19" w16cid:durableId="494683296">
    <w:abstractNumId w:val="49"/>
  </w:num>
  <w:num w:numId="20" w16cid:durableId="234169626">
    <w:abstractNumId w:val="99"/>
  </w:num>
  <w:num w:numId="21" w16cid:durableId="418989168">
    <w:abstractNumId w:val="111"/>
  </w:num>
  <w:num w:numId="22" w16cid:durableId="1700157453">
    <w:abstractNumId w:val="102"/>
  </w:num>
  <w:num w:numId="23" w16cid:durableId="1423451149">
    <w:abstractNumId w:val="87"/>
  </w:num>
  <w:num w:numId="24" w16cid:durableId="1999267889">
    <w:abstractNumId w:val="73"/>
  </w:num>
  <w:num w:numId="25" w16cid:durableId="2133207479">
    <w:abstractNumId w:val="106"/>
  </w:num>
  <w:num w:numId="26" w16cid:durableId="2096172206">
    <w:abstractNumId w:val="5"/>
  </w:num>
  <w:num w:numId="27" w16cid:durableId="1047143516">
    <w:abstractNumId w:val="40"/>
  </w:num>
  <w:num w:numId="28" w16cid:durableId="1117526697">
    <w:abstractNumId w:val="62"/>
  </w:num>
  <w:num w:numId="29" w16cid:durableId="1632327283">
    <w:abstractNumId w:val="59"/>
  </w:num>
  <w:num w:numId="30" w16cid:durableId="99036178">
    <w:abstractNumId w:val="51"/>
  </w:num>
  <w:num w:numId="31" w16cid:durableId="1670214916">
    <w:abstractNumId w:val="12"/>
  </w:num>
  <w:num w:numId="32" w16cid:durableId="1279407397">
    <w:abstractNumId w:val="113"/>
  </w:num>
  <w:num w:numId="33" w16cid:durableId="693533085">
    <w:abstractNumId w:val="44"/>
  </w:num>
  <w:num w:numId="34" w16cid:durableId="1284537955">
    <w:abstractNumId w:val="123"/>
  </w:num>
  <w:num w:numId="35" w16cid:durableId="117071711">
    <w:abstractNumId w:val="96"/>
  </w:num>
  <w:num w:numId="36" w16cid:durableId="1905484697">
    <w:abstractNumId w:val="78"/>
  </w:num>
  <w:num w:numId="37" w16cid:durableId="381365331">
    <w:abstractNumId w:val="120"/>
  </w:num>
  <w:num w:numId="38" w16cid:durableId="1525972204">
    <w:abstractNumId w:val="4"/>
  </w:num>
  <w:num w:numId="39" w16cid:durableId="228613177">
    <w:abstractNumId w:val="126"/>
  </w:num>
  <w:num w:numId="40" w16cid:durableId="1463384338">
    <w:abstractNumId w:val="80"/>
  </w:num>
  <w:num w:numId="41" w16cid:durableId="868877733">
    <w:abstractNumId w:val="2"/>
  </w:num>
  <w:num w:numId="42" w16cid:durableId="1901670395">
    <w:abstractNumId w:val="57"/>
  </w:num>
  <w:num w:numId="43" w16cid:durableId="261305108">
    <w:abstractNumId w:val="92"/>
  </w:num>
  <w:num w:numId="44" w16cid:durableId="1957787955">
    <w:abstractNumId w:val="11"/>
  </w:num>
  <w:num w:numId="45" w16cid:durableId="575020010">
    <w:abstractNumId w:val="25"/>
  </w:num>
  <w:num w:numId="46" w16cid:durableId="802380934">
    <w:abstractNumId w:val="101"/>
  </w:num>
  <w:num w:numId="47" w16cid:durableId="136920619">
    <w:abstractNumId w:val="34"/>
  </w:num>
  <w:num w:numId="48" w16cid:durableId="1931431766">
    <w:abstractNumId w:val="98"/>
  </w:num>
  <w:num w:numId="49" w16cid:durableId="1016493323">
    <w:abstractNumId w:val="60"/>
  </w:num>
  <w:num w:numId="50" w16cid:durableId="1545554178">
    <w:abstractNumId w:val="115"/>
  </w:num>
  <w:num w:numId="51" w16cid:durableId="1645816857">
    <w:abstractNumId w:val="117"/>
  </w:num>
  <w:num w:numId="52" w16cid:durableId="1668900009">
    <w:abstractNumId w:val="100"/>
  </w:num>
  <w:num w:numId="53" w16cid:durableId="1359507875">
    <w:abstractNumId w:val="6"/>
  </w:num>
  <w:num w:numId="54" w16cid:durableId="482046512">
    <w:abstractNumId w:val="84"/>
  </w:num>
  <w:num w:numId="55" w16cid:durableId="905457583">
    <w:abstractNumId w:val="95"/>
  </w:num>
  <w:num w:numId="56" w16cid:durableId="301422969">
    <w:abstractNumId w:val="89"/>
  </w:num>
  <w:num w:numId="57" w16cid:durableId="280309859">
    <w:abstractNumId w:val="30"/>
  </w:num>
  <w:num w:numId="58" w16cid:durableId="556938741">
    <w:abstractNumId w:val="16"/>
  </w:num>
  <w:num w:numId="59" w16cid:durableId="1711564744">
    <w:abstractNumId w:val="66"/>
  </w:num>
  <w:num w:numId="60" w16cid:durableId="1048846092">
    <w:abstractNumId w:val="56"/>
  </w:num>
  <w:num w:numId="61" w16cid:durableId="49380131">
    <w:abstractNumId w:val="93"/>
  </w:num>
  <w:num w:numId="62" w16cid:durableId="689835664">
    <w:abstractNumId w:val="125"/>
  </w:num>
  <w:num w:numId="63" w16cid:durableId="667710506">
    <w:abstractNumId w:val="55"/>
  </w:num>
  <w:num w:numId="64" w16cid:durableId="1087310743">
    <w:abstractNumId w:val="85"/>
  </w:num>
  <w:num w:numId="65" w16cid:durableId="790125729">
    <w:abstractNumId w:val="15"/>
  </w:num>
  <w:num w:numId="66" w16cid:durableId="2133860611">
    <w:abstractNumId w:val="13"/>
  </w:num>
  <w:num w:numId="67" w16cid:durableId="1236207145">
    <w:abstractNumId w:val="10"/>
  </w:num>
  <w:num w:numId="68" w16cid:durableId="448403718">
    <w:abstractNumId w:val="119"/>
  </w:num>
  <w:num w:numId="69" w16cid:durableId="35395417">
    <w:abstractNumId w:val="74"/>
  </w:num>
  <w:num w:numId="70" w16cid:durableId="1421755513">
    <w:abstractNumId w:val="104"/>
  </w:num>
  <w:num w:numId="71" w16cid:durableId="1958832005">
    <w:abstractNumId w:val="14"/>
  </w:num>
  <w:num w:numId="72" w16cid:durableId="52581302">
    <w:abstractNumId w:val="90"/>
  </w:num>
  <w:num w:numId="73" w16cid:durableId="2054308320">
    <w:abstractNumId w:val="97"/>
  </w:num>
  <w:num w:numId="74" w16cid:durableId="481964812">
    <w:abstractNumId w:val="8"/>
  </w:num>
  <w:num w:numId="75" w16cid:durableId="763691135">
    <w:abstractNumId w:val="50"/>
  </w:num>
  <w:num w:numId="76" w16cid:durableId="1036151799">
    <w:abstractNumId w:val="79"/>
  </w:num>
  <w:num w:numId="77" w16cid:durableId="453333730">
    <w:abstractNumId w:val="29"/>
  </w:num>
  <w:num w:numId="78" w16cid:durableId="1576547952">
    <w:abstractNumId w:val="112"/>
  </w:num>
  <w:num w:numId="79" w16cid:durableId="1748110429">
    <w:abstractNumId w:val="31"/>
  </w:num>
  <w:num w:numId="80" w16cid:durableId="803814925">
    <w:abstractNumId w:val="42"/>
  </w:num>
  <w:num w:numId="81" w16cid:durableId="1300064451">
    <w:abstractNumId w:val="82"/>
  </w:num>
  <w:num w:numId="82" w16cid:durableId="1895893107">
    <w:abstractNumId w:val="64"/>
  </w:num>
  <w:num w:numId="83" w16cid:durableId="968172983">
    <w:abstractNumId w:val="19"/>
  </w:num>
  <w:num w:numId="84" w16cid:durableId="1380207717">
    <w:abstractNumId w:val="7"/>
  </w:num>
  <w:num w:numId="85" w16cid:durableId="1311052918">
    <w:abstractNumId w:val="45"/>
  </w:num>
  <w:num w:numId="86" w16cid:durableId="1422990538">
    <w:abstractNumId w:val="116"/>
  </w:num>
  <w:num w:numId="87" w16cid:durableId="58209345">
    <w:abstractNumId w:val="9"/>
  </w:num>
  <w:num w:numId="88" w16cid:durableId="874273156">
    <w:abstractNumId w:val="94"/>
  </w:num>
  <w:num w:numId="89" w16cid:durableId="663584382">
    <w:abstractNumId w:val="122"/>
  </w:num>
  <w:num w:numId="90" w16cid:durableId="790051573">
    <w:abstractNumId w:val="1"/>
  </w:num>
  <w:num w:numId="91" w16cid:durableId="389427764">
    <w:abstractNumId w:val="39"/>
  </w:num>
  <w:num w:numId="92" w16cid:durableId="2003122254">
    <w:abstractNumId w:val="33"/>
  </w:num>
  <w:num w:numId="93" w16cid:durableId="1999570327">
    <w:abstractNumId w:val="110"/>
  </w:num>
  <w:num w:numId="94" w16cid:durableId="2083717164">
    <w:abstractNumId w:val="83"/>
  </w:num>
  <w:num w:numId="95" w16cid:durableId="966592980">
    <w:abstractNumId w:val="70"/>
  </w:num>
  <w:num w:numId="96" w16cid:durableId="323974106">
    <w:abstractNumId w:val="65"/>
  </w:num>
  <w:num w:numId="97" w16cid:durableId="2135512958">
    <w:abstractNumId w:val="67"/>
  </w:num>
  <w:num w:numId="98" w16cid:durableId="681318380">
    <w:abstractNumId w:val="121"/>
  </w:num>
  <w:num w:numId="99" w16cid:durableId="2132939690">
    <w:abstractNumId w:val="23"/>
  </w:num>
  <w:num w:numId="100" w16cid:durableId="412556041">
    <w:abstractNumId w:val="63"/>
  </w:num>
  <w:num w:numId="101" w16cid:durableId="1418867413">
    <w:abstractNumId w:val="91"/>
  </w:num>
  <w:num w:numId="102" w16cid:durableId="1208838747">
    <w:abstractNumId w:val="105"/>
  </w:num>
  <w:num w:numId="103" w16cid:durableId="1898273572">
    <w:abstractNumId w:val="88"/>
  </w:num>
  <w:num w:numId="104" w16cid:durableId="1080634378">
    <w:abstractNumId w:val="103"/>
  </w:num>
  <w:num w:numId="105" w16cid:durableId="1339428189">
    <w:abstractNumId w:val="75"/>
  </w:num>
  <w:num w:numId="106" w16cid:durableId="1579249031">
    <w:abstractNumId w:val="53"/>
  </w:num>
  <w:num w:numId="107" w16cid:durableId="495996467">
    <w:abstractNumId w:val="22"/>
  </w:num>
  <w:num w:numId="108" w16cid:durableId="806319355">
    <w:abstractNumId w:val="47"/>
  </w:num>
  <w:num w:numId="109" w16cid:durableId="561065825">
    <w:abstractNumId w:val="3"/>
  </w:num>
  <w:num w:numId="110" w16cid:durableId="179469769">
    <w:abstractNumId w:val="81"/>
  </w:num>
  <w:num w:numId="111" w16cid:durableId="962347169">
    <w:abstractNumId w:val="68"/>
  </w:num>
  <w:num w:numId="112" w16cid:durableId="348874723">
    <w:abstractNumId w:val="76"/>
  </w:num>
  <w:num w:numId="113" w16cid:durableId="1116830511">
    <w:abstractNumId w:val="118"/>
  </w:num>
  <w:num w:numId="114" w16cid:durableId="2144885653">
    <w:abstractNumId w:val="32"/>
  </w:num>
  <w:num w:numId="115" w16cid:durableId="965157553">
    <w:abstractNumId w:val="61"/>
  </w:num>
  <w:num w:numId="116" w16cid:durableId="1899365878">
    <w:abstractNumId w:val="72"/>
  </w:num>
  <w:num w:numId="117" w16cid:durableId="1091927717">
    <w:abstractNumId w:val="69"/>
  </w:num>
  <w:num w:numId="118" w16cid:durableId="1522356593">
    <w:abstractNumId w:val="28"/>
  </w:num>
  <w:num w:numId="119" w16cid:durableId="1047218758">
    <w:abstractNumId w:val="48"/>
  </w:num>
  <w:num w:numId="120" w16cid:durableId="1194076461">
    <w:abstractNumId w:val="36"/>
  </w:num>
  <w:num w:numId="121" w16cid:durableId="1725711695">
    <w:abstractNumId w:val="27"/>
  </w:num>
  <w:num w:numId="122" w16cid:durableId="1576817508">
    <w:abstractNumId w:val="58"/>
  </w:num>
  <w:num w:numId="123" w16cid:durableId="1355419295">
    <w:abstractNumId w:val="108"/>
  </w:num>
  <w:num w:numId="124" w16cid:durableId="1813135834">
    <w:abstractNumId w:val="37"/>
  </w:num>
  <w:num w:numId="125" w16cid:durableId="2077966995">
    <w:abstractNumId w:val="107"/>
  </w:num>
  <w:num w:numId="126" w16cid:durableId="33969615">
    <w:abstractNumId w:val="26"/>
  </w:num>
  <w:num w:numId="127" w16cid:durableId="842090113">
    <w:abstractNumId w:val="2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characterSpacingControl w:val="doNotCompress"/>
  <w:hdrShapeDefaults>
    <o:shapedefaults v:ext="edit" spidmax="2050">
      <o:colormru v:ext="edit" colors="white,#036,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81"/>
    <w:rsid w:val="00000D28"/>
    <w:rsid w:val="00001F41"/>
    <w:rsid w:val="000042F8"/>
    <w:rsid w:val="00005B83"/>
    <w:rsid w:val="00005E9C"/>
    <w:rsid w:val="00006C35"/>
    <w:rsid w:val="0000786E"/>
    <w:rsid w:val="00007B1E"/>
    <w:rsid w:val="00007F00"/>
    <w:rsid w:val="00010480"/>
    <w:rsid w:val="00010C54"/>
    <w:rsid w:val="00011E27"/>
    <w:rsid w:val="00012D1B"/>
    <w:rsid w:val="00013698"/>
    <w:rsid w:val="00013E4C"/>
    <w:rsid w:val="00013EC4"/>
    <w:rsid w:val="000142BA"/>
    <w:rsid w:val="000151FB"/>
    <w:rsid w:val="00015C77"/>
    <w:rsid w:val="00021C71"/>
    <w:rsid w:val="00022424"/>
    <w:rsid w:val="00022F17"/>
    <w:rsid w:val="00023685"/>
    <w:rsid w:val="00023781"/>
    <w:rsid w:val="00023849"/>
    <w:rsid w:val="0002387D"/>
    <w:rsid w:val="000244BD"/>
    <w:rsid w:val="00024CAF"/>
    <w:rsid w:val="0002583E"/>
    <w:rsid w:val="00026072"/>
    <w:rsid w:val="0002608B"/>
    <w:rsid w:val="00026393"/>
    <w:rsid w:val="00026E60"/>
    <w:rsid w:val="0003013B"/>
    <w:rsid w:val="00030C47"/>
    <w:rsid w:val="00030E96"/>
    <w:rsid w:val="00030EFF"/>
    <w:rsid w:val="0003107A"/>
    <w:rsid w:val="00031B60"/>
    <w:rsid w:val="00032E6E"/>
    <w:rsid w:val="00032ED5"/>
    <w:rsid w:val="00033D59"/>
    <w:rsid w:val="00034616"/>
    <w:rsid w:val="00034F11"/>
    <w:rsid w:val="00035B01"/>
    <w:rsid w:val="00035BE4"/>
    <w:rsid w:val="0003601C"/>
    <w:rsid w:val="00036A6F"/>
    <w:rsid w:val="00037AAE"/>
    <w:rsid w:val="00040296"/>
    <w:rsid w:val="000402B6"/>
    <w:rsid w:val="000402DA"/>
    <w:rsid w:val="000403D3"/>
    <w:rsid w:val="000407FE"/>
    <w:rsid w:val="00040D08"/>
    <w:rsid w:val="000420E0"/>
    <w:rsid w:val="00043E5F"/>
    <w:rsid w:val="0004455B"/>
    <w:rsid w:val="0004476D"/>
    <w:rsid w:val="0004634A"/>
    <w:rsid w:val="00046C07"/>
    <w:rsid w:val="00047FBE"/>
    <w:rsid w:val="00050C36"/>
    <w:rsid w:val="0005349D"/>
    <w:rsid w:val="000547DB"/>
    <w:rsid w:val="000556AF"/>
    <w:rsid w:val="00056D8F"/>
    <w:rsid w:val="0005775A"/>
    <w:rsid w:val="00057B61"/>
    <w:rsid w:val="000609E5"/>
    <w:rsid w:val="000619EC"/>
    <w:rsid w:val="00061CF0"/>
    <w:rsid w:val="00061DAE"/>
    <w:rsid w:val="000620FA"/>
    <w:rsid w:val="00062432"/>
    <w:rsid w:val="000626D1"/>
    <w:rsid w:val="00062A4F"/>
    <w:rsid w:val="00063C71"/>
    <w:rsid w:val="0006527A"/>
    <w:rsid w:val="0006530A"/>
    <w:rsid w:val="00066867"/>
    <w:rsid w:val="000670D4"/>
    <w:rsid w:val="00067B8C"/>
    <w:rsid w:val="000711AB"/>
    <w:rsid w:val="00071E02"/>
    <w:rsid w:val="000730EB"/>
    <w:rsid w:val="000737BF"/>
    <w:rsid w:val="00076222"/>
    <w:rsid w:val="000770AB"/>
    <w:rsid w:val="00080420"/>
    <w:rsid w:val="00080B97"/>
    <w:rsid w:val="00081714"/>
    <w:rsid w:val="00081D5A"/>
    <w:rsid w:val="00082A5E"/>
    <w:rsid w:val="00083FF8"/>
    <w:rsid w:val="000841DD"/>
    <w:rsid w:val="00084EDE"/>
    <w:rsid w:val="0008501B"/>
    <w:rsid w:val="00085234"/>
    <w:rsid w:val="00085C8B"/>
    <w:rsid w:val="00086A15"/>
    <w:rsid w:val="00087D51"/>
    <w:rsid w:val="000922DB"/>
    <w:rsid w:val="00092677"/>
    <w:rsid w:val="0009299C"/>
    <w:rsid w:val="00093501"/>
    <w:rsid w:val="00093EB1"/>
    <w:rsid w:val="00095B7A"/>
    <w:rsid w:val="0009755F"/>
    <w:rsid w:val="0009779A"/>
    <w:rsid w:val="00097A0B"/>
    <w:rsid w:val="00097C38"/>
    <w:rsid w:val="00097FAC"/>
    <w:rsid w:val="000A1E13"/>
    <w:rsid w:val="000A23AC"/>
    <w:rsid w:val="000A26DC"/>
    <w:rsid w:val="000A36D8"/>
    <w:rsid w:val="000A38F6"/>
    <w:rsid w:val="000A3A77"/>
    <w:rsid w:val="000A4419"/>
    <w:rsid w:val="000A4830"/>
    <w:rsid w:val="000A52CA"/>
    <w:rsid w:val="000A5CEC"/>
    <w:rsid w:val="000A63AA"/>
    <w:rsid w:val="000A7107"/>
    <w:rsid w:val="000A7139"/>
    <w:rsid w:val="000A747C"/>
    <w:rsid w:val="000A77E8"/>
    <w:rsid w:val="000A7BD0"/>
    <w:rsid w:val="000B0333"/>
    <w:rsid w:val="000B08A2"/>
    <w:rsid w:val="000B10C0"/>
    <w:rsid w:val="000B1850"/>
    <w:rsid w:val="000B1BC5"/>
    <w:rsid w:val="000B2C51"/>
    <w:rsid w:val="000B2E56"/>
    <w:rsid w:val="000B4173"/>
    <w:rsid w:val="000B556B"/>
    <w:rsid w:val="000B5D08"/>
    <w:rsid w:val="000B5FAA"/>
    <w:rsid w:val="000B658C"/>
    <w:rsid w:val="000B6A6D"/>
    <w:rsid w:val="000B6B24"/>
    <w:rsid w:val="000B702A"/>
    <w:rsid w:val="000B72C2"/>
    <w:rsid w:val="000B759F"/>
    <w:rsid w:val="000B762E"/>
    <w:rsid w:val="000C0319"/>
    <w:rsid w:val="000C120E"/>
    <w:rsid w:val="000C259D"/>
    <w:rsid w:val="000C3AB4"/>
    <w:rsid w:val="000C3CF5"/>
    <w:rsid w:val="000C3E4C"/>
    <w:rsid w:val="000C3FC5"/>
    <w:rsid w:val="000C47EE"/>
    <w:rsid w:val="000C49FD"/>
    <w:rsid w:val="000C54CD"/>
    <w:rsid w:val="000D0B7B"/>
    <w:rsid w:val="000D118D"/>
    <w:rsid w:val="000D1A4A"/>
    <w:rsid w:val="000D20BA"/>
    <w:rsid w:val="000D2D81"/>
    <w:rsid w:val="000D303C"/>
    <w:rsid w:val="000D3252"/>
    <w:rsid w:val="000D35D1"/>
    <w:rsid w:val="000D3DF2"/>
    <w:rsid w:val="000D47D1"/>
    <w:rsid w:val="000D52F1"/>
    <w:rsid w:val="000D5DA7"/>
    <w:rsid w:val="000D65DE"/>
    <w:rsid w:val="000D682D"/>
    <w:rsid w:val="000D7389"/>
    <w:rsid w:val="000E07BF"/>
    <w:rsid w:val="000E08BD"/>
    <w:rsid w:val="000E0F91"/>
    <w:rsid w:val="000E1381"/>
    <w:rsid w:val="000E260E"/>
    <w:rsid w:val="000E3BD9"/>
    <w:rsid w:val="000E481B"/>
    <w:rsid w:val="000E530E"/>
    <w:rsid w:val="000E5E7E"/>
    <w:rsid w:val="000E6292"/>
    <w:rsid w:val="000E6FBD"/>
    <w:rsid w:val="000E7063"/>
    <w:rsid w:val="000E7138"/>
    <w:rsid w:val="000E7640"/>
    <w:rsid w:val="000E7A31"/>
    <w:rsid w:val="000F13CB"/>
    <w:rsid w:val="000F226D"/>
    <w:rsid w:val="000F24E5"/>
    <w:rsid w:val="000F27BB"/>
    <w:rsid w:val="000F4CD8"/>
    <w:rsid w:val="000F5059"/>
    <w:rsid w:val="000F5CC6"/>
    <w:rsid w:val="000F5D4E"/>
    <w:rsid w:val="000F5EE9"/>
    <w:rsid w:val="000F6283"/>
    <w:rsid w:val="000F78EA"/>
    <w:rsid w:val="0010064F"/>
    <w:rsid w:val="00100777"/>
    <w:rsid w:val="0010092D"/>
    <w:rsid w:val="001018B4"/>
    <w:rsid w:val="001018E5"/>
    <w:rsid w:val="00102E30"/>
    <w:rsid w:val="00102E8E"/>
    <w:rsid w:val="00103F02"/>
    <w:rsid w:val="001040F9"/>
    <w:rsid w:val="00106D3A"/>
    <w:rsid w:val="00107B64"/>
    <w:rsid w:val="0011018E"/>
    <w:rsid w:val="00110B6F"/>
    <w:rsid w:val="00111111"/>
    <w:rsid w:val="00112297"/>
    <w:rsid w:val="00112373"/>
    <w:rsid w:val="00112E2B"/>
    <w:rsid w:val="00114761"/>
    <w:rsid w:val="001149D7"/>
    <w:rsid w:val="00114DE8"/>
    <w:rsid w:val="001152F2"/>
    <w:rsid w:val="00115736"/>
    <w:rsid w:val="001167B3"/>
    <w:rsid w:val="00116AA0"/>
    <w:rsid w:val="00117119"/>
    <w:rsid w:val="001202B2"/>
    <w:rsid w:val="001202C2"/>
    <w:rsid w:val="00120454"/>
    <w:rsid w:val="0012075C"/>
    <w:rsid w:val="00120B81"/>
    <w:rsid w:val="00121D44"/>
    <w:rsid w:val="00122549"/>
    <w:rsid w:val="00122A0D"/>
    <w:rsid w:val="00122C59"/>
    <w:rsid w:val="001236B0"/>
    <w:rsid w:val="00123D44"/>
    <w:rsid w:val="00124A2A"/>
    <w:rsid w:val="00130C0F"/>
    <w:rsid w:val="00130E82"/>
    <w:rsid w:val="00131949"/>
    <w:rsid w:val="00131AC5"/>
    <w:rsid w:val="00132504"/>
    <w:rsid w:val="00132E50"/>
    <w:rsid w:val="00132F1C"/>
    <w:rsid w:val="00135B61"/>
    <w:rsid w:val="001372BD"/>
    <w:rsid w:val="001373A1"/>
    <w:rsid w:val="00137C50"/>
    <w:rsid w:val="001400C9"/>
    <w:rsid w:val="0014086F"/>
    <w:rsid w:val="00140FA4"/>
    <w:rsid w:val="001411EC"/>
    <w:rsid w:val="001411F9"/>
    <w:rsid w:val="001413E6"/>
    <w:rsid w:val="0014199B"/>
    <w:rsid w:val="001423D9"/>
    <w:rsid w:val="00142D55"/>
    <w:rsid w:val="0014387F"/>
    <w:rsid w:val="00144AFD"/>
    <w:rsid w:val="00150328"/>
    <w:rsid w:val="0015101B"/>
    <w:rsid w:val="00151B2E"/>
    <w:rsid w:val="00151F5D"/>
    <w:rsid w:val="001521E7"/>
    <w:rsid w:val="001533B1"/>
    <w:rsid w:val="00153B35"/>
    <w:rsid w:val="0015410E"/>
    <w:rsid w:val="001544BF"/>
    <w:rsid w:val="0015616F"/>
    <w:rsid w:val="00156362"/>
    <w:rsid w:val="0015795E"/>
    <w:rsid w:val="00160008"/>
    <w:rsid w:val="001604BA"/>
    <w:rsid w:val="0016069D"/>
    <w:rsid w:val="00160EB1"/>
    <w:rsid w:val="00161AA0"/>
    <w:rsid w:val="001634E5"/>
    <w:rsid w:val="00163791"/>
    <w:rsid w:val="00163A4A"/>
    <w:rsid w:val="00163DB6"/>
    <w:rsid w:val="00164C09"/>
    <w:rsid w:val="00166173"/>
    <w:rsid w:val="00166488"/>
    <w:rsid w:val="00166C52"/>
    <w:rsid w:val="0016757A"/>
    <w:rsid w:val="00170DA8"/>
    <w:rsid w:val="001726EF"/>
    <w:rsid w:val="0017414B"/>
    <w:rsid w:val="00175178"/>
    <w:rsid w:val="00175272"/>
    <w:rsid w:val="00175CDD"/>
    <w:rsid w:val="00176C77"/>
    <w:rsid w:val="00177067"/>
    <w:rsid w:val="00181BB3"/>
    <w:rsid w:val="00182678"/>
    <w:rsid w:val="00183039"/>
    <w:rsid w:val="00184943"/>
    <w:rsid w:val="00184EDB"/>
    <w:rsid w:val="00185CC3"/>
    <w:rsid w:val="001870BB"/>
    <w:rsid w:val="00190850"/>
    <w:rsid w:val="00192251"/>
    <w:rsid w:val="001926BE"/>
    <w:rsid w:val="00193618"/>
    <w:rsid w:val="00193BF2"/>
    <w:rsid w:val="001955C6"/>
    <w:rsid w:val="00196254"/>
    <w:rsid w:val="001966B1"/>
    <w:rsid w:val="001A06D3"/>
    <w:rsid w:val="001A1705"/>
    <w:rsid w:val="001A3C5B"/>
    <w:rsid w:val="001A4C03"/>
    <w:rsid w:val="001A5C38"/>
    <w:rsid w:val="001A62B0"/>
    <w:rsid w:val="001A647B"/>
    <w:rsid w:val="001A66E0"/>
    <w:rsid w:val="001A6DE4"/>
    <w:rsid w:val="001A70CF"/>
    <w:rsid w:val="001A70FC"/>
    <w:rsid w:val="001A7C46"/>
    <w:rsid w:val="001B003A"/>
    <w:rsid w:val="001B04CC"/>
    <w:rsid w:val="001B05E1"/>
    <w:rsid w:val="001B0B3F"/>
    <w:rsid w:val="001B14AB"/>
    <w:rsid w:val="001B168F"/>
    <w:rsid w:val="001B348E"/>
    <w:rsid w:val="001B4618"/>
    <w:rsid w:val="001B734E"/>
    <w:rsid w:val="001B76F2"/>
    <w:rsid w:val="001C0CAE"/>
    <w:rsid w:val="001C101D"/>
    <w:rsid w:val="001C16BF"/>
    <w:rsid w:val="001C277C"/>
    <w:rsid w:val="001C3CD9"/>
    <w:rsid w:val="001C4AF4"/>
    <w:rsid w:val="001C508D"/>
    <w:rsid w:val="001C50AF"/>
    <w:rsid w:val="001C5268"/>
    <w:rsid w:val="001C536D"/>
    <w:rsid w:val="001C645E"/>
    <w:rsid w:val="001C67E6"/>
    <w:rsid w:val="001D0634"/>
    <w:rsid w:val="001D0A37"/>
    <w:rsid w:val="001D0D1F"/>
    <w:rsid w:val="001D1CD9"/>
    <w:rsid w:val="001D204F"/>
    <w:rsid w:val="001D2A19"/>
    <w:rsid w:val="001D3F93"/>
    <w:rsid w:val="001D42F1"/>
    <w:rsid w:val="001D43CC"/>
    <w:rsid w:val="001D5F56"/>
    <w:rsid w:val="001D67B9"/>
    <w:rsid w:val="001D67F1"/>
    <w:rsid w:val="001D7439"/>
    <w:rsid w:val="001D7D27"/>
    <w:rsid w:val="001E0258"/>
    <w:rsid w:val="001E0633"/>
    <w:rsid w:val="001E0C00"/>
    <w:rsid w:val="001E113D"/>
    <w:rsid w:val="001E355A"/>
    <w:rsid w:val="001E38BA"/>
    <w:rsid w:val="001E40AF"/>
    <w:rsid w:val="001E574F"/>
    <w:rsid w:val="001E5D75"/>
    <w:rsid w:val="001E6910"/>
    <w:rsid w:val="001E7017"/>
    <w:rsid w:val="001E7B33"/>
    <w:rsid w:val="001F016F"/>
    <w:rsid w:val="001F09E6"/>
    <w:rsid w:val="001F1104"/>
    <w:rsid w:val="001F173D"/>
    <w:rsid w:val="001F444B"/>
    <w:rsid w:val="001F48FC"/>
    <w:rsid w:val="001F4A54"/>
    <w:rsid w:val="001F4FF5"/>
    <w:rsid w:val="001F5033"/>
    <w:rsid w:val="001F5784"/>
    <w:rsid w:val="001F6450"/>
    <w:rsid w:val="001F6EA3"/>
    <w:rsid w:val="001F7EDE"/>
    <w:rsid w:val="002005EA"/>
    <w:rsid w:val="00203234"/>
    <w:rsid w:val="00204401"/>
    <w:rsid w:val="00204586"/>
    <w:rsid w:val="00205578"/>
    <w:rsid w:val="0021082E"/>
    <w:rsid w:val="00211E08"/>
    <w:rsid w:val="0021232F"/>
    <w:rsid w:val="00212EE1"/>
    <w:rsid w:val="0021434F"/>
    <w:rsid w:val="00214659"/>
    <w:rsid w:val="002152DF"/>
    <w:rsid w:val="00215923"/>
    <w:rsid w:val="00215BFF"/>
    <w:rsid w:val="0021630D"/>
    <w:rsid w:val="00216B97"/>
    <w:rsid w:val="0021700E"/>
    <w:rsid w:val="00217229"/>
    <w:rsid w:val="00217708"/>
    <w:rsid w:val="0021794E"/>
    <w:rsid w:val="00217C89"/>
    <w:rsid w:val="00217E74"/>
    <w:rsid w:val="00221FA6"/>
    <w:rsid w:val="002221CB"/>
    <w:rsid w:val="002229EE"/>
    <w:rsid w:val="002237AE"/>
    <w:rsid w:val="002239D1"/>
    <w:rsid w:val="00225268"/>
    <w:rsid w:val="00225875"/>
    <w:rsid w:val="00226C41"/>
    <w:rsid w:val="002317B1"/>
    <w:rsid w:val="00231CCE"/>
    <w:rsid w:val="002324D5"/>
    <w:rsid w:val="0023460F"/>
    <w:rsid w:val="00234612"/>
    <w:rsid w:val="00234C9A"/>
    <w:rsid w:val="00235F10"/>
    <w:rsid w:val="00237A4D"/>
    <w:rsid w:val="00237AC3"/>
    <w:rsid w:val="00237ECF"/>
    <w:rsid w:val="002405DC"/>
    <w:rsid w:val="00240B5E"/>
    <w:rsid w:val="0024101A"/>
    <w:rsid w:val="002414BB"/>
    <w:rsid w:val="00241509"/>
    <w:rsid w:val="00241AE0"/>
    <w:rsid w:val="00241BB2"/>
    <w:rsid w:val="00242170"/>
    <w:rsid w:val="002444EA"/>
    <w:rsid w:val="00245BE6"/>
    <w:rsid w:val="00245D7D"/>
    <w:rsid w:val="002469EA"/>
    <w:rsid w:val="00247BF7"/>
    <w:rsid w:val="00247CE5"/>
    <w:rsid w:val="00247F8B"/>
    <w:rsid w:val="002520EE"/>
    <w:rsid w:val="00252F7F"/>
    <w:rsid w:val="0025399B"/>
    <w:rsid w:val="00255040"/>
    <w:rsid w:val="00255826"/>
    <w:rsid w:val="00255AF6"/>
    <w:rsid w:val="00256104"/>
    <w:rsid w:val="002563EE"/>
    <w:rsid w:val="00256834"/>
    <w:rsid w:val="00256A35"/>
    <w:rsid w:val="00256DC5"/>
    <w:rsid w:val="002572B5"/>
    <w:rsid w:val="002573D6"/>
    <w:rsid w:val="0026104F"/>
    <w:rsid w:val="00261DF3"/>
    <w:rsid w:val="00262D84"/>
    <w:rsid w:val="00262E5E"/>
    <w:rsid w:val="002637FD"/>
    <w:rsid w:val="00264FDD"/>
    <w:rsid w:val="00265682"/>
    <w:rsid w:val="0026611B"/>
    <w:rsid w:val="00267046"/>
    <w:rsid w:val="0027027B"/>
    <w:rsid w:val="00272B88"/>
    <w:rsid w:val="00272DD6"/>
    <w:rsid w:val="00272FD2"/>
    <w:rsid w:val="00273798"/>
    <w:rsid w:val="00273AB2"/>
    <w:rsid w:val="0027441A"/>
    <w:rsid w:val="00274B9C"/>
    <w:rsid w:val="00276226"/>
    <w:rsid w:val="00276528"/>
    <w:rsid w:val="00277335"/>
    <w:rsid w:val="002803B1"/>
    <w:rsid w:val="002805B6"/>
    <w:rsid w:val="00281666"/>
    <w:rsid w:val="00281D46"/>
    <w:rsid w:val="00283575"/>
    <w:rsid w:val="0028439F"/>
    <w:rsid w:val="00284783"/>
    <w:rsid w:val="00284BB9"/>
    <w:rsid w:val="00284D02"/>
    <w:rsid w:val="00285A4F"/>
    <w:rsid w:val="00286F0B"/>
    <w:rsid w:val="00287157"/>
    <w:rsid w:val="0028753C"/>
    <w:rsid w:val="0029085F"/>
    <w:rsid w:val="002931F4"/>
    <w:rsid w:val="00294327"/>
    <w:rsid w:val="002946F6"/>
    <w:rsid w:val="00295010"/>
    <w:rsid w:val="00295FFA"/>
    <w:rsid w:val="0029634B"/>
    <w:rsid w:val="002971EF"/>
    <w:rsid w:val="002A0B1E"/>
    <w:rsid w:val="002A193B"/>
    <w:rsid w:val="002A22E3"/>
    <w:rsid w:val="002A2752"/>
    <w:rsid w:val="002A4765"/>
    <w:rsid w:val="002A57E6"/>
    <w:rsid w:val="002A5BE5"/>
    <w:rsid w:val="002A6E16"/>
    <w:rsid w:val="002A72C0"/>
    <w:rsid w:val="002A7DC4"/>
    <w:rsid w:val="002B288C"/>
    <w:rsid w:val="002B2C97"/>
    <w:rsid w:val="002B4757"/>
    <w:rsid w:val="002B4834"/>
    <w:rsid w:val="002B5656"/>
    <w:rsid w:val="002B574E"/>
    <w:rsid w:val="002B604A"/>
    <w:rsid w:val="002B758B"/>
    <w:rsid w:val="002B777C"/>
    <w:rsid w:val="002C08FE"/>
    <w:rsid w:val="002C12A1"/>
    <w:rsid w:val="002C1549"/>
    <w:rsid w:val="002C17CA"/>
    <w:rsid w:val="002C1D45"/>
    <w:rsid w:val="002C31FE"/>
    <w:rsid w:val="002C3464"/>
    <w:rsid w:val="002C5743"/>
    <w:rsid w:val="002C7A96"/>
    <w:rsid w:val="002D0DC0"/>
    <w:rsid w:val="002D0FA8"/>
    <w:rsid w:val="002D15BF"/>
    <w:rsid w:val="002D166A"/>
    <w:rsid w:val="002D1FF3"/>
    <w:rsid w:val="002D22FD"/>
    <w:rsid w:val="002D2474"/>
    <w:rsid w:val="002D43A8"/>
    <w:rsid w:val="002D5500"/>
    <w:rsid w:val="002D558D"/>
    <w:rsid w:val="002D6D75"/>
    <w:rsid w:val="002D7330"/>
    <w:rsid w:val="002D7628"/>
    <w:rsid w:val="002E020C"/>
    <w:rsid w:val="002E0DFE"/>
    <w:rsid w:val="002E0E92"/>
    <w:rsid w:val="002E1B7D"/>
    <w:rsid w:val="002E2492"/>
    <w:rsid w:val="002E24B3"/>
    <w:rsid w:val="002E24DD"/>
    <w:rsid w:val="002E264A"/>
    <w:rsid w:val="002E286D"/>
    <w:rsid w:val="002E3908"/>
    <w:rsid w:val="002E5754"/>
    <w:rsid w:val="002E6172"/>
    <w:rsid w:val="002E62A4"/>
    <w:rsid w:val="002E66CD"/>
    <w:rsid w:val="002E7D28"/>
    <w:rsid w:val="002E7E9D"/>
    <w:rsid w:val="002F0A49"/>
    <w:rsid w:val="002F0CE5"/>
    <w:rsid w:val="002F0F8E"/>
    <w:rsid w:val="002F113C"/>
    <w:rsid w:val="002F2310"/>
    <w:rsid w:val="002F2873"/>
    <w:rsid w:val="002F2EC1"/>
    <w:rsid w:val="002F3870"/>
    <w:rsid w:val="002F3B51"/>
    <w:rsid w:val="002F4B8C"/>
    <w:rsid w:val="002F4D64"/>
    <w:rsid w:val="002F57B0"/>
    <w:rsid w:val="002F5929"/>
    <w:rsid w:val="002F63E2"/>
    <w:rsid w:val="002F707C"/>
    <w:rsid w:val="002F7CE3"/>
    <w:rsid w:val="00300654"/>
    <w:rsid w:val="00301BB1"/>
    <w:rsid w:val="0030237B"/>
    <w:rsid w:val="003023FF"/>
    <w:rsid w:val="00302E60"/>
    <w:rsid w:val="00303766"/>
    <w:rsid w:val="0030413C"/>
    <w:rsid w:val="00304CA6"/>
    <w:rsid w:val="0030515F"/>
    <w:rsid w:val="0030567B"/>
    <w:rsid w:val="0030576F"/>
    <w:rsid w:val="0031041A"/>
    <w:rsid w:val="00310561"/>
    <w:rsid w:val="003106C7"/>
    <w:rsid w:val="0031178E"/>
    <w:rsid w:val="003126C2"/>
    <w:rsid w:val="00312A74"/>
    <w:rsid w:val="00312B72"/>
    <w:rsid w:val="00313096"/>
    <w:rsid w:val="0031379F"/>
    <w:rsid w:val="00314B0B"/>
    <w:rsid w:val="00315586"/>
    <w:rsid w:val="003155E1"/>
    <w:rsid w:val="00315D52"/>
    <w:rsid w:val="003163C9"/>
    <w:rsid w:val="00316C68"/>
    <w:rsid w:val="00316CB2"/>
    <w:rsid w:val="00316CD0"/>
    <w:rsid w:val="0031744F"/>
    <w:rsid w:val="003178FE"/>
    <w:rsid w:val="00320523"/>
    <w:rsid w:val="00320934"/>
    <w:rsid w:val="003215A5"/>
    <w:rsid w:val="003216F3"/>
    <w:rsid w:val="0032173E"/>
    <w:rsid w:val="003218CF"/>
    <w:rsid w:val="0032397C"/>
    <w:rsid w:val="00323B33"/>
    <w:rsid w:val="00323CA3"/>
    <w:rsid w:val="003252C3"/>
    <w:rsid w:val="00326B5A"/>
    <w:rsid w:val="00326D15"/>
    <w:rsid w:val="00327E8D"/>
    <w:rsid w:val="00331F14"/>
    <w:rsid w:val="0033214F"/>
    <w:rsid w:val="003325AD"/>
    <w:rsid w:val="00332929"/>
    <w:rsid w:val="00334C46"/>
    <w:rsid w:val="00335125"/>
    <w:rsid w:val="0033684A"/>
    <w:rsid w:val="003400E4"/>
    <w:rsid w:val="00341C47"/>
    <w:rsid w:val="0034319B"/>
    <w:rsid w:val="003431A4"/>
    <w:rsid w:val="00343788"/>
    <w:rsid w:val="00345649"/>
    <w:rsid w:val="00345F16"/>
    <w:rsid w:val="00347328"/>
    <w:rsid w:val="003501AF"/>
    <w:rsid w:val="00350997"/>
    <w:rsid w:val="00350F3B"/>
    <w:rsid w:val="003517E7"/>
    <w:rsid w:val="00352577"/>
    <w:rsid w:val="00352F6B"/>
    <w:rsid w:val="00353EA4"/>
    <w:rsid w:val="0035421E"/>
    <w:rsid w:val="0035574D"/>
    <w:rsid w:val="003558AE"/>
    <w:rsid w:val="0035654B"/>
    <w:rsid w:val="0035780D"/>
    <w:rsid w:val="00360A4F"/>
    <w:rsid w:val="00361196"/>
    <w:rsid w:val="00361D59"/>
    <w:rsid w:val="003620B4"/>
    <w:rsid w:val="0036326C"/>
    <w:rsid w:val="003633C5"/>
    <w:rsid w:val="00363920"/>
    <w:rsid w:val="003639C5"/>
    <w:rsid w:val="003649FE"/>
    <w:rsid w:val="00365E12"/>
    <w:rsid w:val="00365E63"/>
    <w:rsid w:val="00366055"/>
    <w:rsid w:val="0036761C"/>
    <w:rsid w:val="00367C49"/>
    <w:rsid w:val="00370D20"/>
    <w:rsid w:val="00372242"/>
    <w:rsid w:val="0037276F"/>
    <w:rsid w:val="003748B3"/>
    <w:rsid w:val="00374A41"/>
    <w:rsid w:val="00375E1A"/>
    <w:rsid w:val="00375F2B"/>
    <w:rsid w:val="00376E25"/>
    <w:rsid w:val="00377430"/>
    <w:rsid w:val="00377641"/>
    <w:rsid w:val="00380FA8"/>
    <w:rsid w:val="003810F8"/>
    <w:rsid w:val="003827FB"/>
    <w:rsid w:val="0038372F"/>
    <w:rsid w:val="00383C39"/>
    <w:rsid w:val="00384718"/>
    <w:rsid w:val="00385B99"/>
    <w:rsid w:val="00385ED7"/>
    <w:rsid w:val="00386569"/>
    <w:rsid w:val="003868C1"/>
    <w:rsid w:val="00387412"/>
    <w:rsid w:val="003901CE"/>
    <w:rsid w:val="003908C8"/>
    <w:rsid w:val="00390E49"/>
    <w:rsid w:val="00391E0A"/>
    <w:rsid w:val="00392896"/>
    <w:rsid w:val="0039420D"/>
    <w:rsid w:val="003959CF"/>
    <w:rsid w:val="00397856"/>
    <w:rsid w:val="00397BB2"/>
    <w:rsid w:val="00397F16"/>
    <w:rsid w:val="003A00E5"/>
    <w:rsid w:val="003A03DB"/>
    <w:rsid w:val="003A0888"/>
    <w:rsid w:val="003A0E4A"/>
    <w:rsid w:val="003A13E6"/>
    <w:rsid w:val="003A279C"/>
    <w:rsid w:val="003A4C43"/>
    <w:rsid w:val="003A5277"/>
    <w:rsid w:val="003A58FD"/>
    <w:rsid w:val="003A68FC"/>
    <w:rsid w:val="003A69D1"/>
    <w:rsid w:val="003A7BC5"/>
    <w:rsid w:val="003B040F"/>
    <w:rsid w:val="003B0DD4"/>
    <w:rsid w:val="003B1528"/>
    <w:rsid w:val="003B266F"/>
    <w:rsid w:val="003B2F65"/>
    <w:rsid w:val="003B3DEE"/>
    <w:rsid w:val="003B40AC"/>
    <w:rsid w:val="003B47AB"/>
    <w:rsid w:val="003B4C54"/>
    <w:rsid w:val="003B53AC"/>
    <w:rsid w:val="003B555B"/>
    <w:rsid w:val="003B57E9"/>
    <w:rsid w:val="003B5829"/>
    <w:rsid w:val="003B5C91"/>
    <w:rsid w:val="003B600E"/>
    <w:rsid w:val="003B6EC8"/>
    <w:rsid w:val="003B7A66"/>
    <w:rsid w:val="003C0199"/>
    <w:rsid w:val="003C09B3"/>
    <w:rsid w:val="003C0E6A"/>
    <w:rsid w:val="003C2A37"/>
    <w:rsid w:val="003C4430"/>
    <w:rsid w:val="003C44FB"/>
    <w:rsid w:val="003C4FA5"/>
    <w:rsid w:val="003C545B"/>
    <w:rsid w:val="003C58BE"/>
    <w:rsid w:val="003C6877"/>
    <w:rsid w:val="003C6925"/>
    <w:rsid w:val="003C6F44"/>
    <w:rsid w:val="003C760C"/>
    <w:rsid w:val="003D126A"/>
    <w:rsid w:val="003D2194"/>
    <w:rsid w:val="003D2A7E"/>
    <w:rsid w:val="003D377B"/>
    <w:rsid w:val="003D49A2"/>
    <w:rsid w:val="003D4BCE"/>
    <w:rsid w:val="003D5BB9"/>
    <w:rsid w:val="003D5DFA"/>
    <w:rsid w:val="003D6315"/>
    <w:rsid w:val="003D6604"/>
    <w:rsid w:val="003D6612"/>
    <w:rsid w:val="003D6970"/>
    <w:rsid w:val="003D6D13"/>
    <w:rsid w:val="003D782E"/>
    <w:rsid w:val="003D7C6E"/>
    <w:rsid w:val="003E0D54"/>
    <w:rsid w:val="003E0FD1"/>
    <w:rsid w:val="003E12B3"/>
    <w:rsid w:val="003E1B61"/>
    <w:rsid w:val="003E1D83"/>
    <w:rsid w:val="003E2B31"/>
    <w:rsid w:val="003E3E6C"/>
    <w:rsid w:val="003E411F"/>
    <w:rsid w:val="003E5655"/>
    <w:rsid w:val="003E5CB7"/>
    <w:rsid w:val="003E630C"/>
    <w:rsid w:val="003E7A92"/>
    <w:rsid w:val="003E7D50"/>
    <w:rsid w:val="003E7DEA"/>
    <w:rsid w:val="003F1805"/>
    <w:rsid w:val="003F1B8F"/>
    <w:rsid w:val="003F1FC2"/>
    <w:rsid w:val="003F3B7C"/>
    <w:rsid w:val="003F4F64"/>
    <w:rsid w:val="003F5149"/>
    <w:rsid w:val="003F58BE"/>
    <w:rsid w:val="003F69CC"/>
    <w:rsid w:val="003F7324"/>
    <w:rsid w:val="003F74A9"/>
    <w:rsid w:val="003F7A80"/>
    <w:rsid w:val="003F7DF5"/>
    <w:rsid w:val="0040043D"/>
    <w:rsid w:val="00401A63"/>
    <w:rsid w:val="00403130"/>
    <w:rsid w:val="00403196"/>
    <w:rsid w:val="004035B2"/>
    <w:rsid w:val="00403F1D"/>
    <w:rsid w:val="0040471F"/>
    <w:rsid w:val="00404752"/>
    <w:rsid w:val="00407D0E"/>
    <w:rsid w:val="00411866"/>
    <w:rsid w:val="00411BA1"/>
    <w:rsid w:val="004126CA"/>
    <w:rsid w:val="00412B7F"/>
    <w:rsid w:val="00413A39"/>
    <w:rsid w:val="004141E6"/>
    <w:rsid w:val="004146F9"/>
    <w:rsid w:val="0041519A"/>
    <w:rsid w:val="004162B5"/>
    <w:rsid w:val="00416328"/>
    <w:rsid w:val="00416425"/>
    <w:rsid w:val="00417E90"/>
    <w:rsid w:val="00420450"/>
    <w:rsid w:val="00420BF2"/>
    <w:rsid w:val="00422778"/>
    <w:rsid w:val="00422B51"/>
    <w:rsid w:val="00423E95"/>
    <w:rsid w:val="0042403D"/>
    <w:rsid w:val="00424568"/>
    <w:rsid w:val="00424D39"/>
    <w:rsid w:val="0042505D"/>
    <w:rsid w:val="00425497"/>
    <w:rsid w:val="00425D7E"/>
    <w:rsid w:val="00425E9D"/>
    <w:rsid w:val="004261AF"/>
    <w:rsid w:val="00426392"/>
    <w:rsid w:val="00430345"/>
    <w:rsid w:val="00430652"/>
    <w:rsid w:val="00431CCA"/>
    <w:rsid w:val="004323B2"/>
    <w:rsid w:val="004336D9"/>
    <w:rsid w:val="00433AB4"/>
    <w:rsid w:val="00433B20"/>
    <w:rsid w:val="00436120"/>
    <w:rsid w:val="00436275"/>
    <w:rsid w:val="0043680D"/>
    <w:rsid w:val="00437452"/>
    <w:rsid w:val="00437D4B"/>
    <w:rsid w:val="00440992"/>
    <w:rsid w:val="0044166C"/>
    <w:rsid w:val="0044288C"/>
    <w:rsid w:val="00442DD7"/>
    <w:rsid w:val="004436CC"/>
    <w:rsid w:val="00443CEB"/>
    <w:rsid w:val="00444618"/>
    <w:rsid w:val="0044474B"/>
    <w:rsid w:val="00444A4C"/>
    <w:rsid w:val="00445078"/>
    <w:rsid w:val="004467E1"/>
    <w:rsid w:val="0044683D"/>
    <w:rsid w:val="00446894"/>
    <w:rsid w:val="00447CE9"/>
    <w:rsid w:val="00450669"/>
    <w:rsid w:val="004507A4"/>
    <w:rsid w:val="00450E55"/>
    <w:rsid w:val="004518FB"/>
    <w:rsid w:val="00451D58"/>
    <w:rsid w:val="004531C6"/>
    <w:rsid w:val="004538D2"/>
    <w:rsid w:val="00453A66"/>
    <w:rsid w:val="00453A75"/>
    <w:rsid w:val="00453F5C"/>
    <w:rsid w:val="004541B4"/>
    <w:rsid w:val="00454BD5"/>
    <w:rsid w:val="0045766E"/>
    <w:rsid w:val="00461A78"/>
    <w:rsid w:val="00462246"/>
    <w:rsid w:val="004622A1"/>
    <w:rsid w:val="004623DA"/>
    <w:rsid w:val="00464182"/>
    <w:rsid w:val="004657D0"/>
    <w:rsid w:val="004676AE"/>
    <w:rsid w:val="00467735"/>
    <w:rsid w:val="00467C6C"/>
    <w:rsid w:val="00470229"/>
    <w:rsid w:val="00471EFF"/>
    <w:rsid w:val="00473105"/>
    <w:rsid w:val="004743DB"/>
    <w:rsid w:val="00474B9C"/>
    <w:rsid w:val="004767BE"/>
    <w:rsid w:val="00480369"/>
    <w:rsid w:val="004809F9"/>
    <w:rsid w:val="00480DB1"/>
    <w:rsid w:val="004814C0"/>
    <w:rsid w:val="004818DD"/>
    <w:rsid w:val="004820E2"/>
    <w:rsid w:val="00482ACC"/>
    <w:rsid w:val="00482CCF"/>
    <w:rsid w:val="00483341"/>
    <w:rsid w:val="00483E20"/>
    <w:rsid w:val="00484029"/>
    <w:rsid w:val="00484481"/>
    <w:rsid w:val="004844FE"/>
    <w:rsid w:val="0048483D"/>
    <w:rsid w:val="00485292"/>
    <w:rsid w:val="0048529E"/>
    <w:rsid w:val="004862BD"/>
    <w:rsid w:val="0048723F"/>
    <w:rsid w:val="004872EE"/>
    <w:rsid w:val="00487823"/>
    <w:rsid w:val="00487F4A"/>
    <w:rsid w:val="004906DA"/>
    <w:rsid w:val="00490AD2"/>
    <w:rsid w:val="00491337"/>
    <w:rsid w:val="00491485"/>
    <w:rsid w:val="00492E20"/>
    <w:rsid w:val="00492F82"/>
    <w:rsid w:val="00494105"/>
    <w:rsid w:val="004941FA"/>
    <w:rsid w:val="004952D3"/>
    <w:rsid w:val="00495449"/>
    <w:rsid w:val="00495D0A"/>
    <w:rsid w:val="004963AC"/>
    <w:rsid w:val="004966B2"/>
    <w:rsid w:val="00497343"/>
    <w:rsid w:val="00497924"/>
    <w:rsid w:val="004A0EA3"/>
    <w:rsid w:val="004A178B"/>
    <w:rsid w:val="004A31E1"/>
    <w:rsid w:val="004A382D"/>
    <w:rsid w:val="004A3DD2"/>
    <w:rsid w:val="004A5217"/>
    <w:rsid w:val="004A5A1E"/>
    <w:rsid w:val="004A5A5D"/>
    <w:rsid w:val="004A5A8C"/>
    <w:rsid w:val="004A6668"/>
    <w:rsid w:val="004A6A71"/>
    <w:rsid w:val="004A6FB7"/>
    <w:rsid w:val="004B0BBE"/>
    <w:rsid w:val="004B1830"/>
    <w:rsid w:val="004B2D5C"/>
    <w:rsid w:val="004B3746"/>
    <w:rsid w:val="004B44C6"/>
    <w:rsid w:val="004B4DC2"/>
    <w:rsid w:val="004B5056"/>
    <w:rsid w:val="004B5A4F"/>
    <w:rsid w:val="004B7AF4"/>
    <w:rsid w:val="004C02CF"/>
    <w:rsid w:val="004C0B7B"/>
    <w:rsid w:val="004C1D81"/>
    <w:rsid w:val="004C24F5"/>
    <w:rsid w:val="004C3906"/>
    <w:rsid w:val="004C495A"/>
    <w:rsid w:val="004C563E"/>
    <w:rsid w:val="004C5BBD"/>
    <w:rsid w:val="004C65F0"/>
    <w:rsid w:val="004C6AED"/>
    <w:rsid w:val="004C770E"/>
    <w:rsid w:val="004D0346"/>
    <w:rsid w:val="004D0C90"/>
    <w:rsid w:val="004D318F"/>
    <w:rsid w:val="004D3673"/>
    <w:rsid w:val="004D46D2"/>
    <w:rsid w:val="004D5D9E"/>
    <w:rsid w:val="004D6CCE"/>
    <w:rsid w:val="004D6E44"/>
    <w:rsid w:val="004E0A16"/>
    <w:rsid w:val="004E1436"/>
    <w:rsid w:val="004E1885"/>
    <w:rsid w:val="004E262E"/>
    <w:rsid w:val="004E2963"/>
    <w:rsid w:val="004E2CB6"/>
    <w:rsid w:val="004E2F32"/>
    <w:rsid w:val="004E4AAE"/>
    <w:rsid w:val="004E4F26"/>
    <w:rsid w:val="004E4FE6"/>
    <w:rsid w:val="004E60E3"/>
    <w:rsid w:val="004E63BA"/>
    <w:rsid w:val="004E7031"/>
    <w:rsid w:val="004E7AF3"/>
    <w:rsid w:val="004E7B22"/>
    <w:rsid w:val="004F0987"/>
    <w:rsid w:val="004F0E1A"/>
    <w:rsid w:val="004F0F4F"/>
    <w:rsid w:val="004F2D87"/>
    <w:rsid w:val="004F3364"/>
    <w:rsid w:val="004F401A"/>
    <w:rsid w:val="004F50B7"/>
    <w:rsid w:val="004F636A"/>
    <w:rsid w:val="004F6FB1"/>
    <w:rsid w:val="004F7054"/>
    <w:rsid w:val="004F72DF"/>
    <w:rsid w:val="004F7CFD"/>
    <w:rsid w:val="004F7E15"/>
    <w:rsid w:val="00501092"/>
    <w:rsid w:val="00502296"/>
    <w:rsid w:val="00502F7D"/>
    <w:rsid w:val="00503032"/>
    <w:rsid w:val="00503285"/>
    <w:rsid w:val="0050331E"/>
    <w:rsid w:val="00504017"/>
    <w:rsid w:val="00504AD4"/>
    <w:rsid w:val="00504C21"/>
    <w:rsid w:val="005058CD"/>
    <w:rsid w:val="00505C3D"/>
    <w:rsid w:val="00506DB0"/>
    <w:rsid w:val="00507332"/>
    <w:rsid w:val="00507D7F"/>
    <w:rsid w:val="00507E47"/>
    <w:rsid w:val="00510086"/>
    <w:rsid w:val="005104B4"/>
    <w:rsid w:val="00510E44"/>
    <w:rsid w:val="0051174D"/>
    <w:rsid w:val="00512A88"/>
    <w:rsid w:val="005132A0"/>
    <w:rsid w:val="00514537"/>
    <w:rsid w:val="00514935"/>
    <w:rsid w:val="00516042"/>
    <w:rsid w:val="00516B86"/>
    <w:rsid w:val="005176B4"/>
    <w:rsid w:val="00517EC1"/>
    <w:rsid w:val="00517FC1"/>
    <w:rsid w:val="00520674"/>
    <w:rsid w:val="00520BE4"/>
    <w:rsid w:val="00522630"/>
    <w:rsid w:val="00525B98"/>
    <w:rsid w:val="0052674B"/>
    <w:rsid w:val="005275AD"/>
    <w:rsid w:val="00527793"/>
    <w:rsid w:val="00531388"/>
    <w:rsid w:val="00531EA8"/>
    <w:rsid w:val="00532D41"/>
    <w:rsid w:val="0053495D"/>
    <w:rsid w:val="0053554B"/>
    <w:rsid w:val="00535682"/>
    <w:rsid w:val="00535BF7"/>
    <w:rsid w:val="00536EE2"/>
    <w:rsid w:val="00540381"/>
    <w:rsid w:val="00540C93"/>
    <w:rsid w:val="00542B23"/>
    <w:rsid w:val="00543872"/>
    <w:rsid w:val="00543BE8"/>
    <w:rsid w:val="00544049"/>
    <w:rsid w:val="00544388"/>
    <w:rsid w:val="00544F20"/>
    <w:rsid w:val="005459D4"/>
    <w:rsid w:val="00545AE4"/>
    <w:rsid w:val="0054646E"/>
    <w:rsid w:val="00547131"/>
    <w:rsid w:val="005477EF"/>
    <w:rsid w:val="00547C2F"/>
    <w:rsid w:val="00547E6C"/>
    <w:rsid w:val="00550390"/>
    <w:rsid w:val="00550B35"/>
    <w:rsid w:val="00551938"/>
    <w:rsid w:val="0055262C"/>
    <w:rsid w:val="00555421"/>
    <w:rsid w:val="00555528"/>
    <w:rsid w:val="00555DCB"/>
    <w:rsid w:val="00555E31"/>
    <w:rsid w:val="0055674E"/>
    <w:rsid w:val="00557433"/>
    <w:rsid w:val="00560327"/>
    <w:rsid w:val="00560380"/>
    <w:rsid w:val="0056075F"/>
    <w:rsid w:val="005623CD"/>
    <w:rsid w:val="00562644"/>
    <w:rsid w:val="00563057"/>
    <w:rsid w:val="005632CF"/>
    <w:rsid w:val="00563451"/>
    <w:rsid w:val="00563531"/>
    <w:rsid w:val="00563D69"/>
    <w:rsid w:val="00564111"/>
    <w:rsid w:val="00564409"/>
    <w:rsid w:val="00565053"/>
    <w:rsid w:val="0056595B"/>
    <w:rsid w:val="00565E1B"/>
    <w:rsid w:val="00571F59"/>
    <w:rsid w:val="0057250E"/>
    <w:rsid w:val="00572906"/>
    <w:rsid w:val="00573980"/>
    <w:rsid w:val="00573C66"/>
    <w:rsid w:val="00573D72"/>
    <w:rsid w:val="00575311"/>
    <w:rsid w:val="0057606F"/>
    <w:rsid w:val="00576974"/>
    <w:rsid w:val="005804DD"/>
    <w:rsid w:val="00580B58"/>
    <w:rsid w:val="005829E6"/>
    <w:rsid w:val="00582C0A"/>
    <w:rsid w:val="0058307D"/>
    <w:rsid w:val="005832E7"/>
    <w:rsid w:val="005836D1"/>
    <w:rsid w:val="00583A66"/>
    <w:rsid w:val="00583A9A"/>
    <w:rsid w:val="0058415E"/>
    <w:rsid w:val="00585496"/>
    <w:rsid w:val="00585C21"/>
    <w:rsid w:val="00586291"/>
    <w:rsid w:val="005875FE"/>
    <w:rsid w:val="00590590"/>
    <w:rsid w:val="005908C4"/>
    <w:rsid w:val="005911BB"/>
    <w:rsid w:val="005919CD"/>
    <w:rsid w:val="00592495"/>
    <w:rsid w:val="00593C49"/>
    <w:rsid w:val="00594A86"/>
    <w:rsid w:val="0059514F"/>
    <w:rsid w:val="00595EDE"/>
    <w:rsid w:val="0059647D"/>
    <w:rsid w:val="00596A85"/>
    <w:rsid w:val="00596CBB"/>
    <w:rsid w:val="00597F15"/>
    <w:rsid w:val="005A1F1D"/>
    <w:rsid w:val="005A3F47"/>
    <w:rsid w:val="005A3FD8"/>
    <w:rsid w:val="005A4138"/>
    <w:rsid w:val="005A432C"/>
    <w:rsid w:val="005A4756"/>
    <w:rsid w:val="005A494E"/>
    <w:rsid w:val="005A6770"/>
    <w:rsid w:val="005B21BB"/>
    <w:rsid w:val="005B2205"/>
    <w:rsid w:val="005B2534"/>
    <w:rsid w:val="005B3ECA"/>
    <w:rsid w:val="005B4417"/>
    <w:rsid w:val="005B49DC"/>
    <w:rsid w:val="005B4A74"/>
    <w:rsid w:val="005B50BB"/>
    <w:rsid w:val="005B5B88"/>
    <w:rsid w:val="005B6ACF"/>
    <w:rsid w:val="005B71BA"/>
    <w:rsid w:val="005C0020"/>
    <w:rsid w:val="005C066B"/>
    <w:rsid w:val="005C069A"/>
    <w:rsid w:val="005C21C4"/>
    <w:rsid w:val="005C291D"/>
    <w:rsid w:val="005C2F06"/>
    <w:rsid w:val="005C302E"/>
    <w:rsid w:val="005C378C"/>
    <w:rsid w:val="005C40AF"/>
    <w:rsid w:val="005C410C"/>
    <w:rsid w:val="005C4B22"/>
    <w:rsid w:val="005C6830"/>
    <w:rsid w:val="005C6C5C"/>
    <w:rsid w:val="005C7996"/>
    <w:rsid w:val="005D1B82"/>
    <w:rsid w:val="005D33AE"/>
    <w:rsid w:val="005D4F28"/>
    <w:rsid w:val="005D4FF3"/>
    <w:rsid w:val="005D57AF"/>
    <w:rsid w:val="005D7C28"/>
    <w:rsid w:val="005E0F6E"/>
    <w:rsid w:val="005E2695"/>
    <w:rsid w:val="005E2785"/>
    <w:rsid w:val="005E7676"/>
    <w:rsid w:val="005E7E6D"/>
    <w:rsid w:val="005F0461"/>
    <w:rsid w:val="005F0ACD"/>
    <w:rsid w:val="005F100D"/>
    <w:rsid w:val="005F124A"/>
    <w:rsid w:val="005F187E"/>
    <w:rsid w:val="005F33E9"/>
    <w:rsid w:val="005F4435"/>
    <w:rsid w:val="005F4FD6"/>
    <w:rsid w:val="005F5B22"/>
    <w:rsid w:val="005F6B53"/>
    <w:rsid w:val="005F72F3"/>
    <w:rsid w:val="006021A3"/>
    <w:rsid w:val="0060228E"/>
    <w:rsid w:val="006027DB"/>
    <w:rsid w:val="00602B3C"/>
    <w:rsid w:val="0060302A"/>
    <w:rsid w:val="00604003"/>
    <w:rsid w:val="00604B4D"/>
    <w:rsid w:val="006054BD"/>
    <w:rsid w:val="00606909"/>
    <w:rsid w:val="00607134"/>
    <w:rsid w:val="00610256"/>
    <w:rsid w:val="0061127C"/>
    <w:rsid w:val="00611CF6"/>
    <w:rsid w:val="0061205C"/>
    <w:rsid w:val="00613621"/>
    <w:rsid w:val="00614488"/>
    <w:rsid w:val="00614733"/>
    <w:rsid w:val="006149A5"/>
    <w:rsid w:val="0061568F"/>
    <w:rsid w:val="00616F8E"/>
    <w:rsid w:val="00617055"/>
    <w:rsid w:val="0061737C"/>
    <w:rsid w:val="006175A6"/>
    <w:rsid w:val="00617F6D"/>
    <w:rsid w:val="006212DA"/>
    <w:rsid w:val="00621D13"/>
    <w:rsid w:val="00621FA3"/>
    <w:rsid w:val="00623268"/>
    <w:rsid w:val="00623773"/>
    <w:rsid w:val="00625939"/>
    <w:rsid w:val="00625B1E"/>
    <w:rsid w:val="00627859"/>
    <w:rsid w:val="0063057F"/>
    <w:rsid w:val="0063060A"/>
    <w:rsid w:val="00630C81"/>
    <w:rsid w:val="0063633F"/>
    <w:rsid w:val="006371DF"/>
    <w:rsid w:val="006411E5"/>
    <w:rsid w:val="006421A8"/>
    <w:rsid w:val="00642457"/>
    <w:rsid w:val="00642E98"/>
    <w:rsid w:val="00642FB1"/>
    <w:rsid w:val="00643466"/>
    <w:rsid w:val="0064460F"/>
    <w:rsid w:val="0064501C"/>
    <w:rsid w:val="00645F15"/>
    <w:rsid w:val="00646166"/>
    <w:rsid w:val="006463CF"/>
    <w:rsid w:val="00646858"/>
    <w:rsid w:val="006468FA"/>
    <w:rsid w:val="00646AA4"/>
    <w:rsid w:val="00646C1A"/>
    <w:rsid w:val="00647846"/>
    <w:rsid w:val="006504F3"/>
    <w:rsid w:val="00653195"/>
    <w:rsid w:val="00655035"/>
    <w:rsid w:val="006551EF"/>
    <w:rsid w:val="006555D8"/>
    <w:rsid w:val="00655A55"/>
    <w:rsid w:val="00655A69"/>
    <w:rsid w:val="00655B47"/>
    <w:rsid w:val="00655B9A"/>
    <w:rsid w:val="0065735E"/>
    <w:rsid w:val="00657490"/>
    <w:rsid w:val="006614D8"/>
    <w:rsid w:val="00662D4F"/>
    <w:rsid w:val="00663643"/>
    <w:rsid w:val="006647A5"/>
    <w:rsid w:val="00664DAE"/>
    <w:rsid w:val="00665C42"/>
    <w:rsid w:val="006662BB"/>
    <w:rsid w:val="00667485"/>
    <w:rsid w:val="006676FF"/>
    <w:rsid w:val="006679D2"/>
    <w:rsid w:val="00667D56"/>
    <w:rsid w:val="006701C6"/>
    <w:rsid w:val="00671889"/>
    <w:rsid w:val="00671AB0"/>
    <w:rsid w:val="0067232D"/>
    <w:rsid w:val="00672504"/>
    <w:rsid w:val="0067378A"/>
    <w:rsid w:val="00674508"/>
    <w:rsid w:val="00675540"/>
    <w:rsid w:val="00676E2A"/>
    <w:rsid w:val="0067764C"/>
    <w:rsid w:val="0067764D"/>
    <w:rsid w:val="006778E2"/>
    <w:rsid w:val="00677920"/>
    <w:rsid w:val="00677D27"/>
    <w:rsid w:val="0068011B"/>
    <w:rsid w:val="0068232D"/>
    <w:rsid w:val="00683198"/>
    <w:rsid w:val="00683DD1"/>
    <w:rsid w:val="00684CBA"/>
    <w:rsid w:val="00684D27"/>
    <w:rsid w:val="006858AB"/>
    <w:rsid w:val="00685CB1"/>
    <w:rsid w:val="00686A6F"/>
    <w:rsid w:val="006876EC"/>
    <w:rsid w:val="00687A65"/>
    <w:rsid w:val="00687BBB"/>
    <w:rsid w:val="006909C2"/>
    <w:rsid w:val="00690A76"/>
    <w:rsid w:val="006911B0"/>
    <w:rsid w:val="006923D4"/>
    <w:rsid w:val="00692DAD"/>
    <w:rsid w:val="00693223"/>
    <w:rsid w:val="00694B07"/>
    <w:rsid w:val="006950C0"/>
    <w:rsid w:val="00695206"/>
    <w:rsid w:val="00695B74"/>
    <w:rsid w:val="0069602A"/>
    <w:rsid w:val="00696168"/>
    <w:rsid w:val="00696AA8"/>
    <w:rsid w:val="00696D1F"/>
    <w:rsid w:val="0069705D"/>
    <w:rsid w:val="006A0DDA"/>
    <w:rsid w:val="006A1870"/>
    <w:rsid w:val="006A1884"/>
    <w:rsid w:val="006A1AA9"/>
    <w:rsid w:val="006A28AD"/>
    <w:rsid w:val="006A2A6D"/>
    <w:rsid w:val="006A2AF6"/>
    <w:rsid w:val="006A312B"/>
    <w:rsid w:val="006A36ED"/>
    <w:rsid w:val="006A4203"/>
    <w:rsid w:val="006A48FD"/>
    <w:rsid w:val="006A4C82"/>
    <w:rsid w:val="006A5462"/>
    <w:rsid w:val="006A5D64"/>
    <w:rsid w:val="006A733D"/>
    <w:rsid w:val="006B04AA"/>
    <w:rsid w:val="006B0CF1"/>
    <w:rsid w:val="006B1596"/>
    <w:rsid w:val="006B216F"/>
    <w:rsid w:val="006B3024"/>
    <w:rsid w:val="006B39AB"/>
    <w:rsid w:val="006B3A7A"/>
    <w:rsid w:val="006B48BC"/>
    <w:rsid w:val="006B624D"/>
    <w:rsid w:val="006B7708"/>
    <w:rsid w:val="006B7A0D"/>
    <w:rsid w:val="006B7EAD"/>
    <w:rsid w:val="006C0DC2"/>
    <w:rsid w:val="006C1AE0"/>
    <w:rsid w:val="006C1E0E"/>
    <w:rsid w:val="006C4059"/>
    <w:rsid w:val="006C4934"/>
    <w:rsid w:val="006C4D53"/>
    <w:rsid w:val="006C53BA"/>
    <w:rsid w:val="006C64E6"/>
    <w:rsid w:val="006C6C5E"/>
    <w:rsid w:val="006C72B1"/>
    <w:rsid w:val="006D01FA"/>
    <w:rsid w:val="006D081C"/>
    <w:rsid w:val="006D17EA"/>
    <w:rsid w:val="006D2083"/>
    <w:rsid w:val="006D2D55"/>
    <w:rsid w:val="006D3360"/>
    <w:rsid w:val="006D4CA4"/>
    <w:rsid w:val="006D5042"/>
    <w:rsid w:val="006D5863"/>
    <w:rsid w:val="006D5EC2"/>
    <w:rsid w:val="006D6C25"/>
    <w:rsid w:val="006D6D69"/>
    <w:rsid w:val="006D6F74"/>
    <w:rsid w:val="006D77D4"/>
    <w:rsid w:val="006D7DDB"/>
    <w:rsid w:val="006D7E5E"/>
    <w:rsid w:val="006E14AC"/>
    <w:rsid w:val="006E1BBA"/>
    <w:rsid w:val="006E3804"/>
    <w:rsid w:val="006E3AE6"/>
    <w:rsid w:val="006E57FB"/>
    <w:rsid w:val="006E5B6E"/>
    <w:rsid w:val="006E5EE7"/>
    <w:rsid w:val="006E60F5"/>
    <w:rsid w:val="006E6871"/>
    <w:rsid w:val="006E6D20"/>
    <w:rsid w:val="006E6DAE"/>
    <w:rsid w:val="006E7C08"/>
    <w:rsid w:val="006F0B1B"/>
    <w:rsid w:val="006F0F3D"/>
    <w:rsid w:val="006F1BFF"/>
    <w:rsid w:val="006F28D4"/>
    <w:rsid w:val="006F3C62"/>
    <w:rsid w:val="006F4B48"/>
    <w:rsid w:val="006F6E4C"/>
    <w:rsid w:val="006F7413"/>
    <w:rsid w:val="006F767D"/>
    <w:rsid w:val="00700B0B"/>
    <w:rsid w:val="007011E5"/>
    <w:rsid w:val="007025B2"/>
    <w:rsid w:val="00703D27"/>
    <w:rsid w:val="007045B6"/>
    <w:rsid w:val="00705135"/>
    <w:rsid w:val="007051EC"/>
    <w:rsid w:val="00705C9E"/>
    <w:rsid w:val="00705FED"/>
    <w:rsid w:val="00706650"/>
    <w:rsid w:val="00706F2C"/>
    <w:rsid w:val="00710D41"/>
    <w:rsid w:val="0071271A"/>
    <w:rsid w:val="00712AE9"/>
    <w:rsid w:val="00712E42"/>
    <w:rsid w:val="00713DC8"/>
    <w:rsid w:val="0071427A"/>
    <w:rsid w:val="00715822"/>
    <w:rsid w:val="00715D6B"/>
    <w:rsid w:val="00715FDB"/>
    <w:rsid w:val="00716B54"/>
    <w:rsid w:val="00717886"/>
    <w:rsid w:val="00717D6E"/>
    <w:rsid w:val="007201F7"/>
    <w:rsid w:val="007211B9"/>
    <w:rsid w:val="007229AB"/>
    <w:rsid w:val="00722D9E"/>
    <w:rsid w:val="007233C5"/>
    <w:rsid w:val="007240F2"/>
    <w:rsid w:val="00725C53"/>
    <w:rsid w:val="00725ECD"/>
    <w:rsid w:val="007270A9"/>
    <w:rsid w:val="00727E96"/>
    <w:rsid w:val="0073029C"/>
    <w:rsid w:val="00730A71"/>
    <w:rsid w:val="0073125B"/>
    <w:rsid w:val="00731A43"/>
    <w:rsid w:val="00731E03"/>
    <w:rsid w:val="00731E62"/>
    <w:rsid w:val="00733BC0"/>
    <w:rsid w:val="00733EAB"/>
    <w:rsid w:val="0073609F"/>
    <w:rsid w:val="007405BB"/>
    <w:rsid w:val="00742A6C"/>
    <w:rsid w:val="00742B0D"/>
    <w:rsid w:val="007432FD"/>
    <w:rsid w:val="00744879"/>
    <w:rsid w:val="00745D3D"/>
    <w:rsid w:val="00745DEF"/>
    <w:rsid w:val="007510AE"/>
    <w:rsid w:val="00752155"/>
    <w:rsid w:val="00752E45"/>
    <w:rsid w:val="0075380A"/>
    <w:rsid w:val="00753A49"/>
    <w:rsid w:val="00753FA4"/>
    <w:rsid w:val="0075505A"/>
    <w:rsid w:val="007562F1"/>
    <w:rsid w:val="00756688"/>
    <w:rsid w:val="00756752"/>
    <w:rsid w:val="00756E2A"/>
    <w:rsid w:val="007577D4"/>
    <w:rsid w:val="00757A94"/>
    <w:rsid w:val="00757CAC"/>
    <w:rsid w:val="00757DEE"/>
    <w:rsid w:val="00760C81"/>
    <w:rsid w:val="00760E14"/>
    <w:rsid w:val="0076478E"/>
    <w:rsid w:val="007650BD"/>
    <w:rsid w:val="00765B70"/>
    <w:rsid w:val="007660F0"/>
    <w:rsid w:val="007664B7"/>
    <w:rsid w:val="00767CE7"/>
    <w:rsid w:val="00771977"/>
    <w:rsid w:val="00771DEB"/>
    <w:rsid w:val="00771FED"/>
    <w:rsid w:val="0077227D"/>
    <w:rsid w:val="007726E2"/>
    <w:rsid w:val="0077281F"/>
    <w:rsid w:val="00772BBD"/>
    <w:rsid w:val="007737A3"/>
    <w:rsid w:val="00774D82"/>
    <w:rsid w:val="00775B9E"/>
    <w:rsid w:val="00775D4B"/>
    <w:rsid w:val="00775DC6"/>
    <w:rsid w:val="00776997"/>
    <w:rsid w:val="00777477"/>
    <w:rsid w:val="007809DE"/>
    <w:rsid w:val="0078109B"/>
    <w:rsid w:val="00781EF4"/>
    <w:rsid w:val="0078241F"/>
    <w:rsid w:val="00782D20"/>
    <w:rsid w:val="0078317D"/>
    <w:rsid w:val="0078379C"/>
    <w:rsid w:val="0078413B"/>
    <w:rsid w:val="007849B3"/>
    <w:rsid w:val="00785536"/>
    <w:rsid w:val="00785D2D"/>
    <w:rsid w:val="00785E1A"/>
    <w:rsid w:val="00785EBB"/>
    <w:rsid w:val="007867B3"/>
    <w:rsid w:val="0078693F"/>
    <w:rsid w:val="0078774C"/>
    <w:rsid w:val="00787E9B"/>
    <w:rsid w:val="00790396"/>
    <w:rsid w:val="00790EB2"/>
    <w:rsid w:val="00791AD4"/>
    <w:rsid w:val="0079337D"/>
    <w:rsid w:val="007956AB"/>
    <w:rsid w:val="007968F2"/>
    <w:rsid w:val="00796994"/>
    <w:rsid w:val="00796A19"/>
    <w:rsid w:val="007A00FB"/>
    <w:rsid w:val="007A15EA"/>
    <w:rsid w:val="007A2801"/>
    <w:rsid w:val="007A2814"/>
    <w:rsid w:val="007A44A4"/>
    <w:rsid w:val="007A585F"/>
    <w:rsid w:val="007A6F97"/>
    <w:rsid w:val="007A7643"/>
    <w:rsid w:val="007A7B63"/>
    <w:rsid w:val="007A7BE3"/>
    <w:rsid w:val="007B475C"/>
    <w:rsid w:val="007B4E62"/>
    <w:rsid w:val="007B4FF6"/>
    <w:rsid w:val="007B5899"/>
    <w:rsid w:val="007B5DE3"/>
    <w:rsid w:val="007B6837"/>
    <w:rsid w:val="007B696C"/>
    <w:rsid w:val="007C03AD"/>
    <w:rsid w:val="007C03CD"/>
    <w:rsid w:val="007C192E"/>
    <w:rsid w:val="007C35D2"/>
    <w:rsid w:val="007C4C71"/>
    <w:rsid w:val="007C5324"/>
    <w:rsid w:val="007C5527"/>
    <w:rsid w:val="007C5954"/>
    <w:rsid w:val="007C5CC8"/>
    <w:rsid w:val="007C7752"/>
    <w:rsid w:val="007C7845"/>
    <w:rsid w:val="007D0038"/>
    <w:rsid w:val="007D0A43"/>
    <w:rsid w:val="007D20B1"/>
    <w:rsid w:val="007D2F69"/>
    <w:rsid w:val="007D36F9"/>
    <w:rsid w:val="007D4416"/>
    <w:rsid w:val="007D5321"/>
    <w:rsid w:val="007D6AD3"/>
    <w:rsid w:val="007D7E39"/>
    <w:rsid w:val="007E0725"/>
    <w:rsid w:val="007E2236"/>
    <w:rsid w:val="007E4D84"/>
    <w:rsid w:val="007E5CF4"/>
    <w:rsid w:val="007E7D23"/>
    <w:rsid w:val="007E7E01"/>
    <w:rsid w:val="007E7ECC"/>
    <w:rsid w:val="007F0704"/>
    <w:rsid w:val="007F0CC9"/>
    <w:rsid w:val="007F1C5C"/>
    <w:rsid w:val="007F27A2"/>
    <w:rsid w:val="007F2D3B"/>
    <w:rsid w:val="007F48F0"/>
    <w:rsid w:val="007F57DB"/>
    <w:rsid w:val="007F5F1E"/>
    <w:rsid w:val="007F6144"/>
    <w:rsid w:val="007F6DE5"/>
    <w:rsid w:val="007F7F84"/>
    <w:rsid w:val="00800E1A"/>
    <w:rsid w:val="008019D5"/>
    <w:rsid w:val="00801CD5"/>
    <w:rsid w:val="00802251"/>
    <w:rsid w:val="00802CC2"/>
    <w:rsid w:val="00802EC5"/>
    <w:rsid w:val="008032C5"/>
    <w:rsid w:val="00803503"/>
    <w:rsid w:val="008035A8"/>
    <w:rsid w:val="008051B3"/>
    <w:rsid w:val="00806118"/>
    <w:rsid w:val="00807CE5"/>
    <w:rsid w:val="00810034"/>
    <w:rsid w:val="0081154A"/>
    <w:rsid w:val="008119AB"/>
    <w:rsid w:val="00811BC2"/>
    <w:rsid w:val="00811C5E"/>
    <w:rsid w:val="0081290E"/>
    <w:rsid w:val="00813A34"/>
    <w:rsid w:val="008147AD"/>
    <w:rsid w:val="0081571C"/>
    <w:rsid w:val="00815D00"/>
    <w:rsid w:val="008164EB"/>
    <w:rsid w:val="00816B30"/>
    <w:rsid w:val="008172DA"/>
    <w:rsid w:val="0081737C"/>
    <w:rsid w:val="0082133C"/>
    <w:rsid w:val="0082157D"/>
    <w:rsid w:val="00822213"/>
    <w:rsid w:val="0082297C"/>
    <w:rsid w:val="008234A9"/>
    <w:rsid w:val="00823729"/>
    <w:rsid w:val="0082419B"/>
    <w:rsid w:val="008245B1"/>
    <w:rsid w:val="00824827"/>
    <w:rsid w:val="008253F5"/>
    <w:rsid w:val="00825562"/>
    <w:rsid w:val="0082633A"/>
    <w:rsid w:val="00826542"/>
    <w:rsid w:val="00826714"/>
    <w:rsid w:val="008267E0"/>
    <w:rsid w:val="00826AF4"/>
    <w:rsid w:val="00826C57"/>
    <w:rsid w:val="008279FB"/>
    <w:rsid w:val="008306D1"/>
    <w:rsid w:val="008307BE"/>
    <w:rsid w:val="0083103D"/>
    <w:rsid w:val="008329EB"/>
    <w:rsid w:val="0083342B"/>
    <w:rsid w:val="008338EC"/>
    <w:rsid w:val="00835661"/>
    <w:rsid w:val="00835898"/>
    <w:rsid w:val="008358C0"/>
    <w:rsid w:val="00836B16"/>
    <w:rsid w:val="0083712E"/>
    <w:rsid w:val="00837521"/>
    <w:rsid w:val="008401F9"/>
    <w:rsid w:val="008404D3"/>
    <w:rsid w:val="008418E7"/>
    <w:rsid w:val="00841A94"/>
    <w:rsid w:val="00841BF2"/>
    <w:rsid w:val="00841D14"/>
    <w:rsid w:val="00842179"/>
    <w:rsid w:val="008435FC"/>
    <w:rsid w:val="008445F8"/>
    <w:rsid w:val="0084503A"/>
    <w:rsid w:val="00845107"/>
    <w:rsid w:val="008461F8"/>
    <w:rsid w:val="00847366"/>
    <w:rsid w:val="0085089D"/>
    <w:rsid w:val="00850EF9"/>
    <w:rsid w:val="008512CC"/>
    <w:rsid w:val="008516B4"/>
    <w:rsid w:val="00851FA1"/>
    <w:rsid w:val="008522D0"/>
    <w:rsid w:val="008534CC"/>
    <w:rsid w:val="0085403B"/>
    <w:rsid w:val="00854978"/>
    <w:rsid w:val="00854D1B"/>
    <w:rsid w:val="00855531"/>
    <w:rsid w:val="00855D2E"/>
    <w:rsid w:val="00856E75"/>
    <w:rsid w:val="00861024"/>
    <w:rsid w:val="00861CC5"/>
    <w:rsid w:val="00862712"/>
    <w:rsid w:val="00862720"/>
    <w:rsid w:val="00862742"/>
    <w:rsid w:val="00862834"/>
    <w:rsid w:val="008628E2"/>
    <w:rsid w:val="00862BCE"/>
    <w:rsid w:val="00863BC7"/>
    <w:rsid w:val="00863CAF"/>
    <w:rsid w:val="00864267"/>
    <w:rsid w:val="00864C36"/>
    <w:rsid w:val="008664F6"/>
    <w:rsid w:val="00867E75"/>
    <w:rsid w:val="00870270"/>
    <w:rsid w:val="008708AB"/>
    <w:rsid w:val="008718E0"/>
    <w:rsid w:val="00871976"/>
    <w:rsid w:val="008721AA"/>
    <w:rsid w:val="00872BA8"/>
    <w:rsid w:val="00872E57"/>
    <w:rsid w:val="0087302F"/>
    <w:rsid w:val="008732E5"/>
    <w:rsid w:val="00874A3C"/>
    <w:rsid w:val="00876B84"/>
    <w:rsid w:val="00877394"/>
    <w:rsid w:val="0087758A"/>
    <w:rsid w:val="00880331"/>
    <w:rsid w:val="00880514"/>
    <w:rsid w:val="00880795"/>
    <w:rsid w:val="00880806"/>
    <w:rsid w:val="008826E7"/>
    <w:rsid w:val="00882C6A"/>
    <w:rsid w:val="00883816"/>
    <w:rsid w:val="00884B28"/>
    <w:rsid w:val="00886802"/>
    <w:rsid w:val="00886CC8"/>
    <w:rsid w:val="008878C2"/>
    <w:rsid w:val="00887AA4"/>
    <w:rsid w:val="008905A4"/>
    <w:rsid w:val="00890D42"/>
    <w:rsid w:val="0089457C"/>
    <w:rsid w:val="008975C8"/>
    <w:rsid w:val="008978DB"/>
    <w:rsid w:val="008979DF"/>
    <w:rsid w:val="008A1184"/>
    <w:rsid w:val="008A1744"/>
    <w:rsid w:val="008A2308"/>
    <w:rsid w:val="008A2F26"/>
    <w:rsid w:val="008A4228"/>
    <w:rsid w:val="008A4366"/>
    <w:rsid w:val="008A58C3"/>
    <w:rsid w:val="008A70D2"/>
    <w:rsid w:val="008A7768"/>
    <w:rsid w:val="008B005B"/>
    <w:rsid w:val="008B0555"/>
    <w:rsid w:val="008B1CE9"/>
    <w:rsid w:val="008B2261"/>
    <w:rsid w:val="008B314B"/>
    <w:rsid w:val="008B36BD"/>
    <w:rsid w:val="008B3B03"/>
    <w:rsid w:val="008B4C74"/>
    <w:rsid w:val="008B516B"/>
    <w:rsid w:val="008B55E9"/>
    <w:rsid w:val="008B63E6"/>
    <w:rsid w:val="008B6519"/>
    <w:rsid w:val="008B696F"/>
    <w:rsid w:val="008C1264"/>
    <w:rsid w:val="008C13DE"/>
    <w:rsid w:val="008C23E6"/>
    <w:rsid w:val="008C267B"/>
    <w:rsid w:val="008C5570"/>
    <w:rsid w:val="008C6095"/>
    <w:rsid w:val="008D0628"/>
    <w:rsid w:val="008D0BD2"/>
    <w:rsid w:val="008D1A09"/>
    <w:rsid w:val="008D1FF0"/>
    <w:rsid w:val="008D2AC4"/>
    <w:rsid w:val="008D34B7"/>
    <w:rsid w:val="008D3853"/>
    <w:rsid w:val="008D3A55"/>
    <w:rsid w:val="008D4393"/>
    <w:rsid w:val="008D774D"/>
    <w:rsid w:val="008D785F"/>
    <w:rsid w:val="008D7DF3"/>
    <w:rsid w:val="008D7F61"/>
    <w:rsid w:val="008E0B61"/>
    <w:rsid w:val="008E10E3"/>
    <w:rsid w:val="008E1DE6"/>
    <w:rsid w:val="008E1EF0"/>
    <w:rsid w:val="008E414E"/>
    <w:rsid w:val="008E485D"/>
    <w:rsid w:val="008E4A97"/>
    <w:rsid w:val="008E4C7E"/>
    <w:rsid w:val="008E5F67"/>
    <w:rsid w:val="008E6B91"/>
    <w:rsid w:val="008E744C"/>
    <w:rsid w:val="008F27E7"/>
    <w:rsid w:val="008F3255"/>
    <w:rsid w:val="008F36C2"/>
    <w:rsid w:val="008F45BE"/>
    <w:rsid w:val="008F61E6"/>
    <w:rsid w:val="008F72B2"/>
    <w:rsid w:val="008F79DC"/>
    <w:rsid w:val="008F7E7B"/>
    <w:rsid w:val="009008FE"/>
    <w:rsid w:val="009013EB"/>
    <w:rsid w:val="0090226B"/>
    <w:rsid w:val="00902B25"/>
    <w:rsid w:val="00903B42"/>
    <w:rsid w:val="0090541F"/>
    <w:rsid w:val="0090562B"/>
    <w:rsid w:val="00905998"/>
    <w:rsid w:val="00906F5E"/>
    <w:rsid w:val="009070B7"/>
    <w:rsid w:val="009104CC"/>
    <w:rsid w:val="00911E61"/>
    <w:rsid w:val="00913F09"/>
    <w:rsid w:val="00913FD2"/>
    <w:rsid w:val="009140E6"/>
    <w:rsid w:val="0091415A"/>
    <w:rsid w:val="00915213"/>
    <w:rsid w:val="00915A9E"/>
    <w:rsid w:val="00921BCD"/>
    <w:rsid w:val="00921C6A"/>
    <w:rsid w:val="00921CA0"/>
    <w:rsid w:val="00922ECA"/>
    <w:rsid w:val="00923095"/>
    <w:rsid w:val="00923B0D"/>
    <w:rsid w:val="00923FB5"/>
    <w:rsid w:val="0092525C"/>
    <w:rsid w:val="00926EE1"/>
    <w:rsid w:val="00927530"/>
    <w:rsid w:val="009276B1"/>
    <w:rsid w:val="0093104F"/>
    <w:rsid w:val="00931532"/>
    <w:rsid w:val="009328B0"/>
    <w:rsid w:val="00933A07"/>
    <w:rsid w:val="00935D58"/>
    <w:rsid w:val="00936599"/>
    <w:rsid w:val="009371CA"/>
    <w:rsid w:val="00937A30"/>
    <w:rsid w:val="00940B18"/>
    <w:rsid w:val="00940D74"/>
    <w:rsid w:val="0094402D"/>
    <w:rsid w:val="00945A17"/>
    <w:rsid w:val="0094744E"/>
    <w:rsid w:val="00947AA2"/>
    <w:rsid w:val="009511A9"/>
    <w:rsid w:val="0095198F"/>
    <w:rsid w:val="00951CEE"/>
    <w:rsid w:val="0095384E"/>
    <w:rsid w:val="00953C4C"/>
    <w:rsid w:val="00953F9E"/>
    <w:rsid w:val="00955EB8"/>
    <w:rsid w:val="0095697C"/>
    <w:rsid w:val="00961575"/>
    <w:rsid w:val="009615CF"/>
    <w:rsid w:val="00962D00"/>
    <w:rsid w:val="00962EF5"/>
    <w:rsid w:val="00963ECB"/>
    <w:rsid w:val="0096449C"/>
    <w:rsid w:val="00965A23"/>
    <w:rsid w:val="009668C4"/>
    <w:rsid w:val="00966DCD"/>
    <w:rsid w:val="009672D0"/>
    <w:rsid w:val="009676A3"/>
    <w:rsid w:val="00967737"/>
    <w:rsid w:val="009702F9"/>
    <w:rsid w:val="00970B6C"/>
    <w:rsid w:val="00970C03"/>
    <w:rsid w:val="009714D0"/>
    <w:rsid w:val="0097170E"/>
    <w:rsid w:val="00971A75"/>
    <w:rsid w:val="00971CFA"/>
    <w:rsid w:val="0097276A"/>
    <w:rsid w:val="0097490B"/>
    <w:rsid w:val="009749E9"/>
    <w:rsid w:val="00974BF5"/>
    <w:rsid w:val="00974D30"/>
    <w:rsid w:val="00977468"/>
    <w:rsid w:val="0098022D"/>
    <w:rsid w:val="009805C2"/>
    <w:rsid w:val="009809A7"/>
    <w:rsid w:val="0098304F"/>
    <w:rsid w:val="00984865"/>
    <w:rsid w:val="009855F0"/>
    <w:rsid w:val="00992491"/>
    <w:rsid w:val="0099333E"/>
    <w:rsid w:val="00993471"/>
    <w:rsid w:val="0099359C"/>
    <w:rsid w:val="0099556F"/>
    <w:rsid w:val="00995964"/>
    <w:rsid w:val="0099596F"/>
    <w:rsid w:val="00995E86"/>
    <w:rsid w:val="00996046"/>
    <w:rsid w:val="00996376"/>
    <w:rsid w:val="009970B7"/>
    <w:rsid w:val="009970EC"/>
    <w:rsid w:val="009974FF"/>
    <w:rsid w:val="00997AEE"/>
    <w:rsid w:val="009A0F0B"/>
    <w:rsid w:val="009A1245"/>
    <w:rsid w:val="009A1D1C"/>
    <w:rsid w:val="009A23A8"/>
    <w:rsid w:val="009A4328"/>
    <w:rsid w:val="009A486A"/>
    <w:rsid w:val="009A491E"/>
    <w:rsid w:val="009A5523"/>
    <w:rsid w:val="009A55B9"/>
    <w:rsid w:val="009A5A2A"/>
    <w:rsid w:val="009A5BB1"/>
    <w:rsid w:val="009A5DF9"/>
    <w:rsid w:val="009A6603"/>
    <w:rsid w:val="009A6707"/>
    <w:rsid w:val="009A703E"/>
    <w:rsid w:val="009B0637"/>
    <w:rsid w:val="009B0994"/>
    <w:rsid w:val="009B0A6B"/>
    <w:rsid w:val="009B178F"/>
    <w:rsid w:val="009B1A5D"/>
    <w:rsid w:val="009B3556"/>
    <w:rsid w:val="009B3652"/>
    <w:rsid w:val="009B3EF9"/>
    <w:rsid w:val="009B41D2"/>
    <w:rsid w:val="009B4939"/>
    <w:rsid w:val="009B510A"/>
    <w:rsid w:val="009B513A"/>
    <w:rsid w:val="009B53F7"/>
    <w:rsid w:val="009B5BC6"/>
    <w:rsid w:val="009B5D36"/>
    <w:rsid w:val="009B633C"/>
    <w:rsid w:val="009B6762"/>
    <w:rsid w:val="009B7030"/>
    <w:rsid w:val="009B7370"/>
    <w:rsid w:val="009B7539"/>
    <w:rsid w:val="009B7C5F"/>
    <w:rsid w:val="009C03C6"/>
    <w:rsid w:val="009C1A40"/>
    <w:rsid w:val="009C5D3C"/>
    <w:rsid w:val="009C6B03"/>
    <w:rsid w:val="009C712F"/>
    <w:rsid w:val="009C7A05"/>
    <w:rsid w:val="009D0675"/>
    <w:rsid w:val="009D1700"/>
    <w:rsid w:val="009D17DB"/>
    <w:rsid w:val="009D1A8A"/>
    <w:rsid w:val="009D34B6"/>
    <w:rsid w:val="009D495F"/>
    <w:rsid w:val="009D4A86"/>
    <w:rsid w:val="009D4B97"/>
    <w:rsid w:val="009D5447"/>
    <w:rsid w:val="009D6EF3"/>
    <w:rsid w:val="009D766C"/>
    <w:rsid w:val="009D7AA9"/>
    <w:rsid w:val="009D7C86"/>
    <w:rsid w:val="009E0C33"/>
    <w:rsid w:val="009E1546"/>
    <w:rsid w:val="009E161D"/>
    <w:rsid w:val="009E171F"/>
    <w:rsid w:val="009E418F"/>
    <w:rsid w:val="009E47CF"/>
    <w:rsid w:val="009E48F2"/>
    <w:rsid w:val="009E55E3"/>
    <w:rsid w:val="009E5DAC"/>
    <w:rsid w:val="009E6554"/>
    <w:rsid w:val="009E68B6"/>
    <w:rsid w:val="009E6906"/>
    <w:rsid w:val="009E6FE8"/>
    <w:rsid w:val="009E745F"/>
    <w:rsid w:val="009E77AD"/>
    <w:rsid w:val="009F06EB"/>
    <w:rsid w:val="009F081A"/>
    <w:rsid w:val="009F16BE"/>
    <w:rsid w:val="009F1F4E"/>
    <w:rsid w:val="009F297A"/>
    <w:rsid w:val="009F2E45"/>
    <w:rsid w:val="009F3E41"/>
    <w:rsid w:val="009F3F43"/>
    <w:rsid w:val="009F5266"/>
    <w:rsid w:val="009F56F5"/>
    <w:rsid w:val="009F5B0E"/>
    <w:rsid w:val="009F5EE8"/>
    <w:rsid w:val="009F6564"/>
    <w:rsid w:val="009F6F8E"/>
    <w:rsid w:val="009F72A1"/>
    <w:rsid w:val="009F7D38"/>
    <w:rsid w:val="009F7EDF"/>
    <w:rsid w:val="00A007C5"/>
    <w:rsid w:val="00A03186"/>
    <w:rsid w:val="00A05185"/>
    <w:rsid w:val="00A0604C"/>
    <w:rsid w:val="00A062CB"/>
    <w:rsid w:val="00A06EBC"/>
    <w:rsid w:val="00A072BC"/>
    <w:rsid w:val="00A07795"/>
    <w:rsid w:val="00A078F1"/>
    <w:rsid w:val="00A105DA"/>
    <w:rsid w:val="00A10CD6"/>
    <w:rsid w:val="00A114F1"/>
    <w:rsid w:val="00A11E93"/>
    <w:rsid w:val="00A1253E"/>
    <w:rsid w:val="00A12C55"/>
    <w:rsid w:val="00A13172"/>
    <w:rsid w:val="00A135BE"/>
    <w:rsid w:val="00A14EEB"/>
    <w:rsid w:val="00A15682"/>
    <w:rsid w:val="00A15B62"/>
    <w:rsid w:val="00A160AD"/>
    <w:rsid w:val="00A200FB"/>
    <w:rsid w:val="00A2089C"/>
    <w:rsid w:val="00A20B65"/>
    <w:rsid w:val="00A20D3E"/>
    <w:rsid w:val="00A218BD"/>
    <w:rsid w:val="00A22080"/>
    <w:rsid w:val="00A223C2"/>
    <w:rsid w:val="00A22525"/>
    <w:rsid w:val="00A225C6"/>
    <w:rsid w:val="00A22620"/>
    <w:rsid w:val="00A22A92"/>
    <w:rsid w:val="00A23E26"/>
    <w:rsid w:val="00A24F8C"/>
    <w:rsid w:val="00A25145"/>
    <w:rsid w:val="00A2580B"/>
    <w:rsid w:val="00A25BEE"/>
    <w:rsid w:val="00A25DE5"/>
    <w:rsid w:val="00A262FE"/>
    <w:rsid w:val="00A26A71"/>
    <w:rsid w:val="00A275DF"/>
    <w:rsid w:val="00A27D51"/>
    <w:rsid w:val="00A3004F"/>
    <w:rsid w:val="00A3018B"/>
    <w:rsid w:val="00A309B2"/>
    <w:rsid w:val="00A3241D"/>
    <w:rsid w:val="00A338D2"/>
    <w:rsid w:val="00A34F29"/>
    <w:rsid w:val="00A37039"/>
    <w:rsid w:val="00A373F4"/>
    <w:rsid w:val="00A40623"/>
    <w:rsid w:val="00A407ED"/>
    <w:rsid w:val="00A40A28"/>
    <w:rsid w:val="00A40D16"/>
    <w:rsid w:val="00A414E1"/>
    <w:rsid w:val="00A422DA"/>
    <w:rsid w:val="00A427BD"/>
    <w:rsid w:val="00A42FFE"/>
    <w:rsid w:val="00A4412D"/>
    <w:rsid w:val="00A44656"/>
    <w:rsid w:val="00A46FC7"/>
    <w:rsid w:val="00A47FD9"/>
    <w:rsid w:val="00A50E43"/>
    <w:rsid w:val="00A51C44"/>
    <w:rsid w:val="00A5277D"/>
    <w:rsid w:val="00A5281F"/>
    <w:rsid w:val="00A53F17"/>
    <w:rsid w:val="00A54088"/>
    <w:rsid w:val="00A5524C"/>
    <w:rsid w:val="00A56679"/>
    <w:rsid w:val="00A56B34"/>
    <w:rsid w:val="00A56DB8"/>
    <w:rsid w:val="00A57E37"/>
    <w:rsid w:val="00A60563"/>
    <w:rsid w:val="00A60FC0"/>
    <w:rsid w:val="00A6227C"/>
    <w:rsid w:val="00A631C3"/>
    <w:rsid w:val="00A63F90"/>
    <w:rsid w:val="00A63FEE"/>
    <w:rsid w:val="00A6622A"/>
    <w:rsid w:val="00A662CF"/>
    <w:rsid w:val="00A663F0"/>
    <w:rsid w:val="00A66616"/>
    <w:rsid w:val="00A66699"/>
    <w:rsid w:val="00A66799"/>
    <w:rsid w:val="00A66D7A"/>
    <w:rsid w:val="00A707E3"/>
    <w:rsid w:val="00A71429"/>
    <w:rsid w:val="00A7169E"/>
    <w:rsid w:val="00A71FFB"/>
    <w:rsid w:val="00A72FB4"/>
    <w:rsid w:val="00A736FD"/>
    <w:rsid w:val="00A743CB"/>
    <w:rsid w:val="00A752FB"/>
    <w:rsid w:val="00A754B5"/>
    <w:rsid w:val="00A76E6E"/>
    <w:rsid w:val="00A7717F"/>
    <w:rsid w:val="00A8112F"/>
    <w:rsid w:val="00A8155A"/>
    <w:rsid w:val="00A816C6"/>
    <w:rsid w:val="00A81CB3"/>
    <w:rsid w:val="00A8236A"/>
    <w:rsid w:val="00A82435"/>
    <w:rsid w:val="00A831DA"/>
    <w:rsid w:val="00A84325"/>
    <w:rsid w:val="00A860CC"/>
    <w:rsid w:val="00A86407"/>
    <w:rsid w:val="00A8676C"/>
    <w:rsid w:val="00A874C9"/>
    <w:rsid w:val="00A87AA3"/>
    <w:rsid w:val="00A87AFB"/>
    <w:rsid w:val="00A87C1F"/>
    <w:rsid w:val="00A9017D"/>
    <w:rsid w:val="00A90242"/>
    <w:rsid w:val="00A917DF"/>
    <w:rsid w:val="00A91E40"/>
    <w:rsid w:val="00A92378"/>
    <w:rsid w:val="00A9456A"/>
    <w:rsid w:val="00A9471D"/>
    <w:rsid w:val="00A94F2D"/>
    <w:rsid w:val="00A95893"/>
    <w:rsid w:val="00A97263"/>
    <w:rsid w:val="00A976E1"/>
    <w:rsid w:val="00AA053F"/>
    <w:rsid w:val="00AA05C5"/>
    <w:rsid w:val="00AA0D88"/>
    <w:rsid w:val="00AA176A"/>
    <w:rsid w:val="00AA20A6"/>
    <w:rsid w:val="00AA2600"/>
    <w:rsid w:val="00AA2A81"/>
    <w:rsid w:val="00AA2C2D"/>
    <w:rsid w:val="00AA3936"/>
    <w:rsid w:val="00AA3B81"/>
    <w:rsid w:val="00AA44D8"/>
    <w:rsid w:val="00AA490E"/>
    <w:rsid w:val="00AA54A1"/>
    <w:rsid w:val="00AA5F18"/>
    <w:rsid w:val="00AA6FB6"/>
    <w:rsid w:val="00AA72F9"/>
    <w:rsid w:val="00AB0054"/>
    <w:rsid w:val="00AB0162"/>
    <w:rsid w:val="00AB22AB"/>
    <w:rsid w:val="00AB23AD"/>
    <w:rsid w:val="00AB2C73"/>
    <w:rsid w:val="00AB2E0B"/>
    <w:rsid w:val="00AB3180"/>
    <w:rsid w:val="00AB38E3"/>
    <w:rsid w:val="00AB4B8D"/>
    <w:rsid w:val="00AB51D4"/>
    <w:rsid w:val="00AB57F8"/>
    <w:rsid w:val="00AB58A8"/>
    <w:rsid w:val="00AB5DE8"/>
    <w:rsid w:val="00AB65D9"/>
    <w:rsid w:val="00AB751B"/>
    <w:rsid w:val="00AB79CB"/>
    <w:rsid w:val="00AC260C"/>
    <w:rsid w:val="00AC263B"/>
    <w:rsid w:val="00AC3236"/>
    <w:rsid w:val="00AC3C70"/>
    <w:rsid w:val="00AC56E1"/>
    <w:rsid w:val="00AC5C89"/>
    <w:rsid w:val="00AC69EC"/>
    <w:rsid w:val="00AC7444"/>
    <w:rsid w:val="00AC7B1A"/>
    <w:rsid w:val="00AD0203"/>
    <w:rsid w:val="00AD27AB"/>
    <w:rsid w:val="00AD2CF9"/>
    <w:rsid w:val="00AD37C5"/>
    <w:rsid w:val="00AD3B53"/>
    <w:rsid w:val="00AD3C6C"/>
    <w:rsid w:val="00AD487E"/>
    <w:rsid w:val="00AD4D36"/>
    <w:rsid w:val="00AD6728"/>
    <w:rsid w:val="00AD6E06"/>
    <w:rsid w:val="00AD74B1"/>
    <w:rsid w:val="00AE005A"/>
    <w:rsid w:val="00AE039E"/>
    <w:rsid w:val="00AE318C"/>
    <w:rsid w:val="00AE3C70"/>
    <w:rsid w:val="00AE4CEE"/>
    <w:rsid w:val="00AE5939"/>
    <w:rsid w:val="00AE71B6"/>
    <w:rsid w:val="00AF0A81"/>
    <w:rsid w:val="00AF0C0B"/>
    <w:rsid w:val="00AF1FBC"/>
    <w:rsid w:val="00AF324E"/>
    <w:rsid w:val="00AF349E"/>
    <w:rsid w:val="00AF4217"/>
    <w:rsid w:val="00AF5500"/>
    <w:rsid w:val="00AF5A59"/>
    <w:rsid w:val="00AF5BB4"/>
    <w:rsid w:val="00AF5EBE"/>
    <w:rsid w:val="00AF6272"/>
    <w:rsid w:val="00AF7ECC"/>
    <w:rsid w:val="00B00042"/>
    <w:rsid w:val="00B0149E"/>
    <w:rsid w:val="00B0194B"/>
    <w:rsid w:val="00B0242D"/>
    <w:rsid w:val="00B02CD7"/>
    <w:rsid w:val="00B04F7C"/>
    <w:rsid w:val="00B05537"/>
    <w:rsid w:val="00B05BA3"/>
    <w:rsid w:val="00B05EC7"/>
    <w:rsid w:val="00B063B7"/>
    <w:rsid w:val="00B06520"/>
    <w:rsid w:val="00B06693"/>
    <w:rsid w:val="00B11151"/>
    <w:rsid w:val="00B134ED"/>
    <w:rsid w:val="00B137AD"/>
    <w:rsid w:val="00B13AE4"/>
    <w:rsid w:val="00B13BFA"/>
    <w:rsid w:val="00B13FDB"/>
    <w:rsid w:val="00B140AA"/>
    <w:rsid w:val="00B17320"/>
    <w:rsid w:val="00B17E6E"/>
    <w:rsid w:val="00B20158"/>
    <w:rsid w:val="00B208C7"/>
    <w:rsid w:val="00B21273"/>
    <w:rsid w:val="00B22C6D"/>
    <w:rsid w:val="00B22DF4"/>
    <w:rsid w:val="00B23E23"/>
    <w:rsid w:val="00B267C6"/>
    <w:rsid w:val="00B26967"/>
    <w:rsid w:val="00B26F4C"/>
    <w:rsid w:val="00B300F5"/>
    <w:rsid w:val="00B30B7F"/>
    <w:rsid w:val="00B310F4"/>
    <w:rsid w:val="00B320A7"/>
    <w:rsid w:val="00B3248C"/>
    <w:rsid w:val="00B334CC"/>
    <w:rsid w:val="00B34839"/>
    <w:rsid w:val="00B35279"/>
    <w:rsid w:val="00B352F0"/>
    <w:rsid w:val="00B355F8"/>
    <w:rsid w:val="00B36195"/>
    <w:rsid w:val="00B361C8"/>
    <w:rsid w:val="00B3645D"/>
    <w:rsid w:val="00B368C5"/>
    <w:rsid w:val="00B36E3A"/>
    <w:rsid w:val="00B37FF0"/>
    <w:rsid w:val="00B42129"/>
    <w:rsid w:val="00B42517"/>
    <w:rsid w:val="00B42CF2"/>
    <w:rsid w:val="00B43C52"/>
    <w:rsid w:val="00B43DA4"/>
    <w:rsid w:val="00B455AB"/>
    <w:rsid w:val="00B457C7"/>
    <w:rsid w:val="00B47117"/>
    <w:rsid w:val="00B47C75"/>
    <w:rsid w:val="00B47D65"/>
    <w:rsid w:val="00B50940"/>
    <w:rsid w:val="00B50AA8"/>
    <w:rsid w:val="00B51860"/>
    <w:rsid w:val="00B51BBE"/>
    <w:rsid w:val="00B52BB7"/>
    <w:rsid w:val="00B537B7"/>
    <w:rsid w:val="00B5404D"/>
    <w:rsid w:val="00B543AC"/>
    <w:rsid w:val="00B5454F"/>
    <w:rsid w:val="00B54964"/>
    <w:rsid w:val="00B5661D"/>
    <w:rsid w:val="00B57325"/>
    <w:rsid w:val="00B578F2"/>
    <w:rsid w:val="00B601FA"/>
    <w:rsid w:val="00B647F6"/>
    <w:rsid w:val="00B64827"/>
    <w:rsid w:val="00B64AF6"/>
    <w:rsid w:val="00B64CD9"/>
    <w:rsid w:val="00B653A5"/>
    <w:rsid w:val="00B65813"/>
    <w:rsid w:val="00B663E3"/>
    <w:rsid w:val="00B67ED9"/>
    <w:rsid w:val="00B705D8"/>
    <w:rsid w:val="00B71853"/>
    <w:rsid w:val="00B728D9"/>
    <w:rsid w:val="00B73203"/>
    <w:rsid w:val="00B754E1"/>
    <w:rsid w:val="00B75A27"/>
    <w:rsid w:val="00B75C64"/>
    <w:rsid w:val="00B75F4E"/>
    <w:rsid w:val="00B7681B"/>
    <w:rsid w:val="00B77FB7"/>
    <w:rsid w:val="00B800A0"/>
    <w:rsid w:val="00B8027E"/>
    <w:rsid w:val="00B80A52"/>
    <w:rsid w:val="00B816AC"/>
    <w:rsid w:val="00B8277B"/>
    <w:rsid w:val="00B83D8B"/>
    <w:rsid w:val="00B86AC9"/>
    <w:rsid w:val="00B86CC8"/>
    <w:rsid w:val="00B86FAB"/>
    <w:rsid w:val="00B86FCC"/>
    <w:rsid w:val="00B874BC"/>
    <w:rsid w:val="00B87BB0"/>
    <w:rsid w:val="00B87DDE"/>
    <w:rsid w:val="00B93EFE"/>
    <w:rsid w:val="00B94EC5"/>
    <w:rsid w:val="00B94F90"/>
    <w:rsid w:val="00B9584D"/>
    <w:rsid w:val="00B96699"/>
    <w:rsid w:val="00B9721B"/>
    <w:rsid w:val="00B979CF"/>
    <w:rsid w:val="00B979FF"/>
    <w:rsid w:val="00B97A4D"/>
    <w:rsid w:val="00BA14C6"/>
    <w:rsid w:val="00BA1D86"/>
    <w:rsid w:val="00BA36E2"/>
    <w:rsid w:val="00BA3B84"/>
    <w:rsid w:val="00BA4A6F"/>
    <w:rsid w:val="00BA5BD1"/>
    <w:rsid w:val="00BA65FE"/>
    <w:rsid w:val="00BA6FBE"/>
    <w:rsid w:val="00BA7079"/>
    <w:rsid w:val="00BA78EA"/>
    <w:rsid w:val="00BA7CE5"/>
    <w:rsid w:val="00BB0091"/>
    <w:rsid w:val="00BB0650"/>
    <w:rsid w:val="00BB0912"/>
    <w:rsid w:val="00BB1A34"/>
    <w:rsid w:val="00BB22BB"/>
    <w:rsid w:val="00BB471B"/>
    <w:rsid w:val="00BB48AA"/>
    <w:rsid w:val="00BB4AF0"/>
    <w:rsid w:val="00BB52C8"/>
    <w:rsid w:val="00BB5CD0"/>
    <w:rsid w:val="00BB5D5A"/>
    <w:rsid w:val="00BB5EFF"/>
    <w:rsid w:val="00BB642A"/>
    <w:rsid w:val="00BB65ED"/>
    <w:rsid w:val="00BC229F"/>
    <w:rsid w:val="00BC2A2A"/>
    <w:rsid w:val="00BC3004"/>
    <w:rsid w:val="00BC3BD1"/>
    <w:rsid w:val="00BC3E65"/>
    <w:rsid w:val="00BC4471"/>
    <w:rsid w:val="00BC4C99"/>
    <w:rsid w:val="00BC5162"/>
    <w:rsid w:val="00BC54E3"/>
    <w:rsid w:val="00BC5839"/>
    <w:rsid w:val="00BC5954"/>
    <w:rsid w:val="00BC5A01"/>
    <w:rsid w:val="00BC67BA"/>
    <w:rsid w:val="00BC7450"/>
    <w:rsid w:val="00BC7804"/>
    <w:rsid w:val="00BC7F5A"/>
    <w:rsid w:val="00BD2466"/>
    <w:rsid w:val="00BD26FA"/>
    <w:rsid w:val="00BD3832"/>
    <w:rsid w:val="00BD3BD4"/>
    <w:rsid w:val="00BD568F"/>
    <w:rsid w:val="00BD5B08"/>
    <w:rsid w:val="00BD60D2"/>
    <w:rsid w:val="00BD63BA"/>
    <w:rsid w:val="00BD776B"/>
    <w:rsid w:val="00BD79F7"/>
    <w:rsid w:val="00BE131B"/>
    <w:rsid w:val="00BE1CD9"/>
    <w:rsid w:val="00BE25C3"/>
    <w:rsid w:val="00BE2691"/>
    <w:rsid w:val="00BE2912"/>
    <w:rsid w:val="00BE2ABB"/>
    <w:rsid w:val="00BE3166"/>
    <w:rsid w:val="00BE411C"/>
    <w:rsid w:val="00BE4A20"/>
    <w:rsid w:val="00BE5170"/>
    <w:rsid w:val="00BE52E2"/>
    <w:rsid w:val="00BE5FD5"/>
    <w:rsid w:val="00BE644B"/>
    <w:rsid w:val="00BE75B1"/>
    <w:rsid w:val="00BE7653"/>
    <w:rsid w:val="00BE78BC"/>
    <w:rsid w:val="00BE7A2E"/>
    <w:rsid w:val="00BF0873"/>
    <w:rsid w:val="00BF2FD9"/>
    <w:rsid w:val="00BF320F"/>
    <w:rsid w:val="00BF48B5"/>
    <w:rsid w:val="00BF4C4A"/>
    <w:rsid w:val="00BF4F6E"/>
    <w:rsid w:val="00BF567E"/>
    <w:rsid w:val="00BF6127"/>
    <w:rsid w:val="00BF732A"/>
    <w:rsid w:val="00BF7A03"/>
    <w:rsid w:val="00C012D0"/>
    <w:rsid w:val="00C01E4E"/>
    <w:rsid w:val="00C01E83"/>
    <w:rsid w:val="00C02FC3"/>
    <w:rsid w:val="00C030AE"/>
    <w:rsid w:val="00C039F4"/>
    <w:rsid w:val="00C03B8E"/>
    <w:rsid w:val="00C04979"/>
    <w:rsid w:val="00C04B2D"/>
    <w:rsid w:val="00C0561F"/>
    <w:rsid w:val="00C0567D"/>
    <w:rsid w:val="00C05682"/>
    <w:rsid w:val="00C108E9"/>
    <w:rsid w:val="00C10F37"/>
    <w:rsid w:val="00C1122E"/>
    <w:rsid w:val="00C117DE"/>
    <w:rsid w:val="00C11CEA"/>
    <w:rsid w:val="00C14D30"/>
    <w:rsid w:val="00C14FA2"/>
    <w:rsid w:val="00C15422"/>
    <w:rsid w:val="00C15FCF"/>
    <w:rsid w:val="00C1633F"/>
    <w:rsid w:val="00C16588"/>
    <w:rsid w:val="00C16C56"/>
    <w:rsid w:val="00C16E97"/>
    <w:rsid w:val="00C20A4D"/>
    <w:rsid w:val="00C216B3"/>
    <w:rsid w:val="00C21890"/>
    <w:rsid w:val="00C21C74"/>
    <w:rsid w:val="00C2247C"/>
    <w:rsid w:val="00C2321A"/>
    <w:rsid w:val="00C241D5"/>
    <w:rsid w:val="00C243E1"/>
    <w:rsid w:val="00C245D5"/>
    <w:rsid w:val="00C255CA"/>
    <w:rsid w:val="00C26F9D"/>
    <w:rsid w:val="00C2753B"/>
    <w:rsid w:val="00C277A0"/>
    <w:rsid w:val="00C27EFF"/>
    <w:rsid w:val="00C30866"/>
    <w:rsid w:val="00C31576"/>
    <w:rsid w:val="00C31E36"/>
    <w:rsid w:val="00C32207"/>
    <w:rsid w:val="00C323FC"/>
    <w:rsid w:val="00C3281E"/>
    <w:rsid w:val="00C335BA"/>
    <w:rsid w:val="00C36CC7"/>
    <w:rsid w:val="00C375E0"/>
    <w:rsid w:val="00C4014C"/>
    <w:rsid w:val="00C40564"/>
    <w:rsid w:val="00C40B73"/>
    <w:rsid w:val="00C41F4C"/>
    <w:rsid w:val="00C41FE7"/>
    <w:rsid w:val="00C43292"/>
    <w:rsid w:val="00C438EF"/>
    <w:rsid w:val="00C4444B"/>
    <w:rsid w:val="00C445B6"/>
    <w:rsid w:val="00C447D0"/>
    <w:rsid w:val="00C45717"/>
    <w:rsid w:val="00C45F3B"/>
    <w:rsid w:val="00C46BE4"/>
    <w:rsid w:val="00C46E5F"/>
    <w:rsid w:val="00C46E65"/>
    <w:rsid w:val="00C4725F"/>
    <w:rsid w:val="00C47442"/>
    <w:rsid w:val="00C478CF"/>
    <w:rsid w:val="00C47AF6"/>
    <w:rsid w:val="00C50555"/>
    <w:rsid w:val="00C50A0B"/>
    <w:rsid w:val="00C51B31"/>
    <w:rsid w:val="00C53039"/>
    <w:rsid w:val="00C53366"/>
    <w:rsid w:val="00C5364D"/>
    <w:rsid w:val="00C53EA2"/>
    <w:rsid w:val="00C5413F"/>
    <w:rsid w:val="00C545AC"/>
    <w:rsid w:val="00C575C5"/>
    <w:rsid w:val="00C57C45"/>
    <w:rsid w:val="00C606DD"/>
    <w:rsid w:val="00C60943"/>
    <w:rsid w:val="00C60C5F"/>
    <w:rsid w:val="00C61F59"/>
    <w:rsid w:val="00C63A0D"/>
    <w:rsid w:val="00C64706"/>
    <w:rsid w:val="00C650FB"/>
    <w:rsid w:val="00C6523B"/>
    <w:rsid w:val="00C652C6"/>
    <w:rsid w:val="00C66220"/>
    <w:rsid w:val="00C675D9"/>
    <w:rsid w:val="00C702E3"/>
    <w:rsid w:val="00C70722"/>
    <w:rsid w:val="00C70F9A"/>
    <w:rsid w:val="00C714D8"/>
    <w:rsid w:val="00C71B5E"/>
    <w:rsid w:val="00C71F9C"/>
    <w:rsid w:val="00C724BF"/>
    <w:rsid w:val="00C72645"/>
    <w:rsid w:val="00C72E5B"/>
    <w:rsid w:val="00C735F1"/>
    <w:rsid w:val="00C7413C"/>
    <w:rsid w:val="00C74768"/>
    <w:rsid w:val="00C75CA9"/>
    <w:rsid w:val="00C75E68"/>
    <w:rsid w:val="00C7637B"/>
    <w:rsid w:val="00C76AD3"/>
    <w:rsid w:val="00C76CC2"/>
    <w:rsid w:val="00C76D7A"/>
    <w:rsid w:val="00C77527"/>
    <w:rsid w:val="00C777FC"/>
    <w:rsid w:val="00C77B78"/>
    <w:rsid w:val="00C77E50"/>
    <w:rsid w:val="00C8042A"/>
    <w:rsid w:val="00C81856"/>
    <w:rsid w:val="00C83599"/>
    <w:rsid w:val="00C8479C"/>
    <w:rsid w:val="00C84871"/>
    <w:rsid w:val="00C84E68"/>
    <w:rsid w:val="00C86054"/>
    <w:rsid w:val="00C86487"/>
    <w:rsid w:val="00C869A2"/>
    <w:rsid w:val="00C86C47"/>
    <w:rsid w:val="00C86D00"/>
    <w:rsid w:val="00C8752B"/>
    <w:rsid w:val="00C879A6"/>
    <w:rsid w:val="00C87CED"/>
    <w:rsid w:val="00C903B4"/>
    <w:rsid w:val="00C90E6F"/>
    <w:rsid w:val="00C916DD"/>
    <w:rsid w:val="00C9300F"/>
    <w:rsid w:val="00C930F9"/>
    <w:rsid w:val="00C943C5"/>
    <w:rsid w:val="00C956A5"/>
    <w:rsid w:val="00C95C32"/>
    <w:rsid w:val="00C9702E"/>
    <w:rsid w:val="00C977ED"/>
    <w:rsid w:val="00C97F0F"/>
    <w:rsid w:val="00CA0D0C"/>
    <w:rsid w:val="00CA1CAB"/>
    <w:rsid w:val="00CA2663"/>
    <w:rsid w:val="00CA3276"/>
    <w:rsid w:val="00CA3540"/>
    <w:rsid w:val="00CA4108"/>
    <w:rsid w:val="00CA4803"/>
    <w:rsid w:val="00CA4862"/>
    <w:rsid w:val="00CA50CF"/>
    <w:rsid w:val="00CA6DAD"/>
    <w:rsid w:val="00CA797A"/>
    <w:rsid w:val="00CB1877"/>
    <w:rsid w:val="00CB58D8"/>
    <w:rsid w:val="00CB5BF2"/>
    <w:rsid w:val="00CB653F"/>
    <w:rsid w:val="00CB70D3"/>
    <w:rsid w:val="00CB73D1"/>
    <w:rsid w:val="00CC0325"/>
    <w:rsid w:val="00CC22FC"/>
    <w:rsid w:val="00CC2566"/>
    <w:rsid w:val="00CC2A85"/>
    <w:rsid w:val="00CC37A8"/>
    <w:rsid w:val="00CC420A"/>
    <w:rsid w:val="00CC435D"/>
    <w:rsid w:val="00CC6037"/>
    <w:rsid w:val="00CD0FFC"/>
    <w:rsid w:val="00CD2126"/>
    <w:rsid w:val="00CE09D6"/>
    <w:rsid w:val="00CE0AB5"/>
    <w:rsid w:val="00CE0DFA"/>
    <w:rsid w:val="00CE14F1"/>
    <w:rsid w:val="00CE1749"/>
    <w:rsid w:val="00CE1F7C"/>
    <w:rsid w:val="00CE2C07"/>
    <w:rsid w:val="00CE33AB"/>
    <w:rsid w:val="00CE3B21"/>
    <w:rsid w:val="00CE5847"/>
    <w:rsid w:val="00CE58F9"/>
    <w:rsid w:val="00CE7BF6"/>
    <w:rsid w:val="00CF001A"/>
    <w:rsid w:val="00CF1C41"/>
    <w:rsid w:val="00CF2B7F"/>
    <w:rsid w:val="00CF2DFD"/>
    <w:rsid w:val="00CF31FB"/>
    <w:rsid w:val="00CF499E"/>
    <w:rsid w:val="00CF4A2E"/>
    <w:rsid w:val="00CF57B1"/>
    <w:rsid w:val="00CF69B1"/>
    <w:rsid w:val="00CF6AAD"/>
    <w:rsid w:val="00CF6C15"/>
    <w:rsid w:val="00D00069"/>
    <w:rsid w:val="00D00CAA"/>
    <w:rsid w:val="00D01113"/>
    <w:rsid w:val="00D02C4C"/>
    <w:rsid w:val="00D030B1"/>
    <w:rsid w:val="00D03E46"/>
    <w:rsid w:val="00D045D7"/>
    <w:rsid w:val="00D0471A"/>
    <w:rsid w:val="00D050AD"/>
    <w:rsid w:val="00D06B37"/>
    <w:rsid w:val="00D11AB6"/>
    <w:rsid w:val="00D11FF9"/>
    <w:rsid w:val="00D127BE"/>
    <w:rsid w:val="00D132FF"/>
    <w:rsid w:val="00D133AC"/>
    <w:rsid w:val="00D13996"/>
    <w:rsid w:val="00D14BFE"/>
    <w:rsid w:val="00D14E5B"/>
    <w:rsid w:val="00D153F6"/>
    <w:rsid w:val="00D1540A"/>
    <w:rsid w:val="00D15CA3"/>
    <w:rsid w:val="00D15CFB"/>
    <w:rsid w:val="00D15D17"/>
    <w:rsid w:val="00D169A4"/>
    <w:rsid w:val="00D17418"/>
    <w:rsid w:val="00D21009"/>
    <w:rsid w:val="00D21449"/>
    <w:rsid w:val="00D214B8"/>
    <w:rsid w:val="00D216F3"/>
    <w:rsid w:val="00D21BA4"/>
    <w:rsid w:val="00D21C91"/>
    <w:rsid w:val="00D22765"/>
    <w:rsid w:val="00D24154"/>
    <w:rsid w:val="00D24B43"/>
    <w:rsid w:val="00D2561F"/>
    <w:rsid w:val="00D25DE4"/>
    <w:rsid w:val="00D268D0"/>
    <w:rsid w:val="00D2723C"/>
    <w:rsid w:val="00D30271"/>
    <w:rsid w:val="00D3037B"/>
    <w:rsid w:val="00D306A9"/>
    <w:rsid w:val="00D31584"/>
    <w:rsid w:val="00D3176A"/>
    <w:rsid w:val="00D31B89"/>
    <w:rsid w:val="00D32674"/>
    <w:rsid w:val="00D32E68"/>
    <w:rsid w:val="00D339BD"/>
    <w:rsid w:val="00D343B3"/>
    <w:rsid w:val="00D34610"/>
    <w:rsid w:val="00D36D17"/>
    <w:rsid w:val="00D36F20"/>
    <w:rsid w:val="00D40A27"/>
    <w:rsid w:val="00D40F26"/>
    <w:rsid w:val="00D4187A"/>
    <w:rsid w:val="00D42E2C"/>
    <w:rsid w:val="00D4369A"/>
    <w:rsid w:val="00D43747"/>
    <w:rsid w:val="00D43B59"/>
    <w:rsid w:val="00D43DF0"/>
    <w:rsid w:val="00D441CB"/>
    <w:rsid w:val="00D451AD"/>
    <w:rsid w:val="00D4532F"/>
    <w:rsid w:val="00D45433"/>
    <w:rsid w:val="00D45735"/>
    <w:rsid w:val="00D45A15"/>
    <w:rsid w:val="00D45DD9"/>
    <w:rsid w:val="00D46267"/>
    <w:rsid w:val="00D46600"/>
    <w:rsid w:val="00D46FAD"/>
    <w:rsid w:val="00D4704A"/>
    <w:rsid w:val="00D476C9"/>
    <w:rsid w:val="00D479AB"/>
    <w:rsid w:val="00D47E5D"/>
    <w:rsid w:val="00D47EBD"/>
    <w:rsid w:val="00D47F40"/>
    <w:rsid w:val="00D500B0"/>
    <w:rsid w:val="00D5161E"/>
    <w:rsid w:val="00D51B15"/>
    <w:rsid w:val="00D52F77"/>
    <w:rsid w:val="00D533E2"/>
    <w:rsid w:val="00D5405F"/>
    <w:rsid w:val="00D541BC"/>
    <w:rsid w:val="00D567A0"/>
    <w:rsid w:val="00D57B51"/>
    <w:rsid w:val="00D57B5E"/>
    <w:rsid w:val="00D6007D"/>
    <w:rsid w:val="00D613EE"/>
    <w:rsid w:val="00D61BDC"/>
    <w:rsid w:val="00D62BB8"/>
    <w:rsid w:val="00D631C5"/>
    <w:rsid w:val="00D63866"/>
    <w:rsid w:val="00D66A56"/>
    <w:rsid w:val="00D66DC3"/>
    <w:rsid w:val="00D670D9"/>
    <w:rsid w:val="00D6777A"/>
    <w:rsid w:val="00D67986"/>
    <w:rsid w:val="00D70B4C"/>
    <w:rsid w:val="00D70BBE"/>
    <w:rsid w:val="00D72360"/>
    <w:rsid w:val="00D73F10"/>
    <w:rsid w:val="00D73F4F"/>
    <w:rsid w:val="00D73FF3"/>
    <w:rsid w:val="00D741BD"/>
    <w:rsid w:val="00D7448A"/>
    <w:rsid w:val="00D747EC"/>
    <w:rsid w:val="00D74C22"/>
    <w:rsid w:val="00D75C1B"/>
    <w:rsid w:val="00D75E30"/>
    <w:rsid w:val="00D7614F"/>
    <w:rsid w:val="00D7655A"/>
    <w:rsid w:val="00D773EF"/>
    <w:rsid w:val="00D77441"/>
    <w:rsid w:val="00D8067C"/>
    <w:rsid w:val="00D80CC0"/>
    <w:rsid w:val="00D8131F"/>
    <w:rsid w:val="00D8208C"/>
    <w:rsid w:val="00D8254C"/>
    <w:rsid w:val="00D82C89"/>
    <w:rsid w:val="00D83D30"/>
    <w:rsid w:val="00D84018"/>
    <w:rsid w:val="00D85323"/>
    <w:rsid w:val="00D8584A"/>
    <w:rsid w:val="00D8710C"/>
    <w:rsid w:val="00D9026B"/>
    <w:rsid w:val="00D905CB"/>
    <w:rsid w:val="00D90948"/>
    <w:rsid w:val="00D90B75"/>
    <w:rsid w:val="00D90BC6"/>
    <w:rsid w:val="00D931AD"/>
    <w:rsid w:val="00D9515B"/>
    <w:rsid w:val="00D9623F"/>
    <w:rsid w:val="00D97C66"/>
    <w:rsid w:val="00DA0130"/>
    <w:rsid w:val="00DA014A"/>
    <w:rsid w:val="00DA02C6"/>
    <w:rsid w:val="00DA0DB3"/>
    <w:rsid w:val="00DA2346"/>
    <w:rsid w:val="00DA2963"/>
    <w:rsid w:val="00DA334D"/>
    <w:rsid w:val="00DA4E28"/>
    <w:rsid w:val="00DA604B"/>
    <w:rsid w:val="00DA6E39"/>
    <w:rsid w:val="00DA6EE8"/>
    <w:rsid w:val="00DB0F7C"/>
    <w:rsid w:val="00DB2806"/>
    <w:rsid w:val="00DB31F5"/>
    <w:rsid w:val="00DB3C4C"/>
    <w:rsid w:val="00DB5165"/>
    <w:rsid w:val="00DB5203"/>
    <w:rsid w:val="00DB581E"/>
    <w:rsid w:val="00DB6142"/>
    <w:rsid w:val="00DB62EC"/>
    <w:rsid w:val="00DB637E"/>
    <w:rsid w:val="00DB688C"/>
    <w:rsid w:val="00DB7C1E"/>
    <w:rsid w:val="00DC0A3F"/>
    <w:rsid w:val="00DC127D"/>
    <w:rsid w:val="00DC1545"/>
    <w:rsid w:val="00DC3200"/>
    <w:rsid w:val="00DC3CD1"/>
    <w:rsid w:val="00DC3FFE"/>
    <w:rsid w:val="00DC5A8E"/>
    <w:rsid w:val="00DC6279"/>
    <w:rsid w:val="00DC652B"/>
    <w:rsid w:val="00DC7451"/>
    <w:rsid w:val="00DC756D"/>
    <w:rsid w:val="00DC7ABA"/>
    <w:rsid w:val="00DC7D04"/>
    <w:rsid w:val="00DD004D"/>
    <w:rsid w:val="00DD02AE"/>
    <w:rsid w:val="00DD0300"/>
    <w:rsid w:val="00DD072C"/>
    <w:rsid w:val="00DD2FAA"/>
    <w:rsid w:val="00DD2FB0"/>
    <w:rsid w:val="00DD343E"/>
    <w:rsid w:val="00DD3832"/>
    <w:rsid w:val="00DD3FEF"/>
    <w:rsid w:val="00DD5297"/>
    <w:rsid w:val="00DD52AD"/>
    <w:rsid w:val="00DD532D"/>
    <w:rsid w:val="00DD536E"/>
    <w:rsid w:val="00DD61F2"/>
    <w:rsid w:val="00DD65BB"/>
    <w:rsid w:val="00DD66EE"/>
    <w:rsid w:val="00DD6B2B"/>
    <w:rsid w:val="00DD7D4F"/>
    <w:rsid w:val="00DE097E"/>
    <w:rsid w:val="00DE3C0C"/>
    <w:rsid w:val="00DE5576"/>
    <w:rsid w:val="00DE63E7"/>
    <w:rsid w:val="00DE7F79"/>
    <w:rsid w:val="00DF045F"/>
    <w:rsid w:val="00DF1862"/>
    <w:rsid w:val="00DF3289"/>
    <w:rsid w:val="00DF3EA9"/>
    <w:rsid w:val="00DF6C99"/>
    <w:rsid w:val="00DF725D"/>
    <w:rsid w:val="00E00E15"/>
    <w:rsid w:val="00E017E8"/>
    <w:rsid w:val="00E02355"/>
    <w:rsid w:val="00E0282B"/>
    <w:rsid w:val="00E0387A"/>
    <w:rsid w:val="00E03B0D"/>
    <w:rsid w:val="00E04070"/>
    <w:rsid w:val="00E04877"/>
    <w:rsid w:val="00E052DE"/>
    <w:rsid w:val="00E05CC9"/>
    <w:rsid w:val="00E05F23"/>
    <w:rsid w:val="00E0794B"/>
    <w:rsid w:val="00E10CDC"/>
    <w:rsid w:val="00E11513"/>
    <w:rsid w:val="00E118D4"/>
    <w:rsid w:val="00E11DDB"/>
    <w:rsid w:val="00E122F1"/>
    <w:rsid w:val="00E127DD"/>
    <w:rsid w:val="00E12806"/>
    <w:rsid w:val="00E13059"/>
    <w:rsid w:val="00E14F02"/>
    <w:rsid w:val="00E15E58"/>
    <w:rsid w:val="00E15EE0"/>
    <w:rsid w:val="00E16FA2"/>
    <w:rsid w:val="00E20DAA"/>
    <w:rsid w:val="00E21626"/>
    <w:rsid w:val="00E21689"/>
    <w:rsid w:val="00E21826"/>
    <w:rsid w:val="00E22166"/>
    <w:rsid w:val="00E223F2"/>
    <w:rsid w:val="00E228FA"/>
    <w:rsid w:val="00E2352D"/>
    <w:rsid w:val="00E251CB"/>
    <w:rsid w:val="00E26E9E"/>
    <w:rsid w:val="00E26FCC"/>
    <w:rsid w:val="00E27E01"/>
    <w:rsid w:val="00E30736"/>
    <w:rsid w:val="00E30DD8"/>
    <w:rsid w:val="00E31A12"/>
    <w:rsid w:val="00E32246"/>
    <w:rsid w:val="00E32F01"/>
    <w:rsid w:val="00E34149"/>
    <w:rsid w:val="00E3559F"/>
    <w:rsid w:val="00E35E41"/>
    <w:rsid w:val="00E3723D"/>
    <w:rsid w:val="00E37BEA"/>
    <w:rsid w:val="00E41225"/>
    <w:rsid w:val="00E42774"/>
    <w:rsid w:val="00E43D86"/>
    <w:rsid w:val="00E4509A"/>
    <w:rsid w:val="00E45350"/>
    <w:rsid w:val="00E46AAD"/>
    <w:rsid w:val="00E46C2F"/>
    <w:rsid w:val="00E46EA5"/>
    <w:rsid w:val="00E50918"/>
    <w:rsid w:val="00E50DB0"/>
    <w:rsid w:val="00E53F32"/>
    <w:rsid w:val="00E54052"/>
    <w:rsid w:val="00E54074"/>
    <w:rsid w:val="00E5421A"/>
    <w:rsid w:val="00E55025"/>
    <w:rsid w:val="00E55A14"/>
    <w:rsid w:val="00E55AB0"/>
    <w:rsid w:val="00E56661"/>
    <w:rsid w:val="00E568FC"/>
    <w:rsid w:val="00E56A47"/>
    <w:rsid w:val="00E5762B"/>
    <w:rsid w:val="00E57737"/>
    <w:rsid w:val="00E61125"/>
    <w:rsid w:val="00E6194D"/>
    <w:rsid w:val="00E63D32"/>
    <w:rsid w:val="00E65E57"/>
    <w:rsid w:val="00E666FB"/>
    <w:rsid w:val="00E673B6"/>
    <w:rsid w:val="00E67F1F"/>
    <w:rsid w:val="00E70446"/>
    <w:rsid w:val="00E70D52"/>
    <w:rsid w:val="00E732EA"/>
    <w:rsid w:val="00E734DF"/>
    <w:rsid w:val="00E74879"/>
    <w:rsid w:val="00E75912"/>
    <w:rsid w:val="00E76E28"/>
    <w:rsid w:val="00E76EBE"/>
    <w:rsid w:val="00E76EEC"/>
    <w:rsid w:val="00E7713E"/>
    <w:rsid w:val="00E777DC"/>
    <w:rsid w:val="00E803C0"/>
    <w:rsid w:val="00E8061A"/>
    <w:rsid w:val="00E81021"/>
    <w:rsid w:val="00E815C4"/>
    <w:rsid w:val="00E81E1D"/>
    <w:rsid w:val="00E82145"/>
    <w:rsid w:val="00E8297B"/>
    <w:rsid w:val="00E83558"/>
    <w:rsid w:val="00E8430A"/>
    <w:rsid w:val="00E86D91"/>
    <w:rsid w:val="00E90497"/>
    <w:rsid w:val="00E90CED"/>
    <w:rsid w:val="00E915DB"/>
    <w:rsid w:val="00E9162A"/>
    <w:rsid w:val="00E91CCB"/>
    <w:rsid w:val="00E91FD2"/>
    <w:rsid w:val="00E92C45"/>
    <w:rsid w:val="00E94168"/>
    <w:rsid w:val="00E952BF"/>
    <w:rsid w:val="00E95FFE"/>
    <w:rsid w:val="00E96907"/>
    <w:rsid w:val="00E969C9"/>
    <w:rsid w:val="00E96A35"/>
    <w:rsid w:val="00EA0B1A"/>
    <w:rsid w:val="00EA1669"/>
    <w:rsid w:val="00EA177A"/>
    <w:rsid w:val="00EA1CD3"/>
    <w:rsid w:val="00EA261E"/>
    <w:rsid w:val="00EA292D"/>
    <w:rsid w:val="00EA2EB6"/>
    <w:rsid w:val="00EA38CA"/>
    <w:rsid w:val="00EA4789"/>
    <w:rsid w:val="00EA4FB1"/>
    <w:rsid w:val="00EA5617"/>
    <w:rsid w:val="00EA58A9"/>
    <w:rsid w:val="00EA6353"/>
    <w:rsid w:val="00EB0307"/>
    <w:rsid w:val="00EB0BDC"/>
    <w:rsid w:val="00EB0E8C"/>
    <w:rsid w:val="00EB0E8E"/>
    <w:rsid w:val="00EB1822"/>
    <w:rsid w:val="00EB1C61"/>
    <w:rsid w:val="00EB2569"/>
    <w:rsid w:val="00EB3263"/>
    <w:rsid w:val="00EB3DBC"/>
    <w:rsid w:val="00EB4219"/>
    <w:rsid w:val="00EB457C"/>
    <w:rsid w:val="00EB4EC9"/>
    <w:rsid w:val="00EB6CF1"/>
    <w:rsid w:val="00EC1C54"/>
    <w:rsid w:val="00EC234F"/>
    <w:rsid w:val="00EC3E40"/>
    <w:rsid w:val="00EC3E56"/>
    <w:rsid w:val="00EC539F"/>
    <w:rsid w:val="00EC58F7"/>
    <w:rsid w:val="00EC5EE4"/>
    <w:rsid w:val="00EC5F0C"/>
    <w:rsid w:val="00EC64A6"/>
    <w:rsid w:val="00ED0293"/>
    <w:rsid w:val="00ED07FC"/>
    <w:rsid w:val="00ED0A0A"/>
    <w:rsid w:val="00ED1595"/>
    <w:rsid w:val="00ED1BEF"/>
    <w:rsid w:val="00ED2BF4"/>
    <w:rsid w:val="00ED3555"/>
    <w:rsid w:val="00ED3628"/>
    <w:rsid w:val="00ED45E7"/>
    <w:rsid w:val="00ED4D32"/>
    <w:rsid w:val="00ED7068"/>
    <w:rsid w:val="00ED7604"/>
    <w:rsid w:val="00ED7CE1"/>
    <w:rsid w:val="00EE02FD"/>
    <w:rsid w:val="00EE0D10"/>
    <w:rsid w:val="00EE133E"/>
    <w:rsid w:val="00EE23A7"/>
    <w:rsid w:val="00EE319A"/>
    <w:rsid w:val="00EE3AD2"/>
    <w:rsid w:val="00EE4465"/>
    <w:rsid w:val="00EE45D1"/>
    <w:rsid w:val="00EE46E4"/>
    <w:rsid w:val="00EE4D2D"/>
    <w:rsid w:val="00EE5A03"/>
    <w:rsid w:val="00EE5CC6"/>
    <w:rsid w:val="00EE6974"/>
    <w:rsid w:val="00EE6C18"/>
    <w:rsid w:val="00EE6F58"/>
    <w:rsid w:val="00EE7606"/>
    <w:rsid w:val="00EE7788"/>
    <w:rsid w:val="00EE79DB"/>
    <w:rsid w:val="00EF0061"/>
    <w:rsid w:val="00EF2931"/>
    <w:rsid w:val="00EF2AF2"/>
    <w:rsid w:val="00EF4E8D"/>
    <w:rsid w:val="00EF5014"/>
    <w:rsid w:val="00EF55AE"/>
    <w:rsid w:val="00EF6482"/>
    <w:rsid w:val="00EF65CA"/>
    <w:rsid w:val="00EF6D3C"/>
    <w:rsid w:val="00EF7C07"/>
    <w:rsid w:val="00F00C4A"/>
    <w:rsid w:val="00F0138C"/>
    <w:rsid w:val="00F019DC"/>
    <w:rsid w:val="00F02065"/>
    <w:rsid w:val="00F025A7"/>
    <w:rsid w:val="00F02BCC"/>
    <w:rsid w:val="00F02CEA"/>
    <w:rsid w:val="00F033DE"/>
    <w:rsid w:val="00F034D2"/>
    <w:rsid w:val="00F04E13"/>
    <w:rsid w:val="00F05A0A"/>
    <w:rsid w:val="00F06AC8"/>
    <w:rsid w:val="00F06EC6"/>
    <w:rsid w:val="00F10752"/>
    <w:rsid w:val="00F1079D"/>
    <w:rsid w:val="00F10B23"/>
    <w:rsid w:val="00F11D30"/>
    <w:rsid w:val="00F12238"/>
    <w:rsid w:val="00F12B98"/>
    <w:rsid w:val="00F1312D"/>
    <w:rsid w:val="00F13CFD"/>
    <w:rsid w:val="00F13E6E"/>
    <w:rsid w:val="00F1747A"/>
    <w:rsid w:val="00F20347"/>
    <w:rsid w:val="00F236C2"/>
    <w:rsid w:val="00F24325"/>
    <w:rsid w:val="00F25745"/>
    <w:rsid w:val="00F301D1"/>
    <w:rsid w:val="00F30E86"/>
    <w:rsid w:val="00F3187F"/>
    <w:rsid w:val="00F319A1"/>
    <w:rsid w:val="00F31C2F"/>
    <w:rsid w:val="00F32A61"/>
    <w:rsid w:val="00F32C0E"/>
    <w:rsid w:val="00F3414F"/>
    <w:rsid w:val="00F34779"/>
    <w:rsid w:val="00F364C1"/>
    <w:rsid w:val="00F36632"/>
    <w:rsid w:val="00F4004D"/>
    <w:rsid w:val="00F43701"/>
    <w:rsid w:val="00F4478C"/>
    <w:rsid w:val="00F448F9"/>
    <w:rsid w:val="00F45A70"/>
    <w:rsid w:val="00F45C7E"/>
    <w:rsid w:val="00F45D7F"/>
    <w:rsid w:val="00F47C45"/>
    <w:rsid w:val="00F47DF6"/>
    <w:rsid w:val="00F50A7D"/>
    <w:rsid w:val="00F52117"/>
    <w:rsid w:val="00F526E6"/>
    <w:rsid w:val="00F536E9"/>
    <w:rsid w:val="00F5385C"/>
    <w:rsid w:val="00F53921"/>
    <w:rsid w:val="00F53A77"/>
    <w:rsid w:val="00F54387"/>
    <w:rsid w:val="00F54679"/>
    <w:rsid w:val="00F55BF0"/>
    <w:rsid w:val="00F55F27"/>
    <w:rsid w:val="00F5669B"/>
    <w:rsid w:val="00F5692C"/>
    <w:rsid w:val="00F569AC"/>
    <w:rsid w:val="00F604F0"/>
    <w:rsid w:val="00F6085F"/>
    <w:rsid w:val="00F62808"/>
    <w:rsid w:val="00F62AEE"/>
    <w:rsid w:val="00F64DBF"/>
    <w:rsid w:val="00F6534F"/>
    <w:rsid w:val="00F65656"/>
    <w:rsid w:val="00F6672C"/>
    <w:rsid w:val="00F66746"/>
    <w:rsid w:val="00F676C4"/>
    <w:rsid w:val="00F67FBF"/>
    <w:rsid w:val="00F727E6"/>
    <w:rsid w:val="00F728EF"/>
    <w:rsid w:val="00F74830"/>
    <w:rsid w:val="00F74D9A"/>
    <w:rsid w:val="00F76283"/>
    <w:rsid w:val="00F7789A"/>
    <w:rsid w:val="00F77F34"/>
    <w:rsid w:val="00F80367"/>
    <w:rsid w:val="00F81051"/>
    <w:rsid w:val="00F82989"/>
    <w:rsid w:val="00F831A8"/>
    <w:rsid w:val="00F83923"/>
    <w:rsid w:val="00F84A93"/>
    <w:rsid w:val="00F85120"/>
    <w:rsid w:val="00F8542D"/>
    <w:rsid w:val="00F8574F"/>
    <w:rsid w:val="00F861FF"/>
    <w:rsid w:val="00F8680C"/>
    <w:rsid w:val="00F87A99"/>
    <w:rsid w:val="00F87D39"/>
    <w:rsid w:val="00F917A7"/>
    <w:rsid w:val="00F927EC"/>
    <w:rsid w:val="00F93DE4"/>
    <w:rsid w:val="00F94941"/>
    <w:rsid w:val="00F95054"/>
    <w:rsid w:val="00F95413"/>
    <w:rsid w:val="00F95D40"/>
    <w:rsid w:val="00F967BC"/>
    <w:rsid w:val="00F96DCA"/>
    <w:rsid w:val="00F97169"/>
    <w:rsid w:val="00F97A9C"/>
    <w:rsid w:val="00FA01E0"/>
    <w:rsid w:val="00FA03A1"/>
    <w:rsid w:val="00FA1A78"/>
    <w:rsid w:val="00FA416C"/>
    <w:rsid w:val="00FA453B"/>
    <w:rsid w:val="00FA55DD"/>
    <w:rsid w:val="00FA5C6A"/>
    <w:rsid w:val="00FA6111"/>
    <w:rsid w:val="00FA6A60"/>
    <w:rsid w:val="00FA6F7C"/>
    <w:rsid w:val="00FA7C17"/>
    <w:rsid w:val="00FB0C23"/>
    <w:rsid w:val="00FB0F65"/>
    <w:rsid w:val="00FB1EE3"/>
    <w:rsid w:val="00FB23AB"/>
    <w:rsid w:val="00FB26D4"/>
    <w:rsid w:val="00FB4557"/>
    <w:rsid w:val="00FB4CE4"/>
    <w:rsid w:val="00FB53EB"/>
    <w:rsid w:val="00FB6A12"/>
    <w:rsid w:val="00FB6D2C"/>
    <w:rsid w:val="00FB77B7"/>
    <w:rsid w:val="00FB7EED"/>
    <w:rsid w:val="00FC191C"/>
    <w:rsid w:val="00FC1F0F"/>
    <w:rsid w:val="00FC237B"/>
    <w:rsid w:val="00FC2445"/>
    <w:rsid w:val="00FC3025"/>
    <w:rsid w:val="00FC3098"/>
    <w:rsid w:val="00FC40FC"/>
    <w:rsid w:val="00FC6386"/>
    <w:rsid w:val="00FC68FC"/>
    <w:rsid w:val="00FC7121"/>
    <w:rsid w:val="00FC719E"/>
    <w:rsid w:val="00FC7CED"/>
    <w:rsid w:val="00FD216B"/>
    <w:rsid w:val="00FD29BC"/>
    <w:rsid w:val="00FD2A9D"/>
    <w:rsid w:val="00FD4DC1"/>
    <w:rsid w:val="00FD5424"/>
    <w:rsid w:val="00FD6029"/>
    <w:rsid w:val="00FD695D"/>
    <w:rsid w:val="00FE2913"/>
    <w:rsid w:val="00FE3601"/>
    <w:rsid w:val="00FE443C"/>
    <w:rsid w:val="00FE5007"/>
    <w:rsid w:val="00FE69C5"/>
    <w:rsid w:val="00FE7CF5"/>
    <w:rsid w:val="00FE7F93"/>
    <w:rsid w:val="00FF1EA6"/>
    <w:rsid w:val="00FF2FAD"/>
    <w:rsid w:val="00FF4E72"/>
    <w:rsid w:val="00FF4FA5"/>
    <w:rsid w:val="00FF5112"/>
    <w:rsid w:val="00FF64B2"/>
    <w:rsid w:val="00FF65C7"/>
    <w:rsid w:val="00FF670C"/>
    <w:rsid w:val="00FF6A22"/>
    <w:rsid w:val="00FF7A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date"/>
  <w:shapeDefaults>
    <o:shapedefaults v:ext="edit" spidmax="2050">
      <o:colormru v:ext="edit" colors="white,#036,black"/>
    </o:shapedefaults>
    <o:shapelayout v:ext="edit">
      <o:idmap v:ext="edit" data="2"/>
    </o:shapelayout>
  </w:shapeDefaults>
  <w:decimalSymbol w:val="."/>
  <w:listSeparator w:val=","/>
  <w14:docId w14:val="7F0BAB68"/>
  <w15:docId w15:val="{DD73E7CC-CCFD-4DC9-BB14-53960398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Heading 1 Char2,Heading 1 Char1 Char,Heading 1 Char Char Char,Heading 1 Char Char1, Char"/>
    <w:basedOn w:val="Normal"/>
    <w:link w:val="Heading1Char"/>
    <w:qFormat/>
    <w:pPr>
      <w:widowControl w:val="0"/>
      <w:numPr>
        <w:numId w:val="2"/>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link w:val="Heading2Char"/>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link w:val="Heading3Char"/>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Normal"/>
    <w:link w:val="Heading4Char"/>
    <w:semiHidden/>
    <w:unhideWhenUsed/>
    <w:qFormat/>
    <w:rsid w:val="000A7BD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qFormat/>
    <w:rsid w:val="009013EB"/>
    <w:pPr>
      <w:keepNext/>
      <w:widowControl w:val="0"/>
      <w:numPr>
        <w:ilvl w:val="4"/>
        <w:numId w:val="17"/>
      </w:numPr>
      <w:tabs>
        <w:tab w:val="clear" w:pos="0"/>
        <w:tab w:val="num" w:pos="1800"/>
      </w:tabs>
      <w:ind w:left="0" w:firstLine="0"/>
      <w:jc w:val="both"/>
      <w:outlineLvl w:val="4"/>
    </w:pPr>
    <w:rPr>
      <w:rFonts w:ascii="Arial" w:hAnsi="Arial"/>
      <w:b/>
      <w:kern w:val="28"/>
      <w:szCs w:val="20"/>
      <w:lang w:val="en-US"/>
    </w:rPr>
  </w:style>
  <w:style w:type="paragraph" w:styleId="Heading6">
    <w:name w:val="heading 6"/>
    <w:basedOn w:val="Normal"/>
    <w:next w:val="Normal"/>
    <w:qFormat/>
    <w:rsid w:val="009013EB"/>
    <w:pPr>
      <w:keepNext/>
      <w:widowControl w:val="0"/>
      <w:numPr>
        <w:ilvl w:val="5"/>
        <w:numId w:val="17"/>
      </w:numPr>
      <w:tabs>
        <w:tab w:val="clear" w:pos="0"/>
        <w:tab w:val="num" w:pos="2160"/>
      </w:tabs>
      <w:spacing w:before="120" w:after="80" w:line="240" w:lineRule="atLeast"/>
      <w:ind w:left="2160" w:hanging="360"/>
      <w:jc w:val="both"/>
      <w:outlineLvl w:val="5"/>
    </w:pPr>
    <w:rPr>
      <w:rFonts w:ascii="Arial" w:hAnsi="Arial"/>
      <w:b/>
      <w:i/>
      <w:kern w:val="28"/>
      <w:szCs w:val="20"/>
      <w:lang w:val="en-US"/>
    </w:rPr>
  </w:style>
  <w:style w:type="paragraph" w:styleId="Heading7">
    <w:name w:val="heading 7"/>
    <w:basedOn w:val="Normal"/>
    <w:next w:val="Normal"/>
    <w:qFormat/>
    <w:rsid w:val="009013EB"/>
    <w:pPr>
      <w:keepNext/>
      <w:widowControl w:val="0"/>
      <w:numPr>
        <w:ilvl w:val="6"/>
        <w:numId w:val="17"/>
      </w:numPr>
      <w:spacing w:before="80" w:after="60" w:line="240" w:lineRule="atLeast"/>
      <w:jc w:val="both"/>
      <w:outlineLvl w:val="6"/>
    </w:pPr>
    <w:rPr>
      <w:rFonts w:ascii="Book Antiqua" w:hAnsi="Book Antiqua"/>
      <w:b/>
      <w:kern w:val="28"/>
      <w:szCs w:val="20"/>
      <w:lang w:val="en-US"/>
    </w:rPr>
  </w:style>
  <w:style w:type="paragraph" w:styleId="Heading8">
    <w:name w:val="heading 8"/>
    <w:basedOn w:val="Normal"/>
    <w:next w:val="Normal"/>
    <w:qFormat/>
    <w:rsid w:val="009013EB"/>
    <w:pPr>
      <w:keepNext/>
      <w:widowControl w:val="0"/>
      <w:numPr>
        <w:ilvl w:val="7"/>
        <w:numId w:val="17"/>
      </w:numPr>
      <w:tabs>
        <w:tab w:val="clear" w:pos="0"/>
        <w:tab w:val="num" w:pos="2880"/>
      </w:tabs>
      <w:spacing w:before="80" w:after="60" w:line="240" w:lineRule="atLeast"/>
      <w:ind w:left="2880" w:hanging="360"/>
      <w:jc w:val="both"/>
      <w:outlineLvl w:val="7"/>
    </w:pPr>
    <w:rPr>
      <w:rFonts w:ascii="Book Antiqua" w:hAnsi="Book Antiqua"/>
      <w:b/>
      <w:i/>
      <w:kern w:val="28"/>
      <w:szCs w:val="20"/>
      <w:lang w:val="en-US"/>
    </w:rPr>
  </w:style>
  <w:style w:type="paragraph" w:styleId="Heading9">
    <w:name w:val="heading 9"/>
    <w:basedOn w:val="Normal"/>
    <w:next w:val="Normal"/>
    <w:qFormat/>
    <w:rsid w:val="009013EB"/>
    <w:pPr>
      <w:keepNext/>
      <w:widowControl w:val="0"/>
      <w:numPr>
        <w:ilvl w:val="8"/>
        <w:numId w:val="17"/>
      </w:numPr>
      <w:tabs>
        <w:tab w:val="clear" w:pos="0"/>
        <w:tab w:val="num" w:pos="3240"/>
      </w:tabs>
      <w:spacing w:before="80" w:after="60" w:line="240" w:lineRule="atLeast"/>
      <w:ind w:left="3240" w:hanging="360"/>
      <w:jc w:val="both"/>
      <w:outlineLvl w:val="8"/>
    </w:pPr>
    <w:rPr>
      <w:rFonts w:ascii="Book Antiqua" w:hAnsi="Book Antiqua"/>
      <w:b/>
      <w:i/>
      <w:kern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character" w:styleId="Hyperlink">
    <w:name w:val="Hyperlink"/>
    <w:rPr>
      <w:color w:val="0000FF"/>
      <w:u w:val="single"/>
    </w:rPr>
  </w:style>
  <w:style w:type="paragraph" w:customStyle="1" w:styleId="NoNumber">
    <w:name w:val="No Number"/>
    <w:basedOn w:val="Heading1"/>
    <w:autoRedefine/>
    <w:pPr>
      <w:widowControl/>
      <w:tabs>
        <w:tab w:val="clear" w:pos="1440"/>
      </w:tabs>
      <w:spacing w:before="0"/>
      <w:outlineLvl w:val="9"/>
    </w:pPr>
    <w:rPr>
      <w:lang w:val="en-GB"/>
    </w:rPr>
  </w:style>
  <w:style w:type="paragraph" w:styleId="Header">
    <w:name w:val="header"/>
    <w:basedOn w:val="Normal"/>
    <w:link w:val="HeaderChar"/>
    <w:pPr>
      <w:tabs>
        <w:tab w:val="center" w:pos="4153"/>
        <w:tab w:val="right" w:pos="8306"/>
      </w:tabs>
    </w:pPr>
    <w:rPr>
      <w:sz w:val="20"/>
      <w:szCs w:val="20"/>
      <w:lang w:val="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ote1">
    <w:name w:val="Quote1"/>
    <w:basedOn w:val="Normal"/>
    <w:link w:val="Quote1Char"/>
    <w:pPr>
      <w:widowControl w:val="0"/>
      <w:spacing w:after="240" w:line="240" w:lineRule="atLeast"/>
      <w:ind w:left="1541" w:right="720" w:hanging="101"/>
      <w:jc w:val="both"/>
    </w:pPr>
    <w:rPr>
      <w:rFonts w:ascii="Book Antiqua" w:hAnsi="Book Antiqua"/>
      <w:szCs w:val="20"/>
    </w:rPr>
  </w:style>
  <w:style w:type="paragraph" w:styleId="FootnoteText">
    <w:name w:val="footnote text"/>
    <w:basedOn w:val="Normal"/>
    <w:link w:val="FootnoteTextChar"/>
    <w:pPr>
      <w:widowControl w:val="0"/>
      <w:spacing w:line="240" w:lineRule="atLeast"/>
      <w:ind w:left="720" w:hanging="720"/>
      <w:jc w:val="both"/>
    </w:pPr>
    <w:rPr>
      <w:rFonts w:ascii="Book Antiqua" w:hAnsi="Book Antiqua"/>
      <w:sz w:val="20"/>
      <w:szCs w:val="20"/>
    </w:rPr>
  </w:style>
  <w:style w:type="character" w:styleId="FootnoteReference">
    <w:name w:val="footnote reference"/>
    <w:rPr>
      <w:vertAlign w:val="superscript"/>
    </w:rPr>
  </w:style>
  <w:style w:type="paragraph" w:customStyle="1" w:styleId="head">
    <w:name w:val="head"/>
    <w:basedOn w:val="Normal"/>
    <w:rsid w:val="00F43701"/>
    <w:pPr>
      <w:spacing w:before="100" w:beforeAutospacing="1" w:after="100" w:afterAutospacing="1"/>
      <w:jc w:val="center"/>
    </w:pPr>
    <w:rPr>
      <w:rFonts w:ascii="Verdana" w:hAnsi="Verdana"/>
      <w:b/>
      <w:bCs/>
      <w:color w:val="444444"/>
      <w:sz w:val="26"/>
      <w:szCs w:val="26"/>
      <w:lang w:eastAsia="en-AU"/>
    </w:rPr>
  </w:style>
  <w:style w:type="character" w:styleId="FollowedHyperlink">
    <w:name w:val="FollowedHyperlink"/>
    <w:rsid w:val="00EE45D1"/>
    <w:rPr>
      <w:color w:val="800080"/>
      <w:u w:val="single"/>
    </w:rPr>
  </w:style>
  <w:style w:type="paragraph" w:customStyle="1" w:styleId="Catchwords">
    <w:name w:val="Catchwords"/>
    <w:basedOn w:val="Normal"/>
    <w:rsid w:val="00397BB2"/>
    <w:pPr>
      <w:widowControl w:val="0"/>
      <w:jc w:val="both"/>
    </w:pPr>
    <w:rPr>
      <w:rFonts w:ascii="Book Antiqua" w:hAnsi="Book Antiqua"/>
      <w:szCs w:val="20"/>
    </w:rPr>
  </w:style>
  <w:style w:type="paragraph" w:customStyle="1" w:styleId="Level4">
    <w:name w:val="Level 4"/>
    <w:basedOn w:val="Normal"/>
    <w:next w:val="Heading1"/>
    <w:link w:val="Level4Char"/>
    <w:rsid w:val="00397BB2"/>
    <w:pPr>
      <w:widowControl w:val="0"/>
      <w:spacing w:before="240"/>
      <w:ind w:left="720"/>
      <w:jc w:val="both"/>
    </w:pPr>
    <w:rPr>
      <w:rFonts w:ascii="Book Antiqua" w:hAnsi="Book Antiqua"/>
      <w:b/>
      <w:i/>
    </w:rPr>
  </w:style>
  <w:style w:type="character" w:customStyle="1" w:styleId="Level4Char">
    <w:name w:val="Level 4 Char"/>
    <w:link w:val="Level4"/>
    <w:rsid w:val="00397BB2"/>
    <w:rPr>
      <w:rFonts w:ascii="Book Antiqua" w:hAnsi="Book Antiqua"/>
      <w:b/>
      <w:i/>
      <w:sz w:val="24"/>
      <w:szCs w:val="24"/>
      <w:lang w:val="en-AU" w:eastAsia="en-US" w:bidi="ar-SA"/>
    </w:rPr>
  </w:style>
  <w:style w:type="paragraph" w:styleId="TOC1">
    <w:name w:val="toc 1"/>
    <w:basedOn w:val="Normal"/>
    <w:next w:val="Normal"/>
    <w:autoRedefine/>
    <w:semiHidden/>
    <w:rsid w:val="00397BB2"/>
    <w:pPr>
      <w:widowControl w:val="0"/>
      <w:tabs>
        <w:tab w:val="right" w:leader="dot" w:pos="9753"/>
      </w:tabs>
      <w:spacing w:before="120"/>
      <w:jc w:val="both"/>
    </w:pPr>
    <w:rPr>
      <w:rFonts w:ascii="Book Antiqua" w:hAnsi="Book Antiqua"/>
      <w:b/>
      <w:noProof/>
      <w:szCs w:val="20"/>
    </w:rPr>
  </w:style>
  <w:style w:type="paragraph" w:styleId="TOC2">
    <w:name w:val="toc 2"/>
    <w:basedOn w:val="Normal"/>
    <w:next w:val="Normal"/>
    <w:autoRedefine/>
    <w:semiHidden/>
    <w:rsid w:val="00397BB2"/>
    <w:pPr>
      <w:widowControl w:val="0"/>
      <w:tabs>
        <w:tab w:val="right" w:leader="dot" w:pos="9753"/>
      </w:tabs>
      <w:ind w:left="360"/>
      <w:jc w:val="both"/>
    </w:pPr>
    <w:rPr>
      <w:rFonts w:ascii="Book Antiqua" w:hAnsi="Book Antiqua"/>
      <w:noProof/>
      <w:szCs w:val="20"/>
    </w:rPr>
  </w:style>
  <w:style w:type="paragraph" w:styleId="TOC3">
    <w:name w:val="toc 3"/>
    <w:basedOn w:val="Normal"/>
    <w:next w:val="Normal"/>
    <w:autoRedefine/>
    <w:semiHidden/>
    <w:rsid w:val="00397BB2"/>
    <w:pPr>
      <w:widowControl w:val="0"/>
      <w:tabs>
        <w:tab w:val="right" w:leader="dot" w:pos="9753"/>
      </w:tabs>
      <w:ind w:left="1530" w:hanging="900"/>
      <w:jc w:val="both"/>
    </w:pPr>
    <w:rPr>
      <w:rFonts w:ascii="Book Antiqua" w:hAnsi="Book Antiqua"/>
      <w:i/>
      <w:noProof/>
      <w:szCs w:val="20"/>
    </w:rPr>
  </w:style>
  <w:style w:type="table" w:styleId="TableGrid">
    <w:name w:val="Table Grid"/>
    <w:basedOn w:val="TableNormal"/>
    <w:uiPriority w:val="39"/>
    <w:rsid w:val="00BA5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Char2 Char,Heading 1 Char1 Char Char,Heading 1 Char Char Char Char,Heading 1 Char Char1 Char, Char Char"/>
    <w:link w:val="Heading1"/>
    <w:rsid w:val="004872EE"/>
    <w:rPr>
      <w:rFonts w:ascii="Book Antiqua" w:hAnsi="Book Antiqua"/>
      <w:kern w:val="28"/>
      <w:sz w:val="24"/>
      <w:lang w:eastAsia="en-US"/>
    </w:rPr>
  </w:style>
  <w:style w:type="paragraph" w:customStyle="1" w:styleId="Footer-Web">
    <w:name w:val="Footer-Web"/>
    <w:basedOn w:val="Footer"/>
    <w:rsid w:val="00544F20"/>
    <w:pPr>
      <w:widowControl w:val="0"/>
      <w:tabs>
        <w:tab w:val="clear" w:pos="4153"/>
        <w:tab w:val="clear" w:pos="8306"/>
        <w:tab w:val="center" w:pos="4896"/>
        <w:tab w:val="right" w:pos="9792"/>
      </w:tabs>
    </w:pPr>
    <w:rPr>
      <w:rFonts w:ascii="Book Antiqua" w:hAnsi="Book Antiqua"/>
      <w:sz w:val="18"/>
      <w:szCs w:val="20"/>
    </w:rPr>
  </w:style>
  <w:style w:type="character" w:customStyle="1" w:styleId="Quote1Char">
    <w:name w:val="Quote1 Char"/>
    <w:link w:val="Quote1"/>
    <w:rsid w:val="00544F20"/>
    <w:rPr>
      <w:rFonts w:ascii="Book Antiqua" w:hAnsi="Book Antiqua"/>
      <w:sz w:val="24"/>
      <w:lang w:val="en-AU" w:eastAsia="en-US" w:bidi="ar-SA"/>
    </w:rPr>
  </w:style>
  <w:style w:type="paragraph" w:customStyle="1" w:styleId="Normal-Cover">
    <w:name w:val="Normal-Cover"/>
    <w:basedOn w:val="Normal"/>
    <w:rsid w:val="000F6283"/>
    <w:pPr>
      <w:widowControl w:val="0"/>
    </w:pPr>
    <w:rPr>
      <w:rFonts w:ascii="Book Antiqua" w:hAnsi="Book Antiqua"/>
      <w:szCs w:val="20"/>
    </w:rPr>
  </w:style>
  <w:style w:type="character" w:customStyle="1" w:styleId="FootnoteTextChar">
    <w:name w:val="Footnote Text Char"/>
    <w:link w:val="FootnoteText"/>
    <w:locked/>
    <w:rsid w:val="000547DB"/>
    <w:rPr>
      <w:rFonts w:ascii="Book Antiqua" w:hAnsi="Book Antiqua"/>
      <w:lang w:val="en-AU" w:eastAsia="en-US" w:bidi="ar-SA"/>
    </w:rPr>
  </w:style>
  <w:style w:type="paragraph" w:customStyle="1" w:styleId="Normal-Indent">
    <w:name w:val="Normal - Indent"/>
    <w:basedOn w:val="Normal"/>
    <w:rsid w:val="009013EB"/>
    <w:pPr>
      <w:widowControl w:val="0"/>
      <w:spacing w:line="480" w:lineRule="atLeast"/>
      <w:ind w:left="720"/>
      <w:jc w:val="both"/>
    </w:pPr>
    <w:rPr>
      <w:rFonts w:ascii="Book Antiqua" w:hAnsi="Book Antiqua"/>
      <w:szCs w:val="20"/>
    </w:rPr>
  </w:style>
  <w:style w:type="character" w:customStyle="1" w:styleId="italic1">
    <w:name w:val="italic1"/>
    <w:rsid w:val="009013EB"/>
    <w:rPr>
      <w:i/>
      <w:iCs/>
    </w:rPr>
  </w:style>
  <w:style w:type="paragraph" w:styleId="HTMLPreformatted">
    <w:name w:val="HTML Preformatted"/>
    <w:basedOn w:val="Normal"/>
    <w:rsid w:val="00143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paragraph" w:customStyle="1" w:styleId="BodyParagraph">
    <w:name w:val="Body Paragraph"/>
    <w:next w:val="Normal"/>
    <w:rsid w:val="000F27BB"/>
    <w:pPr>
      <w:overflowPunct w:val="0"/>
      <w:autoSpaceDE w:val="0"/>
      <w:autoSpaceDN w:val="0"/>
      <w:adjustRightInd w:val="0"/>
      <w:spacing w:before="120"/>
      <w:ind w:left="1871"/>
      <w:textAlignment w:val="baseline"/>
    </w:pPr>
    <w:rPr>
      <w:sz w:val="24"/>
      <w:lang w:eastAsia="en-US"/>
    </w:rPr>
  </w:style>
  <w:style w:type="paragraph" w:customStyle="1" w:styleId="DraftHeading4">
    <w:name w:val="Draft Heading 4"/>
    <w:basedOn w:val="Normal"/>
    <w:next w:val="Normal"/>
    <w:link w:val="DraftHeading4Char"/>
    <w:rsid w:val="000F27BB"/>
    <w:pPr>
      <w:overflowPunct w:val="0"/>
      <w:autoSpaceDE w:val="0"/>
      <w:autoSpaceDN w:val="0"/>
      <w:adjustRightInd w:val="0"/>
      <w:spacing w:before="120"/>
      <w:textAlignment w:val="baseline"/>
    </w:pPr>
    <w:rPr>
      <w:szCs w:val="20"/>
    </w:rPr>
  </w:style>
  <w:style w:type="paragraph" w:customStyle="1" w:styleId="DraftDefinition2">
    <w:name w:val="Draft Definition 2"/>
    <w:next w:val="Normal"/>
    <w:link w:val="DraftDefinition2Char"/>
    <w:rsid w:val="000F27B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customStyle="1" w:styleId="defterm">
    <w:name w:val="defterm"/>
    <w:rsid w:val="000F27BB"/>
    <w:rPr>
      <w:b/>
      <w:bCs/>
      <w:i/>
      <w:iCs/>
    </w:rPr>
  </w:style>
  <w:style w:type="paragraph" w:customStyle="1" w:styleId="DraftHeading2">
    <w:name w:val="Draft Heading 2"/>
    <w:basedOn w:val="Normal"/>
    <w:next w:val="Normal"/>
    <w:link w:val="DraftHeading2Char"/>
    <w:rsid w:val="000F27BB"/>
    <w:pPr>
      <w:overflowPunct w:val="0"/>
      <w:autoSpaceDE w:val="0"/>
      <w:autoSpaceDN w:val="0"/>
      <w:adjustRightInd w:val="0"/>
      <w:spacing w:before="120"/>
      <w:textAlignment w:val="baseline"/>
    </w:pPr>
    <w:rPr>
      <w:szCs w:val="20"/>
    </w:rPr>
  </w:style>
  <w:style w:type="paragraph" w:customStyle="1" w:styleId="DraftHeading3">
    <w:name w:val="Draft Heading 3"/>
    <w:basedOn w:val="Normal"/>
    <w:next w:val="Normal"/>
    <w:rsid w:val="000F27BB"/>
    <w:pPr>
      <w:overflowPunct w:val="0"/>
      <w:autoSpaceDE w:val="0"/>
      <w:autoSpaceDN w:val="0"/>
      <w:adjustRightInd w:val="0"/>
      <w:spacing w:before="120"/>
      <w:textAlignment w:val="baseline"/>
    </w:pPr>
    <w:rPr>
      <w:szCs w:val="20"/>
    </w:rPr>
  </w:style>
  <w:style w:type="paragraph" w:customStyle="1" w:styleId="DraftSectionNote">
    <w:name w:val="Draft Section Note"/>
    <w:next w:val="Normal"/>
    <w:rsid w:val="000F27BB"/>
    <w:pPr>
      <w:spacing w:before="120"/>
    </w:pPr>
    <w:rPr>
      <w:lang w:eastAsia="en-US"/>
    </w:rPr>
  </w:style>
  <w:style w:type="paragraph" w:customStyle="1" w:styleId="DraftSub-sectionNote">
    <w:name w:val="Draft Sub-section Note"/>
    <w:next w:val="Normal"/>
    <w:link w:val="DraftSub-sectionNoteChar"/>
    <w:rsid w:val="000F27BB"/>
    <w:pPr>
      <w:spacing w:before="120"/>
    </w:pPr>
    <w:rPr>
      <w:lang w:eastAsia="en-US"/>
    </w:rPr>
  </w:style>
  <w:style w:type="paragraph" w:customStyle="1" w:styleId="BodySectionSub">
    <w:name w:val="Body Section (Sub)"/>
    <w:next w:val="Normal"/>
    <w:link w:val="BodySectionSubChar"/>
    <w:rsid w:val="000F27BB"/>
    <w:pPr>
      <w:overflowPunct w:val="0"/>
      <w:autoSpaceDE w:val="0"/>
      <w:autoSpaceDN w:val="0"/>
      <w:adjustRightInd w:val="0"/>
      <w:spacing w:before="120"/>
      <w:ind w:left="1361"/>
      <w:textAlignment w:val="baseline"/>
    </w:pPr>
    <w:rPr>
      <w:sz w:val="24"/>
      <w:lang w:eastAsia="en-US"/>
    </w:rPr>
  </w:style>
  <w:style w:type="paragraph" w:customStyle="1" w:styleId="DraftHeading1">
    <w:name w:val="Draft Heading 1"/>
    <w:basedOn w:val="Normal"/>
    <w:next w:val="Normal"/>
    <w:link w:val="DraftHeading1Char"/>
    <w:rsid w:val="000F27BB"/>
    <w:pPr>
      <w:overflowPunct w:val="0"/>
      <w:autoSpaceDE w:val="0"/>
      <w:autoSpaceDN w:val="0"/>
      <w:adjustRightInd w:val="0"/>
      <w:spacing w:before="120"/>
      <w:textAlignment w:val="baseline"/>
      <w:outlineLvl w:val="2"/>
    </w:pPr>
    <w:rPr>
      <w:b/>
    </w:rPr>
  </w:style>
  <w:style w:type="character" w:customStyle="1" w:styleId="bodytext1">
    <w:name w:val="bodytext1"/>
    <w:rsid w:val="00C36CC7"/>
    <w:rPr>
      <w:rFonts w:ascii="Verdana" w:hAnsi="Verdana" w:hint="default"/>
      <w:color w:val="4D4D4D"/>
      <w:sz w:val="18"/>
      <w:szCs w:val="18"/>
    </w:rPr>
  </w:style>
  <w:style w:type="character" w:customStyle="1" w:styleId="CharChar2">
    <w:name w:val="Char Char2"/>
    <w:rsid w:val="00256834"/>
    <w:rPr>
      <w:lang w:val="en-US" w:eastAsia="en-US" w:bidi="ar-SA"/>
    </w:rPr>
  </w:style>
  <w:style w:type="paragraph" w:styleId="ListNumber">
    <w:name w:val="List Number"/>
    <w:basedOn w:val="Normal"/>
    <w:next w:val="Normal"/>
    <w:rsid w:val="00EA6353"/>
    <w:pPr>
      <w:numPr>
        <w:numId w:val="15"/>
      </w:numPr>
      <w:spacing w:after="260" w:line="280" w:lineRule="exact"/>
      <w:ind w:left="357" w:hanging="357"/>
      <w:jc w:val="both"/>
    </w:pPr>
    <w:rPr>
      <w:sz w:val="26"/>
      <w:szCs w:val="20"/>
    </w:rPr>
  </w:style>
  <w:style w:type="paragraph" w:customStyle="1" w:styleId="Default">
    <w:name w:val="Default"/>
    <w:rsid w:val="00151F5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1A06D3"/>
    <w:rPr>
      <w:rFonts w:ascii="Segoe UI" w:hAnsi="Segoe UI" w:cs="Segoe UI"/>
      <w:sz w:val="18"/>
      <w:szCs w:val="18"/>
    </w:rPr>
  </w:style>
  <w:style w:type="character" w:customStyle="1" w:styleId="BalloonTextChar">
    <w:name w:val="Balloon Text Char"/>
    <w:link w:val="BalloonText"/>
    <w:rsid w:val="001A06D3"/>
    <w:rPr>
      <w:rFonts w:ascii="Segoe UI" w:hAnsi="Segoe UI" w:cs="Segoe UI"/>
      <w:sz w:val="18"/>
      <w:szCs w:val="18"/>
      <w:lang w:eastAsia="en-US"/>
    </w:rPr>
  </w:style>
  <w:style w:type="character" w:styleId="UnresolvedMention">
    <w:name w:val="Unresolved Mention"/>
    <w:uiPriority w:val="99"/>
    <w:semiHidden/>
    <w:unhideWhenUsed/>
    <w:rsid w:val="00A24F8C"/>
    <w:rPr>
      <w:color w:val="605E5C"/>
      <w:shd w:val="clear" w:color="auto" w:fill="E1DFDD"/>
    </w:rPr>
  </w:style>
  <w:style w:type="character" w:customStyle="1" w:styleId="Heading2Char">
    <w:name w:val="Heading 2 Char"/>
    <w:link w:val="Heading2"/>
    <w:rsid w:val="0048723F"/>
    <w:rPr>
      <w:rFonts w:ascii="Book Antiqua" w:hAnsi="Book Antiqua"/>
      <w:kern w:val="28"/>
      <w:sz w:val="24"/>
      <w:lang w:val="en-GB" w:eastAsia="en-US"/>
    </w:rPr>
  </w:style>
  <w:style w:type="paragraph" w:customStyle="1" w:styleId="footnotedescription">
    <w:name w:val="footnote description"/>
    <w:next w:val="Normal"/>
    <w:link w:val="footnotedescriptionChar"/>
    <w:hidden/>
    <w:rsid w:val="00C50555"/>
    <w:pPr>
      <w:spacing w:line="259" w:lineRule="auto"/>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C50555"/>
    <w:rPr>
      <w:rFonts w:ascii="Book Antiqua" w:eastAsia="Book Antiqua" w:hAnsi="Book Antiqua" w:cs="Book Antiqua"/>
      <w:color w:val="000000"/>
      <w:szCs w:val="22"/>
    </w:rPr>
  </w:style>
  <w:style w:type="character" w:customStyle="1" w:styleId="footnotemark">
    <w:name w:val="footnote mark"/>
    <w:hidden/>
    <w:rsid w:val="00C50555"/>
    <w:rPr>
      <w:rFonts w:ascii="Book Antiqua" w:eastAsia="Book Antiqua" w:hAnsi="Book Antiqua" w:cs="Book Antiqua"/>
      <w:color w:val="000000"/>
      <w:sz w:val="20"/>
      <w:vertAlign w:val="superscript"/>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7F5F1E"/>
    <w:pPr>
      <w:ind w:left="720"/>
    </w:pPr>
    <w:rPr>
      <w:szCs w:val="20"/>
    </w:rPr>
  </w:style>
  <w:style w:type="character" w:styleId="IntenseReference">
    <w:name w:val="Intense Reference"/>
    <w:basedOn w:val="DefaultParagraphFont"/>
    <w:uiPriority w:val="32"/>
    <w:qFormat/>
    <w:rsid w:val="00F52117"/>
    <w:rPr>
      <w:rFonts w:ascii="Arial" w:hAnsi="Arial"/>
      <w:b/>
      <w:bCs/>
      <w:smallCaps/>
      <w:color w:val="004EA8"/>
      <w:spacing w:val="5"/>
    </w:rPr>
  </w:style>
  <w:style w:type="paragraph" w:customStyle="1" w:styleId="HeadingTwo">
    <w:name w:val="Heading Two"/>
    <w:qFormat/>
    <w:rsid w:val="00F52117"/>
    <w:pPr>
      <w:spacing w:after="120"/>
    </w:pPr>
    <w:rPr>
      <w:rFonts w:ascii="Arial" w:eastAsiaTheme="minorHAnsi" w:hAnsi="Arial" w:cs="ArialMT"/>
      <w:color w:val="115DA8"/>
      <w:sz w:val="24"/>
      <w:szCs w:val="24"/>
      <w:lang w:val="en-US" w:eastAsia="en-US"/>
    </w:rPr>
  </w:style>
  <w:style w:type="paragraph" w:customStyle="1" w:styleId="NumberList1">
    <w:name w:val="Number List 1"/>
    <w:rsid w:val="00F52117"/>
    <w:pPr>
      <w:numPr>
        <w:numId w:val="57"/>
      </w:numPr>
      <w:spacing w:after="120"/>
    </w:pPr>
    <w:rPr>
      <w:rFonts w:ascii="Arial" w:hAnsi="Arial"/>
      <w:sz w:val="22"/>
    </w:rPr>
  </w:style>
  <w:style w:type="character" w:styleId="CommentReference">
    <w:name w:val="annotation reference"/>
    <w:basedOn w:val="DefaultParagraphFont"/>
    <w:uiPriority w:val="99"/>
    <w:unhideWhenUsed/>
    <w:rsid w:val="00F52117"/>
    <w:rPr>
      <w:sz w:val="16"/>
      <w:szCs w:val="16"/>
    </w:rPr>
  </w:style>
  <w:style w:type="paragraph" w:styleId="CommentText">
    <w:name w:val="annotation text"/>
    <w:basedOn w:val="Normal"/>
    <w:link w:val="CommentTextChar"/>
    <w:uiPriority w:val="99"/>
    <w:unhideWhenUsed/>
    <w:rsid w:val="00F52117"/>
    <w:pPr>
      <w:widowControl w:val="0"/>
      <w:suppressAutoHyphens/>
      <w:autoSpaceDE w:val="0"/>
      <w:autoSpaceDN w:val="0"/>
      <w:adjustRightInd w:val="0"/>
      <w:spacing w:after="113"/>
      <w:textAlignment w:val="center"/>
    </w:pPr>
    <w:rPr>
      <w:rFonts w:ascii="Arial" w:eastAsiaTheme="minorHAnsi" w:hAnsi="Arial" w:cs="ArialMT"/>
      <w:color w:val="53565A"/>
      <w:sz w:val="20"/>
      <w:szCs w:val="20"/>
      <w:lang w:val="en-US"/>
    </w:rPr>
  </w:style>
  <w:style w:type="character" w:customStyle="1" w:styleId="CommentTextChar">
    <w:name w:val="Comment Text Char"/>
    <w:basedOn w:val="DefaultParagraphFont"/>
    <w:link w:val="CommentText"/>
    <w:uiPriority w:val="99"/>
    <w:rsid w:val="00F52117"/>
    <w:rPr>
      <w:rFonts w:ascii="Arial" w:eastAsiaTheme="minorHAnsi" w:hAnsi="Arial" w:cs="ArialMT"/>
      <w:color w:val="53565A"/>
      <w:lang w:val="en-US" w:eastAsia="en-US"/>
    </w:rPr>
  </w:style>
  <w:style w:type="character" w:customStyle="1" w:styleId="DraftHeading2Char">
    <w:name w:val="Draft Heading 2 Char"/>
    <w:basedOn w:val="DefaultParagraphFont"/>
    <w:link w:val="DraftHeading2"/>
    <w:rsid w:val="00D8208C"/>
    <w:rPr>
      <w:sz w:val="24"/>
      <w:lang w:eastAsia="en-US"/>
    </w:rPr>
  </w:style>
  <w:style w:type="character" w:customStyle="1" w:styleId="BodySectionSubChar">
    <w:name w:val="Body Section (Sub) Char"/>
    <w:basedOn w:val="DefaultParagraphFont"/>
    <w:link w:val="BodySectionSub"/>
    <w:rsid w:val="003023FF"/>
    <w:rPr>
      <w:sz w:val="24"/>
      <w:lang w:eastAsia="en-US"/>
    </w:rPr>
  </w:style>
  <w:style w:type="paragraph" w:customStyle="1" w:styleId="Heading-PART">
    <w:name w:val="Heading - PART"/>
    <w:next w:val="Normal"/>
    <w:link w:val="Heading-PARTChar"/>
    <w:rsid w:val="0082419B"/>
    <w:pPr>
      <w:overflowPunct w:val="0"/>
      <w:autoSpaceDE w:val="0"/>
      <w:autoSpaceDN w:val="0"/>
      <w:adjustRightInd w:val="0"/>
      <w:spacing w:before="240" w:after="120"/>
      <w:jc w:val="center"/>
      <w:textAlignment w:val="baseline"/>
      <w:outlineLvl w:val="0"/>
    </w:pPr>
    <w:rPr>
      <w:b/>
      <w:caps/>
      <w:sz w:val="22"/>
      <w:lang w:eastAsia="en-US"/>
    </w:rPr>
  </w:style>
  <w:style w:type="character" w:customStyle="1" w:styleId="Heading-PARTChar">
    <w:name w:val="Heading - PART Char"/>
    <w:link w:val="Heading-PART"/>
    <w:rsid w:val="0082419B"/>
    <w:rPr>
      <w:b/>
      <w:caps/>
      <w:sz w:val="22"/>
      <w:lang w:eastAsia="en-US"/>
    </w:rPr>
  </w:style>
  <w:style w:type="paragraph" w:styleId="EndnoteText">
    <w:name w:val="endnote text"/>
    <w:basedOn w:val="Normal"/>
    <w:link w:val="EndnoteTextChar"/>
    <w:autoRedefine/>
    <w:rsid w:val="0082419B"/>
    <w:pPr>
      <w:suppressLineNumbers/>
      <w:tabs>
        <w:tab w:val="left" w:pos="284"/>
      </w:tabs>
      <w:overflowPunct w:val="0"/>
      <w:autoSpaceDE w:val="0"/>
      <w:autoSpaceDN w:val="0"/>
      <w:adjustRightInd w:val="0"/>
      <w:spacing w:before="120"/>
      <w:ind w:left="284" w:hanging="284"/>
      <w:textAlignment w:val="baseline"/>
    </w:pPr>
    <w:rPr>
      <w:sz w:val="20"/>
      <w:szCs w:val="20"/>
    </w:rPr>
  </w:style>
  <w:style w:type="character" w:customStyle="1" w:styleId="EndnoteTextChar">
    <w:name w:val="Endnote Text Char"/>
    <w:basedOn w:val="DefaultParagraphFont"/>
    <w:link w:val="EndnoteText"/>
    <w:rsid w:val="0082419B"/>
    <w:rPr>
      <w:lang w:eastAsia="en-US"/>
    </w:rPr>
  </w:style>
  <w:style w:type="character" w:styleId="EndnoteReference">
    <w:name w:val="endnote reference"/>
    <w:basedOn w:val="DefaultParagraphFont"/>
    <w:rsid w:val="0082419B"/>
    <w:rPr>
      <w:vertAlign w:val="superscript"/>
    </w:rPr>
  </w:style>
  <w:style w:type="character" w:customStyle="1" w:styleId="DraftDefinition2Char">
    <w:name w:val="Draft Definition 2 Char"/>
    <w:basedOn w:val="DefaultParagraphFont"/>
    <w:link w:val="DraftDefinition2"/>
    <w:rsid w:val="00C030AE"/>
    <w:rPr>
      <w:sz w:val="24"/>
      <w:lang w:eastAsia="en-US"/>
    </w:rPr>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D3176A"/>
    <w:rPr>
      <w:sz w:val="24"/>
      <w:lang w:eastAsia="en-US"/>
    </w:rPr>
  </w:style>
  <w:style w:type="character" w:customStyle="1" w:styleId="hpsterm">
    <w:name w:val="hpsterm"/>
    <w:basedOn w:val="DefaultParagraphFont"/>
    <w:rsid w:val="00D3176A"/>
  </w:style>
  <w:style w:type="character" w:customStyle="1" w:styleId="Heading4Char">
    <w:name w:val="Heading 4 Char"/>
    <w:basedOn w:val="DefaultParagraphFont"/>
    <w:link w:val="Heading4"/>
    <w:semiHidden/>
    <w:rsid w:val="000A7BD0"/>
    <w:rPr>
      <w:rFonts w:asciiTheme="majorHAnsi" w:eastAsiaTheme="majorEastAsia" w:hAnsiTheme="majorHAnsi" w:cstheme="majorBidi"/>
      <w:i/>
      <w:iCs/>
      <w:color w:val="2F5496" w:themeColor="accent1" w:themeShade="BF"/>
      <w:sz w:val="24"/>
      <w:szCs w:val="24"/>
      <w:lang w:eastAsia="en-US"/>
    </w:rPr>
  </w:style>
  <w:style w:type="paragraph" w:customStyle="1" w:styleId="smallcaps">
    <w:name w:val="smallcaps"/>
    <w:basedOn w:val="Normal"/>
    <w:rsid w:val="000B2E56"/>
    <w:pPr>
      <w:spacing w:before="100" w:beforeAutospacing="1" w:after="100" w:afterAutospacing="1"/>
    </w:pPr>
    <w:rPr>
      <w:lang w:eastAsia="en-AU"/>
    </w:rPr>
  </w:style>
  <w:style w:type="paragraph" w:styleId="CommentSubject">
    <w:name w:val="annotation subject"/>
    <w:basedOn w:val="CommentText"/>
    <w:next w:val="CommentText"/>
    <w:link w:val="CommentSubjectChar"/>
    <w:rsid w:val="00E35E41"/>
    <w:pPr>
      <w:widowControl/>
      <w:suppressAutoHyphens w:val="0"/>
      <w:autoSpaceDE/>
      <w:autoSpaceDN/>
      <w:adjustRightInd/>
      <w:spacing w:after="0"/>
      <w:textAlignment w:val="auto"/>
    </w:pPr>
    <w:rPr>
      <w:rFonts w:ascii="Times New Roman" w:eastAsia="Times New Roman" w:hAnsi="Times New Roman" w:cs="Times New Roman"/>
      <w:b/>
      <w:bCs/>
      <w:color w:val="auto"/>
      <w:lang w:val="en-AU"/>
    </w:rPr>
  </w:style>
  <w:style w:type="character" w:customStyle="1" w:styleId="CommentSubjectChar">
    <w:name w:val="Comment Subject Char"/>
    <w:basedOn w:val="CommentTextChar"/>
    <w:link w:val="CommentSubject"/>
    <w:rsid w:val="00E35E41"/>
    <w:rPr>
      <w:rFonts w:ascii="Arial" w:eastAsiaTheme="minorHAnsi" w:hAnsi="Arial" w:cs="ArialMT"/>
      <w:b/>
      <w:bCs/>
      <w:color w:val="53565A"/>
      <w:lang w:val="en-US" w:eastAsia="en-US"/>
    </w:rPr>
  </w:style>
  <w:style w:type="character" w:customStyle="1" w:styleId="highlight">
    <w:name w:val="highlight"/>
    <w:basedOn w:val="DefaultParagraphFont"/>
    <w:rsid w:val="000D2D81"/>
  </w:style>
  <w:style w:type="character" w:customStyle="1" w:styleId="Heading3Char">
    <w:name w:val="Heading 3 Char"/>
    <w:link w:val="Heading3"/>
    <w:rsid w:val="00B86AC9"/>
    <w:rPr>
      <w:rFonts w:ascii="Book Antiqua" w:hAnsi="Book Antiqua"/>
      <w:kern w:val="28"/>
      <w:sz w:val="24"/>
      <w:lang w:val="en-GB" w:eastAsia="en-US"/>
    </w:rPr>
  </w:style>
  <w:style w:type="character" w:customStyle="1" w:styleId="external-link">
    <w:name w:val="external-link"/>
    <w:basedOn w:val="DefaultParagraphFont"/>
    <w:rsid w:val="0030567B"/>
  </w:style>
  <w:style w:type="paragraph" w:customStyle="1" w:styleId="tab-element">
    <w:name w:val="tab-element"/>
    <w:basedOn w:val="Normal"/>
    <w:rsid w:val="0030567B"/>
    <w:pPr>
      <w:spacing w:before="100" w:beforeAutospacing="1" w:after="100" w:afterAutospacing="1"/>
    </w:pPr>
    <w:rPr>
      <w:lang w:eastAsia="en-AU"/>
    </w:rPr>
  </w:style>
  <w:style w:type="character" w:styleId="Strong">
    <w:name w:val="Strong"/>
    <w:basedOn w:val="DefaultParagraphFont"/>
    <w:uiPriority w:val="22"/>
    <w:qFormat/>
    <w:rsid w:val="0030567B"/>
    <w:rPr>
      <w:b/>
      <w:bCs/>
    </w:rPr>
  </w:style>
  <w:style w:type="paragraph" w:customStyle="1" w:styleId="BodySection">
    <w:name w:val="Body Section"/>
    <w:next w:val="Normal"/>
    <w:rsid w:val="006C1E0E"/>
    <w:pPr>
      <w:overflowPunct w:val="0"/>
      <w:autoSpaceDE w:val="0"/>
      <w:autoSpaceDN w:val="0"/>
      <w:adjustRightInd w:val="0"/>
      <w:spacing w:before="120"/>
      <w:ind w:left="1361"/>
      <w:textAlignment w:val="baseline"/>
    </w:pPr>
    <w:rPr>
      <w:sz w:val="24"/>
      <w:lang w:eastAsia="en-US"/>
    </w:rPr>
  </w:style>
  <w:style w:type="paragraph" w:customStyle="1" w:styleId="SideNote">
    <w:name w:val="Side Note"/>
    <w:basedOn w:val="Normal"/>
    <w:rsid w:val="006C1E0E"/>
    <w:pPr>
      <w:framePr w:w="964" w:h="340" w:hSpace="180" w:vSpace="180"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character" w:customStyle="1" w:styleId="DraftHeading1Char">
    <w:name w:val="Draft Heading 1 Char"/>
    <w:basedOn w:val="DefaultParagraphFont"/>
    <w:link w:val="DraftHeading1"/>
    <w:locked/>
    <w:rsid w:val="006C1E0E"/>
    <w:rPr>
      <w:b/>
      <w:sz w:val="24"/>
      <w:szCs w:val="24"/>
      <w:lang w:eastAsia="en-US"/>
    </w:rPr>
  </w:style>
  <w:style w:type="paragraph" w:customStyle="1" w:styleId="Heading-DIVISION">
    <w:name w:val="Heading - DIVISION"/>
    <w:next w:val="Normal"/>
    <w:rsid w:val="00C323FC"/>
    <w:pPr>
      <w:overflowPunct w:val="0"/>
      <w:autoSpaceDE w:val="0"/>
      <w:autoSpaceDN w:val="0"/>
      <w:adjustRightInd w:val="0"/>
      <w:spacing w:before="240" w:after="120"/>
      <w:jc w:val="center"/>
      <w:textAlignment w:val="baseline"/>
      <w:outlineLvl w:val="1"/>
    </w:pPr>
    <w:rPr>
      <w:b/>
      <w:sz w:val="24"/>
      <w:lang w:eastAsia="en-US"/>
    </w:rPr>
  </w:style>
  <w:style w:type="character" w:customStyle="1" w:styleId="HeaderChar">
    <w:name w:val="Header Char"/>
    <w:link w:val="Header"/>
    <w:rsid w:val="004A0EA3"/>
    <w:rPr>
      <w:lang w:val="en-US" w:eastAsia="en-US"/>
    </w:rPr>
  </w:style>
  <w:style w:type="paragraph" w:customStyle="1" w:styleId="Body">
    <w:name w:val="Body"/>
    <w:link w:val="BodyChar"/>
    <w:qFormat/>
    <w:rsid w:val="009B1A5D"/>
    <w:pPr>
      <w:spacing w:after="120" w:line="280" w:lineRule="atLeast"/>
    </w:pPr>
    <w:rPr>
      <w:rFonts w:ascii="Arial" w:eastAsia="Times" w:hAnsi="Arial"/>
      <w:sz w:val="21"/>
      <w:lang w:eastAsia="en-US"/>
    </w:rPr>
  </w:style>
  <w:style w:type="character" w:customStyle="1" w:styleId="BodyChar">
    <w:name w:val="Body Char"/>
    <w:basedOn w:val="DefaultParagraphFont"/>
    <w:link w:val="Body"/>
    <w:rsid w:val="009B1A5D"/>
    <w:rPr>
      <w:rFonts w:ascii="Arial" w:eastAsia="Times" w:hAnsi="Arial"/>
      <w:sz w:val="21"/>
      <w:lang w:eastAsia="en-US"/>
    </w:rPr>
  </w:style>
  <w:style w:type="character" w:customStyle="1" w:styleId="DraftHeading4Char">
    <w:name w:val="Draft Heading 4 Char"/>
    <w:link w:val="DraftHeading4"/>
    <w:rsid w:val="00951CEE"/>
    <w:rPr>
      <w:sz w:val="24"/>
      <w:lang w:eastAsia="en-US"/>
    </w:rPr>
  </w:style>
  <w:style w:type="paragraph" w:customStyle="1" w:styleId="DraftHeading5">
    <w:name w:val="Draft Heading 5"/>
    <w:basedOn w:val="Normal"/>
    <w:next w:val="Normal"/>
    <w:rsid w:val="00951CEE"/>
    <w:pPr>
      <w:overflowPunct w:val="0"/>
      <w:autoSpaceDE w:val="0"/>
      <w:autoSpaceDN w:val="0"/>
      <w:adjustRightInd w:val="0"/>
      <w:spacing w:before="120"/>
      <w:textAlignment w:val="baseline"/>
    </w:pPr>
    <w:rPr>
      <w:szCs w:val="20"/>
    </w:rPr>
  </w:style>
  <w:style w:type="paragraph" w:customStyle="1" w:styleId="DraftPenalty2">
    <w:name w:val="Draft Penalty 2"/>
    <w:basedOn w:val="Normal"/>
    <w:next w:val="Normal"/>
    <w:rsid w:val="00BA7079"/>
    <w:pPr>
      <w:tabs>
        <w:tab w:val="left" w:pos="851"/>
        <w:tab w:val="left" w:pos="1361"/>
        <w:tab w:val="left" w:pos="1871"/>
        <w:tab w:val="decimal" w:pos="2381"/>
        <w:tab w:val="decimal" w:pos="2892"/>
        <w:tab w:val="decimal" w:pos="3402"/>
      </w:tabs>
      <w:overflowPunct w:val="0"/>
      <w:autoSpaceDE w:val="0"/>
      <w:autoSpaceDN w:val="0"/>
      <w:adjustRightInd w:val="0"/>
      <w:spacing w:before="120"/>
      <w:ind w:left="2382" w:hanging="1021"/>
      <w:textAlignment w:val="baseline"/>
    </w:pPr>
    <w:rPr>
      <w:szCs w:val="20"/>
    </w:rPr>
  </w:style>
  <w:style w:type="character" w:customStyle="1" w:styleId="DraftSub-sectionNoteChar">
    <w:name w:val="Draft Sub-section Note Char"/>
    <w:link w:val="DraftSub-sectionNote"/>
    <w:rsid w:val="00BA7079"/>
    <w:rPr>
      <w:lang w:eastAsia="en-US"/>
    </w:rPr>
  </w:style>
  <w:style w:type="paragraph" w:customStyle="1" w:styleId="AmendHeading1">
    <w:name w:val="Amend. Heading 1"/>
    <w:basedOn w:val="Normal"/>
    <w:next w:val="Normal"/>
    <w:rsid w:val="00FC3098"/>
    <w:pPr>
      <w:overflowPunct w:val="0"/>
      <w:autoSpaceDE w:val="0"/>
      <w:autoSpaceDN w:val="0"/>
      <w:adjustRightInd w:val="0"/>
      <w:spacing w:before="1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16">
      <w:bodyDiv w:val="1"/>
      <w:marLeft w:val="0"/>
      <w:marRight w:val="0"/>
      <w:marTop w:val="0"/>
      <w:marBottom w:val="0"/>
      <w:divBdr>
        <w:top w:val="none" w:sz="0" w:space="0" w:color="auto"/>
        <w:left w:val="none" w:sz="0" w:space="0" w:color="auto"/>
        <w:bottom w:val="none" w:sz="0" w:space="0" w:color="auto"/>
        <w:right w:val="none" w:sz="0" w:space="0" w:color="auto"/>
      </w:divBdr>
      <w:divsChild>
        <w:div w:id="2068914759">
          <w:marLeft w:val="0"/>
          <w:marRight w:val="0"/>
          <w:marTop w:val="0"/>
          <w:marBottom w:val="0"/>
          <w:divBdr>
            <w:top w:val="none" w:sz="0" w:space="0" w:color="auto"/>
            <w:left w:val="none" w:sz="0" w:space="0" w:color="auto"/>
            <w:bottom w:val="none" w:sz="0" w:space="0" w:color="auto"/>
            <w:right w:val="none" w:sz="0" w:space="0" w:color="auto"/>
          </w:divBdr>
          <w:divsChild>
            <w:div w:id="15092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3903">
      <w:bodyDiv w:val="1"/>
      <w:marLeft w:val="0"/>
      <w:marRight w:val="0"/>
      <w:marTop w:val="0"/>
      <w:marBottom w:val="0"/>
      <w:divBdr>
        <w:top w:val="none" w:sz="0" w:space="0" w:color="auto"/>
        <w:left w:val="none" w:sz="0" w:space="0" w:color="auto"/>
        <w:bottom w:val="none" w:sz="0" w:space="0" w:color="auto"/>
        <w:right w:val="none" w:sz="0" w:space="0" w:color="auto"/>
      </w:divBdr>
    </w:div>
    <w:div w:id="104617861">
      <w:bodyDiv w:val="1"/>
      <w:marLeft w:val="0"/>
      <w:marRight w:val="0"/>
      <w:marTop w:val="0"/>
      <w:marBottom w:val="0"/>
      <w:divBdr>
        <w:top w:val="none" w:sz="0" w:space="0" w:color="auto"/>
        <w:left w:val="none" w:sz="0" w:space="0" w:color="auto"/>
        <w:bottom w:val="none" w:sz="0" w:space="0" w:color="auto"/>
        <w:right w:val="none" w:sz="0" w:space="0" w:color="auto"/>
      </w:divBdr>
    </w:div>
    <w:div w:id="149252986">
      <w:bodyDiv w:val="1"/>
      <w:marLeft w:val="0"/>
      <w:marRight w:val="0"/>
      <w:marTop w:val="0"/>
      <w:marBottom w:val="0"/>
      <w:divBdr>
        <w:top w:val="none" w:sz="0" w:space="0" w:color="auto"/>
        <w:left w:val="none" w:sz="0" w:space="0" w:color="auto"/>
        <w:bottom w:val="none" w:sz="0" w:space="0" w:color="auto"/>
        <w:right w:val="none" w:sz="0" w:space="0" w:color="auto"/>
      </w:divBdr>
    </w:div>
    <w:div w:id="156383145">
      <w:bodyDiv w:val="1"/>
      <w:marLeft w:val="0"/>
      <w:marRight w:val="0"/>
      <w:marTop w:val="0"/>
      <w:marBottom w:val="0"/>
      <w:divBdr>
        <w:top w:val="none" w:sz="0" w:space="0" w:color="auto"/>
        <w:left w:val="none" w:sz="0" w:space="0" w:color="auto"/>
        <w:bottom w:val="none" w:sz="0" w:space="0" w:color="auto"/>
        <w:right w:val="none" w:sz="0" w:space="0" w:color="auto"/>
      </w:divBdr>
    </w:div>
    <w:div w:id="297227278">
      <w:bodyDiv w:val="1"/>
      <w:marLeft w:val="0"/>
      <w:marRight w:val="0"/>
      <w:marTop w:val="0"/>
      <w:marBottom w:val="0"/>
      <w:divBdr>
        <w:top w:val="none" w:sz="0" w:space="0" w:color="auto"/>
        <w:left w:val="none" w:sz="0" w:space="0" w:color="auto"/>
        <w:bottom w:val="none" w:sz="0" w:space="0" w:color="auto"/>
        <w:right w:val="none" w:sz="0" w:space="0" w:color="auto"/>
      </w:divBdr>
      <w:divsChild>
        <w:div w:id="753014169">
          <w:marLeft w:val="0"/>
          <w:marRight w:val="0"/>
          <w:marTop w:val="0"/>
          <w:marBottom w:val="0"/>
          <w:divBdr>
            <w:top w:val="none" w:sz="0" w:space="0" w:color="auto"/>
            <w:left w:val="none" w:sz="0" w:space="0" w:color="auto"/>
            <w:bottom w:val="none" w:sz="0" w:space="0" w:color="auto"/>
            <w:right w:val="none" w:sz="0" w:space="0" w:color="auto"/>
          </w:divBdr>
          <w:divsChild>
            <w:div w:id="274096446">
              <w:marLeft w:val="0"/>
              <w:marRight w:val="0"/>
              <w:marTop w:val="100"/>
              <w:marBottom w:val="100"/>
              <w:divBdr>
                <w:top w:val="none" w:sz="0" w:space="0" w:color="auto"/>
                <w:left w:val="none" w:sz="0" w:space="0" w:color="auto"/>
                <w:bottom w:val="none" w:sz="0" w:space="0" w:color="auto"/>
                <w:right w:val="none" w:sz="0" w:space="0" w:color="auto"/>
              </w:divBdr>
              <w:divsChild>
                <w:div w:id="1179543186">
                  <w:marLeft w:val="0"/>
                  <w:marRight w:val="0"/>
                  <w:marTop w:val="0"/>
                  <w:marBottom w:val="0"/>
                  <w:divBdr>
                    <w:top w:val="none" w:sz="0" w:space="0" w:color="auto"/>
                    <w:left w:val="none" w:sz="0" w:space="0" w:color="auto"/>
                    <w:bottom w:val="none" w:sz="0" w:space="0" w:color="auto"/>
                    <w:right w:val="none" w:sz="0" w:space="0" w:color="auto"/>
                  </w:divBdr>
                  <w:divsChild>
                    <w:div w:id="1785348142">
                      <w:marLeft w:val="-225"/>
                      <w:marRight w:val="-225"/>
                      <w:marTop w:val="0"/>
                      <w:marBottom w:val="0"/>
                      <w:divBdr>
                        <w:top w:val="none" w:sz="0" w:space="0" w:color="auto"/>
                        <w:left w:val="none" w:sz="0" w:space="0" w:color="auto"/>
                        <w:bottom w:val="none" w:sz="0" w:space="0" w:color="auto"/>
                        <w:right w:val="none" w:sz="0" w:space="0" w:color="auto"/>
                      </w:divBdr>
                      <w:divsChild>
                        <w:div w:id="491483560">
                          <w:marLeft w:val="0"/>
                          <w:marRight w:val="0"/>
                          <w:marTop w:val="0"/>
                          <w:marBottom w:val="0"/>
                          <w:divBdr>
                            <w:top w:val="none" w:sz="0" w:space="0" w:color="auto"/>
                            <w:left w:val="none" w:sz="0" w:space="0" w:color="auto"/>
                            <w:bottom w:val="none" w:sz="0" w:space="0" w:color="auto"/>
                            <w:right w:val="none" w:sz="0" w:space="0" w:color="auto"/>
                          </w:divBdr>
                          <w:divsChild>
                            <w:div w:id="12217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785858">
      <w:bodyDiv w:val="1"/>
      <w:marLeft w:val="0"/>
      <w:marRight w:val="0"/>
      <w:marTop w:val="0"/>
      <w:marBottom w:val="0"/>
      <w:divBdr>
        <w:top w:val="none" w:sz="0" w:space="0" w:color="auto"/>
        <w:left w:val="none" w:sz="0" w:space="0" w:color="auto"/>
        <w:bottom w:val="none" w:sz="0" w:space="0" w:color="auto"/>
        <w:right w:val="none" w:sz="0" w:space="0" w:color="auto"/>
      </w:divBdr>
    </w:div>
    <w:div w:id="353701433">
      <w:bodyDiv w:val="1"/>
      <w:marLeft w:val="0"/>
      <w:marRight w:val="0"/>
      <w:marTop w:val="0"/>
      <w:marBottom w:val="0"/>
      <w:divBdr>
        <w:top w:val="none" w:sz="0" w:space="0" w:color="auto"/>
        <w:left w:val="none" w:sz="0" w:space="0" w:color="auto"/>
        <w:bottom w:val="none" w:sz="0" w:space="0" w:color="auto"/>
        <w:right w:val="none" w:sz="0" w:space="0" w:color="auto"/>
      </w:divBdr>
    </w:div>
    <w:div w:id="902368850">
      <w:bodyDiv w:val="1"/>
      <w:marLeft w:val="0"/>
      <w:marRight w:val="0"/>
      <w:marTop w:val="0"/>
      <w:marBottom w:val="0"/>
      <w:divBdr>
        <w:top w:val="none" w:sz="0" w:space="0" w:color="auto"/>
        <w:left w:val="none" w:sz="0" w:space="0" w:color="auto"/>
        <w:bottom w:val="none" w:sz="0" w:space="0" w:color="auto"/>
        <w:right w:val="none" w:sz="0" w:space="0" w:color="auto"/>
      </w:divBdr>
    </w:div>
    <w:div w:id="922183714">
      <w:bodyDiv w:val="1"/>
      <w:marLeft w:val="0"/>
      <w:marRight w:val="0"/>
      <w:marTop w:val="0"/>
      <w:marBottom w:val="0"/>
      <w:divBdr>
        <w:top w:val="none" w:sz="0" w:space="0" w:color="auto"/>
        <w:left w:val="none" w:sz="0" w:space="0" w:color="auto"/>
        <w:bottom w:val="none" w:sz="0" w:space="0" w:color="auto"/>
        <w:right w:val="none" w:sz="0" w:space="0" w:color="auto"/>
      </w:divBdr>
    </w:div>
    <w:div w:id="1138108269">
      <w:bodyDiv w:val="1"/>
      <w:marLeft w:val="0"/>
      <w:marRight w:val="0"/>
      <w:marTop w:val="0"/>
      <w:marBottom w:val="0"/>
      <w:divBdr>
        <w:top w:val="none" w:sz="0" w:space="0" w:color="auto"/>
        <w:left w:val="none" w:sz="0" w:space="0" w:color="auto"/>
        <w:bottom w:val="none" w:sz="0" w:space="0" w:color="auto"/>
        <w:right w:val="none" w:sz="0" w:space="0" w:color="auto"/>
      </w:divBdr>
    </w:div>
    <w:div w:id="1172183597">
      <w:bodyDiv w:val="1"/>
      <w:marLeft w:val="0"/>
      <w:marRight w:val="0"/>
      <w:marTop w:val="0"/>
      <w:marBottom w:val="0"/>
      <w:divBdr>
        <w:top w:val="none" w:sz="0" w:space="0" w:color="auto"/>
        <w:left w:val="none" w:sz="0" w:space="0" w:color="auto"/>
        <w:bottom w:val="none" w:sz="0" w:space="0" w:color="auto"/>
        <w:right w:val="none" w:sz="0" w:space="0" w:color="auto"/>
      </w:divBdr>
      <w:divsChild>
        <w:div w:id="1521163398">
          <w:marLeft w:val="750"/>
          <w:marRight w:val="300"/>
          <w:marTop w:val="0"/>
          <w:marBottom w:val="0"/>
          <w:divBdr>
            <w:top w:val="none" w:sz="0" w:space="0" w:color="auto"/>
            <w:left w:val="single" w:sz="6" w:space="15" w:color="555555"/>
            <w:bottom w:val="none" w:sz="0" w:space="0" w:color="auto"/>
            <w:right w:val="none" w:sz="0" w:space="0" w:color="auto"/>
          </w:divBdr>
        </w:div>
      </w:divsChild>
    </w:div>
    <w:div w:id="1394547094">
      <w:bodyDiv w:val="1"/>
      <w:marLeft w:val="0"/>
      <w:marRight w:val="0"/>
      <w:marTop w:val="0"/>
      <w:marBottom w:val="0"/>
      <w:divBdr>
        <w:top w:val="none" w:sz="0" w:space="0" w:color="auto"/>
        <w:left w:val="none" w:sz="0" w:space="0" w:color="auto"/>
        <w:bottom w:val="none" w:sz="0" w:space="0" w:color="auto"/>
        <w:right w:val="none" w:sz="0" w:space="0" w:color="auto"/>
      </w:divBdr>
    </w:div>
    <w:div w:id="1479541772">
      <w:bodyDiv w:val="1"/>
      <w:marLeft w:val="0"/>
      <w:marRight w:val="0"/>
      <w:marTop w:val="0"/>
      <w:marBottom w:val="0"/>
      <w:divBdr>
        <w:top w:val="none" w:sz="0" w:space="0" w:color="auto"/>
        <w:left w:val="none" w:sz="0" w:space="0" w:color="auto"/>
        <w:bottom w:val="none" w:sz="0" w:space="0" w:color="auto"/>
        <w:right w:val="none" w:sz="0" w:space="0" w:color="auto"/>
      </w:divBdr>
      <w:divsChild>
        <w:div w:id="301421010">
          <w:marLeft w:val="0"/>
          <w:marRight w:val="0"/>
          <w:marTop w:val="0"/>
          <w:marBottom w:val="0"/>
          <w:divBdr>
            <w:top w:val="none" w:sz="0" w:space="0" w:color="auto"/>
            <w:left w:val="none" w:sz="0" w:space="0" w:color="auto"/>
            <w:bottom w:val="none" w:sz="0" w:space="0" w:color="auto"/>
            <w:right w:val="none" w:sz="0" w:space="0" w:color="auto"/>
          </w:divBdr>
        </w:div>
        <w:div w:id="322243402">
          <w:marLeft w:val="0"/>
          <w:marRight w:val="0"/>
          <w:marTop w:val="0"/>
          <w:marBottom w:val="0"/>
          <w:divBdr>
            <w:top w:val="none" w:sz="0" w:space="0" w:color="auto"/>
            <w:left w:val="none" w:sz="0" w:space="0" w:color="auto"/>
            <w:bottom w:val="none" w:sz="0" w:space="0" w:color="auto"/>
            <w:right w:val="none" w:sz="0" w:space="0" w:color="auto"/>
          </w:divBdr>
        </w:div>
        <w:div w:id="725303743">
          <w:marLeft w:val="0"/>
          <w:marRight w:val="0"/>
          <w:marTop w:val="0"/>
          <w:marBottom w:val="0"/>
          <w:divBdr>
            <w:top w:val="none" w:sz="0" w:space="0" w:color="auto"/>
            <w:left w:val="none" w:sz="0" w:space="0" w:color="auto"/>
            <w:bottom w:val="none" w:sz="0" w:space="0" w:color="auto"/>
            <w:right w:val="none" w:sz="0" w:space="0" w:color="auto"/>
          </w:divBdr>
        </w:div>
        <w:div w:id="1239972569">
          <w:marLeft w:val="0"/>
          <w:marRight w:val="0"/>
          <w:marTop w:val="0"/>
          <w:marBottom w:val="0"/>
          <w:divBdr>
            <w:top w:val="none" w:sz="0" w:space="0" w:color="auto"/>
            <w:left w:val="none" w:sz="0" w:space="0" w:color="auto"/>
            <w:bottom w:val="none" w:sz="0" w:space="0" w:color="auto"/>
            <w:right w:val="none" w:sz="0" w:space="0" w:color="auto"/>
          </w:divBdr>
        </w:div>
        <w:div w:id="1695227951">
          <w:marLeft w:val="0"/>
          <w:marRight w:val="0"/>
          <w:marTop w:val="0"/>
          <w:marBottom w:val="0"/>
          <w:divBdr>
            <w:top w:val="none" w:sz="0" w:space="0" w:color="auto"/>
            <w:left w:val="none" w:sz="0" w:space="0" w:color="auto"/>
            <w:bottom w:val="none" w:sz="0" w:space="0" w:color="auto"/>
            <w:right w:val="none" w:sz="0" w:space="0" w:color="auto"/>
          </w:divBdr>
        </w:div>
      </w:divsChild>
    </w:div>
    <w:div w:id="1482455767">
      <w:bodyDiv w:val="1"/>
      <w:marLeft w:val="0"/>
      <w:marRight w:val="0"/>
      <w:marTop w:val="0"/>
      <w:marBottom w:val="0"/>
      <w:divBdr>
        <w:top w:val="none" w:sz="0" w:space="0" w:color="auto"/>
        <w:left w:val="none" w:sz="0" w:space="0" w:color="auto"/>
        <w:bottom w:val="none" w:sz="0" w:space="0" w:color="auto"/>
        <w:right w:val="none" w:sz="0" w:space="0" w:color="auto"/>
      </w:divBdr>
    </w:div>
    <w:div w:id="1669674667">
      <w:bodyDiv w:val="1"/>
      <w:marLeft w:val="0"/>
      <w:marRight w:val="0"/>
      <w:marTop w:val="0"/>
      <w:marBottom w:val="0"/>
      <w:divBdr>
        <w:top w:val="none" w:sz="0" w:space="0" w:color="auto"/>
        <w:left w:val="none" w:sz="0" w:space="0" w:color="auto"/>
        <w:bottom w:val="none" w:sz="0" w:space="0" w:color="auto"/>
        <w:right w:val="none" w:sz="0" w:space="0" w:color="auto"/>
      </w:divBdr>
      <w:divsChild>
        <w:div w:id="346369343">
          <w:marLeft w:val="0"/>
          <w:marRight w:val="0"/>
          <w:marTop w:val="0"/>
          <w:marBottom w:val="0"/>
          <w:divBdr>
            <w:top w:val="none" w:sz="0" w:space="0" w:color="auto"/>
            <w:left w:val="none" w:sz="0" w:space="0" w:color="auto"/>
            <w:bottom w:val="none" w:sz="0" w:space="0" w:color="auto"/>
            <w:right w:val="none" w:sz="0" w:space="0" w:color="auto"/>
          </w:divBdr>
          <w:divsChild>
            <w:div w:id="489061504">
              <w:marLeft w:val="0"/>
              <w:marRight w:val="0"/>
              <w:marTop w:val="0"/>
              <w:marBottom w:val="0"/>
              <w:divBdr>
                <w:top w:val="none" w:sz="0" w:space="0" w:color="auto"/>
                <w:left w:val="none" w:sz="0" w:space="0" w:color="auto"/>
                <w:bottom w:val="none" w:sz="0" w:space="0" w:color="auto"/>
                <w:right w:val="none" w:sz="0" w:space="0" w:color="auto"/>
              </w:divBdr>
              <w:divsChild>
                <w:div w:id="1099450207">
                  <w:marLeft w:val="0"/>
                  <w:marRight w:val="0"/>
                  <w:marTop w:val="0"/>
                  <w:marBottom w:val="0"/>
                  <w:divBdr>
                    <w:top w:val="none" w:sz="0" w:space="0" w:color="auto"/>
                    <w:left w:val="none" w:sz="0" w:space="0" w:color="auto"/>
                    <w:bottom w:val="none" w:sz="0" w:space="0" w:color="auto"/>
                    <w:right w:val="none" w:sz="0" w:space="0" w:color="auto"/>
                  </w:divBdr>
                  <w:divsChild>
                    <w:div w:id="958728076">
                      <w:marLeft w:val="0"/>
                      <w:marRight w:val="0"/>
                      <w:marTop w:val="0"/>
                      <w:marBottom w:val="0"/>
                      <w:divBdr>
                        <w:top w:val="none" w:sz="0" w:space="0" w:color="auto"/>
                        <w:left w:val="none" w:sz="0" w:space="0" w:color="auto"/>
                        <w:bottom w:val="none" w:sz="0" w:space="0" w:color="auto"/>
                        <w:right w:val="none" w:sz="0" w:space="0" w:color="auto"/>
                      </w:divBdr>
                      <w:divsChild>
                        <w:div w:id="45764330">
                          <w:marLeft w:val="0"/>
                          <w:marRight w:val="0"/>
                          <w:marTop w:val="0"/>
                          <w:marBottom w:val="0"/>
                          <w:divBdr>
                            <w:top w:val="none" w:sz="0" w:space="0" w:color="auto"/>
                            <w:left w:val="none" w:sz="0" w:space="0" w:color="auto"/>
                            <w:bottom w:val="none" w:sz="0" w:space="0" w:color="auto"/>
                            <w:right w:val="none" w:sz="0" w:space="0" w:color="auto"/>
                          </w:divBdr>
                          <w:divsChild>
                            <w:div w:id="106714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7168">
                      <w:marLeft w:val="0"/>
                      <w:marRight w:val="0"/>
                      <w:marTop w:val="300"/>
                      <w:marBottom w:val="225"/>
                      <w:divBdr>
                        <w:top w:val="single" w:sz="6" w:space="23" w:color="E4E8EA"/>
                        <w:left w:val="single" w:sz="6" w:space="23" w:color="E4E8EA"/>
                        <w:bottom w:val="single" w:sz="6" w:space="23" w:color="E4E8EA"/>
                        <w:right w:val="single" w:sz="6" w:space="23" w:color="E4E8EA"/>
                      </w:divBdr>
                    </w:div>
                  </w:divsChild>
                </w:div>
              </w:divsChild>
            </w:div>
            <w:div w:id="1532066648">
              <w:marLeft w:val="0"/>
              <w:marRight w:val="0"/>
              <w:marTop w:val="0"/>
              <w:marBottom w:val="0"/>
              <w:divBdr>
                <w:top w:val="none" w:sz="0" w:space="0" w:color="auto"/>
                <w:left w:val="none" w:sz="0" w:space="0" w:color="auto"/>
                <w:bottom w:val="none" w:sz="0" w:space="0" w:color="auto"/>
                <w:right w:val="none" w:sz="0" w:space="0" w:color="auto"/>
              </w:divBdr>
              <w:divsChild>
                <w:div w:id="15824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0118">
          <w:marLeft w:val="-900"/>
          <w:marRight w:val="-900"/>
          <w:marTop w:val="900"/>
          <w:marBottom w:val="0"/>
          <w:divBdr>
            <w:top w:val="single" w:sz="48" w:space="30" w:color="EFEFEF"/>
            <w:left w:val="none" w:sz="0" w:space="0" w:color="auto"/>
            <w:bottom w:val="none" w:sz="0" w:space="0" w:color="auto"/>
            <w:right w:val="none" w:sz="0" w:space="0" w:color="auto"/>
          </w:divBdr>
          <w:divsChild>
            <w:div w:id="1654598408">
              <w:marLeft w:val="0"/>
              <w:marRight w:val="0"/>
              <w:marTop w:val="0"/>
              <w:marBottom w:val="0"/>
              <w:divBdr>
                <w:top w:val="none" w:sz="0" w:space="0" w:color="auto"/>
                <w:left w:val="none" w:sz="0" w:space="0" w:color="auto"/>
                <w:bottom w:val="none" w:sz="0" w:space="0" w:color="auto"/>
                <w:right w:val="none" w:sz="0" w:space="0" w:color="auto"/>
              </w:divBdr>
              <w:divsChild>
                <w:div w:id="815218588">
                  <w:marLeft w:val="0"/>
                  <w:marRight w:val="0"/>
                  <w:marTop w:val="0"/>
                  <w:marBottom w:val="0"/>
                  <w:divBdr>
                    <w:top w:val="none" w:sz="0" w:space="0" w:color="auto"/>
                    <w:left w:val="none" w:sz="0" w:space="0" w:color="auto"/>
                    <w:bottom w:val="none" w:sz="0" w:space="0" w:color="auto"/>
                    <w:right w:val="none" w:sz="0" w:space="0" w:color="auto"/>
                  </w:divBdr>
                  <w:divsChild>
                    <w:div w:id="1446467354">
                      <w:marLeft w:val="0"/>
                      <w:marRight w:val="0"/>
                      <w:marTop w:val="0"/>
                      <w:marBottom w:val="0"/>
                      <w:divBdr>
                        <w:top w:val="none" w:sz="0" w:space="0" w:color="auto"/>
                        <w:left w:val="none" w:sz="0" w:space="0" w:color="auto"/>
                        <w:bottom w:val="none" w:sz="0" w:space="0" w:color="auto"/>
                        <w:right w:val="none" w:sz="0" w:space="0" w:color="auto"/>
                      </w:divBdr>
                      <w:divsChild>
                        <w:div w:id="869338272">
                          <w:marLeft w:val="0"/>
                          <w:marRight w:val="0"/>
                          <w:marTop w:val="0"/>
                          <w:marBottom w:val="0"/>
                          <w:divBdr>
                            <w:top w:val="none" w:sz="0" w:space="0" w:color="auto"/>
                            <w:left w:val="none" w:sz="0" w:space="0" w:color="auto"/>
                            <w:bottom w:val="none" w:sz="0" w:space="0" w:color="auto"/>
                            <w:right w:val="none" w:sz="0" w:space="0" w:color="auto"/>
                          </w:divBdr>
                          <w:divsChild>
                            <w:div w:id="595984640">
                              <w:marLeft w:val="0"/>
                              <w:marRight w:val="0"/>
                              <w:marTop w:val="0"/>
                              <w:marBottom w:val="0"/>
                              <w:divBdr>
                                <w:top w:val="none" w:sz="0" w:space="0" w:color="auto"/>
                                <w:left w:val="none" w:sz="0" w:space="0" w:color="auto"/>
                                <w:bottom w:val="none" w:sz="0" w:space="0" w:color="auto"/>
                                <w:right w:val="none" w:sz="0" w:space="0" w:color="auto"/>
                              </w:divBdr>
                              <w:divsChild>
                                <w:div w:id="769353489">
                                  <w:marLeft w:val="0"/>
                                  <w:marRight w:val="0"/>
                                  <w:marTop w:val="0"/>
                                  <w:marBottom w:val="0"/>
                                  <w:divBdr>
                                    <w:top w:val="none" w:sz="0" w:space="0" w:color="auto"/>
                                    <w:left w:val="none" w:sz="0" w:space="0" w:color="auto"/>
                                    <w:bottom w:val="none" w:sz="0" w:space="0" w:color="auto"/>
                                    <w:right w:val="none" w:sz="0" w:space="0" w:color="auto"/>
                                  </w:divBdr>
                                  <w:divsChild>
                                    <w:div w:id="84439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4565">
                              <w:marLeft w:val="0"/>
                              <w:marRight w:val="0"/>
                              <w:marTop w:val="0"/>
                              <w:marBottom w:val="0"/>
                              <w:divBdr>
                                <w:top w:val="none" w:sz="0" w:space="0" w:color="auto"/>
                                <w:left w:val="none" w:sz="0" w:space="0" w:color="auto"/>
                                <w:bottom w:val="none" w:sz="0" w:space="0" w:color="auto"/>
                                <w:right w:val="none" w:sz="0" w:space="0" w:color="auto"/>
                              </w:divBdr>
                              <w:divsChild>
                                <w:div w:id="1518077429">
                                  <w:marLeft w:val="0"/>
                                  <w:marRight w:val="0"/>
                                  <w:marTop w:val="0"/>
                                  <w:marBottom w:val="0"/>
                                  <w:divBdr>
                                    <w:top w:val="none" w:sz="0" w:space="0" w:color="auto"/>
                                    <w:left w:val="none" w:sz="0" w:space="0" w:color="auto"/>
                                    <w:bottom w:val="none" w:sz="0" w:space="0" w:color="auto"/>
                                    <w:right w:val="none" w:sz="0" w:space="0" w:color="auto"/>
                                  </w:divBdr>
                                  <w:divsChild>
                                    <w:div w:id="6051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73993">
                              <w:marLeft w:val="0"/>
                              <w:marRight w:val="0"/>
                              <w:marTop w:val="0"/>
                              <w:marBottom w:val="0"/>
                              <w:divBdr>
                                <w:top w:val="none" w:sz="0" w:space="0" w:color="auto"/>
                                <w:left w:val="none" w:sz="0" w:space="0" w:color="auto"/>
                                <w:bottom w:val="none" w:sz="0" w:space="0" w:color="auto"/>
                                <w:right w:val="none" w:sz="0" w:space="0" w:color="auto"/>
                              </w:divBdr>
                              <w:divsChild>
                                <w:div w:id="1190801298">
                                  <w:marLeft w:val="0"/>
                                  <w:marRight w:val="0"/>
                                  <w:marTop w:val="0"/>
                                  <w:marBottom w:val="0"/>
                                  <w:divBdr>
                                    <w:top w:val="none" w:sz="0" w:space="0" w:color="auto"/>
                                    <w:left w:val="none" w:sz="0" w:space="0" w:color="auto"/>
                                    <w:bottom w:val="none" w:sz="0" w:space="0" w:color="auto"/>
                                    <w:right w:val="none" w:sz="0" w:space="0" w:color="auto"/>
                                  </w:divBdr>
                                  <w:divsChild>
                                    <w:div w:id="181621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38276">
                              <w:marLeft w:val="0"/>
                              <w:marRight w:val="0"/>
                              <w:marTop w:val="0"/>
                              <w:marBottom w:val="0"/>
                              <w:divBdr>
                                <w:top w:val="none" w:sz="0" w:space="0" w:color="auto"/>
                                <w:left w:val="none" w:sz="0" w:space="0" w:color="auto"/>
                                <w:bottom w:val="none" w:sz="0" w:space="0" w:color="auto"/>
                                <w:right w:val="none" w:sz="0" w:space="0" w:color="auto"/>
                              </w:divBdr>
                              <w:divsChild>
                                <w:div w:id="1351835293">
                                  <w:marLeft w:val="0"/>
                                  <w:marRight w:val="0"/>
                                  <w:marTop w:val="0"/>
                                  <w:marBottom w:val="0"/>
                                  <w:divBdr>
                                    <w:top w:val="none" w:sz="0" w:space="0" w:color="auto"/>
                                    <w:left w:val="none" w:sz="0" w:space="0" w:color="auto"/>
                                    <w:bottom w:val="none" w:sz="0" w:space="0" w:color="auto"/>
                                    <w:right w:val="none" w:sz="0" w:space="0" w:color="auto"/>
                                  </w:divBdr>
                                  <w:divsChild>
                                    <w:div w:id="89350149">
                                      <w:marLeft w:val="0"/>
                                      <w:marRight w:val="0"/>
                                      <w:marTop w:val="0"/>
                                      <w:marBottom w:val="0"/>
                                      <w:divBdr>
                                        <w:top w:val="none" w:sz="0" w:space="0" w:color="auto"/>
                                        <w:left w:val="none" w:sz="0" w:space="0" w:color="auto"/>
                                        <w:bottom w:val="none" w:sz="0" w:space="0" w:color="auto"/>
                                        <w:right w:val="none" w:sz="0" w:space="0" w:color="auto"/>
                                      </w:divBdr>
                                      <w:divsChild>
                                        <w:div w:id="1671525970">
                                          <w:marLeft w:val="0"/>
                                          <w:marRight w:val="0"/>
                                          <w:marTop w:val="0"/>
                                          <w:marBottom w:val="0"/>
                                          <w:divBdr>
                                            <w:top w:val="none" w:sz="0" w:space="0" w:color="auto"/>
                                            <w:left w:val="none" w:sz="0" w:space="0" w:color="auto"/>
                                            <w:bottom w:val="none" w:sz="0" w:space="0" w:color="auto"/>
                                            <w:right w:val="none" w:sz="0" w:space="0" w:color="auto"/>
                                          </w:divBdr>
                                          <w:divsChild>
                                            <w:div w:id="1387726320">
                                              <w:marLeft w:val="0"/>
                                              <w:marRight w:val="0"/>
                                              <w:marTop w:val="0"/>
                                              <w:marBottom w:val="0"/>
                                              <w:divBdr>
                                                <w:top w:val="none" w:sz="0" w:space="0" w:color="auto"/>
                                                <w:left w:val="none" w:sz="0" w:space="0" w:color="auto"/>
                                                <w:bottom w:val="none" w:sz="0" w:space="0" w:color="auto"/>
                                                <w:right w:val="none" w:sz="0" w:space="0" w:color="auto"/>
                                              </w:divBdr>
                                            </w:div>
                                          </w:divsChild>
                                        </w:div>
                                        <w:div w:id="404113381">
                                          <w:marLeft w:val="0"/>
                                          <w:marRight w:val="0"/>
                                          <w:marTop w:val="0"/>
                                          <w:marBottom w:val="0"/>
                                          <w:divBdr>
                                            <w:top w:val="none" w:sz="0" w:space="0" w:color="auto"/>
                                            <w:left w:val="none" w:sz="0" w:space="0" w:color="auto"/>
                                            <w:bottom w:val="none" w:sz="0" w:space="0" w:color="auto"/>
                                            <w:right w:val="none" w:sz="0" w:space="0" w:color="auto"/>
                                          </w:divBdr>
                                          <w:divsChild>
                                            <w:div w:id="1258975884">
                                              <w:marLeft w:val="0"/>
                                              <w:marRight w:val="0"/>
                                              <w:marTop w:val="0"/>
                                              <w:marBottom w:val="0"/>
                                              <w:divBdr>
                                                <w:top w:val="none" w:sz="0" w:space="0" w:color="auto"/>
                                                <w:left w:val="none" w:sz="0" w:space="0" w:color="auto"/>
                                                <w:bottom w:val="none" w:sz="0" w:space="0" w:color="auto"/>
                                                <w:right w:val="none" w:sz="0" w:space="0" w:color="auto"/>
                                              </w:divBdr>
                                            </w:div>
                                          </w:divsChild>
                                        </w:div>
                                        <w:div w:id="509679354">
                                          <w:marLeft w:val="0"/>
                                          <w:marRight w:val="0"/>
                                          <w:marTop w:val="300"/>
                                          <w:marBottom w:val="225"/>
                                          <w:divBdr>
                                            <w:top w:val="single" w:sz="6" w:space="23" w:color="E4E8EA"/>
                                            <w:left w:val="single" w:sz="6" w:space="23" w:color="E4E8EA"/>
                                            <w:bottom w:val="single" w:sz="6" w:space="23" w:color="E4E8EA"/>
                                            <w:right w:val="single" w:sz="6" w:space="23" w:color="E4E8EA"/>
                                          </w:divBdr>
                                        </w:div>
                                      </w:divsChild>
                                    </w:div>
                                  </w:divsChild>
                                </w:div>
                              </w:divsChild>
                            </w:div>
                            <w:div w:id="521016318">
                              <w:marLeft w:val="0"/>
                              <w:marRight w:val="0"/>
                              <w:marTop w:val="0"/>
                              <w:marBottom w:val="0"/>
                              <w:divBdr>
                                <w:top w:val="none" w:sz="0" w:space="0" w:color="auto"/>
                                <w:left w:val="none" w:sz="0" w:space="0" w:color="auto"/>
                                <w:bottom w:val="none" w:sz="0" w:space="0" w:color="auto"/>
                                <w:right w:val="none" w:sz="0" w:space="0" w:color="auto"/>
                              </w:divBdr>
                              <w:divsChild>
                                <w:div w:id="897783073">
                                  <w:marLeft w:val="0"/>
                                  <w:marRight w:val="0"/>
                                  <w:marTop w:val="0"/>
                                  <w:marBottom w:val="0"/>
                                  <w:divBdr>
                                    <w:top w:val="none" w:sz="0" w:space="0" w:color="auto"/>
                                    <w:left w:val="none" w:sz="0" w:space="0" w:color="auto"/>
                                    <w:bottom w:val="none" w:sz="0" w:space="0" w:color="auto"/>
                                    <w:right w:val="none" w:sz="0" w:space="0" w:color="auto"/>
                                  </w:divBdr>
                                  <w:divsChild>
                                    <w:div w:id="171568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6721">
                              <w:marLeft w:val="0"/>
                              <w:marRight w:val="0"/>
                              <w:marTop w:val="0"/>
                              <w:marBottom w:val="0"/>
                              <w:divBdr>
                                <w:top w:val="none" w:sz="0" w:space="0" w:color="auto"/>
                                <w:left w:val="none" w:sz="0" w:space="0" w:color="auto"/>
                                <w:bottom w:val="none" w:sz="0" w:space="0" w:color="auto"/>
                                <w:right w:val="none" w:sz="0" w:space="0" w:color="auto"/>
                              </w:divBdr>
                              <w:divsChild>
                                <w:div w:id="1510369660">
                                  <w:marLeft w:val="0"/>
                                  <w:marRight w:val="0"/>
                                  <w:marTop w:val="0"/>
                                  <w:marBottom w:val="0"/>
                                  <w:divBdr>
                                    <w:top w:val="none" w:sz="0" w:space="0" w:color="auto"/>
                                    <w:left w:val="none" w:sz="0" w:space="0" w:color="auto"/>
                                    <w:bottom w:val="none" w:sz="0" w:space="0" w:color="auto"/>
                                    <w:right w:val="none" w:sz="0" w:space="0" w:color="auto"/>
                                  </w:divBdr>
                                  <w:divsChild>
                                    <w:div w:id="2019846150">
                                      <w:marLeft w:val="0"/>
                                      <w:marRight w:val="0"/>
                                      <w:marTop w:val="0"/>
                                      <w:marBottom w:val="0"/>
                                      <w:divBdr>
                                        <w:top w:val="none" w:sz="0" w:space="0" w:color="auto"/>
                                        <w:left w:val="none" w:sz="0" w:space="0" w:color="auto"/>
                                        <w:bottom w:val="none" w:sz="0" w:space="0" w:color="auto"/>
                                        <w:right w:val="none" w:sz="0" w:space="0" w:color="auto"/>
                                      </w:divBdr>
                                      <w:divsChild>
                                        <w:div w:id="1961034298">
                                          <w:marLeft w:val="0"/>
                                          <w:marRight w:val="0"/>
                                          <w:marTop w:val="300"/>
                                          <w:marBottom w:val="225"/>
                                          <w:divBdr>
                                            <w:top w:val="single" w:sz="6" w:space="23" w:color="E4E8EA"/>
                                            <w:left w:val="single" w:sz="6" w:space="23" w:color="E4E8EA"/>
                                            <w:bottom w:val="single" w:sz="6" w:space="23" w:color="E4E8EA"/>
                                            <w:right w:val="single" w:sz="6" w:space="23" w:color="E4E8EA"/>
                                          </w:divBdr>
                                        </w:div>
                                      </w:divsChild>
                                    </w:div>
                                  </w:divsChild>
                                </w:div>
                              </w:divsChild>
                            </w:div>
                          </w:divsChild>
                        </w:div>
                      </w:divsChild>
                    </w:div>
                  </w:divsChild>
                </w:div>
              </w:divsChild>
            </w:div>
          </w:divsChild>
        </w:div>
      </w:divsChild>
    </w:div>
    <w:div w:id="1672023549">
      <w:bodyDiv w:val="1"/>
      <w:marLeft w:val="0"/>
      <w:marRight w:val="0"/>
      <w:marTop w:val="0"/>
      <w:marBottom w:val="0"/>
      <w:divBdr>
        <w:top w:val="none" w:sz="0" w:space="0" w:color="auto"/>
        <w:left w:val="none" w:sz="0" w:space="0" w:color="auto"/>
        <w:bottom w:val="none" w:sz="0" w:space="0" w:color="auto"/>
        <w:right w:val="none" w:sz="0" w:space="0" w:color="auto"/>
      </w:divBdr>
    </w:div>
    <w:div w:id="1679504820">
      <w:bodyDiv w:val="1"/>
      <w:marLeft w:val="0"/>
      <w:marRight w:val="0"/>
      <w:marTop w:val="0"/>
      <w:marBottom w:val="0"/>
      <w:divBdr>
        <w:top w:val="none" w:sz="0" w:space="0" w:color="auto"/>
        <w:left w:val="none" w:sz="0" w:space="0" w:color="auto"/>
        <w:bottom w:val="none" w:sz="0" w:space="0" w:color="auto"/>
        <w:right w:val="none" w:sz="0" w:space="0" w:color="auto"/>
      </w:divBdr>
    </w:div>
    <w:div w:id="1720200457">
      <w:bodyDiv w:val="1"/>
      <w:marLeft w:val="0"/>
      <w:marRight w:val="0"/>
      <w:marTop w:val="0"/>
      <w:marBottom w:val="0"/>
      <w:divBdr>
        <w:top w:val="none" w:sz="0" w:space="0" w:color="auto"/>
        <w:left w:val="none" w:sz="0" w:space="0" w:color="auto"/>
        <w:bottom w:val="none" w:sz="0" w:space="0" w:color="auto"/>
        <w:right w:val="none" w:sz="0" w:space="0" w:color="auto"/>
      </w:divBdr>
      <w:divsChild>
        <w:div w:id="1336037184">
          <w:marLeft w:val="0"/>
          <w:marRight w:val="0"/>
          <w:marTop w:val="0"/>
          <w:marBottom w:val="0"/>
          <w:divBdr>
            <w:top w:val="single" w:sz="2" w:space="31" w:color="E5E7EB"/>
            <w:left w:val="single" w:sz="2" w:space="0" w:color="E5E7EB"/>
            <w:bottom w:val="single" w:sz="2" w:space="0" w:color="E5E7EB"/>
            <w:right w:val="single" w:sz="2" w:space="0" w:color="E5E7EB"/>
          </w:divBdr>
          <w:divsChild>
            <w:div w:id="1953659798">
              <w:marLeft w:val="0"/>
              <w:marRight w:val="0"/>
              <w:marTop w:val="0"/>
              <w:marBottom w:val="0"/>
              <w:divBdr>
                <w:top w:val="single" w:sz="2" w:space="0" w:color="E5E7EB"/>
                <w:left w:val="single" w:sz="2" w:space="0" w:color="E5E7EB"/>
                <w:bottom w:val="single" w:sz="2" w:space="0" w:color="E5E7EB"/>
                <w:right w:val="single" w:sz="2" w:space="0" w:color="E5E7EB"/>
              </w:divBdr>
              <w:divsChild>
                <w:div w:id="1387948683">
                  <w:marLeft w:val="0"/>
                  <w:marRight w:val="0"/>
                  <w:marTop w:val="0"/>
                  <w:marBottom w:val="0"/>
                  <w:divBdr>
                    <w:top w:val="single" w:sz="2" w:space="0" w:color="E5E7EB"/>
                    <w:left w:val="single" w:sz="2" w:space="0" w:color="E5E7EB"/>
                    <w:bottom w:val="single" w:sz="2" w:space="0" w:color="E5E7EB"/>
                    <w:right w:val="single" w:sz="2" w:space="0" w:color="E5E7EB"/>
                  </w:divBdr>
                  <w:divsChild>
                    <w:div w:id="1661731966">
                      <w:marLeft w:val="0"/>
                      <w:marRight w:val="0"/>
                      <w:marTop w:val="0"/>
                      <w:marBottom w:val="0"/>
                      <w:divBdr>
                        <w:top w:val="single" w:sz="2" w:space="0" w:color="E5E7EB"/>
                        <w:left w:val="single" w:sz="2" w:space="0" w:color="E5E7EB"/>
                        <w:bottom w:val="single" w:sz="2" w:space="0" w:color="E5E7EB"/>
                        <w:right w:val="single" w:sz="2" w:space="0" w:color="E5E7EB"/>
                      </w:divBdr>
                      <w:divsChild>
                        <w:div w:id="355930956">
                          <w:marLeft w:val="0"/>
                          <w:marRight w:val="0"/>
                          <w:marTop w:val="0"/>
                          <w:marBottom w:val="0"/>
                          <w:divBdr>
                            <w:top w:val="single" w:sz="2" w:space="0" w:color="E5E7EB"/>
                            <w:left w:val="single" w:sz="2" w:space="0" w:color="E5E7EB"/>
                            <w:bottom w:val="single" w:sz="2" w:space="0" w:color="E5E7EB"/>
                            <w:right w:val="single" w:sz="2" w:space="0" w:color="E5E7EB"/>
                          </w:divBdr>
                          <w:divsChild>
                            <w:div w:id="2055501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52380420">
          <w:marLeft w:val="0"/>
          <w:marRight w:val="0"/>
          <w:marTop w:val="0"/>
          <w:marBottom w:val="0"/>
          <w:divBdr>
            <w:top w:val="single" w:sz="2" w:space="0" w:color="E5E7EB"/>
            <w:left w:val="single" w:sz="2" w:space="0" w:color="E5E7EB"/>
            <w:bottom w:val="single" w:sz="2" w:space="0" w:color="E5E7EB"/>
            <w:right w:val="single" w:sz="2" w:space="0" w:color="E5E7EB"/>
          </w:divBdr>
          <w:divsChild>
            <w:div w:id="994407587">
              <w:marLeft w:val="0"/>
              <w:marRight w:val="0"/>
              <w:marTop w:val="0"/>
              <w:marBottom w:val="0"/>
              <w:divBdr>
                <w:top w:val="single" w:sz="2" w:space="0" w:color="E5E7EB"/>
                <w:left w:val="single" w:sz="2" w:space="0" w:color="E5E7EB"/>
                <w:bottom w:val="single" w:sz="2" w:space="0" w:color="E5E7EB"/>
                <w:right w:val="single" w:sz="2" w:space="0" w:color="E5E7EB"/>
              </w:divBdr>
              <w:divsChild>
                <w:div w:id="1609465059">
                  <w:marLeft w:val="0"/>
                  <w:marRight w:val="0"/>
                  <w:marTop w:val="0"/>
                  <w:marBottom w:val="0"/>
                  <w:divBdr>
                    <w:top w:val="single" w:sz="2" w:space="0" w:color="E5E7EB"/>
                    <w:left w:val="single" w:sz="2" w:space="0" w:color="E5E7EB"/>
                    <w:bottom w:val="single" w:sz="2" w:space="0" w:color="E5E7EB"/>
                    <w:right w:val="single" w:sz="2" w:space="0" w:color="E5E7EB"/>
                  </w:divBdr>
                  <w:divsChild>
                    <w:div w:id="1466121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03972961">
      <w:bodyDiv w:val="1"/>
      <w:marLeft w:val="0"/>
      <w:marRight w:val="0"/>
      <w:marTop w:val="0"/>
      <w:marBottom w:val="0"/>
      <w:divBdr>
        <w:top w:val="none" w:sz="0" w:space="0" w:color="auto"/>
        <w:left w:val="none" w:sz="0" w:space="0" w:color="auto"/>
        <w:bottom w:val="none" w:sz="0" w:space="0" w:color="auto"/>
        <w:right w:val="none" w:sz="0" w:space="0" w:color="auto"/>
      </w:divBdr>
      <w:divsChild>
        <w:div w:id="527834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providers.dffh.vic.gov.au/mandatory-reporting-child-protection-victoria-early-childhood-factsheet" TargetMode="External"/><Relationship Id="rId26" Type="http://schemas.openxmlformats.org/officeDocument/2006/relationships/image" Target="media/image6.png"/><Relationship Id="rId39" Type="http://schemas.openxmlformats.org/officeDocument/2006/relationships/hyperlink" Target="http://www.familycourt.gov.au" TargetMode="External"/><Relationship Id="rId21" Type="http://schemas.openxmlformats.org/officeDocument/2006/relationships/hyperlink" Target="https://providers.dffh.vic.gov.au/mandatory-reporting-child-protection-victoria-out-home-care-workers-factsheet" TargetMode="External"/><Relationship Id="rId34" Type="http://schemas.openxmlformats.org/officeDocument/2006/relationships/hyperlink" Target="https://www.legislation.vic.gov.au"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viders.dffh.vic.gov.au/mandatory-reporting" TargetMode="External"/><Relationship Id="rId29" Type="http://schemas.openxmlformats.org/officeDocument/2006/relationships/oleObject" Target="embeddings/Microsoft_Excel_97-2003_Worksheet.xls"/><Relationship Id="rId11" Type="http://schemas.openxmlformats.org/officeDocument/2006/relationships/hyperlink" Target="https://yoorrookforjustice.org.au/wp-content/uploads/2023/08/Yoorrook-for-justice-report.pdf" TargetMode="External"/><Relationship Id="rId24" Type="http://schemas.openxmlformats.org/officeDocument/2006/relationships/hyperlink" Target="https://providers.dffh.vic.gov.au/mandatory-reporting-child-protection-victoria-frequently-asked-questions" TargetMode="External"/><Relationship Id="rId32" Type="http://schemas.openxmlformats.org/officeDocument/2006/relationships/hyperlink" Target="https://childrenscourt.vic.gov.au/sites/default/files/2020-11/vla-representing-children-in-child-protection-proceedings-guide.pdf" TargetMode="External"/><Relationship Id="rId37" Type="http://schemas.openxmlformats.org/officeDocument/2006/relationships/hyperlink" Target="https://yoorrookforjustice.org.au/wp-content/uploads/2023/08/Yoorrook-for-justice-report.pdf" TargetMode="External"/><Relationship Id="rId40" Type="http://schemas.openxmlformats.org/officeDocument/2006/relationships/hyperlink" Target="https://www.americanbar.org/content/dam/aba/administrative/child_law/healthy_beginnings.authcheckdam.pdf"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dm.vic.gov.au/changes-and-corrections/change-your-childs-name/child-born-in-victoria" TargetMode="External"/><Relationship Id="rId23" Type="http://schemas.openxmlformats.org/officeDocument/2006/relationships/hyperlink" Target="https://providers.dffh.vic.gov.au/mandatory-reporting-child-protection-victoria-youth-justice-workers-factsheet" TargetMode="External"/><Relationship Id="rId28" Type="http://schemas.openxmlformats.org/officeDocument/2006/relationships/image" Target="media/image6.wmf"/><Relationship Id="rId36" Type="http://schemas.openxmlformats.org/officeDocument/2006/relationships/hyperlink" Target="https://www.legalaid.vic.gov.au/sites/default/files/2022-02/vla-resource-information-parents-primary-carers-child-protection-court-case.docx"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providers.dffh.vic.gov.au/mandatory-reporting-child-protection-victoria-people-religious-ministry-factsheet" TargetMode="External"/><Relationship Id="rId31" Type="http://schemas.openxmlformats.org/officeDocument/2006/relationships/image" Target="media/image8.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orrookforjustice.org.au/wp-content/uploads/2023/08/Yoorrook-for-justice-report.pdf" TargetMode="External"/><Relationship Id="rId14" Type="http://schemas.openxmlformats.org/officeDocument/2006/relationships/image" Target="media/image5.png"/><Relationship Id="rId22" Type="http://schemas.openxmlformats.org/officeDocument/2006/relationships/hyperlink" Target="https://providers.dffh.vic.gov.au/mandatory-reporting-child-protection-victoria-school-counsellors-fact-sheet" TargetMode="External"/><Relationship Id="rId27" Type="http://schemas.openxmlformats.org/officeDocument/2006/relationships/oleObject" Target="embeddings/Microsoft_Excel_Chart.xls"/><Relationship Id="rId30" Type="http://schemas.openxmlformats.org/officeDocument/2006/relationships/image" Target="media/image7.png"/><Relationship Id="rId35" Type="http://schemas.openxmlformats.org/officeDocument/2006/relationships/hyperlink" Target="https://www.childrenscourt.vic.gov.au"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providers.dffh.vic.gov.au/mandatory-reporting-child-protection-victoria-generic-factsheet" TargetMode="External"/><Relationship Id="rId25" Type="http://schemas.openxmlformats.org/officeDocument/2006/relationships/chart" Target="charts/chart1.xml"/><Relationship Id="rId33" Type="http://schemas.openxmlformats.org/officeDocument/2006/relationships/image" Target="media/image10.gif"/><Relationship Id="rId38" Type="http://schemas.openxmlformats.org/officeDocument/2006/relationships/hyperlink" Target="https://www.childrenscourt.vic.gov.au/sites/default/files/2020-07/Guidelines%20for%20Conciliation%20Conferences%20-%201%20March%202016_0.pdf" TargetMode="External"/><Relationship Id="rId46" Type="http://schemas.openxmlformats.org/officeDocument/2006/relationships/header" Target="header3.xml"/><Relationship Id="rId20" Type="http://schemas.openxmlformats.org/officeDocument/2006/relationships/hyperlink" Target="https://providers.dffh.vic.gov.au/mandatory-reporting-child-protection-victoria-registered-psychologists-factsheet" TargetMode="External"/><Relationship Id="rId41"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176991150442478"/>
          <c:y val="6.83453237410072E-2"/>
          <c:w val="0.78230088495575223"/>
          <c:h val="0.73381294964028776"/>
        </c:manualLayout>
      </c:layout>
      <c:lineChart>
        <c:grouping val="standard"/>
        <c:varyColors val="0"/>
        <c:ser>
          <c:idx val="0"/>
          <c:order val="0"/>
          <c:spPr>
            <a:ln w="36555">
              <a:solidFill>
                <a:srgbClr val="000080"/>
              </a:solidFill>
              <a:prstDash val="solid"/>
            </a:ln>
          </c:spPr>
          <c:marker>
            <c:symbol val="diamond"/>
            <c:size val="2"/>
            <c:spPr>
              <a:solidFill>
                <a:srgbClr val="000080"/>
              </a:solidFill>
              <a:ln>
                <a:solidFill>
                  <a:srgbClr val="000080"/>
                </a:solidFill>
                <a:prstDash val="solid"/>
              </a:ln>
            </c:spPr>
          </c:marker>
          <c:cat>
            <c:strRef>
              <c:f>Notifications!$D$8:$D$20</c:f>
              <c:strCache>
                <c:ptCount val="13"/>
                <c:pt idx="0">
                  <c:v>1989</c:v>
                </c:pt>
                <c:pt idx="1">
                  <c:v>1990</c:v>
                </c:pt>
                <c:pt idx="2">
                  <c:v>1991</c:v>
                </c:pt>
                <c:pt idx="3">
                  <c:v>1992</c:v>
                </c:pt>
                <c:pt idx="4">
                  <c:v>1993-1994</c:v>
                </c:pt>
                <c:pt idx="5">
                  <c:v>1994-1995</c:v>
                </c:pt>
                <c:pt idx="6">
                  <c:v>1995-1996</c:v>
                </c:pt>
                <c:pt idx="7">
                  <c:v>1996-1997</c:v>
                </c:pt>
                <c:pt idx="8">
                  <c:v>1997-1998</c:v>
                </c:pt>
                <c:pt idx="9">
                  <c:v>1998-1999</c:v>
                </c:pt>
                <c:pt idx="10">
                  <c:v>1999-2000</c:v>
                </c:pt>
                <c:pt idx="11">
                  <c:v>2000-2001</c:v>
                </c:pt>
                <c:pt idx="12">
                  <c:v>2001-2002</c:v>
                </c:pt>
              </c:strCache>
            </c:strRef>
          </c:cat>
          <c:val>
            <c:numRef>
              <c:f>Notifications!$E$8:$E$20</c:f>
              <c:numCache>
                <c:formatCode>General</c:formatCode>
                <c:ptCount val="13"/>
                <c:pt idx="0">
                  <c:v>13053</c:v>
                </c:pt>
                <c:pt idx="1">
                  <c:v>16524</c:v>
                </c:pt>
                <c:pt idx="2">
                  <c:v>18136</c:v>
                </c:pt>
                <c:pt idx="3">
                  <c:v>18610</c:v>
                </c:pt>
                <c:pt idx="4">
                  <c:v>26685</c:v>
                </c:pt>
                <c:pt idx="5">
                  <c:v>31699</c:v>
                </c:pt>
                <c:pt idx="6">
                  <c:v>29984</c:v>
                </c:pt>
                <c:pt idx="7">
                  <c:v>31707</c:v>
                </c:pt>
                <c:pt idx="8">
                  <c:v>33163</c:v>
                </c:pt>
                <c:pt idx="9">
                  <c:v>34697</c:v>
                </c:pt>
                <c:pt idx="10">
                  <c:v>36805</c:v>
                </c:pt>
                <c:pt idx="11">
                  <c:v>36966</c:v>
                </c:pt>
                <c:pt idx="12">
                  <c:v>37966</c:v>
                </c:pt>
              </c:numCache>
            </c:numRef>
          </c:val>
          <c:smooth val="1"/>
          <c:extLst>
            <c:ext xmlns:c16="http://schemas.microsoft.com/office/drawing/2014/chart" uri="{C3380CC4-5D6E-409C-BE32-E72D297353CC}">
              <c16:uniqueId val="{00000000-5676-4F11-B6CD-D0FD836C236F}"/>
            </c:ext>
          </c:extLst>
        </c:ser>
        <c:dLbls>
          <c:showLegendKey val="0"/>
          <c:showVal val="0"/>
          <c:showCatName val="0"/>
          <c:showSerName val="0"/>
          <c:showPercent val="0"/>
          <c:showBubbleSize val="0"/>
        </c:dLbls>
        <c:marker val="1"/>
        <c:smooth val="0"/>
        <c:axId val="1025399280"/>
        <c:axId val="1"/>
      </c:lineChart>
      <c:catAx>
        <c:axId val="1025399280"/>
        <c:scaling>
          <c:orientation val="minMax"/>
        </c:scaling>
        <c:delete val="0"/>
        <c:axPos val="b"/>
        <c:numFmt formatCode="General" sourceLinked="1"/>
        <c:majorTickMark val="out"/>
        <c:minorTickMark val="none"/>
        <c:tickLblPos val="nextTo"/>
        <c:spPr>
          <a:ln w="3047">
            <a:solidFill>
              <a:srgbClr val="000000"/>
            </a:solidFill>
            <a:prstDash val="solid"/>
          </a:ln>
        </c:spPr>
        <c:txPr>
          <a:bodyPr rot="0" vert="horz"/>
          <a:lstStyle/>
          <a:p>
            <a:pPr>
              <a:defRPr sz="745"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title>
          <c:tx>
            <c:rich>
              <a:bodyPr/>
              <a:lstStyle/>
              <a:p>
                <a:pPr>
                  <a:defRPr sz="1775" b="0" i="0" u="none" strike="noStrike" baseline="0">
                    <a:solidFill>
                      <a:srgbClr val="000000"/>
                    </a:solidFill>
                    <a:latin typeface="Arial"/>
                    <a:ea typeface="Arial"/>
                    <a:cs typeface="Arial"/>
                  </a:defRPr>
                </a:pPr>
                <a:r>
                  <a:rPr lang="en-AU"/>
                  <a:t>Notifications</a:t>
                </a:r>
              </a:p>
            </c:rich>
          </c:tx>
          <c:layout>
            <c:manualLayout>
              <c:xMode val="edge"/>
              <c:yMode val="edge"/>
              <c:x val="0"/>
              <c:y val="0.16546753719841958"/>
            </c:manualLayout>
          </c:layout>
          <c:overlay val="0"/>
          <c:spPr>
            <a:noFill/>
            <a:ln w="24369">
              <a:noFill/>
            </a:ln>
          </c:spPr>
        </c:title>
        <c:numFmt formatCode="General" sourceLinked="1"/>
        <c:majorTickMark val="out"/>
        <c:minorTickMark val="none"/>
        <c:tickLblPos val="nextTo"/>
        <c:spPr>
          <a:ln w="3047">
            <a:solidFill>
              <a:srgbClr val="000000"/>
            </a:solidFill>
            <a:prstDash val="solid"/>
          </a:ln>
        </c:spPr>
        <c:txPr>
          <a:bodyPr rot="0" vert="horz"/>
          <a:lstStyle/>
          <a:p>
            <a:pPr>
              <a:defRPr sz="1485" b="0" i="0" u="none" strike="noStrike" baseline="0">
                <a:solidFill>
                  <a:srgbClr val="000000"/>
                </a:solidFill>
                <a:latin typeface="Arial"/>
                <a:ea typeface="Arial"/>
                <a:cs typeface="Arial"/>
              </a:defRPr>
            </a:pPr>
            <a:endParaRPr lang="en-US"/>
          </a:p>
        </c:txPr>
        <c:crossAx val="1025399280"/>
        <c:crosses val="autoZero"/>
        <c:crossBetween val="between"/>
      </c:valAx>
      <c:spPr>
        <a:noFill/>
        <a:ln w="25397">
          <a:noFill/>
        </a:ln>
      </c:spPr>
    </c:plotArea>
    <c:plotVisOnly val="1"/>
    <c:dispBlanksAs val="gap"/>
    <c:showDLblsOverMax val="0"/>
  </c:chart>
  <c:spPr>
    <a:noFill/>
    <a:ln w="38093" cap="flat" cmpd="dbl"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67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239DC-82C1-44CE-A99D-71EC2B3F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55043</Words>
  <Characters>313749</Characters>
  <Application>Microsoft Office Word</Application>
  <DocSecurity>0</DocSecurity>
  <Lines>2614</Lines>
  <Paragraphs>736</Paragraphs>
  <ScaleCrop>false</ScaleCrop>
  <HeadingPairs>
    <vt:vector size="2" baseType="variant">
      <vt:variant>
        <vt:lpstr>Title</vt:lpstr>
      </vt:variant>
      <vt:variant>
        <vt:i4>1</vt:i4>
      </vt:variant>
    </vt:vector>
  </HeadingPairs>
  <TitlesOfParts>
    <vt:vector size="1" baseType="lpstr">
      <vt:lpstr>4</vt:lpstr>
    </vt:vector>
  </TitlesOfParts>
  <Company>Department of Justice Victoria</Company>
  <LinksUpToDate>false</LinksUpToDate>
  <CharactersWithSpaces>368056</CharactersWithSpaces>
  <SharedDoc>false</SharedDoc>
  <HLinks>
    <vt:vector size="504" baseType="variant">
      <vt:variant>
        <vt:i4>3866744</vt:i4>
      </vt:variant>
      <vt:variant>
        <vt:i4>261</vt:i4>
      </vt:variant>
      <vt:variant>
        <vt:i4>0</vt:i4>
      </vt:variant>
      <vt:variant>
        <vt:i4>5</vt:i4>
      </vt:variant>
      <vt:variant>
        <vt:lpwstr>http://www.aifs.gov.au/institute/afrc9/papers.html</vt:lpwstr>
      </vt:variant>
      <vt:variant>
        <vt:lpwstr/>
      </vt:variant>
      <vt:variant>
        <vt:i4>3932260</vt:i4>
      </vt:variant>
      <vt:variant>
        <vt:i4>258</vt:i4>
      </vt:variant>
      <vt:variant>
        <vt:i4>0</vt:i4>
      </vt:variant>
      <vt:variant>
        <vt:i4>5</vt:i4>
      </vt:variant>
      <vt:variant>
        <vt:lpwstr>http://www.zerotothree.org/</vt:lpwstr>
      </vt:variant>
      <vt:variant>
        <vt:lpwstr/>
      </vt:variant>
      <vt:variant>
        <vt:i4>3997728</vt:i4>
      </vt:variant>
      <vt:variant>
        <vt:i4>255</vt:i4>
      </vt:variant>
      <vt:variant>
        <vt:i4>0</vt:i4>
      </vt:variant>
      <vt:variant>
        <vt:i4>5</vt:i4>
      </vt:variant>
      <vt:variant>
        <vt:lpwstr>http://www.abanet.org/</vt:lpwstr>
      </vt:variant>
      <vt:variant>
        <vt:lpwstr/>
      </vt:variant>
      <vt:variant>
        <vt:i4>7405606</vt:i4>
      </vt:variant>
      <vt:variant>
        <vt:i4>252</vt:i4>
      </vt:variant>
      <vt:variant>
        <vt:i4>0</vt:i4>
      </vt:variant>
      <vt:variant>
        <vt:i4>5</vt:i4>
      </vt:variant>
      <vt:variant>
        <vt:lpwstr>http://www.familycourt.gov.au/</vt:lpwstr>
      </vt:variant>
      <vt:variant>
        <vt:lpwstr/>
      </vt:variant>
      <vt:variant>
        <vt:i4>3539033</vt:i4>
      </vt:variant>
      <vt:variant>
        <vt:i4>249</vt:i4>
      </vt:variant>
      <vt:variant>
        <vt:i4>0</vt:i4>
      </vt:variant>
      <vt:variant>
        <vt:i4>5</vt:i4>
      </vt:variant>
      <vt:variant>
        <vt:lpwstr/>
      </vt:variant>
      <vt:variant>
        <vt:lpwstr>_4.7.6_Child_representation</vt:lpwstr>
      </vt:variant>
      <vt:variant>
        <vt:i4>5701677</vt:i4>
      </vt:variant>
      <vt:variant>
        <vt:i4>246</vt:i4>
      </vt:variant>
      <vt:variant>
        <vt:i4>0</vt:i4>
      </vt:variant>
      <vt:variant>
        <vt:i4>5</vt:i4>
      </vt:variant>
      <vt:variant>
        <vt:lpwstr/>
      </vt:variant>
      <vt:variant>
        <vt:lpwstr>_4.7_Representation_of</vt:lpwstr>
      </vt:variant>
      <vt:variant>
        <vt:i4>2424857</vt:i4>
      </vt:variant>
      <vt:variant>
        <vt:i4>231</vt:i4>
      </vt:variant>
      <vt:variant>
        <vt:i4>0</vt:i4>
      </vt:variant>
      <vt:variant>
        <vt:i4>5</vt:i4>
      </vt:variant>
      <vt:variant>
        <vt:lpwstr/>
      </vt:variant>
      <vt:variant>
        <vt:lpwstr>_4.18_Some_other</vt:lpwstr>
      </vt:variant>
      <vt:variant>
        <vt:i4>3801100</vt:i4>
      </vt:variant>
      <vt:variant>
        <vt:i4>228</vt:i4>
      </vt:variant>
      <vt:variant>
        <vt:i4>0</vt:i4>
      </vt:variant>
      <vt:variant>
        <vt:i4>5</vt:i4>
      </vt:variant>
      <vt:variant>
        <vt:lpwstr/>
      </vt:variant>
      <vt:variant>
        <vt:lpwstr>_4.17_Family_Drug</vt:lpwstr>
      </vt:variant>
      <vt:variant>
        <vt:i4>4325496</vt:i4>
      </vt:variant>
      <vt:variant>
        <vt:i4>225</vt:i4>
      </vt:variant>
      <vt:variant>
        <vt:i4>0</vt:i4>
      </vt:variant>
      <vt:variant>
        <vt:i4>5</vt:i4>
      </vt:variant>
      <vt:variant>
        <vt:lpwstr/>
      </vt:variant>
      <vt:variant>
        <vt:lpwstr>_4.16_Effect_on</vt:lpwstr>
      </vt:variant>
      <vt:variant>
        <vt:i4>2949146</vt:i4>
      </vt:variant>
      <vt:variant>
        <vt:i4>222</vt:i4>
      </vt:variant>
      <vt:variant>
        <vt:i4>0</vt:i4>
      </vt:variant>
      <vt:variant>
        <vt:i4>5</vt:i4>
      </vt:variant>
      <vt:variant>
        <vt:lpwstr/>
      </vt:variant>
      <vt:variant>
        <vt:lpwstr>_4.15_Cumulative_harm</vt:lpwstr>
      </vt:variant>
      <vt:variant>
        <vt:i4>7077974</vt:i4>
      </vt:variant>
      <vt:variant>
        <vt:i4>219</vt:i4>
      </vt:variant>
      <vt:variant>
        <vt:i4>0</vt:i4>
      </vt:variant>
      <vt:variant>
        <vt:i4>5</vt:i4>
      </vt:variant>
      <vt:variant>
        <vt:lpwstr/>
      </vt:variant>
      <vt:variant>
        <vt:lpwstr>_4.14.4__Contact</vt:lpwstr>
      </vt:variant>
      <vt:variant>
        <vt:i4>7864405</vt:i4>
      </vt:variant>
      <vt:variant>
        <vt:i4>216</vt:i4>
      </vt:variant>
      <vt:variant>
        <vt:i4>0</vt:i4>
      </vt:variant>
      <vt:variant>
        <vt:i4>5</vt:i4>
      </vt:variant>
      <vt:variant>
        <vt:lpwstr/>
      </vt:variant>
      <vt:variant>
        <vt:lpwstr>_4.14.3__American</vt:lpwstr>
      </vt:variant>
      <vt:variant>
        <vt:i4>6553673</vt:i4>
      </vt:variant>
      <vt:variant>
        <vt:i4>213</vt:i4>
      </vt:variant>
      <vt:variant>
        <vt:i4>0</vt:i4>
      </vt:variant>
      <vt:variant>
        <vt:i4>5</vt:i4>
      </vt:variant>
      <vt:variant>
        <vt:lpwstr/>
      </vt:variant>
      <vt:variant>
        <vt:lpwstr>_4.14.2__Case</vt:lpwstr>
      </vt:variant>
      <vt:variant>
        <vt:i4>544210987</vt:i4>
      </vt:variant>
      <vt:variant>
        <vt:i4>210</vt:i4>
      </vt:variant>
      <vt:variant>
        <vt:i4>0</vt:i4>
      </vt:variant>
      <vt:variant>
        <vt:i4>5</vt:i4>
      </vt:variant>
      <vt:variant>
        <vt:lpwstr/>
      </vt:variant>
      <vt:variant>
        <vt:lpwstr>_4.14.1__“Baby</vt:lpwstr>
      </vt:variant>
      <vt:variant>
        <vt:i4>6684747</vt:i4>
      </vt:variant>
      <vt:variant>
        <vt:i4>207</vt:i4>
      </vt:variant>
      <vt:variant>
        <vt:i4>0</vt:i4>
      </vt:variant>
      <vt:variant>
        <vt:i4>5</vt:i4>
      </vt:variant>
      <vt:variant>
        <vt:lpwstr/>
      </vt:variant>
      <vt:variant>
        <vt:lpwstr>_4.14_Frequency_of</vt:lpwstr>
      </vt:variant>
      <vt:variant>
        <vt:i4>3473419</vt:i4>
      </vt:variant>
      <vt:variant>
        <vt:i4>204</vt:i4>
      </vt:variant>
      <vt:variant>
        <vt:i4>0</vt:i4>
      </vt:variant>
      <vt:variant>
        <vt:i4>5</vt:i4>
      </vt:variant>
      <vt:variant>
        <vt:lpwstr/>
      </vt:variant>
      <vt:variant>
        <vt:lpwstr>_4.13_Shared_care</vt:lpwstr>
      </vt:variant>
      <vt:variant>
        <vt:i4>6029428</vt:i4>
      </vt:variant>
      <vt:variant>
        <vt:i4>201</vt:i4>
      </vt:variant>
      <vt:variant>
        <vt:i4>0</vt:i4>
      </vt:variant>
      <vt:variant>
        <vt:i4>5</vt:i4>
      </vt:variant>
      <vt:variant>
        <vt:lpwstr/>
      </vt:variant>
      <vt:variant>
        <vt:lpwstr>_4.12_Relationship_between</vt:lpwstr>
      </vt:variant>
      <vt:variant>
        <vt:i4>6815837</vt:i4>
      </vt:variant>
      <vt:variant>
        <vt:i4>198</vt:i4>
      </vt:variant>
      <vt:variant>
        <vt:i4>0</vt:i4>
      </vt:variant>
      <vt:variant>
        <vt:i4>5</vt:i4>
      </vt:variant>
      <vt:variant>
        <vt:lpwstr/>
      </vt:variant>
      <vt:variant>
        <vt:lpwstr>_4.11.6__Sharing</vt:lpwstr>
      </vt:variant>
      <vt:variant>
        <vt:i4>7012446</vt:i4>
      </vt:variant>
      <vt:variant>
        <vt:i4>195</vt:i4>
      </vt:variant>
      <vt:variant>
        <vt:i4>0</vt:i4>
      </vt:variant>
      <vt:variant>
        <vt:i4>5</vt:i4>
      </vt:variant>
      <vt:variant>
        <vt:lpwstr/>
      </vt:variant>
      <vt:variant>
        <vt:lpwstr>_4.11.5__Priority</vt:lpwstr>
      </vt:variant>
      <vt:variant>
        <vt:i4>1638441</vt:i4>
      </vt:variant>
      <vt:variant>
        <vt:i4>192</vt:i4>
      </vt:variant>
      <vt:variant>
        <vt:i4>0</vt:i4>
      </vt:variant>
      <vt:variant>
        <vt:i4>5</vt:i4>
      </vt:variant>
      <vt:variant>
        <vt:lpwstr/>
      </vt:variant>
      <vt:variant>
        <vt:lpwstr>_4.11.4__Representation</vt:lpwstr>
      </vt:variant>
      <vt:variant>
        <vt:i4>7340107</vt:i4>
      </vt:variant>
      <vt:variant>
        <vt:i4>189</vt:i4>
      </vt:variant>
      <vt:variant>
        <vt:i4>0</vt:i4>
      </vt:variant>
      <vt:variant>
        <vt:i4>5</vt:i4>
      </vt:variant>
      <vt:variant>
        <vt:lpwstr/>
      </vt:variant>
      <vt:variant>
        <vt:lpwstr>_4.11.3__Notification</vt:lpwstr>
      </vt:variant>
      <vt:variant>
        <vt:i4>7733334</vt:i4>
      </vt:variant>
      <vt:variant>
        <vt:i4>186</vt:i4>
      </vt:variant>
      <vt:variant>
        <vt:i4>0</vt:i4>
      </vt:variant>
      <vt:variant>
        <vt:i4>5</vt:i4>
      </vt:variant>
      <vt:variant>
        <vt:lpwstr/>
      </vt:variant>
      <vt:variant>
        <vt:lpwstr>_4.11.2__Responsibilities</vt:lpwstr>
      </vt:variant>
      <vt:variant>
        <vt:i4>983095</vt:i4>
      </vt:variant>
      <vt:variant>
        <vt:i4>183</vt:i4>
      </vt:variant>
      <vt:variant>
        <vt:i4>0</vt:i4>
      </vt:variant>
      <vt:variant>
        <vt:i4>5</vt:i4>
      </vt:variant>
      <vt:variant>
        <vt:lpwstr/>
      </vt:variant>
      <vt:variant>
        <vt:lpwstr>_4.11.1__Public</vt:lpwstr>
      </vt:variant>
      <vt:variant>
        <vt:i4>5439534</vt:i4>
      </vt:variant>
      <vt:variant>
        <vt:i4>180</vt:i4>
      </vt:variant>
      <vt:variant>
        <vt:i4>0</vt:i4>
      </vt:variant>
      <vt:variant>
        <vt:i4>5</vt:i4>
      </vt:variant>
      <vt:variant>
        <vt:lpwstr/>
      </vt:variant>
      <vt:variant>
        <vt:lpwstr>_4.11_Children's_Court</vt:lpwstr>
      </vt:variant>
      <vt:variant>
        <vt:i4>6094883</vt:i4>
      </vt:variant>
      <vt:variant>
        <vt:i4>177</vt:i4>
      </vt:variant>
      <vt:variant>
        <vt:i4>0</vt:i4>
      </vt:variant>
      <vt:variant>
        <vt:i4>5</vt:i4>
      </vt:variant>
      <vt:variant>
        <vt:lpwstr/>
      </vt:variant>
      <vt:variant>
        <vt:lpwstr>_4.10.10__Judicial</vt:lpwstr>
      </vt:variant>
      <vt:variant>
        <vt:i4>1900564</vt:i4>
      </vt:variant>
      <vt:variant>
        <vt:i4>174</vt:i4>
      </vt:variant>
      <vt:variant>
        <vt:i4>0</vt:i4>
      </vt:variant>
      <vt:variant>
        <vt:i4>5</vt:i4>
      </vt:variant>
      <vt:variant>
        <vt:lpwstr/>
      </vt:variant>
      <vt:variant>
        <vt:lpwstr>_4.10.9_Statistics</vt:lpwstr>
      </vt:variant>
      <vt:variant>
        <vt:i4>5374050</vt:i4>
      </vt:variant>
      <vt:variant>
        <vt:i4>171</vt:i4>
      </vt:variant>
      <vt:variant>
        <vt:i4>0</vt:i4>
      </vt:variant>
      <vt:variant>
        <vt:i4>5</vt:i4>
      </vt:variant>
      <vt:variant>
        <vt:lpwstr/>
      </vt:variant>
      <vt:variant>
        <vt:lpwstr>_4.10.8_Court_orders</vt:lpwstr>
      </vt:variant>
      <vt:variant>
        <vt:i4>5570677</vt:i4>
      </vt:variant>
      <vt:variant>
        <vt:i4>168</vt:i4>
      </vt:variant>
      <vt:variant>
        <vt:i4>0</vt:i4>
      </vt:variant>
      <vt:variant>
        <vt:i4>5</vt:i4>
      </vt:variant>
      <vt:variant>
        <vt:lpwstr/>
      </vt:variant>
      <vt:variant>
        <vt:lpwstr>_4.10.7_Reports_&amp;</vt:lpwstr>
      </vt:variant>
      <vt:variant>
        <vt:i4>3276879</vt:i4>
      </vt:variant>
      <vt:variant>
        <vt:i4>165</vt:i4>
      </vt:variant>
      <vt:variant>
        <vt:i4>0</vt:i4>
      </vt:variant>
      <vt:variant>
        <vt:i4>5</vt:i4>
      </vt:variant>
      <vt:variant>
        <vt:lpwstr/>
      </vt:variant>
      <vt:variant>
        <vt:lpwstr>_4.10.6_Guidelines_&amp;</vt:lpwstr>
      </vt:variant>
      <vt:variant>
        <vt:i4>7012434</vt:i4>
      </vt:variant>
      <vt:variant>
        <vt:i4>162</vt:i4>
      </vt:variant>
      <vt:variant>
        <vt:i4>0</vt:i4>
      </vt:variant>
      <vt:variant>
        <vt:i4>5</vt:i4>
      </vt:variant>
      <vt:variant>
        <vt:lpwstr/>
      </vt:variant>
      <vt:variant>
        <vt:lpwstr>_4.10.5_Attendance_at</vt:lpwstr>
      </vt:variant>
      <vt:variant>
        <vt:i4>7798857</vt:i4>
      </vt:variant>
      <vt:variant>
        <vt:i4>159</vt:i4>
      </vt:variant>
      <vt:variant>
        <vt:i4>0</vt:i4>
      </vt:variant>
      <vt:variant>
        <vt:i4>5</vt:i4>
      </vt:variant>
      <vt:variant>
        <vt:lpwstr/>
      </vt:variant>
      <vt:variant>
        <vt:lpwstr>_4.10.4_Repeal_of</vt:lpwstr>
      </vt:variant>
      <vt:variant>
        <vt:i4>7405685</vt:i4>
      </vt:variant>
      <vt:variant>
        <vt:i4>156</vt:i4>
      </vt:variant>
      <vt:variant>
        <vt:i4>0</vt:i4>
      </vt:variant>
      <vt:variant>
        <vt:i4>5</vt:i4>
      </vt:variant>
      <vt:variant>
        <vt:lpwstr/>
      </vt:variant>
      <vt:variant>
        <vt:lpwstr>_4.10.3_Convenor</vt:lpwstr>
      </vt:variant>
      <vt:variant>
        <vt:i4>5111861</vt:i4>
      </vt:variant>
      <vt:variant>
        <vt:i4>153</vt:i4>
      </vt:variant>
      <vt:variant>
        <vt:i4>0</vt:i4>
      </vt:variant>
      <vt:variant>
        <vt:i4>5</vt:i4>
      </vt:variant>
      <vt:variant>
        <vt:lpwstr/>
      </vt:variant>
      <vt:variant>
        <vt:lpwstr>_4.10.2_Jurisdiction_&amp;</vt:lpwstr>
      </vt:variant>
      <vt:variant>
        <vt:i4>7274569</vt:i4>
      </vt:variant>
      <vt:variant>
        <vt:i4>150</vt:i4>
      </vt:variant>
      <vt:variant>
        <vt:i4>0</vt:i4>
      </vt:variant>
      <vt:variant>
        <vt:i4>5</vt:i4>
      </vt:variant>
      <vt:variant>
        <vt:lpwstr/>
      </vt:variant>
      <vt:variant>
        <vt:lpwstr>_4.10.1_Conciliation_Conferences</vt:lpwstr>
      </vt:variant>
      <vt:variant>
        <vt:i4>852009</vt:i4>
      </vt:variant>
      <vt:variant>
        <vt:i4>147</vt:i4>
      </vt:variant>
      <vt:variant>
        <vt:i4>0</vt:i4>
      </vt:variant>
      <vt:variant>
        <vt:i4>5</vt:i4>
      </vt:variant>
      <vt:variant>
        <vt:lpwstr/>
      </vt:variant>
      <vt:variant>
        <vt:lpwstr>_4.10_Alternative_Dispute</vt:lpwstr>
      </vt:variant>
      <vt:variant>
        <vt:i4>4128793</vt:i4>
      </vt:variant>
      <vt:variant>
        <vt:i4>144</vt:i4>
      </vt:variant>
      <vt:variant>
        <vt:i4>0</vt:i4>
      </vt:variant>
      <vt:variant>
        <vt:i4>5</vt:i4>
      </vt:variant>
      <vt:variant>
        <vt:lpwstr/>
      </vt:variant>
      <vt:variant>
        <vt:lpwstr>_4.9.6_Marram-Ngala_Ganbu</vt:lpwstr>
      </vt:variant>
      <vt:variant>
        <vt:i4>4653099</vt:i4>
      </vt:variant>
      <vt:variant>
        <vt:i4>141</vt:i4>
      </vt:variant>
      <vt:variant>
        <vt:i4>0</vt:i4>
      </vt:variant>
      <vt:variant>
        <vt:i4>5</vt:i4>
      </vt:variant>
      <vt:variant>
        <vt:lpwstr/>
      </vt:variant>
      <vt:variant>
        <vt:lpwstr>_4.9.5_Contested_hearing</vt:lpwstr>
      </vt:variant>
      <vt:variant>
        <vt:i4>6029362</vt:i4>
      </vt:variant>
      <vt:variant>
        <vt:i4>138</vt:i4>
      </vt:variant>
      <vt:variant>
        <vt:i4>0</vt:i4>
      </vt:variant>
      <vt:variant>
        <vt:i4>5</vt:i4>
      </vt:variant>
      <vt:variant>
        <vt:lpwstr/>
      </vt:variant>
      <vt:variant>
        <vt:lpwstr>_4.9.4A_Readiness_Hearing</vt:lpwstr>
      </vt:variant>
      <vt:variant>
        <vt:i4>2818130</vt:i4>
      </vt:variant>
      <vt:variant>
        <vt:i4>135</vt:i4>
      </vt:variant>
      <vt:variant>
        <vt:i4>0</vt:i4>
      </vt:variant>
      <vt:variant>
        <vt:i4>5</vt:i4>
      </vt:variant>
      <vt:variant>
        <vt:lpwstr/>
      </vt:variant>
      <vt:variant>
        <vt:lpwstr>_4.9.4_First_directions</vt:lpwstr>
      </vt:variant>
      <vt:variant>
        <vt:i4>2621544</vt:i4>
      </vt:variant>
      <vt:variant>
        <vt:i4>132</vt:i4>
      </vt:variant>
      <vt:variant>
        <vt:i4>0</vt:i4>
      </vt:variant>
      <vt:variant>
        <vt:i4>5</vt:i4>
      </vt:variant>
      <vt:variant>
        <vt:lpwstr/>
      </vt:variant>
      <vt:variant>
        <vt:lpwstr>_4.9.3_Conciliation</vt:lpwstr>
      </vt:variant>
      <vt:variant>
        <vt:i4>3866750</vt:i4>
      </vt:variant>
      <vt:variant>
        <vt:i4>129</vt:i4>
      </vt:variant>
      <vt:variant>
        <vt:i4>0</vt:i4>
      </vt:variant>
      <vt:variant>
        <vt:i4>5</vt:i4>
      </vt:variant>
      <vt:variant>
        <vt:lpwstr/>
      </vt:variant>
      <vt:variant>
        <vt:lpwstr>_4.9.2_Mention</vt:lpwstr>
      </vt:variant>
      <vt:variant>
        <vt:i4>7208963</vt:i4>
      </vt:variant>
      <vt:variant>
        <vt:i4>126</vt:i4>
      </vt:variant>
      <vt:variant>
        <vt:i4>0</vt:i4>
      </vt:variant>
      <vt:variant>
        <vt:i4>5</vt:i4>
      </vt:variant>
      <vt:variant>
        <vt:lpwstr/>
      </vt:variant>
      <vt:variant>
        <vt:lpwstr>_4.9.1_Apprehension_–</vt:lpwstr>
      </vt:variant>
      <vt:variant>
        <vt:i4>3276881</vt:i4>
      </vt:variant>
      <vt:variant>
        <vt:i4>123</vt:i4>
      </vt:variant>
      <vt:variant>
        <vt:i4>0</vt:i4>
      </vt:variant>
      <vt:variant>
        <vt:i4>5</vt:i4>
      </vt:variant>
      <vt:variant>
        <vt:lpwstr/>
      </vt:variant>
      <vt:variant>
        <vt:lpwstr>_4.9_Family_Division</vt:lpwstr>
      </vt:variant>
      <vt:variant>
        <vt:i4>7995409</vt:i4>
      </vt:variant>
      <vt:variant>
        <vt:i4>120</vt:i4>
      </vt:variant>
      <vt:variant>
        <vt:i4>0</vt:i4>
      </vt:variant>
      <vt:variant>
        <vt:i4>5</vt:i4>
      </vt:variant>
      <vt:variant>
        <vt:lpwstr/>
      </vt:variant>
      <vt:variant>
        <vt:lpwstr>_4.8.6_Attendance_of</vt:lpwstr>
      </vt:variant>
      <vt:variant>
        <vt:i4>1572963</vt:i4>
      </vt:variant>
      <vt:variant>
        <vt:i4>117</vt:i4>
      </vt:variant>
      <vt:variant>
        <vt:i4>0</vt:i4>
      </vt:variant>
      <vt:variant>
        <vt:i4>5</vt:i4>
      </vt:variant>
      <vt:variant>
        <vt:lpwstr/>
      </vt:variant>
      <vt:variant>
        <vt:lpwstr>_4.8.5_Expert_evidence</vt:lpwstr>
      </vt:variant>
      <vt:variant>
        <vt:i4>983167</vt:i4>
      </vt:variant>
      <vt:variant>
        <vt:i4>114</vt:i4>
      </vt:variant>
      <vt:variant>
        <vt:i4>0</vt:i4>
      </vt:variant>
      <vt:variant>
        <vt:i4>5</vt:i4>
      </vt:variant>
      <vt:variant>
        <vt:lpwstr/>
      </vt:variant>
      <vt:variant>
        <vt:lpwstr>_4.8.4_Findings_on</vt:lpwstr>
      </vt:variant>
      <vt:variant>
        <vt:i4>8126487</vt:i4>
      </vt:variant>
      <vt:variant>
        <vt:i4>111</vt:i4>
      </vt:variant>
      <vt:variant>
        <vt:i4>0</vt:i4>
      </vt:variant>
      <vt:variant>
        <vt:i4>5</vt:i4>
      </vt:variant>
      <vt:variant>
        <vt:lpwstr/>
      </vt:variant>
      <vt:variant>
        <vt:lpwstr>_4.8.3_Impact_of</vt:lpwstr>
      </vt:variant>
      <vt:variant>
        <vt:i4>4718627</vt:i4>
      </vt:variant>
      <vt:variant>
        <vt:i4>108</vt:i4>
      </vt:variant>
      <vt:variant>
        <vt:i4>0</vt:i4>
      </vt:variant>
      <vt:variant>
        <vt:i4>5</vt:i4>
      </vt:variant>
      <vt:variant>
        <vt:lpwstr/>
      </vt:variant>
      <vt:variant>
        <vt:lpwstr>_4.8.2_Court_may</vt:lpwstr>
      </vt:variant>
      <vt:variant>
        <vt:i4>7929871</vt:i4>
      </vt:variant>
      <vt:variant>
        <vt:i4>105</vt:i4>
      </vt:variant>
      <vt:variant>
        <vt:i4>0</vt:i4>
      </vt:variant>
      <vt:variant>
        <vt:i4>5</vt:i4>
      </vt:variant>
      <vt:variant>
        <vt:lpwstr/>
      </vt:variant>
      <vt:variant>
        <vt:lpwstr>_4.8.1_Informal_procedure</vt:lpwstr>
      </vt:variant>
      <vt:variant>
        <vt:i4>7274521</vt:i4>
      </vt:variant>
      <vt:variant>
        <vt:i4>102</vt:i4>
      </vt:variant>
      <vt:variant>
        <vt:i4>0</vt:i4>
      </vt:variant>
      <vt:variant>
        <vt:i4>5</vt:i4>
      </vt:variant>
      <vt:variant>
        <vt:lpwstr/>
      </vt:variant>
      <vt:variant>
        <vt:lpwstr>_4.8_Conduct_of</vt:lpwstr>
      </vt:variant>
      <vt:variant>
        <vt:i4>7209053</vt:i4>
      </vt:variant>
      <vt:variant>
        <vt:i4>99</vt:i4>
      </vt:variant>
      <vt:variant>
        <vt:i4>0</vt:i4>
      </vt:variant>
      <vt:variant>
        <vt:i4>5</vt:i4>
      </vt:variant>
      <vt:variant>
        <vt:lpwstr/>
      </vt:variant>
      <vt:variant>
        <vt:lpwstr>_4.7.10_Representation_of</vt:lpwstr>
      </vt:variant>
      <vt:variant>
        <vt:i4>5046320</vt:i4>
      </vt:variant>
      <vt:variant>
        <vt:i4>96</vt:i4>
      </vt:variant>
      <vt:variant>
        <vt:i4>0</vt:i4>
      </vt:variant>
      <vt:variant>
        <vt:i4>5</vt:i4>
      </vt:variant>
      <vt:variant>
        <vt:lpwstr/>
      </vt:variant>
      <vt:variant>
        <vt:lpwstr>_4.7.9_Recommendations_by</vt:lpwstr>
      </vt:variant>
      <vt:variant>
        <vt:i4>4980784</vt:i4>
      </vt:variant>
      <vt:variant>
        <vt:i4>93</vt:i4>
      </vt:variant>
      <vt:variant>
        <vt:i4>0</vt:i4>
      </vt:variant>
      <vt:variant>
        <vt:i4>5</vt:i4>
      </vt:variant>
      <vt:variant>
        <vt:lpwstr/>
      </vt:variant>
      <vt:variant>
        <vt:lpwstr>_4.7.8_Recommendations_by</vt:lpwstr>
      </vt:variant>
      <vt:variant>
        <vt:i4>4390960</vt:i4>
      </vt:variant>
      <vt:variant>
        <vt:i4>90</vt:i4>
      </vt:variant>
      <vt:variant>
        <vt:i4>0</vt:i4>
      </vt:variant>
      <vt:variant>
        <vt:i4>5</vt:i4>
      </vt:variant>
      <vt:variant>
        <vt:lpwstr/>
      </vt:variant>
      <vt:variant>
        <vt:lpwstr>_4.7.7_Recommendations_by</vt:lpwstr>
      </vt:variant>
      <vt:variant>
        <vt:i4>3539033</vt:i4>
      </vt:variant>
      <vt:variant>
        <vt:i4>87</vt:i4>
      </vt:variant>
      <vt:variant>
        <vt:i4>0</vt:i4>
      </vt:variant>
      <vt:variant>
        <vt:i4>5</vt:i4>
      </vt:variant>
      <vt:variant>
        <vt:lpwstr/>
      </vt:variant>
      <vt:variant>
        <vt:lpwstr>_4.7.6_Child_representation</vt:lpwstr>
      </vt:variant>
      <vt:variant>
        <vt:i4>8060955</vt:i4>
      </vt:variant>
      <vt:variant>
        <vt:i4>84</vt:i4>
      </vt:variant>
      <vt:variant>
        <vt:i4>0</vt:i4>
      </vt:variant>
      <vt:variant>
        <vt:i4>5</vt:i4>
      </vt:variant>
      <vt:variant>
        <vt:lpwstr/>
      </vt:variant>
      <vt:variant>
        <vt:lpwstr>_4.7.5_Representing_more</vt:lpwstr>
      </vt:variant>
      <vt:variant>
        <vt:i4>6488067</vt:i4>
      </vt:variant>
      <vt:variant>
        <vt:i4>81</vt:i4>
      </vt:variant>
      <vt:variant>
        <vt:i4>0</vt:i4>
      </vt:variant>
      <vt:variant>
        <vt:i4>5</vt:i4>
      </vt:variant>
      <vt:variant>
        <vt:lpwstr/>
      </vt:variant>
      <vt:variant>
        <vt:lpwstr>_4.7.4_Representation_of</vt:lpwstr>
      </vt:variant>
      <vt:variant>
        <vt:i4>4915237</vt:i4>
      </vt:variant>
      <vt:variant>
        <vt:i4>78</vt:i4>
      </vt:variant>
      <vt:variant>
        <vt:i4>0</vt:i4>
      </vt:variant>
      <vt:variant>
        <vt:i4>5</vt:i4>
      </vt:variant>
      <vt:variant>
        <vt:lpwstr/>
      </vt:variant>
      <vt:variant>
        <vt:lpwstr>_4.7.3_Child_usually</vt:lpwstr>
      </vt:variant>
      <vt:variant>
        <vt:i4>7143446</vt:i4>
      </vt:variant>
      <vt:variant>
        <vt:i4>75</vt:i4>
      </vt:variant>
      <vt:variant>
        <vt:i4>0</vt:i4>
      </vt:variant>
      <vt:variant>
        <vt:i4>5</vt:i4>
      </vt:variant>
      <vt:variant>
        <vt:lpwstr/>
      </vt:variant>
      <vt:variant>
        <vt:lpwstr>_4.7.2_Models_of</vt:lpwstr>
      </vt:variant>
      <vt:variant>
        <vt:i4>8192025</vt:i4>
      </vt:variant>
      <vt:variant>
        <vt:i4>72</vt:i4>
      </vt:variant>
      <vt:variant>
        <vt:i4>0</vt:i4>
      </vt:variant>
      <vt:variant>
        <vt:i4>5</vt:i4>
      </vt:variant>
      <vt:variant>
        <vt:lpwstr/>
      </vt:variant>
      <vt:variant>
        <vt:lpwstr>_4.7.1_Obligation_to</vt:lpwstr>
      </vt:variant>
      <vt:variant>
        <vt:i4>5701677</vt:i4>
      </vt:variant>
      <vt:variant>
        <vt:i4>69</vt:i4>
      </vt:variant>
      <vt:variant>
        <vt:i4>0</vt:i4>
      </vt:variant>
      <vt:variant>
        <vt:i4>5</vt:i4>
      </vt:variant>
      <vt:variant>
        <vt:lpwstr/>
      </vt:variant>
      <vt:variant>
        <vt:lpwstr>_4.7_Representation_of</vt:lpwstr>
      </vt:variant>
      <vt:variant>
        <vt:i4>65633</vt:i4>
      </vt:variant>
      <vt:variant>
        <vt:i4>66</vt:i4>
      </vt:variant>
      <vt:variant>
        <vt:i4>0</vt:i4>
      </vt:variant>
      <vt:variant>
        <vt:i4>5</vt:i4>
      </vt:variant>
      <vt:variant>
        <vt:lpwstr/>
      </vt:variant>
      <vt:variant>
        <vt:lpwstr>_4.6.5_Australian_rate</vt:lpwstr>
      </vt:variant>
      <vt:variant>
        <vt:i4>7471110</vt:i4>
      </vt:variant>
      <vt:variant>
        <vt:i4>63</vt:i4>
      </vt:variant>
      <vt:variant>
        <vt:i4>0</vt:i4>
      </vt:variant>
      <vt:variant>
        <vt:i4>5</vt:i4>
      </vt:variant>
      <vt:variant>
        <vt:lpwstr/>
      </vt:variant>
      <vt:variant>
        <vt:lpwstr>_4.6.4_Trends_in</vt:lpwstr>
      </vt:variant>
      <vt:variant>
        <vt:i4>4063319</vt:i4>
      </vt:variant>
      <vt:variant>
        <vt:i4>60</vt:i4>
      </vt:variant>
      <vt:variant>
        <vt:i4>0</vt:i4>
      </vt:variant>
      <vt:variant>
        <vt:i4>5</vt:i4>
      </vt:variant>
      <vt:variant>
        <vt:lpwstr/>
      </vt:variant>
      <vt:variant>
        <vt:lpwstr>_4.6.3_Child_protection</vt:lpwstr>
      </vt:variant>
      <vt:variant>
        <vt:i4>3932240</vt:i4>
      </vt:variant>
      <vt:variant>
        <vt:i4>57</vt:i4>
      </vt:variant>
      <vt:variant>
        <vt:i4>0</vt:i4>
      </vt:variant>
      <vt:variant>
        <vt:i4>5</vt:i4>
      </vt:variant>
      <vt:variant>
        <vt:lpwstr/>
      </vt:variant>
      <vt:variant>
        <vt:lpwstr>_4.6.2_Mandatory_protective</vt:lpwstr>
      </vt:variant>
      <vt:variant>
        <vt:i4>3866694</vt:i4>
      </vt:variant>
      <vt:variant>
        <vt:i4>54</vt:i4>
      </vt:variant>
      <vt:variant>
        <vt:i4>0</vt:i4>
      </vt:variant>
      <vt:variant>
        <vt:i4>5</vt:i4>
      </vt:variant>
      <vt:variant>
        <vt:lpwstr/>
      </vt:variant>
      <vt:variant>
        <vt:lpwstr>_4.6.1_Anonymity_of</vt:lpwstr>
      </vt:variant>
      <vt:variant>
        <vt:i4>3211350</vt:i4>
      </vt:variant>
      <vt:variant>
        <vt:i4>51</vt:i4>
      </vt:variant>
      <vt:variant>
        <vt:i4>0</vt:i4>
      </vt:variant>
      <vt:variant>
        <vt:i4>5</vt:i4>
      </vt:variant>
      <vt:variant>
        <vt:lpwstr/>
      </vt:variant>
      <vt:variant>
        <vt:lpwstr>_4.6_Protective_intervention</vt:lpwstr>
      </vt:variant>
      <vt:variant>
        <vt:i4>5242916</vt:i4>
      </vt:variant>
      <vt:variant>
        <vt:i4>48</vt:i4>
      </vt:variant>
      <vt:variant>
        <vt:i4>0</vt:i4>
      </vt:variant>
      <vt:variant>
        <vt:i4>5</vt:i4>
      </vt:variant>
      <vt:variant>
        <vt:lpwstr/>
      </vt:variant>
      <vt:variant>
        <vt:lpwstr>_4.5.4_Terms_used</vt:lpwstr>
      </vt:variant>
      <vt:variant>
        <vt:i4>2752632</vt:i4>
      </vt:variant>
      <vt:variant>
        <vt:i4>45</vt:i4>
      </vt:variant>
      <vt:variant>
        <vt:i4>0</vt:i4>
      </vt:variant>
      <vt:variant>
        <vt:i4>5</vt:i4>
      </vt:variant>
      <vt:variant>
        <vt:lpwstr/>
      </vt:variant>
      <vt:variant>
        <vt:lpwstr>_4.5.3_Contact</vt:lpwstr>
      </vt:variant>
      <vt:variant>
        <vt:i4>2555969</vt:i4>
      </vt:variant>
      <vt:variant>
        <vt:i4>42</vt:i4>
      </vt:variant>
      <vt:variant>
        <vt:i4>0</vt:i4>
      </vt:variant>
      <vt:variant>
        <vt:i4>5</vt:i4>
      </vt:variant>
      <vt:variant>
        <vt:lpwstr/>
      </vt:variant>
      <vt:variant>
        <vt:lpwstr>_4.5.2_Where_carer</vt:lpwstr>
      </vt:variant>
      <vt:variant>
        <vt:i4>589947</vt:i4>
      </vt:variant>
      <vt:variant>
        <vt:i4>39</vt:i4>
      </vt:variant>
      <vt:variant>
        <vt:i4>0</vt:i4>
      </vt:variant>
      <vt:variant>
        <vt:i4>5</vt:i4>
      </vt:variant>
      <vt:variant>
        <vt:lpwstr/>
      </vt:variant>
      <vt:variant>
        <vt:lpwstr>_4.5.1_Parental_responsibility</vt:lpwstr>
      </vt:variant>
      <vt:variant>
        <vt:i4>3670101</vt:i4>
      </vt:variant>
      <vt:variant>
        <vt:i4>36</vt:i4>
      </vt:variant>
      <vt:variant>
        <vt:i4>0</vt:i4>
      </vt:variant>
      <vt:variant>
        <vt:i4>5</vt:i4>
      </vt:variant>
      <vt:variant>
        <vt:lpwstr/>
      </vt:variant>
      <vt:variant>
        <vt:lpwstr>_4.5_Parental_responsibility</vt:lpwstr>
      </vt:variant>
      <vt:variant>
        <vt:i4>7012371</vt:i4>
      </vt:variant>
      <vt:variant>
        <vt:i4>33</vt:i4>
      </vt:variant>
      <vt:variant>
        <vt:i4>0</vt:i4>
      </vt:variant>
      <vt:variant>
        <vt:i4>5</vt:i4>
      </vt:variant>
      <vt:variant>
        <vt:lpwstr/>
      </vt:variant>
      <vt:variant>
        <vt:lpwstr>_4.4_Definitions_of</vt:lpwstr>
      </vt:variant>
      <vt:variant>
        <vt:i4>2359380</vt:i4>
      </vt:variant>
      <vt:variant>
        <vt:i4>30</vt:i4>
      </vt:variant>
      <vt:variant>
        <vt:i4>0</vt:i4>
      </vt:variant>
      <vt:variant>
        <vt:i4>5</vt:i4>
      </vt:variant>
      <vt:variant>
        <vt:lpwstr/>
      </vt:variant>
      <vt:variant>
        <vt:lpwstr>_4.3.2_Whether_jurisdiction</vt:lpwstr>
      </vt:variant>
      <vt:variant>
        <vt:i4>8060941</vt:i4>
      </vt:variant>
      <vt:variant>
        <vt:i4>27</vt:i4>
      </vt:variant>
      <vt:variant>
        <vt:i4>0</vt:i4>
      </vt:variant>
      <vt:variant>
        <vt:i4>5</vt:i4>
      </vt:variant>
      <vt:variant>
        <vt:lpwstr/>
      </vt:variant>
      <vt:variant>
        <vt:lpwstr>_4.3.1_Jurisdiction_under</vt:lpwstr>
      </vt:variant>
      <vt:variant>
        <vt:i4>2555997</vt:i4>
      </vt:variant>
      <vt:variant>
        <vt:i4>24</vt:i4>
      </vt:variant>
      <vt:variant>
        <vt:i4>0</vt:i4>
      </vt:variant>
      <vt:variant>
        <vt:i4>5</vt:i4>
      </vt:variant>
      <vt:variant>
        <vt:lpwstr/>
      </vt:variant>
      <vt:variant>
        <vt:lpwstr>_4.3_Jurisdiction_of</vt:lpwstr>
      </vt:variant>
      <vt:variant>
        <vt:i4>2162763</vt:i4>
      </vt:variant>
      <vt:variant>
        <vt:i4>21</vt:i4>
      </vt:variant>
      <vt:variant>
        <vt:i4>0</vt:i4>
      </vt:variant>
      <vt:variant>
        <vt:i4>5</vt:i4>
      </vt:variant>
      <vt:variant>
        <vt:lpwstr/>
      </vt:variant>
      <vt:variant>
        <vt:lpwstr>_4.2_Role_of</vt:lpwstr>
      </vt:variant>
      <vt:variant>
        <vt:i4>4980787</vt:i4>
      </vt:variant>
      <vt:variant>
        <vt:i4>18</vt:i4>
      </vt:variant>
      <vt:variant>
        <vt:i4>0</vt:i4>
      </vt:variant>
      <vt:variant>
        <vt:i4>5</vt:i4>
      </vt:variant>
      <vt:variant>
        <vt:lpwstr/>
      </vt:variant>
      <vt:variant>
        <vt:lpwstr>_4.1.6_The_Child</vt:lpwstr>
      </vt:variant>
      <vt:variant>
        <vt:i4>5242915</vt:i4>
      </vt:variant>
      <vt:variant>
        <vt:i4>15</vt:i4>
      </vt:variant>
      <vt:variant>
        <vt:i4>0</vt:i4>
      </vt:variant>
      <vt:variant>
        <vt:i4>5</vt:i4>
      </vt:variant>
      <vt:variant>
        <vt:lpwstr/>
      </vt:variant>
      <vt:variant>
        <vt:lpwstr>_4.1.5_Statutory_intervention</vt:lpwstr>
      </vt:variant>
      <vt:variant>
        <vt:i4>4980793</vt:i4>
      </vt:variant>
      <vt:variant>
        <vt:i4>12</vt:i4>
      </vt:variant>
      <vt:variant>
        <vt:i4>0</vt:i4>
      </vt:variant>
      <vt:variant>
        <vt:i4>5</vt:i4>
      </vt:variant>
      <vt:variant>
        <vt:lpwstr/>
      </vt:variant>
      <vt:variant>
        <vt:lpwstr>_4.1.4_Voluntary_intervention</vt:lpwstr>
      </vt:variant>
      <vt:variant>
        <vt:i4>786528</vt:i4>
      </vt:variant>
      <vt:variant>
        <vt:i4>9</vt:i4>
      </vt:variant>
      <vt:variant>
        <vt:i4>0</vt:i4>
      </vt:variant>
      <vt:variant>
        <vt:i4>5</vt:i4>
      </vt:variant>
      <vt:variant>
        <vt:lpwstr/>
      </vt:variant>
      <vt:variant>
        <vt:lpwstr>_4.1.3_Principles_governing</vt:lpwstr>
      </vt:variant>
      <vt:variant>
        <vt:i4>1966179</vt:i4>
      </vt:variant>
      <vt:variant>
        <vt:i4>6</vt:i4>
      </vt:variant>
      <vt:variant>
        <vt:i4>0</vt:i4>
      </vt:variant>
      <vt:variant>
        <vt:i4>5</vt:i4>
      </vt:variant>
      <vt:variant>
        <vt:lpwstr/>
      </vt:variant>
      <vt:variant>
        <vt:lpwstr>_4.1.2_Duty_of</vt:lpwstr>
      </vt:variant>
      <vt:variant>
        <vt:i4>3866702</vt:i4>
      </vt:variant>
      <vt:variant>
        <vt:i4>3</vt:i4>
      </vt:variant>
      <vt:variant>
        <vt:i4>0</vt:i4>
      </vt:variant>
      <vt:variant>
        <vt:i4>5</vt:i4>
      </vt:variant>
      <vt:variant>
        <vt:lpwstr/>
      </vt:variant>
      <vt:variant>
        <vt:lpwstr>_4.1.1_Functions_of</vt:lpwstr>
      </vt:variant>
      <vt:variant>
        <vt:i4>7995421</vt:i4>
      </vt:variant>
      <vt:variant>
        <vt:i4>0</vt:i4>
      </vt:variant>
      <vt:variant>
        <vt:i4>0</vt:i4>
      </vt:variant>
      <vt:variant>
        <vt:i4>5</vt:i4>
      </vt:variant>
      <vt:variant>
        <vt:lpwstr/>
      </vt:variant>
      <vt:variant>
        <vt:lpwstr>_4.1_The_Child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JMatthew</dc:creator>
  <cp:keywords/>
  <dc:description/>
  <cp:lastModifiedBy>Peter Power (CSV)</cp:lastModifiedBy>
  <cp:revision>2</cp:revision>
  <cp:lastPrinted>2026-04-13T23:21:00Z</cp:lastPrinted>
  <dcterms:created xsi:type="dcterms:W3CDTF">2026-09-04T05:06:00Z</dcterms:created>
  <dcterms:modified xsi:type="dcterms:W3CDTF">2026-09-04T05:06:00Z</dcterms:modified>
</cp:coreProperties>
</file>